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F9952">
      <w:pPr>
        <w:pStyle w:val="5"/>
        <w:jc w:val="center"/>
        <w:rPr>
          <w:rFonts w:ascii="Times New Roman" w:hAnsi="Times New Roman" w:cs="Times New Roman"/>
          <w:sz w:val="20"/>
          <w:lang w:eastAsia="zh-CN"/>
        </w:rPr>
      </w:pPr>
    </w:p>
    <w:p w14:paraId="2239D1A8">
      <w:pPr>
        <w:pStyle w:val="5"/>
        <w:jc w:val="center"/>
        <w:rPr>
          <w:rFonts w:ascii="Times New Roman" w:hAnsi="Times New Roman" w:cs="Times New Roman"/>
          <w:sz w:val="20"/>
        </w:rPr>
      </w:pPr>
    </w:p>
    <w:p w14:paraId="1F2CDEF8">
      <w:pPr>
        <w:pStyle w:val="5"/>
        <w:jc w:val="center"/>
        <w:rPr>
          <w:rFonts w:ascii="Times New Roman" w:hAnsi="Times New Roman" w:cs="Times New Roman"/>
          <w:sz w:val="20"/>
        </w:rPr>
      </w:pPr>
    </w:p>
    <w:p w14:paraId="177287C5">
      <w:pPr>
        <w:pStyle w:val="5"/>
        <w:jc w:val="center"/>
        <w:rPr>
          <w:rFonts w:ascii="Times New Roman" w:hAnsi="Times New Roman" w:cs="Times New Roman"/>
          <w:sz w:val="20"/>
        </w:rPr>
      </w:pPr>
    </w:p>
    <w:p w14:paraId="1FCF4279">
      <w:pPr>
        <w:pStyle w:val="5"/>
        <w:jc w:val="center"/>
        <w:rPr>
          <w:rFonts w:ascii="Times New Roman" w:hAnsi="Times New Roman" w:cs="Times New Roman"/>
          <w:sz w:val="20"/>
        </w:rPr>
      </w:pPr>
    </w:p>
    <w:p w14:paraId="6D35CE62">
      <w:pPr>
        <w:pStyle w:val="5"/>
        <w:jc w:val="center"/>
        <w:rPr>
          <w:rFonts w:ascii="Times New Roman" w:hAnsi="Times New Roman" w:cs="Times New Roman"/>
          <w:sz w:val="20"/>
        </w:rPr>
      </w:pPr>
    </w:p>
    <w:p w14:paraId="443B68CF">
      <w:pPr>
        <w:pStyle w:val="5"/>
        <w:jc w:val="center"/>
        <w:rPr>
          <w:rFonts w:ascii="Times New Roman" w:hAnsi="Times New Roman" w:cs="Times New Roman"/>
          <w:sz w:val="20"/>
        </w:rPr>
      </w:pPr>
    </w:p>
    <w:p w14:paraId="3630938F">
      <w:pPr>
        <w:pStyle w:val="5"/>
        <w:jc w:val="center"/>
        <w:rPr>
          <w:rFonts w:ascii="Times New Roman" w:hAnsi="Times New Roman" w:cs="Times New Roman"/>
          <w:sz w:val="20"/>
        </w:rPr>
      </w:pPr>
    </w:p>
    <w:p w14:paraId="00999DEF">
      <w:pPr>
        <w:pStyle w:val="5"/>
        <w:jc w:val="center"/>
        <w:rPr>
          <w:rFonts w:ascii="Times New Roman" w:hAnsi="Times New Roman" w:cs="Times New Roman"/>
          <w:sz w:val="20"/>
        </w:rPr>
      </w:pPr>
    </w:p>
    <w:p w14:paraId="204C8A28">
      <w:pPr>
        <w:pStyle w:val="5"/>
        <w:spacing w:before="5"/>
        <w:jc w:val="center"/>
        <w:rPr>
          <w:rFonts w:ascii="Times New Roman" w:hAnsi="Times New Roman" w:cs="Times New Roman"/>
          <w:b/>
          <w:bCs/>
          <w:sz w:val="27"/>
        </w:rPr>
      </w:pPr>
    </w:p>
    <w:p w14:paraId="335CDA14">
      <w:pPr>
        <w:spacing w:line="1000" w:lineRule="exact"/>
        <w:jc w:val="center"/>
        <w:rPr>
          <w:rFonts w:ascii="黑体" w:hAnsi="黑体" w:eastAsia="黑体" w:cs="Times New Roman"/>
          <w:b/>
          <w:bCs/>
          <w:sz w:val="72"/>
          <w:lang w:eastAsia="zh-CN"/>
        </w:rPr>
      </w:pPr>
      <w:r>
        <w:rPr>
          <w:rFonts w:ascii="黑体" w:hAnsi="黑体" w:eastAsia="黑体" w:cs="Times New Roman"/>
          <w:b/>
          <w:bCs/>
          <w:sz w:val="72"/>
          <w:lang w:eastAsia="zh-CN"/>
        </w:rPr>
        <w:t>建设项目环境影响报告表</w:t>
      </w:r>
    </w:p>
    <w:p w14:paraId="0C27036E">
      <w:pPr>
        <w:spacing w:before="240"/>
        <w:jc w:val="center"/>
        <w:rPr>
          <w:rFonts w:ascii="黑体" w:hAnsi="黑体" w:eastAsia="黑体" w:cs="Times New Roman"/>
          <w:sz w:val="48"/>
          <w:lang w:eastAsia="zh-CN"/>
        </w:rPr>
      </w:pPr>
      <w:r>
        <w:rPr>
          <w:rFonts w:ascii="黑体" w:hAnsi="黑体" w:eastAsia="黑体" w:cs="Times New Roman"/>
          <w:sz w:val="48"/>
          <w:lang w:eastAsia="zh-CN"/>
        </w:rPr>
        <w:t>（生态影响类）</w:t>
      </w:r>
    </w:p>
    <w:p w14:paraId="4FBB39BC">
      <w:pPr>
        <w:spacing w:before="240"/>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（报批稿）</w:t>
      </w:r>
    </w:p>
    <w:p w14:paraId="5CA2CE47">
      <w:pPr>
        <w:pStyle w:val="5"/>
        <w:jc w:val="center"/>
        <w:rPr>
          <w:rFonts w:ascii="Times New Roman" w:hAnsi="Times New Roman" w:eastAsia="宋体" w:cs="Times New Roman"/>
          <w:sz w:val="62"/>
          <w:lang w:eastAsia="zh-CN"/>
        </w:rPr>
      </w:pPr>
    </w:p>
    <w:p w14:paraId="6CD06E61">
      <w:pPr>
        <w:pStyle w:val="5"/>
        <w:jc w:val="center"/>
        <w:rPr>
          <w:rFonts w:ascii="Times New Roman" w:hAnsi="Times New Roman" w:eastAsia="宋体" w:cs="Times New Roman"/>
          <w:sz w:val="62"/>
          <w:lang w:eastAsia="zh-CN"/>
        </w:rPr>
      </w:pPr>
    </w:p>
    <w:p w14:paraId="1327715B">
      <w:pPr>
        <w:pStyle w:val="5"/>
        <w:jc w:val="center"/>
        <w:rPr>
          <w:rFonts w:ascii="Times New Roman" w:hAnsi="Times New Roman" w:eastAsia="宋体" w:cs="Times New Roman"/>
          <w:sz w:val="62"/>
          <w:lang w:eastAsia="zh-CN"/>
        </w:rPr>
      </w:pPr>
    </w:p>
    <w:p w14:paraId="6B347C1C">
      <w:pPr>
        <w:pStyle w:val="5"/>
        <w:spacing w:before="7"/>
        <w:jc w:val="center"/>
        <w:rPr>
          <w:rFonts w:ascii="Times New Roman" w:hAnsi="Times New Roman" w:eastAsia="宋体" w:cs="Times New Roman"/>
          <w:sz w:val="73"/>
          <w:lang w:eastAsia="zh-CN"/>
        </w:rPr>
      </w:pPr>
    </w:p>
    <w:p w14:paraId="578A2605">
      <w:pPr>
        <w:pStyle w:val="5"/>
        <w:spacing w:before="7"/>
        <w:jc w:val="center"/>
        <w:rPr>
          <w:rFonts w:ascii="Times New Roman" w:hAnsi="Times New Roman" w:eastAsia="宋体" w:cs="Times New Roman"/>
          <w:sz w:val="73"/>
          <w:lang w:eastAsia="zh-CN"/>
        </w:rPr>
      </w:pPr>
    </w:p>
    <w:p w14:paraId="69E184BA">
      <w:pPr>
        <w:spacing w:line="360" w:lineRule="auto"/>
        <w:rPr>
          <w:rFonts w:ascii="Times New Roman" w:hAnsi="Times New Roman" w:cs="Times New Roman"/>
          <w:sz w:val="36"/>
          <w:szCs w:val="36"/>
          <w:u w:val="single"/>
          <w:lang w:eastAsia="zh-CN"/>
        </w:rPr>
      </w:pPr>
      <w:r>
        <w:rPr>
          <w:rFonts w:ascii="Times New Roman" w:hAnsi="Times New Roman" w:eastAsia="黑体" w:cs="Times New Roman"/>
          <w:b/>
          <w:bCs/>
          <w:sz w:val="36"/>
          <w:szCs w:val="36"/>
          <w:lang w:eastAsia="zh-CN"/>
        </w:rPr>
        <w:t>项目名称：</w:t>
      </w:r>
      <w:r>
        <w:rPr>
          <w:rFonts w:ascii="Times New Roman" w:hAnsi="Times New Roman" w:cs="Times New Roman"/>
          <w:sz w:val="36"/>
          <w:szCs w:val="36"/>
          <w:u w:val="single"/>
          <w:lang w:eastAsia="zh-CN"/>
        </w:rPr>
        <w:t xml:space="preserve">     S239线五彩湾至吉木萨尔县公路改扩建项目</w:t>
      </w:r>
      <w:r>
        <w:rPr>
          <w:rFonts w:hint="eastAsia" w:ascii="Times New Roman" w:hAnsi="Times New Roman" w:cs="Times New Roman"/>
          <w:sz w:val="36"/>
          <w:szCs w:val="36"/>
          <w:u w:val="single"/>
          <w:lang w:eastAsia="zh-CN"/>
        </w:rPr>
        <w:t xml:space="preserve">  </w:t>
      </w:r>
      <w:r>
        <w:rPr>
          <w:rFonts w:ascii="Times New Roman" w:hAnsi="Times New Roman" w:cs="Times New Roman"/>
          <w:sz w:val="36"/>
          <w:szCs w:val="36"/>
          <w:u w:val="single"/>
          <w:lang w:eastAsia="zh-CN"/>
        </w:rPr>
        <w:t xml:space="preserve">   </w:t>
      </w:r>
    </w:p>
    <w:p w14:paraId="0BADB787">
      <w:pPr>
        <w:spacing w:line="360" w:lineRule="auto"/>
        <w:rPr>
          <w:rFonts w:ascii="Times New Roman" w:hAnsi="Times New Roman" w:cs="Times New Roman"/>
          <w:bCs/>
          <w:sz w:val="36"/>
          <w:szCs w:val="36"/>
          <w:u w:val="single"/>
          <w:lang w:eastAsia="zh-CN"/>
        </w:rPr>
      </w:pPr>
      <w:r>
        <w:rPr>
          <w:rFonts w:ascii="Times New Roman" w:hAnsi="Times New Roman" w:eastAsia="黑体" w:cs="Times New Roman"/>
          <w:b/>
          <w:bCs/>
          <w:sz w:val="36"/>
          <w:szCs w:val="36"/>
          <w:lang w:eastAsia="zh-CN"/>
        </w:rPr>
        <w:t>建设单位（盖章）：</w:t>
      </w:r>
      <w:r>
        <w:rPr>
          <w:rFonts w:ascii="Times New Roman" w:hAnsi="Times New Roman" w:cs="Times New Roman"/>
          <w:bCs/>
          <w:sz w:val="36"/>
          <w:szCs w:val="36"/>
          <w:u w:val="single"/>
          <w:lang w:eastAsia="zh-CN"/>
        </w:rPr>
        <w:t xml:space="preserve">    </w:t>
      </w:r>
      <w:r>
        <w:rPr>
          <w:rFonts w:hint="eastAsia" w:ascii="Times New Roman" w:hAnsi="Times New Roman" w:cs="Times New Roman"/>
          <w:bCs/>
          <w:sz w:val="36"/>
          <w:szCs w:val="36"/>
          <w:u w:val="single"/>
          <w:lang w:eastAsia="zh-CN"/>
        </w:rPr>
        <w:t xml:space="preserve"> 新交建交通发展（昌吉）有限公司 </w:t>
      </w:r>
      <w:r>
        <w:rPr>
          <w:rFonts w:ascii="Times New Roman" w:hAnsi="Times New Roman" w:cs="Times New Roman"/>
          <w:bCs/>
          <w:sz w:val="36"/>
          <w:szCs w:val="36"/>
          <w:u w:val="single"/>
          <w:lang w:eastAsia="zh-CN"/>
        </w:rPr>
        <w:t xml:space="preserve">    </w:t>
      </w:r>
    </w:p>
    <w:p w14:paraId="2266755C">
      <w:pPr>
        <w:spacing w:line="360" w:lineRule="auto"/>
        <w:rPr>
          <w:rFonts w:ascii="Times New Roman" w:hAnsi="Times New Roman" w:cs="Times New Roman"/>
          <w:sz w:val="36"/>
          <w:szCs w:val="36"/>
          <w:u w:val="single"/>
          <w:lang w:eastAsia="zh-CN"/>
        </w:rPr>
      </w:pPr>
      <w:r>
        <w:rPr>
          <w:rFonts w:ascii="Times New Roman" w:hAnsi="Times New Roman" w:eastAsia="黑体" w:cs="Times New Roman"/>
          <w:b/>
          <w:bCs/>
          <w:sz w:val="36"/>
          <w:szCs w:val="36"/>
          <w:lang w:eastAsia="zh-CN"/>
        </w:rPr>
        <w:t>编制日期：</w:t>
      </w:r>
      <w:r>
        <w:rPr>
          <w:rFonts w:ascii="Times New Roman" w:hAnsi="Times New Roman" w:cs="Times New Roman"/>
          <w:sz w:val="36"/>
          <w:szCs w:val="36"/>
          <w:u w:val="single"/>
          <w:lang w:eastAsia="zh-CN"/>
        </w:rPr>
        <w:t xml:space="preserve">                                202</w:t>
      </w:r>
      <w:r>
        <w:rPr>
          <w:rFonts w:hint="eastAsia" w:ascii="Times New Roman" w:hAnsi="Times New Roman" w:cs="Times New Roman"/>
          <w:sz w:val="36"/>
          <w:szCs w:val="36"/>
          <w:u w:val="single"/>
          <w:lang w:eastAsia="zh-CN"/>
        </w:rPr>
        <w:t>4</w:t>
      </w:r>
      <w:r>
        <w:rPr>
          <w:rFonts w:ascii="Times New Roman" w:hAnsi="Times New Roman" w:cs="Times New Roman"/>
          <w:sz w:val="36"/>
          <w:szCs w:val="36"/>
          <w:u w:val="single"/>
          <w:lang w:eastAsia="zh-CN"/>
        </w:rPr>
        <w:t xml:space="preserve"> 年</w:t>
      </w:r>
      <w:r>
        <w:rPr>
          <w:rFonts w:hint="eastAsia" w:ascii="Times New Roman" w:hAnsi="Times New Roman" w:cs="Times New Roman"/>
          <w:sz w:val="36"/>
          <w:szCs w:val="36"/>
          <w:u w:val="single"/>
          <w:lang w:eastAsia="zh-CN"/>
        </w:rPr>
        <w:t xml:space="preserve"> </w:t>
      </w:r>
      <w:r>
        <w:rPr>
          <w:rFonts w:ascii="Times New Roman" w:hAnsi="Times New Roman" w:cs="Times New Roman"/>
          <w:sz w:val="36"/>
          <w:szCs w:val="36"/>
          <w:u w:val="single"/>
          <w:lang w:eastAsia="zh-CN"/>
        </w:rPr>
        <w:t xml:space="preserve">9 月                                 </w:t>
      </w:r>
    </w:p>
    <w:p w14:paraId="4FB1108E">
      <w:pPr>
        <w:jc w:val="center"/>
        <w:rPr>
          <w:rFonts w:ascii="Times New Roman" w:hAnsi="Times New Roman" w:cs="Times New Roman"/>
          <w:lang w:eastAsia="zh-CN"/>
        </w:rPr>
      </w:pPr>
    </w:p>
    <w:p w14:paraId="56D4F206">
      <w:pPr>
        <w:jc w:val="center"/>
        <w:rPr>
          <w:rFonts w:ascii="Times New Roman" w:hAnsi="Times New Roman" w:cs="Times New Roman"/>
          <w:lang w:eastAsia="zh-CN"/>
        </w:rPr>
      </w:pPr>
    </w:p>
    <w:p w14:paraId="4255B33C">
      <w:pPr>
        <w:jc w:val="center"/>
        <w:rPr>
          <w:rFonts w:ascii="Times New Roman" w:hAnsi="Times New Roman" w:cs="Times New Roman"/>
          <w:lang w:eastAsia="zh-CN"/>
        </w:rPr>
      </w:pPr>
    </w:p>
    <w:p w14:paraId="6CC9E394">
      <w:pPr>
        <w:jc w:val="center"/>
        <w:rPr>
          <w:rFonts w:ascii="Times New Roman" w:hAnsi="Times New Roman" w:cs="Times New Roman"/>
          <w:lang w:eastAsia="zh-CN"/>
        </w:rPr>
      </w:pPr>
    </w:p>
    <w:p w14:paraId="182C9C5B">
      <w:pPr>
        <w:jc w:val="center"/>
        <w:rPr>
          <w:rFonts w:ascii="Times New Roman" w:hAnsi="Times New Roman" w:cs="Times New Roman"/>
          <w:lang w:eastAsia="zh-CN"/>
        </w:rPr>
      </w:pPr>
    </w:p>
    <w:p w14:paraId="0276FEA4">
      <w:pPr>
        <w:jc w:val="center"/>
        <w:rPr>
          <w:rFonts w:ascii="Times New Roman" w:hAnsi="Times New Roman" w:cs="Times New Roman"/>
          <w:lang w:eastAsia="zh-CN"/>
        </w:rPr>
      </w:pPr>
    </w:p>
    <w:p w14:paraId="2A139A2B">
      <w:pPr>
        <w:jc w:val="center"/>
        <w:rPr>
          <w:rFonts w:ascii="Times New Roman" w:hAnsi="Times New Roman" w:cs="Times New Roman"/>
          <w:lang w:eastAsia="zh-CN"/>
        </w:rPr>
      </w:pPr>
    </w:p>
    <w:p w14:paraId="4D0E2D21">
      <w:pPr>
        <w:jc w:val="center"/>
        <w:rPr>
          <w:rFonts w:ascii="Times New Roman" w:hAnsi="Times New Roman" w:eastAsia="黑体" w:cs="Times New Roman"/>
          <w:b/>
          <w:bCs/>
          <w:sz w:val="36"/>
          <w:lang w:eastAsia="zh-CN"/>
        </w:rPr>
      </w:pPr>
      <w:r>
        <w:rPr>
          <w:rFonts w:ascii="Times New Roman" w:hAnsi="Times New Roman" w:eastAsia="黑体" w:cs="Times New Roman"/>
          <w:b/>
          <w:bCs/>
          <w:sz w:val="36"/>
          <w:lang w:eastAsia="zh-CN"/>
        </w:rPr>
        <w:t>中华人民共和国生态环境部制</w:t>
      </w:r>
    </w:p>
    <w:p w14:paraId="5F6CB590">
      <w:pPr>
        <w:jc w:val="center"/>
        <w:rPr>
          <w:rFonts w:ascii="Times New Roman" w:hAnsi="Times New Roman" w:eastAsia="微软雅黑" w:cs="Times New Roman"/>
          <w:sz w:val="36"/>
          <w:lang w:eastAsia="zh-CN"/>
        </w:rPr>
        <w:sectPr>
          <w:footerReference r:id="rId5" w:type="first"/>
          <w:footerReference r:id="rId3" w:type="default"/>
          <w:footerReference r:id="rId4" w:type="even"/>
          <w:type w:val="nextColumn"/>
          <w:pgSz w:w="11913" w:h="16840"/>
          <w:pgMar w:top="1134" w:right="1134" w:bottom="1134" w:left="1134" w:header="0" w:footer="1043" w:gutter="0"/>
          <w:cols w:space="720" w:num="1"/>
          <w:titlePg/>
          <w:docGrid w:linePitch="299" w:charSpace="0"/>
        </w:sectPr>
      </w:pPr>
    </w:p>
    <w:p w14:paraId="1DE938A8">
      <w:pPr>
        <w:jc w:val="center"/>
        <w:rPr>
          <w:rFonts w:cs="Times New Roman" w:asciiTheme="majorEastAsia" w:hAnsiTheme="majorEastAsia" w:eastAsiaTheme="majorEastAsia"/>
          <w:b/>
          <w:bCs/>
          <w:sz w:val="44"/>
          <w:szCs w:val="44"/>
          <w:lang w:eastAsia="zh-CN"/>
        </w:rPr>
      </w:pPr>
      <w:r>
        <w:rPr>
          <w:rFonts w:hint="eastAsia" w:cs="Times New Roman" w:asciiTheme="majorEastAsia" w:hAnsiTheme="majorEastAsia" w:eastAsiaTheme="majorEastAsia"/>
          <w:b/>
          <w:bCs/>
          <w:sz w:val="44"/>
          <w:szCs w:val="44"/>
          <w:lang w:eastAsia="zh-CN"/>
        </w:rPr>
        <w:t>目</w:t>
      </w:r>
      <w:r>
        <w:rPr>
          <w:rFonts w:cs="Times New Roman" w:asciiTheme="majorEastAsia" w:hAnsiTheme="majorEastAsia" w:eastAsiaTheme="majorEastAsia"/>
          <w:b/>
          <w:bCs/>
          <w:sz w:val="44"/>
          <w:szCs w:val="44"/>
          <w:lang w:eastAsia="zh-CN"/>
        </w:rPr>
        <w:t xml:space="preserve">  录</w:t>
      </w:r>
    </w:p>
    <w:p w14:paraId="172F4F23">
      <w:pPr>
        <w:pStyle w:val="9"/>
        <w:tabs>
          <w:tab w:val="right" w:leader="dot" w:pos="9635"/>
        </w:tabs>
        <w:spacing w:line="360" w:lineRule="auto"/>
        <w:rPr>
          <w:rFonts w:ascii="Times New Roman" w:hAnsi="Times New Roman" w:cs="Times New Roman"/>
          <w:kern w:val="2"/>
          <w:sz w:val="28"/>
          <w:szCs w:val="28"/>
          <w:lang w:eastAsia="zh-CN"/>
        </w:rPr>
      </w:pPr>
      <w:r>
        <w:rPr>
          <w:rFonts w:ascii="Times New Roman" w:hAnsi="Times New Roman" w:eastAsia="微软雅黑" w:cs="Times New Roman"/>
          <w:sz w:val="36"/>
          <w:lang w:eastAsia="zh-CN"/>
        </w:rPr>
        <w:fldChar w:fldCharType="begin"/>
      </w:r>
      <w:r>
        <w:rPr>
          <w:rFonts w:ascii="Times New Roman" w:hAnsi="Times New Roman" w:eastAsia="微软雅黑" w:cs="Times New Roman"/>
          <w:sz w:val="36"/>
          <w:lang w:eastAsia="zh-CN"/>
        </w:rPr>
        <w:instrText xml:space="preserve"> TOC \o "1-1" \h \z \u </w:instrText>
      </w:r>
      <w:r>
        <w:rPr>
          <w:rFonts w:ascii="Times New Roman" w:hAnsi="Times New Roman" w:eastAsia="微软雅黑" w:cs="Times New Roman"/>
          <w:sz w:val="36"/>
          <w:lang w:eastAsia="zh-CN"/>
        </w:rPr>
        <w:fldChar w:fldCharType="separate"/>
      </w:r>
      <w:r>
        <w:fldChar w:fldCharType="begin"/>
      </w:r>
      <w:r>
        <w:instrText xml:space="preserve"> HYPERLINK \l "_Toc119927458" </w:instrText>
      </w:r>
      <w:r>
        <w:fldChar w:fldCharType="separate"/>
      </w:r>
      <w:r>
        <w:rPr>
          <w:rStyle w:val="15"/>
          <w:rFonts w:ascii="Times New Roman" w:hAnsi="Times New Roman" w:cs="Times New Roman"/>
          <w:sz w:val="28"/>
          <w:szCs w:val="28"/>
          <w:lang w:eastAsia="zh-CN"/>
        </w:rPr>
        <w:t>一、建设项目基本情况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_Toc119927458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CFBBDD8">
      <w:pPr>
        <w:pStyle w:val="9"/>
        <w:tabs>
          <w:tab w:val="right" w:leader="dot" w:pos="9635"/>
        </w:tabs>
        <w:spacing w:line="360" w:lineRule="auto"/>
        <w:rPr>
          <w:rFonts w:ascii="Times New Roman" w:hAnsi="Times New Roman" w:cs="Times New Roman"/>
          <w:kern w:val="2"/>
          <w:sz w:val="28"/>
          <w:szCs w:val="28"/>
          <w:lang w:eastAsia="zh-CN"/>
        </w:rPr>
      </w:pPr>
      <w:r>
        <w:fldChar w:fldCharType="begin"/>
      </w:r>
      <w:r>
        <w:instrText xml:space="preserve"> HYPERLINK \l "_Toc119927459" </w:instrText>
      </w:r>
      <w:r>
        <w:fldChar w:fldCharType="separate"/>
      </w:r>
      <w:r>
        <w:rPr>
          <w:rStyle w:val="15"/>
          <w:rFonts w:ascii="Times New Roman" w:hAnsi="Times New Roman" w:cs="Times New Roman"/>
          <w:sz w:val="28"/>
          <w:szCs w:val="28"/>
          <w:lang w:eastAsia="zh-CN"/>
        </w:rPr>
        <w:t>二、建设内容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_Toc119927459 \h </w:instrText>
      </w:r>
      <w:r>
        <w:rPr>
          <w:rFonts w:ascii="Times New Roman" w:hAnsi="Times New Roman" w:cs="Times New Roman"/>
          <w:sz w:val="28"/>
          <w:szCs w:val="28"/>
        </w:rPr>
        <w:fldChar w:fldCharType="separate"/>
      </w:r>
      <w:r>
        <w:rPr>
          <w:rFonts w:ascii="Times New Roman" w:hAnsi="Times New Roman" w:cs="Times New Roman"/>
          <w:sz w:val="28"/>
          <w:szCs w:val="28"/>
        </w:rPr>
        <w:t>29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0AECFED">
      <w:pPr>
        <w:pStyle w:val="9"/>
        <w:tabs>
          <w:tab w:val="right" w:leader="dot" w:pos="9635"/>
        </w:tabs>
        <w:spacing w:line="360" w:lineRule="auto"/>
        <w:rPr>
          <w:rFonts w:ascii="Times New Roman" w:hAnsi="Times New Roman" w:cs="Times New Roman"/>
          <w:kern w:val="2"/>
          <w:sz w:val="28"/>
          <w:szCs w:val="28"/>
          <w:lang w:eastAsia="zh-CN"/>
        </w:rPr>
      </w:pPr>
      <w:r>
        <w:fldChar w:fldCharType="begin"/>
      </w:r>
      <w:r>
        <w:instrText xml:space="preserve"> HYPERLINK \l "_Toc119927460" </w:instrText>
      </w:r>
      <w:r>
        <w:fldChar w:fldCharType="separate"/>
      </w:r>
      <w:r>
        <w:rPr>
          <w:rStyle w:val="15"/>
          <w:rFonts w:ascii="Times New Roman" w:hAnsi="Times New Roman" w:cs="Times New Roman"/>
          <w:sz w:val="28"/>
          <w:szCs w:val="28"/>
          <w:lang w:eastAsia="zh-CN"/>
        </w:rPr>
        <w:t>三、生态环境现状、保护目标及评价标准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_Toc119927460 \h </w:instrText>
      </w:r>
      <w:r>
        <w:rPr>
          <w:rFonts w:ascii="Times New Roman" w:hAnsi="Times New Roman" w:cs="Times New Roman"/>
          <w:sz w:val="28"/>
          <w:szCs w:val="28"/>
        </w:rPr>
        <w:fldChar w:fldCharType="separate"/>
      </w:r>
      <w:r>
        <w:rPr>
          <w:rFonts w:ascii="Times New Roman" w:hAnsi="Times New Roman" w:cs="Times New Roman"/>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D6B8360">
      <w:pPr>
        <w:pStyle w:val="9"/>
        <w:tabs>
          <w:tab w:val="right" w:leader="dot" w:pos="9635"/>
        </w:tabs>
        <w:spacing w:line="360" w:lineRule="auto"/>
        <w:rPr>
          <w:rFonts w:ascii="Times New Roman" w:hAnsi="Times New Roman" w:cs="Times New Roman"/>
          <w:kern w:val="2"/>
          <w:sz w:val="28"/>
          <w:szCs w:val="28"/>
          <w:lang w:eastAsia="zh-CN"/>
        </w:rPr>
      </w:pPr>
      <w:r>
        <w:fldChar w:fldCharType="begin"/>
      </w:r>
      <w:r>
        <w:instrText xml:space="preserve"> HYPERLINK \l "_Toc119927461" </w:instrText>
      </w:r>
      <w:r>
        <w:fldChar w:fldCharType="separate"/>
      </w:r>
      <w:r>
        <w:rPr>
          <w:rStyle w:val="15"/>
          <w:rFonts w:ascii="Times New Roman" w:hAnsi="Times New Roman" w:cs="Times New Roman"/>
          <w:sz w:val="28"/>
          <w:szCs w:val="28"/>
          <w:lang w:eastAsia="zh-CN"/>
        </w:rPr>
        <w:t>四、生态环境影响分析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_Toc119927461 \h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09BD044">
      <w:pPr>
        <w:pStyle w:val="9"/>
        <w:tabs>
          <w:tab w:val="right" w:leader="dot" w:pos="9635"/>
        </w:tabs>
        <w:spacing w:line="360" w:lineRule="auto"/>
        <w:rPr>
          <w:rFonts w:ascii="Times New Roman" w:hAnsi="Times New Roman" w:cs="Times New Roman"/>
          <w:kern w:val="2"/>
          <w:sz w:val="28"/>
          <w:szCs w:val="28"/>
          <w:lang w:eastAsia="zh-CN"/>
        </w:rPr>
      </w:pPr>
      <w:r>
        <w:fldChar w:fldCharType="begin"/>
      </w:r>
      <w:r>
        <w:instrText xml:space="preserve"> HYPERLINK \l "_Toc119927462" </w:instrText>
      </w:r>
      <w:r>
        <w:fldChar w:fldCharType="separate"/>
      </w:r>
      <w:r>
        <w:rPr>
          <w:rStyle w:val="15"/>
          <w:rFonts w:ascii="Times New Roman" w:hAnsi="Times New Roman" w:cs="Times New Roman"/>
          <w:sz w:val="28"/>
          <w:szCs w:val="28"/>
          <w:lang w:eastAsia="zh-CN"/>
        </w:rPr>
        <w:t>五、主要生态环境保护措施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_Toc119927462 \h </w:instrText>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491AB1A">
      <w:pPr>
        <w:pStyle w:val="9"/>
        <w:tabs>
          <w:tab w:val="right" w:leader="dot" w:pos="9635"/>
        </w:tabs>
        <w:spacing w:line="360" w:lineRule="auto"/>
        <w:rPr>
          <w:rFonts w:ascii="Times New Roman" w:hAnsi="Times New Roman" w:cs="Times New Roman"/>
          <w:kern w:val="2"/>
          <w:sz w:val="28"/>
          <w:szCs w:val="28"/>
          <w:lang w:eastAsia="zh-CN"/>
        </w:rPr>
      </w:pPr>
      <w:r>
        <w:fldChar w:fldCharType="begin"/>
      </w:r>
      <w:r>
        <w:instrText xml:space="preserve"> HYPERLINK \l "_Toc119927463" </w:instrText>
      </w:r>
      <w:r>
        <w:fldChar w:fldCharType="separate"/>
      </w:r>
      <w:r>
        <w:rPr>
          <w:rStyle w:val="15"/>
          <w:rFonts w:ascii="Times New Roman" w:hAnsi="Times New Roman" w:cs="Times New Roman"/>
          <w:sz w:val="28"/>
          <w:szCs w:val="28"/>
          <w:lang w:eastAsia="zh-CN"/>
        </w:rPr>
        <w:t>六、生态环境保护措施监督检查清单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_Toc119927463 \h </w:instrText>
      </w:r>
      <w:r>
        <w:rPr>
          <w:rFonts w:ascii="Times New Roman" w:hAnsi="Times New Roman" w:cs="Times New Roman"/>
          <w:sz w:val="28"/>
          <w:szCs w:val="28"/>
        </w:rPr>
        <w:fldChar w:fldCharType="separate"/>
      </w:r>
      <w:r>
        <w:rPr>
          <w:rFonts w:ascii="Times New Roman" w:hAnsi="Times New Roman" w:cs="Times New Roman"/>
          <w:sz w:val="28"/>
          <w:szCs w:val="28"/>
        </w:rPr>
        <w:t>104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35DDB96">
      <w:pPr>
        <w:pStyle w:val="9"/>
        <w:tabs>
          <w:tab w:val="right" w:leader="dot" w:pos="9635"/>
        </w:tabs>
        <w:spacing w:line="360" w:lineRule="auto"/>
        <w:rPr>
          <w:rFonts w:ascii="Times New Roman" w:hAnsi="Times New Roman" w:cs="Times New Roman"/>
          <w:kern w:val="2"/>
          <w:sz w:val="28"/>
          <w:szCs w:val="28"/>
          <w:lang w:eastAsia="zh-CN"/>
        </w:rPr>
      </w:pPr>
      <w:r>
        <w:fldChar w:fldCharType="begin"/>
      </w:r>
      <w:r>
        <w:instrText xml:space="preserve"> HYPERLINK \l "_Toc119927464" </w:instrText>
      </w:r>
      <w:r>
        <w:fldChar w:fldCharType="separate"/>
      </w:r>
      <w:r>
        <w:rPr>
          <w:rStyle w:val="15"/>
          <w:rFonts w:ascii="Times New Roman" w:hAnsi="Times New Roman" w:cs="Times New Roman"/>
          <w:sz w:val="28"/>
          <w:szCs w:val="28"/>
          <w:lang w:eastAsia="zh-CN"/>
        </w:rPr>
        <w:t>七、结论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_Toc119927464 \h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2BDECD8">
      <w:pPr>
        <w:jc w:val="center"/>
        <w:rPr>
          <w:rFonts w:ascii="Times New Roman" w:hAnsi="Times New Roman" w:eastAsia="微软雅黑" w:cs="Times New Roman"/>
          <w:sz w:val="36"/>
          <w:lang w:eastAsia="zh-CN"/>
        </w:rPr>
      </w:pPr>
      <w:r>
        <w:rPr>
          <w:rFonts w:ascii="Times New Roman" w:hAnsi="Times New Roman" w:eastAsia="微软雅黑" w:cs="Times New Roman"/>
          <w:sz w:val="36"/>
          <w:lang w:eastAsia="zh-CN"/>
        </w:rPr>
        <w:fldChar w:fldCharType="end"/>
      </w:r>
    </w:p>
    <w:p w14:paraId="7B341546">
      <w:pPr>
        <w:jc w:val="center"/>
        <w:rPr>
          <w:rFonts w:ascii="Times New Roman" w:hAnsi="Times New Roman" w:eastAsia="微软雅黑" w:cs="Times New Roman"/>
          <w:sz w:val="36"/>
          <w:lang w:eastAsia="zh-CN"/>
        </w:rPr>
      </w:pPr>
    </w:p>
    <w:p w14:paraId="79EF4810">
      <w:pPr>
        <w:jc w:val="center"/>
        <w:rPr>
          <w:rFonts w:ascii="Times New Roman" w:hAnsi="Times New Roman" w:eastAsia="微软雅黑" w:cs="Times New Roman"/>
          <w:sz w:val="36"/>
          <w:lang w:eastAsia="zh-CN"/>
        </w:rPr>
        <w:sectPr>
          <w:pgSz w:w="11913" w:h="16840"/>
          <w:pgMar w:top="1134" w:right="1134" w:bottom="1134" w:left="1134" w:header="0" w:footer="1043" w:gutter="0"/>
          <w:cols w:space="720" w:num="1"/>
          <w:titlePg/>
          <w:docGrid w:linePitch="299" w:charSpace="0"/>
        </w:sectPr>
      </w:pPr>
    </w:p>
    <w:p w14:paraId="47F791BD">
      <w:pPr>
        <w:pStyle w:val="2"/>
        <w:ind w:left="0"/>
        <w:jc w:val="center"/>
        <w:rPr>
          <w:rFonts w:ascii="黑体" w:hAnsi="黑体" w:eastAsia="黑体" w:cs="Times New Roman"/>
          <w:b/>
          <w:bCs/>
          <w:lang w:eastAsia="zh-CN"/>
        </w:rPr>
      </w:pPr>
      <w:bookmarkStart w:id="0" w:name="_Toc119927458"/>
      <w:r>
        <w:rPr>
          <w:rFonts w:ascii="黑体" w:hAnsi="黑体" w:eastAsia="黑体" w:cs="Times New Roman"/>
          <w:b/>
          <w:bCs/>
          <w:lang w:eastAsia="zh-CN"/>
        </w:rPr>
        <w:t>一、建设项目基本情况</w:t>
      </w:r>
      <w:bookmarkEnd w:id="0"/>
    </w:p>
    <w:tbl>
      <w:tblPr>
        <w:tblStyle w:val="16"/>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379"/>
        <w:gridCol w:w="2180"/>
        <w:gridCol w:w="2250"/>
        <w:gridCol w:w="2846"/>
      </w:tblGrid>
      <w:tr w14:paraId="2A414C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232" w:type="pct"/>
            <w:tcBorders>
              <w:bottom w:val="single" w:color="000000" w:sz="4" w:space="0"/>
              <w:right w:val="single" w:color="000000" w:sz="4" w:space="0"/>
            </w:tcBorders>
            <w:vAlign w:val="center"/>
          </w:tcPr>
          <w:p w14:paraId="7F9EDC1E">
            <w:pPr>
              <w:pStyle w:val="18"/>
              <w:ind w:right="142"/>
              <w:jc w:val="center"/>
              <w:rPr>
                <w:rFonts w:ascii="Times New Roman" w:hAnsi="Times New Roman" w:cs="Times New Roman"/>
                <w:b/>
                <w:bCs/>
                <w:sz w:val="24"/>
                <w:szCs w:val="24"/>
              </w:rPr>
            </w:pPr>
            <w:r>
              <w:rPr>
                <w:rFonts w:ascii="Times New Roman" w:hAnsi="Times New Roman" w:cs="Times New Roman"/>
                <w:b/>
                <w:bCs/>
                <w:sz w:val="24"/>
                <w:szCs w:val="24"/>
              </w:rPr>
              <w:t>建设项目名称</w:t>
            </w:r>
          </w:p>
        </w:tc>
        <w:tc>
          <w:tcPr>
            <w:tcW w:w="3768" w:type="pct"/>
            <w:gridSpan w:val="3"/>
            <w:tcBorders>
              <w:left w:val="single" w:color="000000" w:sz="4" w:space="0"/>
              <w:bottom w:val="single" w:color="000000" w:sz="4" w:space="0"/>
            </w:tcBorders>
            <w:vAlign w:val="center"/>
          </w:tcPr>
          <w:p w14:paraId="0C6F70A6">
            <w:pPr>
              <w:pStyle w:val="18"/>
              <w:ind w:right="142"/>
              <w:jc w:val="center"/>
              <w:rPr>
                <w:rFonts w:ascii="Times New Roman" w:hAnsi="Times New Roman" w:cs="Times New Roman"/>
                <w:sz w:val="24"/>
                <w:szCs w:val="24"/>
                <w:lang w:eastAsia="zh-CN"/>
              </w:rPr>
            </w:pPr>
            <w:r>
              <w:rPr>
                <w:rFonts w:ascii="Times New Roman" w:hAnsi="Times New Roman" w:cs="Times New Roman"/>
                <w:sz w:val="24"/>
                <w:szCs w:val="24"/>
                <w:lang w:eastAsia="zh-CN"/>
              </w:rPr>
              <w:t>S239线五彩湾至吉木萨尔县公路改扩建项目</w:t>
            </w:r>
          </w:p>
        </w:tc>
      </w:tr>
      <w:tr w14:paraId="696CC6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232" w:type="pct"/>
            <w:tcBorders>
              <w:top w:val="single" w:color="000000" w:sz="4" w:space="0"/>
              <w:bottom w:val="single" w:color="000000" w:sz="4" w:space="0"/>
              <w:right w:val="single" w:color="000000" w:sz="4" w:space="0"/>
            </w:tcBorders>
            <w:vAlign w:val="center"/>
          </w:tcPr>
          <w:p w14:paraId="26255212">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项目代码</w:t>
            </w:r>
          </w:p>
        </w:tc>
        <w:tc>
          <w:tcPr>
            <w:tcW w:w="3768" w:type="pct"/>
            <w:gridSpan w:val="3"/>
            <w:tcBorders>
              <w:top w:val="single" w:color="000000" w:sz="4" w:space="0"/>
              <w:left w:val="single" w:color="000000" w:sz="4" w:space="0"/>
              <w:bottom w:val="single" w:color="000000" w:sz="4" w:space="0"/>
            </w:tcBorders>
            <w:vAlign w:val="center"/>
          </w:tcPr>
          <w:p w14:paraId="00CA3C02">
            <w:pPr>
              <w:pStyle w:val="18"/>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2</w:t>
            </w:r>
            <w:r>
              <w:rPr>
                <w:rFonts w:ascii="Times New Roman" w:hAnsi="Times New Roman" w:cs="Times New Roman"/>
                <w:sz w:val="24"/>
                <w:szCs w:val="24"/>
                <w:lang w:eastAsia="zh-CN"/>
              </w:rPr>
              <w:t>311-652327-18-01-504804</w:t>
            </w:r>
          </w:p>
        </w:tc>
      </w:tr>
      <w:tr w14:paraId="0E3D00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232" w:type="pct"/>
            <w:tcBorders>
              <w:top w:val="single" w:color="000000" w:sz="4" w:space="0"/>
              <w:bottom w:val="single" w:color="000000" w:sz="4" w:space="0"/>
              <w:right w:val="single" w:color="000000" w:sz="4" w:space="0"/>
            </w:tcBorders>
            <w:vAlign w:val="center"/>
          </w:tcPr>
          <w:p w14:paraId="0D056286">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建设单位联系人</w:t>
            </w:r>
          </w:p>
        </w:tc>
        <w:tc>
          <w:tcPr>
            <w:tcW w:w="1129" w:type="pct"/>
            <w:tcBorders>
              <w:top w:val="single" w:color="000000" w:sz="4" w:space="0"/>
              <w:left w:val="single" w:color="000000" w:sz="4" w:space="0"/>
              <w:bottom w:val="single" w:color="000000" w:sz="4" w:space="0"/>
              <w:right w:val="single" w:color="000000" w:sz="4" w:space="0"/>
            </w:tcBorders>
            <w:vAlign w:val="center"/>
          </w:tcPr>
          <w:p w14:paraId="22A17796">
            <w:pPr>
              <w:pStyle w:val="18"/>
              <w:ind w:right="144"/>
              <w:jc w:val="center"/>
              <w:rPr>
                <w:rFonts w:ascii="Times New Roman" w:hAnsi="Times New Roman" w:cs="Times New Roman"/>
                <w:sz w:val="24"/>
                <w:szCs w:val="24"/>
                <w:lang w:eastAsia="zh-CN"/>
              </w:rPr>
            </w:pPr>
          </w:p>
        </w:tc>
        <w:tc>
          <w:tcPr>
            <w:tcW w:w="1165" w:type="pct"/>
            <w:tcBorders>
              <w:top w:val="single" w:color="000000" w:sz="4" w:space="0"/>
              <w:left w:val="single" w:color="000000" w:sz="4" w:space="0"/>
              <w:bottom w:val="single" w:color="000000" w:sz="4" w:space="0"/>
              <w:right w:val="single" w:color="000000" w:sz="4" w:space="0"/>
            </w:tcBorders>
            <w:vAlign w:val="center"/>
          </w:tcPr>
          <w:p w14:paraId="27758538">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联系方式</w:t>
            </w:r>
          </w:p>
        </w:tc>
        <w:tc>
          <w:tcPr>
            <w:tcW w:w="1475" w:type="pct"/>
            <w:tcBorders>
              <w:top w:val="single" w:color="000000" w:sz="4" w:space="0"/>
              <w:left w:val="single" w:color="000000" w:sz="4" w:space="0"/>
              <w:bottom w:val="single" w:color="000000" w:sz="4" w:space="0"/>
            </w:tcBorders>
            <w:vAlign w:val="center"/>
          </w:tcPr>
          <w:p w14:paraId="62847302">
            <w:pPr>
              <w:jc w:val="center"/>
              <w:rPr>
                <w:rFonts w:ascii="Times New Roman" w:hAnsi="Times New Roman" w:cs="Times New Roman"/>
                <w:sz w:val="24"/>
                <w:szCs w:val="24"/>
                <w:lang w:eastAsia="zh-CN"/>
              </w:rPr>
            </w:pPr>
          </w:p>
        </w:tc>
      </w:tr>
      <w:tr w14:paraId="0D4CCA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232" w:type="pct"/>
            <w:tcBorders>
              <w:top w:val="single" w:color="000000" w:sz="4" w:space="0"/>
              <w:bottom w:val="single" w:color="000000" w:sz="4" w:space="0"/>
              <w:right w:val="single" w:color="000000" w:sz="4" w:space="0"/>
            </w:tcBorders>
            <w:vAlign w:val="center"/>
          </w:tcPr>
          <w:p w14:paraId="554424E3">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建设地点</w:t>
            </w:r>
          </w:p>
        </w:tc>
        <w:tc>
          <w:tcPr>
            <w:tcW w:w="3768" w:type="pct"/>
            <w:gridSpan w:val="3"/>
            <w:tcBorders>
              <w:top w:val="single" w:color="000000" w:sz="4" w:space="0"/>
              <w:left w:val="single" w:color="000000" w:sz="4" w:space="0"/>
              <w:bottom w:val="single" w:color="000000" w:sz="4" w:space="0"/>
            </w:tcBorders>
            <w:vAlign w:val="center"/>
          </w:tcPr>
          <w:p w14:paraId="3247F347">
            <w:pPr>
              <w:pStyle w:val="18"/>
              <w:ind w:left="38"/>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位于准东经济技术开发区、第六师红旗农场和吉木萨尔县，</w:t>
            </w:r>
            <w:r>
              <w:rPr>
                <w:rFonts w:ascii="Times New Roman" w:hAnsi="Times New Roman" w:cs="Times New Roman"/>
                <w:sz w:val="24"/>
                <w:szCs w:val="24"/>
                <w:lang w:eastAsia="zh-CN"/>
              </w:rPr>
              <w:t>S239线</w:t>
            </w:r>
            <w:r>
              <w:rPr>
                <w:rFonts w:hint="eastAsia" w:ascii="Times New Roman" w:hAnsi="Times New Roman" w:cs="Times New Roman"/>
                <w:sz w:val="24"/>
                <w:szCs w:val="24"/>
                <w:lang w:eastAsia="zh-CN"/>
              </w:rPr>
              <w:t>k</w:t>
            </w:r>
            <w:r>
              <w:rPr>
                <w:rFonts w:ascii="Times New Roman" w:hAnsi="Times New Roman" w:cs="Times New Roman"/>
                <w:sz w:val="24"/>
                <w:szCs w:val="24"/>
                <w:lang w:eastAsia="zh-CN"/>
              </w:rPr>
              <w:t>37+060</w:t>
            </w:r>
            <w:r>
              <w:rPr>
                <w:rFonts w:hint="eastAsia" w:ascii="Times New Roman" w:hAnsi="Times New Roman" w:cs="Times New Roman"/>
                <w:sz w:val="24"/>
                <w:szCs w:val="24"/>
                <w:lang w:eastAsia="zh-CN"/>
              </w:rPr>
              <w:t>与S</w:t>
            </w:r>
            <w:r>
              <w:rPr>
                <w:rFonts w:ascii="Times New Roman" w:hAnsi="Times New Roman" w:cs="Times New Roman"/>
                <w:sz w:val="24"/>
                <w:szCs w:val="24"/>
                <w:lang w:eastAsia="zh-CN"/>
              </w:rPr>
              <w:t>327</w:t>
            </w:r>
            <w:r>
              <w:rPr>
                <w:rFonts w:hint="eastAsia" w:ascii="Times New Roman" w:hAnsi="Times New Roman" w:cs="Times New Roman"/>
                <w:sz w:val="24"/>
                <w:szCs w:val="24"/>
                <w:lang w:eastAsia="zh-CN"/>
              </w:rPr>
              <w:t>线k</w:t>
            </w:r>
            <w:r>
              <w:rPr>
                <w:rFonts w:ascii="Times New Roman" w:hAnsi="Times New Roman" w:cs="Times New Roman"/>
                <w:sz w:val="24"/>
                <w:szCs w:val="24"/>
                <w:lang w:eastAsia="zh-CN"/>
              </w:rPr>
              <w:t>23+500</w:t>
            </w:r>
            <w:r>
              <w:rPr>
                <w:rFonts w:hint="eastAsia" w:ascii="Times New Roman" w:hAnsi="Times New Roman" w:cs="Times New Roman"/>
                <w:sz w:val="24"/>
                <w:szCs w:val="24"/>
                <w:lang w:eastAsia="zh-CN"/>
              </w:rPr>
              <w:t>交叉处</w:t>
            </w:r>
            <w:r>
              <w:rPr>
                <w:rFonts w:ascii="Times New Roman" w:hAnsi="Times New Roman" w:cs="Times New Roman"/>
                <w:sz w:val="24"/>
                <w:szCs w:val="24"/>
                <w:lang w:eastAsia="zh-CN"/>
              </w:rPr>
              <w:t>至G7</w:t>
            </w:r>
            <w:r>
              <w:rPr>
                <w:rFonts w:hint="eastAsia" w:ascii="Times New Roman" w:hAnsi="Times New Roman" w:cs="Times New Roman"/>
                <w:sz w:val="24"/>
                <w:szCs w:val="24"/>
                <w:lang w:eastAsia="zh-CN"/>
              </w:rPr>
              <w:t>京新高速泉子街互通连接交叉处之间路段</w:t>
            </w:r>
          </w:p>
        </w:tc>
      </w:tr>
      <w:tr w14:paraId="6C1DF4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232" w:type="pct"/>
            <w:tcBorders>
              <w:top w:val="single" w:color="000000" w:sz="4" w:space="0"/>
              <w:bottom w:val="single" w:color="000000" w:sz="4" w:space="0"/>
              <w:right w:val="single" w:color="000000" w:sz="4" w:space="0"/>
            </w:tcBorders>
            <w:vAlign w:val="center"/>
          </w:tcPr>
          <w:p w14:paraId="55FAC2B2">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地理坐标</w:t>
            </w:r>
          </w:p>
        </w:tc>
        <w:tc>
          <w:tcPr>
            <w:tcW w:w="3768" w:type="pct"/>
            <w:gridSpan w:val="3"/>
            <w:tcBorders>
              <w:top w:val="single" w:color="000000" w:sz="4" w:space="0"/>
              <w:left w:val="single" w:color="000000" w:sz="4" w:space="0"/>
              <w:bottom w:val="single" w:color="000000" w:sz="4" w:space="0"/>
            </w:tcBorders>
            <w:vAlign w:val="center"/>
          </w:tcPr>
          <w:p w14:paraId="100BF9C3">
            <w:pPr>
              <w:pStyle w:val="18"/>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起点坐标：</w:t>
            </w:r>
          </w:p>
          <w:p w14:paraId="3679722D">
            <w:pPr>
              <w:pStyle w:val="18"/>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终点坐标：</w:t>
            </w:r>
          </w:p>
        </w:tc>
      </w:tr>
      <w:tr w14:paraId="6BA9D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trPr>
        <w:tc>
          <w:tcPr>
            <w:tcW w:w="1232" w:type="pct"/>
            <w:tcBorders>
              <w:top w:val="single" w:color="000000" w:sz="4" w:space="0"/>
              <w:bottom w:val="single" w:color="000000" w:sz="4" w:space="0"/>
              <w:right w:val="single" w:color="000000" w:sz="4" w:space="0"/>
            </w:tcBorders>
            <w:vAlign w:val="center"/>
          </w:tcPr>
          <w:p w14:paraId="544CD3DF">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建设项目行业类别</w:t>
            </w:r>
          </w:p>
        </w:tc>
        <w:tc>
          <w:tcPr>
            <w:tcW w:w="1129" w:type="pct"/>
            <w:tcBorders>
              <w:top w:val="single" w:color="000000" w:sz="4" w:space="0"/>
              <w:left w:val="single" w:color="000000" w:sz="4" w:space="0"/>
              <w:bottom w:val="single" w:color="000000" w:sz="4" w:space="0"/>
              <w:right w:val="single" w:color="000000" w:sz="4" w:space="0"/>
            </w:tcBorders>
          </w:tcPr>
          <w:p w14:paraId="2268E7F5">
            <w:pPr>
              <w:jc w:val="both"/>
              <w:rPr>
                <w:rFonts w:ascii="Times New Roman" w:hAnsi="Times New Roman" w:cs="Times New Roman"/>
                <w:sz w:val="24"/>
                <w:szCs w:val="24"/>
                <w:lang w:eastAsia="zh-CN"/>
              </w:rPr>
            </w:pPr>
            <w:r>
              <w:rPr>
                <w:rFonts w:ascii="Times New Roman" w:hAnsi="Times New Roman" w:cs="Times New Roman"/>
                <w:sz w:val="24"/>
                <w:szCs w:val="24"/>
                <w:lang w:eastAsia="zh-CN"/>
              </w:rPr>
              <w:t>五十</w:t>
            </w:r>
            <w:r>
              <w:rPr>
                <w:rFonts w:hint="eastAsia" w:ascii="Times New Roman" w:hAnsi="Times New Roman" w:cs="Times New Roman"/>
                <w:sz w:val="24"/>
                <w:szCs w:val="24"/>
                <w:lang w:eastAsia="zh-CN"/>
              </w:rPr>
              <w:t>二</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交通运输业、管道运输业</w:t>
            </w:r>
            <w:r>
              <w:rPr>
                <w:rFonts w:ascii="Times New Roman" w:hAnsi="Times New Roman" w:cs="Times New Roman"/>
                <w:sz w:val="24"/>
                <w:szCs w:val="24"/>
                <w:lang w:eastAsia="zh-CN"/>
              </w:rPr>
              <w:t>—130</w:t>
            </w:r>
            <w:r>
              <w:rPr>
                <w:rFonts w:hint="eastAsia" w:ascii="Times New Roman" w:hAnsi="Times New Roman" w:cs="Times New Roman"/>
                <w:sz w:val="24"/>
                <w:szCs w:val="24"/>
                <w:lang w:eastAsia="zh-CN"/>
              </w:rPr>
              <w:t>等级公路—其他</w:t>
            </w:r>
          </w:p>
        </w:tc>
        <w:tc>
          <w:tcPr>
            <w:tcW w:w="1165" w:type="pct"/>
            <w:tcBorders>
              <w:top w:val="single" w:color="000000" w:sz="4" w:space="0"/>
              <w:left w:val="single" w:color="000000" w:sz="4" w:space="0"/>
              <w:bottom w:val="single" w:color="000000" w:sz="4" w:space="0"/>
              <w:right w:val="single" w:color="000000" w:sz="4" w:space="0"/>
            </w:tcBorders>
            <w:vAlign w:val="center"/>
          </w:tcPr>
          <w:p w14:paraId="2D976298">
            <w:pPr>
              <w:pStyle w:val="18"/>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用地（用海）面积（m</w:t>
            </w:r>
            <w:r>
              <w:rPr>
                <w:rFonts w:ascii="Times New Roman" w:hAnsi="Times New Roman" w:cs="Times New Roman"/>
                <w:b/>
                <w:bCs/>
                <w:position w:val="11"/>
                <w:sz w:val="24"/>
                <w:szCs w:val="24"/>
                <w:lang w:eastAsia="zh-CN"/>
              </w:rPr>
              <w:t>2</w:t>
            </w:r>
            <w:r>
              <w:rPr>
                <w:rFonts w:ascii="Times New Roman" w:hAnsi="Times New Roman" w:cs="Times New Roman"/>
                <w:b/>
                <w:bCs/>
                <w:sz w:val="24"/>
                <w:szCs w:val="24"/>
                <w:lang w:eastAsia="zh-CN"/>
              </w:rPr>
              <w:t>）/长度（km）</w:t>
            </w:r>
          </w:p>
        </w:tc>
        <w:tc>
          <w:tcPr>
            <w:tcW w:w="1475" w:type="pct"/>
            <w:tcBorders>
              <w:top w:val="single" w:color="000000" w:sz="4" w:space="0"/>
              <w:left w:val="single" w:color="000000" w:sz="4" w:space="0"/>
              <w:bottom w:val="single" w:color="000000" w:sz="4" w:space="0"/>
            </w:tcBorders>
            <w:vAlign w:val="center"/>
          </w:tcPr>
          <w:p w14:paraId="23AE2ABA">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564.3831</w:t>
            </w:r>
            <w:r>
              <w:rPr>
                <w:rFonts w:hint="eastAsia" w:ascii="Times New Roman" w:hAnsi="Times New Roman" w:cs="Times New Roman"/>
                <w:sz w:val="24"/>
                <w:szCs w:val="24"/>
                <w:lang w:eastAsia="zh-CN"/>
              </w:rPr>
              <w:t>h</w:t>
            </w:r>
            <w:r>
              <w:rPr>
                <w:rFonts w:ascii="Times New Roman" w:hAnsi="Times New Roman" w:cs="Times New Roman"/>
                <w:sz w:val="24"/>
                <w:szCs w:val="24"/>
                <w:lang w:eastAsia="zh-CN"/>
              </w:rPr>
              <w:t>m²/89.14km</w:t>
            </w:r>
          </w:p>
        </w:tc>
      </w:tr>
      <w:tr w14:paraId="630D64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1" w:hRule="atLeast"/>
        </w:trPr>
        <w:tc>
          <w:tcPr>
            <w:tcW w:w="1232" w:type="pct"/>
            <w:tcBorders>
              <w:top w:val="single" w:color="000000" w:sz="4" w:space="0"/>
              <w:bottom w:val="single" w:color="000000" w:sz="4" w:space="0"/>
              <w:right w:val="single" w:color="000000" w:sz="4" w:space="0"/>
            </w:tcBorders>
            <w:vAlign w:val="center"/>
          </w:tcPr>
          <w:p w14:paraId="6E75D27C">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建设性质</w:t>
            </w:r>
          </w:p>
        </w:tc>
        <w:tc>
          <w:tcPr>
            <w:tcW w:w="1129" w:type="pct"/>
            <w:tcBorders>
              <w:top w:val="single" w:color="000000" w:sz="4" w:space="0"/>
              <w:left w:val="single" w:color="000000" w:sz="4" w:space="0"/>
              <w:bottom w:val="single" w:color="000000" w:sz="4" w:space="0"/>
              <w:right w:val="single" w:color="000000" w:sz="4" w:space="0"/>
            </w:tcBorders>
          </w:tcPr>
          <w:p w14:paraId="3918CEC4">
            <w:pPr>
              <w:pStyle w:val="18"/>
              <w:spacing w:line="255" w:lineRule="exact"/>
              <w:ind w:left="-1"/>
              <w:rPr>
                <w:rFonts w:ascii="Times New Roman" w:hAnsi="Times New Roman" w:cs="Times New Roman"/>
                <w:sz w:val="24"/>
                <w:szCs w:val="24"/>
                <w:lang w:eastAsia="zh-CN"/>
              </w:rPr>
            </w:pPr>
            <w:r>
              <w:rPr>
                <w:rFonts w:ascii="Times New Roman" w:hAnsi="Times New Roman" w:cs="Times New Roman"/>
                <w:sz w:val="24"/>
                <w:szCs w:val="24"/>
                <w:lang w:eastAsia="zh-CN"/>
              </w:rPr>
              <w:t>□  新建（迁建）</w:t>
            </w:r>
          </w:p>
          <w:p w14:paraId="07C10874">
            <w:pPr>
              <w:pStyle w:val="18"/>
              <w:spacing w:line="272" w:lineRule="exact"/>
              <w:ind w:left="-1"/>
              <w:rPr>
                <w:rFonts w:ascii="Times New Roman" w:hAnsi="Times New Roman" w:cs="Times New Roman"/>
                <w:sz w:val="24"/>
                <w:szCs w:val="24"/>
                <w:lang w:eastAsia="zh-CN"/>
              </w:rPr>
            </w:pPr>
            <w:r>
              <w:rPr>
                <w:rFonts w:ascii="Times New Roman" w:hAnsi="Times New Roman" w:cs="Times New Roman"/>
                <w:sz w:val="24"/>
                <w:szCs w:val="24"/>
                <w:lang w:eastAsia="zh-CN"/>
              </w:rPr>
              <w:t>√  改建</w:t>
            </w:r>
          </w:p>
          <w:p w14:paraId="136DF60D">
            <w:pPr>
              <w:pStyle w:val="18"/>
              <w:spacing w:line="272" w:lineRule="exact"/>
              <w:ind w:left="-1"/>
              <w:rPr>
                <w:rFonts w:ascii="Times New Roman" w:hAnsi="Times New Roman" w:cs="Times New Roman"/>
                <w:sz w:val="24"/>
                <w:szCs w:val="24"/>
                <w:lang w:eastAsia="zh-CN"/>
              </w:rPr>
            </w:pPr>
            <w:r>
              <w:rPr>
                <w:rFonts w:ascii="Times New Roman" w:hAnsi="Times New Roman" w:cs="Times New Roman"/>
                <w:sz w:val="24"/>
                <w:szCs w:val="24"/>
                <w:lang w:eastAsia="zh-CN"/>
              </w:rPr>
              <w:t>√  扩建</w:t>
            </w:r>
          </w:p>
          <w:p w14:paraId="7C851521">
            <w:pPr>
              <w:pStyle w:val="18"/>
              <w:spacing w:line="274" w:lineRule="exact"/>
              <w:ind w:left="-1"/>
              <w:rPr>
                <w:rFonts w:ascii="Times New Roman" w:hAnsi="Times New Roman" w:cs="Times New Roman"/>
                <w:sz w:val="24"/>
                <w:szCs w:val="24"/>
                <w:lang w:eastAsia="zh-CN"/>
              </w:rPr>
            </w:pPr>
            <w:r>
              <w:rPr>
                <w:rFonts w:ascii="Times New Roman" w:hAnsi="Times New Roman" w:cs="Times New Roman"/>
                <w:sz w:val="24"/>
                <w:szCs w:val="24"/>
                <w:lang w:eastAsia="zh-CN"/>
              </w:rPr>
              <w:t>□  技术改造</w:t>
            </w:r>
          </w:p>
        </w:tc>
        <w:tc>
          <w:tcPr>
            <w:tcW w:w="1165" w:type="pct"/>
            <w:tcBorders>
              <w:top w:val="single" w:color="000000" w:sz="4" w:space="0"/>
              <w:left w:val="single" w:color="000000" w:sz="4" w:space="0"/>
              <w:bottom w:val="single" w:color="000000" w:sz="4" w:space="0"/>
              <w:right w:val="single" w:color="000000" w:sz="4" w:space="0"/>
            </w:tcBorders>
            <w:vAlign w:val="center"/>
          </w:tcPr>
          <w:p w14:paraId="18888CF9">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建设项目申报情形</w:t>
            </w:r>
          </w:p>
        </w:tc>
        <w:tc>
          <w:tcPr>
            <w:tcW w:w="1475" w:type="pct"/>
            <w:tcBorders>
              <w:top w:val="single" w:color="000000" w:sz="4" w:space="0"/>
              <w:left w:val="single" w:color="000000" w:sz="4" w:space="0"/>
              <w:bottom w:val="single" w:color="000000" w:sz="4" w:space="0"/>
            </w:tcBorders>
          </w:tcPr>
          <w:p w14:paraId="4994FB35">
            <w:pPr>
              <w:pStyle w:val="18"/>
              <w:spacing w:line="255" w:lineRule="exact"/>
              <w:ind w:left="-5"/>
              <w:rPr>
                <w:rFonts w:ascii="Times New Roman" w:hAnsi="Times New Roman" w:cs="Times New Roman"/>
                <w:sz w:val="24"/>
                <w:szCs w:val="24"/>
                <w:lang w:eastAsia="zh-CN"/>
              </w:rPr>
            </w:pPr>
            <w:r>
              <w:rPr>
                <w:rFonts w:ascii="Times New Roman" w:hAnsi="Times New Roman" w:cs="Times New Roman"/>
                <w:sz w:val="24"/>
                <w:szCs w:val="24"/>
                <w:lang w:eastAsia="zh-CN"/>
              </w:rPr>
              <w:t>□首次申报项目</w:t>
            </w:r>
          </w:p>
          <w:p w14:paraId="7375F66B">
            <w:pPr>
              <w:pStyle w:val="18"/>
              <w:spacing w:line="272" w:lineRule="exact"/>
              <w:ind w:left="-5"/>
              <w:rPr>
                <w:rFonts w:ascii="Times New Roman" w:hAnsi="Times New Roman" w:cs="Times New Roman"/>
                <w:sz w:val="24"/>
                <w:szCs w:val="24"/>
                <w:lang w:eastAsia="zh-CN"/>
              </w:rPr>
            </w:pPr>
            <w:r>
              <w:rPr>
                <w:rFonts w:ascii="Times New Roman" w:hAnsi="Times New Roman" w:cs="Times New Roman"/>
                <w:sz w:val="24"/>
                <w:szCs w:val="24"/>
                <w:lang w:eastAsia="zh-CN"/>
              </w:rPr>
              <w:t>□不予批准后再次申报项目</w:t>
            </w:r>
          </w:p>
          <w:p w14:paraId="0F7B62BB">
            <w:pPr>
              <w:pStyle w:val="18"/>
              <w:spacing w:line="272" w:lineRule="exact"/>
              <w:ind w:left="-5"/>
              <w:rPr>
                <w:rFonts w:ascii="Times New Roman" w:hAnsi="Times New Roman" w:cs="Times New Roman"/>
                <w:sz w:val="24"/>
                <w:szCs w:val="24"/>
                <w:lang w:eastAsia="zh-CN"/>
              </w:rPr>
            </w:pPr>
            <w:r>
              <w:rPr>
                <w:rFonts w:ascii="Times New Roman" w:hAnsi="Times New Roman" w:cs="Times New Roman"/>
                <w:sz w:val="24"/>
                <w:szCs w:val="24"/>
                <w:lang w:eastAsia="zh-CN"/>
              </w:rPr>
              <w:t>√超五年重新审核项目</w:t>
            </w:r>
          </w:p>
          <w:p w14:paraId="0B875D27">
            <w:pPr>
              <w:pStyle w:val="18"/>
              <w:spacing w:line="274" w:lineRule="exact"/>
              <w:ind w:left="-5"/>
              <w:rPr>
                <w:rFonts w:ascii="Times New Roman" w:hAnsi="Times New Roman" w:cs="Times New Roman"/>
                <w:sz w:val="24"/>
                <w:szCs w:val="24"/>
                <w:lang w:eastAsia="zh-CN"/>
              </w:rPr>
            </w:pPr>
            <w:r>
              <w:rPr>
                <w:rFonts w:ascii="Times New Roman" w:hAnsi="Times New Roman" w:cs="Times New Roman"/>
                <w:sz w:val="24"/>
                <w:szCs w:val="24"/>
                <w:lang w:eastAsia="zh-CN"/>
              </w:rPr>
              <w:t>□重大变动重新报批项目</w:t>
            </w:r>
          </w:p>
        </w:tc>
      </w:tr>
      <w:tr w14:paraId="41E611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8" w:hRule="atLeast"/>
        </w:trPr>
        <w:tc>
          <w:tcPr>
            <w:tcW w:w="1232" w:type="pct"/>
            <w:tcBorders>
              <w:top w:val="single" w:color="000000" w:sz="4" w:space="0"/>
              <w:bottom w:val="single" w:color="000000" w:sz="4" w:space="0"/>
              <w:right w:val="single" w:color="000000" w:sz="4" w:space="0"/>
            </w:tcBorders>
            <w:vAlign w:val="center"/>
          </w:tcPr>
          <w:p w14:paraId="13C2551B">
            <w:pPr>
              <w:pStyle w:val="18"/>
              <w:ind w:right="126"/>
              <w:jc w:val="center"/>
              <w:rPr>
                <w:rFonts w:ascii="Times New Roman" w:hAnsi="Times New Roman" w:cs="Times New Roman"/>
                <w:b/>
                <w:bCs/>
                <w:sz w:val="24"/>
                <w:szCs w:val="24"/>
                <w:lang w:eastAsia="zh-CN"/>
              </w:rPr>
            </w:pPr>
            <w:r>
              <w:rPr>
                <w:rFonts w:ascii="Times New Roman" w:hAnsi="Times New Roman" w:cs="Times New Roman"/>
                <w:b/>
                <w:bCs/>
                <w:spacing w:val="-1"/>
                <w:sz w:val="24"/>
                <w:szCs w:val="24"/>
                <w:lang w:eastAsia="zh-CN"/>
              </w:rPr>
              <w:t>项目审批</w:t>
            </w:r>
            <w:r>
              <w:rPr>
                <w:rFonts w:ascii="Times New Roman" w:hAnsi="Times New Roman" w:cs="Times New Roman"/>
                <w:b/>
                <w:bCs/>
                <w:spacing w:val="-3"/>
                <w:sz w:val="24"/>
                <w:szCs w:val="24"/>
                <w:lang w:eastAsia="zh-CN"/>
              </w:rPr>
              <w:t>（</w:t>
            </w:r>
            <w:r>
              <w:rPr>
                <w:rFonts w:ascii="Times New Roman" w:hAnsi="Times New Roman" w:cs="Times New Roman"/>
                <w:b/>
                <w:bCs/>
                <w:spacing w:val="-2"/>
                <w:sz w:val="24"/>
                <w:szCs w:val="24"/>
                <w:lang w:eastAsia="zh-CN"/>
              </w:rPr>
              <w:t>核准</w:t>
            </w:r>
            <w:r>
              <w:rPr>
                <w:rFonts w:ascii="Times New Roman" w:hAnsi="Times New Roman" w:cs="Times New Roman"/>
                <w:b/>
                <w:bCs/>
                <w:spacing w:val="-3"/>
                <w:sz w:val="24"/>
                <w:szCs w:val="24"/>
                <w:lang w:eastAsia="zh-CN"/>
              </w:rPr>
              <w:t xml:space="preserve">/ </w:t>
            </w:r>
            <w:r>
              <w:rPr>
                <w:rFonts w:ascii="Times New Roman" w:hAnsi="Times New Roman" w:cs="Times New Roman"/>
                <w:b/>
                <w:bCs/>
                <w:sz w:val="24"/>
                <w:szCs w:val="24"/>
                <w:lang w:eastAsia="zh-CN"/>
              </w:rPr>
              <w:t>备案</w:t>
            </w:r>
            <w:r>
              <w:rPr>
                <w:rFonts w:ascii="Times New Roman" w:hAnsi="Times New Roman" w:cs="Times New Roman"/>
                <w:b/>
                <w:bCs/>
                <w:spacing w:val="-3"/>
                <w:sz w:val="24"/>
                <w:szCs w:val="24"/>
                <w:lang w:eastAsia="zh-CN"/>
              </w:rPr>
              <w:t>）</w:t>
            </w:r>
            <w:r>
              <w:rPr>
                <w:rFonts w:ascii="Times New Roman" w:hAnsi="Times New Roman" w:cs="Times New Roman"/>
                <w:b/>
                <w:bCs/>
                <w:spacing w:val="-2"/>
                <w:sz w:val="24"/>
                <w:szCs w:val="24"/>
                <w:lang w:eastAsia="zh-CN"/>
              </w:rPr>
              <w:t>部门</w:t>
            </w:r>
            <w:r>
              <w:rPr>
                <w:rFonts w:ascii="Times New Roman" w:hAnsi="Times New Roman" w:cs="Times New Roman"/>
                <w:b/>
                <w:bCs/>
                <w:sz w:val="24"/>
                <w:szCs w:val="24"/>
                <w:lang w:eastAsia="zh-CN"/>
              </w:rPr>
              <w:t>（</w:t>
            </w:r>
            <w:r>
              <w:rPr>
                <w:rFonts w:ascii="Times New Roman" w:hAnsi="Times New Roman" w:cs="Times New Roman"/>
                <w:b/>
                <w:bCs/>
                <w:spacing w:val="-2"/>
                <w:sz w:val="24"/>
                <w:szCs w:val="24"/>
                <w:lang w:eastAsia="zh-CN"/>
              </w:rPr>
              <w:t>选填</w:t>
            </w:r>
            <w:r>
              <w:rPr>
                <w:rFonts w:ascii="Times New Roman" w:hAnsi="Times New Roman" w:cs="Times New Roman"/>
                <w:b/>
                <w:bCs/>
                <w:spacing w:val="-3"/>
                <w:sz w:val="24"/>
                <w:szCs w:val="24"/>
                <w:lang w:eastAsia="zh-CN"/>
              </w:rPr>
              <w:t>）</w:t>
            </w:r>
          </w:p>
        </w:tc>
        <w:tc>
          <w:tcPr>
            <w:tcW w:w="1129" w:type="pct"/>
            <w:tcBorders>
              <w:top w:val="single" w:color="000000" w:sz="4" w:space="0"/>
              <w:left w:val="single" w:color="000000" w:sz="4" w:space="0"/>
              <w:bottom w:val="single" w:color="000000" w:sz="4" w:space="0"/>
              <w:right w:val="single" w:color="000000" w:sz="4" w:space="0"/>
            </w:tcBorders>
            <w:vAlign w:val="center"/>
          </w:tcPr>
          <w:p w14:paraId="21479F03">
            <w:pPr>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昌吉回族自治州发展和改革委员会</w:t>
            </w:r>
          </w:p>
        </w:tc>
        <w:tc>
          <w:tcPr>
            <w:tcW w:w="1165" w:type="pct"/>
            <w:tcBorders>
              <w:top w:val="single" w:color="000000" w:sz="4" w:space="0"/>
              <w:left w:val="single" w:color="000000" w:sz="4" w:space="0"/>
              <w:bottom w:val="single" w:color="000000" w:sz="4" w:space="0"/>
              <w:right w:val="single" w:color="000000" w:sz="4" w:space="0"/>
            </w:tcBorders>
            <w:vAlign w:val="center"/>
          </w:tcPr>
          <w:p w14:paraId="53AC0464">
            <w:pPr>
              <w:pStyle w:val="18"/>
              <w:ind w:right="126"/>
              <w:jc w:val="center"/>
              <w:rPr>
                <w:rFonts w:ascii="Times New Roman" w:hAnsi="Times New Roman" w:cs="Times New Roman"/>
                <w:b/>
                <w:bCs/>
                <w:sz w:val="24"/>
                <w:szCs w:val="24"/>
                <w:lang w:eastAsia="zh-CN"/>
              </w:rPr>
            </w:pPr>
            <w:r>
              <w:rPr>
                <w:rFonts w:ascii="Times New Roman" w:hAnsi="Times New Roman" w:cs="Times New Roman"/>
                <w:b/>
                <w:bCs/>
                <w:spacing w:val="-1"/>
                <w:sz w:val="24"/>
                <w:szCs w:val="24"/>
                <w:lang w:eastAsia="zh-CN"/>
              </w:rPr>
              <w:t>项目审批</w:t>
            </w:r>
            <w:r>
              <w:rPr>
                <w:rFonts w:ascii="Times New Roman" w:hAnsi="Times New Roman" w:cs="Times New Roman"/>
                <w:b/>
                <w:bCs/>
                <w:spacing w:val="-3"/>
                <w:sz w:val="24"/>
                <w:szCs w:val="24"/>
                <w:lang w:eastAsia="zh-CN"/>
              </w:rPr>
              <w:t>（</w:t>
            </w:r>
            <w:r>
              <w:rPr>
                <w:rFonts w:ascii="Times New Roman" w:hAnsi="Times New Roman" w:cs="Times New Roman"/>
                <w:b/>
                <w:bCs/>
                <w:spacing w:val="-2"/>
                <w:sz w:val="24"/>
                <w:szCs w:val="24"/>
                <w:lang w:eastAsia="zh-CN"/>
              </w:rPr>
              <w:t>核准</w:t>
            </w:r>
            <w:r>
              <w:rPr>
                <w:rFonts w:ascii="Times New Roman" w:hAnsi="Times New Roman" w:cs="Times New Roman"/>
                <w:b/>
                <w:bCs/>
                <w:spacing w:val="-3"/>
                <w:sz w:val="24"/>
                <w:szCs w:val="24"/>
                <w:lang w:eastAsia="zh-CN"/>
              </w:rPr>
              <w:t xml:space="preserve">/ </w:t>
            </w:r>
            <w:r>
              <w:rPr>
                <w:rFonts w:ascii="Times New Roman" w:hAnsi="Times New Roman" w:cs="Times New Roman"/>
                <w:b/>
                <w:bCs/>
                <w:sz w:val="24"/>
                <w:szCs w:val="24"/>
                <w:lang w:eastAsia="zh-CN"/>
              </w:rPr>
              <w:t>备案</w:t>
            </w:r>
            <w:r>
              <w:rPr>
                <w:rFonts w:ascii="Times New Roman" w:hAnsi="Times New Roman" w:cs="Times New Roman"/>
                <w:b/>
                <w:bCs/>
                <w:spacing w:val="-3"/>
                <w:sz w:val="24"/>
                <w:szCs w:val="24"/>
                <w:lang w:eastAsia="zh-CN"/>
              </w:rPr>
              <w:t>）</w:t>
            </w:r>
            <w:r>
              <w:rPr>
                <w:rFonts w:ascii="Times New Roman" w:hAnsi="Times New Roman" w:cs="Times New Roman"/>
                <w:b/>
                <w:bCs/>
                <w:spacing w:val="-2"/>
                <w:sz w:val="24"/>
                <w:szCs w:val="24"/>
                <w:lang w:eastAsia="zh-CN"/>
              </w:rPr>
              <w:t>文号</w:t>
            </w:r>
            <w:r>
              <w:rPr>
                <w:rFonts w:ascii="Times New Roman" w:hAnsi="Times New Roman" w:cs="Times New Roman"/>
                <w:b/>
                <w:bCs/>
                <w:sz w:val="24"/>
                <w:szCs w:val="24"/>
                <w:lang w:eastAsia="zh-CN"/>
              </w:rPr>
              <w:t>（</w:t>
            </w:r>
            <w:r>
              <w:rPr>
                <w:rFonts w:ascii="Times New Roman" w:hAnsi="Times New Roman" w:cs="Times New Roman"/>
                <w:b/>
                <w:bCs/>
                <w:spacing w:val="-2"/>
                <w:sz w:val="24"/>
                <w:szCs w:val="24"/>
                <w:lang w:eastAsia="zh-CN"/>
              </w:rPr>
              <w:t>选填</w:t>
            </w:r>
            <w:r>
              <w:rPr>
                <w:rFonts w:ascii="Times New Roman" w:hAnsi="Times New Roman" w:cs="Times New Roman"/>
                <w:b/>
                <w:bCs/>
                <w:spacing w:val="-3"/>
                <w:sz w:val="24"/>
                <w:szCs w:val="24"/>
                <w:lang w:eastAsia="zh-CN"/>
              </w:rPr>
              <w:t>）</w:t>
            </w:r>
          </w:p>
        </w:tc>
        <w:tc>
          <w:tcPr>
            <w:tcW w:w="1475" w:type="pct"/>
            <w:tcBorders>
              <w:top w:val="single" w:color="000000" w:sz="4" w:space="0"/>
              <w:left w:val="single" w:color="000000" w:sz="4" w:space="0"/>
              <w:bottom w:val="single" w:color="000000" w:sz="4" w:space="0"/>
            </w:tcBorders>
            <w:vAlign w:val="center"/>
          </w:tcPr>
          <w:p w14:paraId="0931430D">
            <w:pPr>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昌州发改工〔</w:t>
            </w:r>
            <w:r>
              <w:rPr>
                <w:rFonts w:ascii="Times New Roman" w:hAnsi="Times New Roman" w:cs="Times New Roman"/>
                <w:sz w:val="24"/>
                <w:szCs w:val="24"/>
                <w:lang w:eastAsia="zh-CN"/>
              </w:rPr>
              <w:t>2024〕108号</w:t>
            </w:r>
          </w:p>
        </w:tc>
      </w:tr>
      <w:tr w14:paraId="3D89E7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exact"/>
        </w:trPr>
        <w:tc>
          <w:tcPr>
            <w:tcW w:w="1232" w:type="pct"/>
            <w:tcBorders>
              <w:top w:val="single" w:color="000000" w:sz="4" w:space="0"/>
              <w:bottom w:val="single" w:color="000000" w:sz="4" w:space="0"/>
              <w:right w:val="single" w:color="000000" w:sz="4" w:space="0"/>
            </w:tcBorders>
            <w:vAlign w:val="center"/>
          </w:tcPr>
          <w:p w14:paraId="323D3C06">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总投资（万元）</w:t>
            </w:r>
          </w:p>
        </w:tc>
        <w:tc>
          <w:tcPr>
            <w:tcW w:w="1129" w:type="pct"/>
            <w:tcBorders>
              <w:top w:val="single" w:color="000000" w:sz="4" w:space="0"/>
              <w:left w:val="single" w:color="000000" w:sz="4" w:space="0"/>
              <w:bottom w:val="single" w:color="000000" w:sz="4" w:space="0"/>
              <w:right w:val="single" w:color="000000" w:sz="4" w:space="0"/>
            </w:tcBorders>
            <w:vAlign w:val="center"/>
          </w:tcPr>
          <w:p w14:paraId="7234832D">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208912.22</w:t>
            </w:r>
          </w:p>
        </w:tc>
        <w:tc>
          <w:tcPr>
            <w:tcW w:w="1165" w:type="pct"/>
            <w:tcBorders>
              <w:top w:val="single" w:color="000000" w:sz="4" w:space="0"/>
              <w:left w:val="single" w:color="000000" w:sz="4" w:space="0"/>
              <w:bottom w:val="single" w:color="000000" w:sz="4" w:space="0"/>
              <w:right w:val="single" w:color="000000" w:sz="4" w:space="0"/>
            </w:tcBorders>
            <w:vAlign w:val="center"/>
          </w:tcPr>
          <w:p w14:paraId="63993CBF">
            <w:pPr>
              <w:pStyle w:val="18"/>
              <w:ind w:right="199"/>
              <w:jc w:val="center"/>
              <w:rPr>
                <w:rFonts w:ascii="Times New Roman" w:hAnsi="Times New Roman" w:cs="Times New Roman"/>
                <w:b/>
                <w:bCs/>
                <w:sz w:val="24"/>
                <w:szCs w:val="24"/>
              </w:rPr>
            </w:pPr>
            <w:r>
              <w:rPr>
                <w:rFonts w:ascii="Times New Roman" w:hAnsi="Times New Roman" w:cs="Times New Roman"/>
                <w:b/>
                <w:bCs/>
                <w:sz w:val="24"/>
                <w:szCs w:val="24"/>
              </w:rPr>
              <w:t>环保投资（万元）</w:t>
            </w:r>
          </w:p>
        </w:tc>
        <w:tc>
          <w:tcPr>
            <w:tcW w:w="1475" w:type="pct"/>
            <w:tcBorders>
              <w:top w:val="single" w:color="000000" w:sz="4" w:space="0"/>
              <w:left w:val="single" w:color="000000" w:sz="4" w:space="0"/>
              <w:bottom w:val="single" w:color="000000" w:sz="4" w:space="0"/>
            </w:tcBorders>
            <w:vAlign w:val="center"/>
          </w:tcPr>
          <w:p w14:paraId="08BC5EB4">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4356</w:t>
            </w:r>
          </w:p>
        </w:tc>
      </w:tr>
      <w:tr w14:paraId="25261F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232" w:type="pct"/>
            <w:tcBorders>
              <w:top w:val="single" w:color="000000" w:sz="4" w:space="0"/>
              <w:bottom w:val="single" w:color="000000" w:sz="4" w:space="0"/>
              <w:right w:val="single" w:color="000000" w:sz="4" w:space="0"/>
            </w:tcBorders>
            <w:vAlign w:val="center"/>
          </w:tcPr>
          <w:p w14:paraId="6E8D5C3C">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环保投资占比（%）</w:t>
            </w:r>
          </w:p>
        </w:tc>
        <w:tc>
          <w:tcPr>
            <w:tcW w:w="1129" w:type="pct"/>
            <w:tcBorders>
              <w:top w:val="single" w:color="000000" w:sz="4" w:space="0"/>
              <w:left w:val="single" w:color="000000" w:sz="4" w:space="0"/>
              <w:bottom w:val="single" w:color="000000" w:sz="4" w:space="0"/>
              <w:right w:val="single" w:color="000000" w:sz="4" w:space="0"/>
            </w:tcBorders>
            <w:vAlign w:val="center"/>
          </w:tcPr>
          <w:p w14:paraId="40186AAD">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2.09</w:t>
            </w:r>
          </w:p>
        </w:tc>
        <w:tc>
          <w:tcPr>
            <w:tcW w:w="1165" w:type="pct"/>
            <w:tcBorders>
              <w:top w:val="single" w:color="000000" w:sz="4" w:space="0"/>
              <w:left w:val="single" w:color="000000" w:sz="4" w:space="0"/>
              <w:bottom w:val="single" w:color="000000" w:sz="4" w:space="0"/>
              <w:right w:val="single" w:color="000000" w:sz="4" w:space="0"/>
            </w:tcBorders>
            <w:vAlign w:val="center"/>
          </w:tcPr>
          <w:p w14:paraId="03C13283">
            <w:pPr>
              <w:pStyle w:val="18"/>
              <w:ind w:right="198"/>
              <w:jc w:val="center"/>
              <w:rPr>
                <w:rFonts w:ascii="Times New Roman" w:hAnsi="Times New Roman" w:cs="Times New Roman"/>
                <w:b/>
                <w:bCs/>
                <w:sz w:val="24"/>
                <w:szCs w:val="24"/>
              </w:rPr>
            </w:pPr>
            <w:r>
              <w:rPr>
                <w:rFonts w:ascii="Times New Roman" w:hAnsi="Times New Roman" w:cs="Times New Roman"/>
                <w:b/>
                <w:bCs/>
                <w:sz w:val="24"/>
                <w:szCs w:val="24"/>
              </w:rPr>
              <w:t>施工工期</w:t>
            </w:r>
          </w:p>
        </w:tc>
        <w:tc>
          <w:tcPr>
            <w:tcW w:w="1475" w:type="pct"/>
            <w:tcBorders>
              <w:top w:val="single" w:color="000000" w:sz="4" w:space="0"/>
              <w:left w:val="single" w:color="000000" w:sz="4" w:space="0"/>
              <w:bottom w:val="single" w:color="000000" w:sz="4" w:space="0"/>
            </w:tcBorders>
            <w:vAlign w:val="center"/>
          </w:tcPr>
          <w:p w14:paraId="25BB7FE4">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24个月</w:t>
            </w:r>
          </w:p>
        </w:tc>
      </w:tr>
      <w:tr w14:paraId="4833F3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exact"/>
        </w:trPr>
        <w:tc>
          <w:tcPr>
            <w:tcW w:w="1232" w:type="pct"/>
            <w:tcBorders>
              <w:top w:val="single" w:color="000000" w:sz="4" w:space="0"/>
              <w:bottom w:val="single" w:color="000000" w:sz="4" w:space="0"/>
              <w:right w:val="single" w:color="000000" w:sz="4" w:space="0"/>
            </w:tcBorders>
            <w:vAlign w:val="center"/>
          </w:tcPr>
          <w:p w14:paraId="42906B05">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是否开工建设</w:t>
            </w:r>
          </w:p>
        </w:tc>
        <w:tc>
          <w:tcPr>
            <w:tcW w:w="3768" w:type="pct"/>
            <w:gridSpan w:val="3"/>
            <w:tcBorders>
              <w:top w:val="single" w:color="000000" w:sz="4" w:space="0"/>
              <w:left w:val="single" w:color="000000" w:sz="4" w:space="0"/>
              <w:bottom w:val="single" w:color="000000" w:sz="4" w:space="0"/>
            </w:tcBorders>
            <w:vAlign w:val="center"/>
          </w:tcPr>
          <w:p w14:paraId="3966712A">
            <w:pPr>
              <w:pStyle w:val="18"/>
              <w:rPr>
                <w:rFonts w:ascii="Times New Roman" w:hAnsi="Times New Roman" w:cs="Times New Roman"/>
                <w:sz w:val="24"/>
                <w:szCs w:val="24"/>
                <w:lang w:eastAsia="zh-CN"/>
              </w:rPr>
            </w:pPr>
            <w:r>
              <w:rPr>
                <w:rFonts w:ascii="Times New Roman" w:hAnsi="Times New Roman" w:cs="Times New Roman"/>
                <w:sz w:val="24"/>
                <w:szCs w:val="24"/>
                <w:lang w:eastAsia="zh-CN"/>
              </w:rPr>
              <w:fldChar w:fldCharType="begin"/>
            </w:r>
            <w:r>
              <w:rPr>
                <w:rFonts w:ascii="Times New Roman" w:hAnsi="Times New Roman" w:cs="Times New Roman"/>
                <w:sz w:val="24"/>
                <w:szCs w:val="24"/>
                <w:lang w:eastAsia="zh-CN"/>
              </w:rPr>
              <w:instrText xml:space="preserve"> eq \o\ac(□,</w:instrText>
            </w:r>
            <w:r>
              <w:rPr>
                <w:rFonts w:ascii="Times New Roman" w:hAnsi="Times New Roman" w:cs="Times New Roman"/>
                <w:position w:val="2"/>
                <w:sz w:val="16"/>
                <w:szCs w:val="24"/>
                <w:lang w:eastAsia="zh-CN"/>
              </w:rPr>
              <w:instrText xml:space="preserve">√</w:instrText>
            </w:r>
            <w:r>
              <w:rPr>
                <w:rFonts w:ascii="Times New Roman" w:hAnsi="Times New Roman" w:cs="Times New Roman"/>
                <w:sz w:val="24"/>
                <w:szCs w:val="24"/>
                <w:lang w:eastAsia="zh-CN"/>
              </w:rPr>
              <w:instrText xml:space="preserve">)</w:instrText>
            </w:r>
            <w:r>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否</w:t>
            </w:r>
          </w:p>
          <w:p w14:paraId="2A1023A3">
            <w:pPr>
              <w:pStyle w:val="18"/>
              <w:rPr>
                <w:rFonts w:ascii="Times New Roman" w:hAnsi="Times New Roman" w:cs="Times New Roman"/>
                <w:sz w:val="24"/>
                <w:szCs w:val="24"/>
                <w:lang w:eastAsia="zh-CN"/>
              </w:rPr>
            </w:pPr>
            <w:r>
              <w:rPr>
                <w:rFonts w:ascii="Times New Roman" w:hAnsi="Times New Roman" w:cs="Times New Roman"/>
                <w:sz w:val="24"/>
                <w:szCs w:val="24"/>
                <w:lang w:eastAsia="zh-CN"/>
              </w:rPr>
              <w:t>□是</w:t>
            </w:r>
          </w:p>
        </w:tc>
      </w:tr>
      <w:tr w14:paraId="040A41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1232" w:type="pct"/>
            <w:tcBorders>
              <w:top w:val="single" w:color="000000" w:sz="4" w:space="0"/>
              <w:bottom w:val="single" w:color="000000" w:sz="4" w:space="0"/>
              <w:right w:val="single" w:color="000000" w:sz="4" w:space="0"/>
            </w:tcBorders>
            <w:vAlign w:val="center"/>
          </w:tcPr>
          <w:p w14:paraId="0C19829C">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专项评价设置情况</w:t>
            </w:r>
          </w:p>
        </w:tc>
        <w:tc>
          <w:tcPr>
            <w:tcW w:w="3768" w:type="pct"/>
            <w:gridSpan w:val="3"/>
            <w:tcBorders>
              <w:top w:val="single" w:color="000000" w:sz="4" w:space="0"/>
              <w:left w:val="single" w:color="000000" w:sz="4" w:space="0"/>
              <w:bottom w:val="single" w:color="000000" w:sz="4" w:space="0"/>
            </w:tcBorders>
            <w:shd w:val="clear" w:color="auto" w:fill="auto"/>
            <w:vAlign w:val="center"/>
          </w:tcPr>
          <w:p w14:paraId="49B446F4">
            <w:pPr>
              <w:pStyle w:val="18"/>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（1）根据《建设项目环境影响评价报告表编制技术指南》（生态影响类）的噪声专项评价设置原则，本项目</w:t>
            </w:r>
            <w:r>
              <w:rPr>
                <w:rFonts w:ascii="Times New Roman" w:hAnsi="Times New Roman" w:cs="Times New Roman"/>
                <w:sz w:val="24"/>
                <w:szCs w:val="24"/>
                <w:lang w:eastAsia="zh-CN"/>
              </w:rPr>
              <w:t>k110+590~k111+000东侧</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k113+440~k115+400西侧</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k116+023~k116+375西侧</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k116+570~k118+200西侧</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k119+450~k122+250东侧</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k124+000~k124+200东侧</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k125+193~k125+700西侧、k125+700~k126+200东侧</w:t>
            </w:r>
            <w:r>
              <w:rPr>
                <w:rFonts w:hint="eastAsia" w:ascii="Times New Roman" w:hAnsi="Times New Roman" w:cs="Times New Roman"/>
                <w:sz w:val="24"/>
                <w:szCs w:val="24"/>
                <w:lang w:eastAsia="zh-CN"/>
              </w:rPr>
              <w:t>分布有声环境保护目标，属于公路涉及环境敏感区的项目，本项目设置噪声专项评价。</w:t>
            </w:r>
          </w:p>
          <w:p w14:paraId="2412E5E5">
            <w:pPr>
              <w:pStyle w:val="18"/>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（2）根据《建设项目环境影响评价报告表编制技术指南》（生态影响类）的专项评价设置原则，本项目涉及</w:t>
            </w:r>
            <w:r>
              <w:rPr>
                <w:rFonts w:ascii="Times New Roman" w:hAnsi="Times New Roman" w:cs="Times New Roman"/>
                <w:sz w:val="24"/>
                <w:szCs w:val="24"/>
                <w:lang w:eastAsia="zh-CN"/>
              </w:rPr>
              <w:t>穿越</w:t>
            </w:r>
            <w:r>
              <w:rPr>
                <w:rFonts w:hint="eastAsia" w:ascii="Times New Roman" w:hAnsi="Times New Roman" w:cs="Times New Roman"/>
                <w:sz w:val="24"/>
                <w:szCs w:val="24"/>
                <w:lang w:eastAsia="zh-CN"/>
              </w:rPr>
              <w:t>新疆吉木萨尔县国家沙化土地封禁保护区（</w:t>
            </w:r>
            <w:r>
              <w:rPr>
                <w:rFonts w:ascii="Times New Roman" w:hAnsi="Times New Roman" w:cs="Times New Roman"/>
                <w:sz w:val="24"/>
                <w:szCs w:val="24"/>
                <w:lang w:eastAsia="zh-CN"/>
              </w:rPr>
              <w:t>k49+550-k85+360</w:t>
            </w:r>
            <w:r>
              <w:rPr>
                <w:rFonts w:hint="eastAsia" w:ascii="Times New Roman" w:hAnsi="Times New Roman" w:cs="Times New Roman"/>
                <w:sz w:val="24"/>
                <w:szCs w:val="24"/>
                <w:lang w:eastAsia="zh-CN"/>
              </w:rPr>
              <w:t>），吉木萨尔北庭国家湿地公园（</w:t>
            </w:r>
            <w:r>
              <w:rPr>
                <w:rFonts w:ascii="Times New Roman" w:hAnsi="Times New Roman" w:cs="Times New Roman"/>
                <w:sz w:val="24"/>
                <w:szCs w:val="24"/>
                <w:lang w:eastAsia="zh-CN"/>
              </w:rPr>
              <w:t>k118+480-k119+370</w:t>
            </w:r>
            <w:r>
              <w:rPr>
                <w:rFonts w:hint="eastAsia" w:ascii="Times New Roman" w:hAnsi="Times New Roman" w:cs="Times New Roman"/>
                <w:sz w:val="24"/>
                <w:szCs w:val="24"/>
                <w:lang w:eastAsia="zh-CN"/>
              </w:rPr>
              <w:t>）属于涉及环境敏感区的项目，本项目设置生态环境影响专项评价。</w:t>
            </w:r>
          </w:p>
        </w:tc>
      </w:tr>
      <w:tr w14:paraId="20271F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exact"/>
        </w:trPr>
        <w:tc>
          <w:tcPr>
            <w:tcW w:w="1232" w:type="pct"/>
            <w:tcBorders>
              <w:top w:val="single" w:color="000000" w:sz="4" w:space="0"/>
              <w:bottom w:val="single" w:color="000000" w:sz="4" w:space="0"/>
              <w:right w:val="single" w:color="000000" w:sz="4" w:space="0"/>
            </w:tcBorders>
            <w:vAlign w:val="center"/>
          </w:tcPr>
          <w:p w14:paraId="18745EE1">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规划情况</w:t>
            </w:r>
          </w:p>
        </w:tc>
        <w:tc>
          <w:tcPr>
            <w:tcW w:w="3768" w:type="pct"/>
            <w:gridSpan w:val="3"/>
            <w:tcBorders>
              <w:top w:val="single" w:color="000000" w:sz="4" w:space="0"/>
              <w:left w:val="single" w:color="000000" w:sz="4" w:space="0"/>
              <w:bottom w:val="single" w:color="000000" w:sz="4" w:space="0"/>
            </w:tcBorders>
            <w:vAlign w:val="center"/>
          </w:tcPr>
          <w:p w14:paraId="4368A24C">
            <w:pPr>
              <w:pStyle w:val="18"/>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无</w:t>
            </w:r>
          </w:p>
        </w:tc>
      </w:tr>
      <w:tr w14:paraId="35445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8" w:hRule="exact"/>
        </w:trPr>
        <w:tc>
          <w:tcPr>
            <w:tcW w:w="1232" w:type="pct"/>
            <w:tcBorders>
              <w:top w:val="single" w:color="000000" w:sz="4" w:space="0"/>
              <w:bottom w:val="single" w:color="000000" w:sz="4" w:space="0"/>
              <w:right w:val="single" w:color="000000" w:sz="4" w:space="0"/>
            </w:tcBorders>
            <w:vAlign w:val="center"/>
          </w:tcPr>
          <w:p w14:paraId="17E37B22">
            <w:pPr>
              <w:pStyle w:val="18"/>
              <w:ind w:right="144"/>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规划环境影响评价</w:t>
            </w:r>
          </w:p>
          <w:p w14:paraId="0CF777E9">
            <w:pPr>
              <w:pStyle w:val="18"/>
              <w:ind w:right="144"/>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情况</w:t>
            </w:r>
          </w:p>
        </w:tc>
        <w:tc>
          <w:tcPr>
            <w:tcW w:w="3768" w:type="pct"/>
            <w:gridSpan w:val="3"/>
            <w:tcBorders>
              <w:top w:val="single" w:color="000000" w:sz="4" w:space="0"/>
              <w:left w:val="single" w:color="000000" w:sz="4" w:space="0"/>
              <w:bottom w:val="single" w:color="000000" w:sz="4" w:space="0"/>
            </w:tcBorders>
            <w:vAlign w:val="center"/>
          </w:tcPr>
          <w:p w14:paraId="0CBFCDBC">
            <w:pPr>
              <w:pStyle w:val="18"/>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无</w:t>
            </w:r>
          </w:p>
        </w:tc>
      </w:tr>
      <w:tr w14:paraId="47BD2F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2" w:hRule="atLeast"/>
        </w:trPr>
        <w:tc>
          <w:tcPr>
            <w:tcW w:w="1232" w:type="pct"/>
            <w:tcBorders>
              <w:top w:val="single" w:color="000000" w:sz="4" w:space="0"/>
              <w:bottom w:val="single" w:color="000000" w:sz="4" w:space="0"/>
              <w:right w:val="single" w:color="000000" w:sz="4" w:space="0"/>
            </w:tcBorders>
            <w:vAlign w:val="center"/>
          </w:tcPr>
          <w:p w14:paraId="1B1409D6">
            <w:pPr>
              <w:pStyle w:val="18"/>
              <w:ind w:right="41"/>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规划及规划环境影响评价符合性分析</w:t>
            </w:r>
          </w:p>
        </w:tc>
        <w:tc>
          <w:tcPr>
            <w:tcW w:w="3768" w:type="pct"/>
            <w:gridSpan w:val="3"/>
            <w:tcBorders>
              <w:top w:val="single" w:color="000000" w:sz="4" w:space="0"/>
              <w:left w:val="single" w:color="000000" w:sz="4" w:space="0"/>
              <w:bottom w:val="single" w:color="000000" w:sz="4" w:space="0"/>
            </w:tcBorders>
            <w:vAlign w:val="center"/>
          </w:tcPr>
          <w:p w14:paraId="6ACA1262">
            <w:pPr>
              <w:pStyle w:val="18"/>
              <w:jc w:val="center"/>
              <w:rPr>
                <w:rFonts w:ascii="Times New Roman" w:hAnsi="Times New Roman" w:cs="Times New Roman"/>
                <w:sz w:val="24"/>
                <w:szCs w:val="24"/>
                <w:lang w:eastAsia="zh-CN"/>
              </w:rPr>
            </w:pPr>
          </w:p>
          <w:p w14:paraId="653029EB">
            <w:pPr>
              <w:pStyle w:val="18"/>
              <w:jc w:val="center"/>
              <w:rPr>
                <w:rFonts w:ascii="Times New Roman" w:hAnsi="Times New Roman" w:cs="Times New Roman"/>
                <w:sz w:val="24"/>
                <w:szCs w:val="24"/>
                <w:lang w:eastAsia="zh-CN"/>
              </w:rPr>
            </w:pPr>
          </w:p>
          <w:p w14:paraId="03C50101">
            <w:pPr>
              <w:pStyle w:val="18"/>
              <w:jc w:val="center"/>
              <w:rPr>
                <w:rFonts w:ascii="Times New Roman" w:hAnsi="Times New Roman" w:cs="Times New Roman"/>
                <w:sz w:val="24"/>
                <w:szCs w:val="24"/>
                <w:lang w:eastAsia="zh-CN"/>
              </w:rPr>
            </w:pPr>
          </w:p>
          <w:p w14:paraId="37C434AB">
            <w:pPr>
              <w:pStyle w:val="18"/>
              <w:jc w:val="center"/>
              <w:rPr>
                <w:rFonts w:ascii="Times New Roman" w:hAnsi="Times New Roman" w:cs="Times New Roman"/>
                <w:sz w:val="24"/>
                <w:szCs w:val="24"/>
                <w:lang w:eastAsia="zh-CN"/>
              </w:rPr>
            </w:pPr>
            <w:r>
              <w:rPr>
                <w:rFonts w:hint="eastAsia" w:ascii="Times New Roman" w:hAnsi="Times New Roman" w:cs="Times New Roman"/>
                <w:sz w:val="24"/>
                <w:szCs w:val="24"/>
                <w:lang w:eastAsia="zh-CN"/>
              </w:rPr>
              <w:t>无</w:t>
            </w:r>
          </w:p>
          <w:p w14:paraId="7D254B86">
            <w:pPr>
              <w:pStyle w:val="18"/>
              <w:jc w:val="center"/>
              <w:rPr>
                <w:rFonts w:ascii="Times New Roman" w:hAnsi="Times New Roman" w:cs="Times New Roman"/>
                <w:sz w:val="24"/>
                <w:szCs w:val="24"/>
                <w:lang w:eastAsia="zh-CN"/>
              </w:rPr>
            </w:pPr>
          </w:p>
          <w:p w14:paraId="1ACF57DB">
            <w:pPr>
              <w:pStyle w:val="18"/>
              <w:jc w:val="center"/>
              <w:rPr>
                <w:rFonts w:ascii="Times New Roman" w:hAnsi="Times New Roman" w:cs="Times New Roman"/>
                <w:sz w:val="24"/>
                <w:szCs w:val="24"/>
                <w:lang w:eastAsia="zh-CN"/>
              </w:rPr>
            </w:pPr>
          </w:p>
          <w:p w14:paraId="1F6A2FEC">
            <w:pPr>
              <w:pStyle w:val="18"/>
              <w:jc w:val="center"/>
              <w:rPr>
                <w:rFonts w:ascii="Times New Roman" w:hAnsi="Times New Roman" w:cs="Times New Roman"/>
                <w:sz w:val="24"/>
                <w:szCs w:val="24"/>
                <w:lang w:eastAsia="zh-CN"/>
              </w:rPr>
            </w:pPr>
          </w:p>
        </w:tc>
      </w:tr>
      <w:tr w14:paraId="6321DF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49" w:hRule="atLeast"/>
        </w:trPr>
        <w:tc>
          <w:tcPr>
            <w:tcW w:w="1232" w:type="pct"/>
            <w:tcBorders>
              <w:top w:val="single" w:color="000000" w:sz="4" w:space="0"/>
              <w:right w:val="single" w:color="000000" w:sz="4" w:space="0"/>
            </w:tcBorders>
            <w:vAlign w:val="center"/>
          </w:tcPr>
          <w:p w14:paraId="3FD509C3">
            <w:pPr>
              <w:pStyle w:val="18"/>
              <w:ind w:right="144"/>
              <w:jc w:val="center"/>
              <w:rPr>
                <w:rFonts w:ascii="Times New Roman" w:hAnsi="Times New Roman" w:cs="Times New Roman"/>
                <w:b/>
                <w:bCs/>
                <w:sz w:val="24"/>
                <w:szCs w:val="24"/>
              </w:rPr>
            </w:pPr>
            <w:r>
              <w:rPr>
                <w:rFonts w:ascii="Times New Roman" w:hAnsi="Times New Roman" w:cs="Times New Roman"/>
                <w:b/>
                <w:bCs/>
                <w:sz w:val="24"/>
                <w:szCs w:val="24"/>
              </w:rPr>
              <w:t>其他符合性分析</w:t>
            </w:r>
          </w:p>
        </w:tc>
        <w:tc>
          <w:tcPr>
            <w:tcW w:w="3768" w:type="pct"/>
            <w:gridSpan w:val="3"/>
            <w:tcBorders>
              <w:top w:val="single" w:color="000000" w:sz="4" w:space="0"/>
              <w:left w:val="single" w:color="000000" w:sz="4" w:space="0"/>
            </w:tcBorders>
          </w:tcPr>
          <w:p w14:paraId="6AE44EC3">
            <w:pPr>
              <w:autoSpaceDE/>
              <w:autoSpaceDN/>
              <w:spacing w:before="120" w:beforeLines="50" w:line="360" w:lineRule="auto"/>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1、产业政策符合性分析</w:t>
            </w:r>
          </w:p>
          <w:p w14:paraId="53AE6F46">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对照《产业结构调整指导目录（</w:t>
            </w:r>
            <w:r>
              <w:rPr>
                <w:rFonts w:ascii="Times New Roman" w:hAnsi="Times New Roman" w:cs="Times New Roman"/>
                <w:spacing w:val="4"/>
                <w:kern w:val="2"/>
                <w:sz w:val="24"/>
                <w:szCs w:val="24"/>
                <w:lang w:eastAsia="zh-CN"/>
              </w:rPr>
              <w:t>2024年本）》，本项目属于鼓励类</w:t>
            </w:r>
            <w:r>
              <w:rPr>
                <w:rFonts w:hint="eastAsia" w:ascii="Times New Roman" w:hAnsi="Times New Roman" w:cs="Times New Roman"/>
                <w:spacing w:val="4"/>
                <w:kern w:val="2"/>
                <w:sz w:val="24"/>
                <w:szCs w:val="24"/>
                <w:lang w:eastAsia="zh-CN"/>
              </w:rPr>
              <w:t>的</w:t>
            </w:r>
            <w:r>
              <w:rPr>
                <w:rFonts w:ascii="Times New Roman" w:hAnsi="Times New Roman" w:cs="Times New Roman"/>
                <w:spacing w:val="4"/>
                <w:kern w:val="2"/>
                <w:sz w:val="24"/>
                <w:szCs w:val="24"/>
                <w:lang w:eastAsia="zh-CN"/>
              </w:rPr>
              <w:t>第二十</w:t>
            </w:r>
            <w:r>
              <w:rPr>
                <w:rFonts w:hint="eastAsia" w:ascii="Times New Roman" w:hAnsi="Times New Roman" w:cs="Times New Roman"/>
                <w:spacing w:val="4"/>
                <w:kern w:val="2"/>
                <w:sz w:val="24"/>
                <w:szCs w:val="24"/>
                <w:lang w:eastAsia="zh-CN"/>
              </w:rPr>
              <w:t>四</w:t>
            </w:r>
            <w:r>
              <w:rPr>
                <w:rFonts w:ascii="Times New Roman" w:hAnsi="Times New Roman" w:cs="Times New Roman"/>
                <w:spacing w:val="4"/>
                <w:kern w:val="2"/>
                <w:sz w:val="24"/>
                <w:szCs w:val="24"/>
                <w:lang w:eastAsia="zh-CN"/>
              </w:rPr>
              <w:t>项</w:t>
            </w:r>
            <w:r>
              <w:rPr>
                <w:rFonts w:hint="eastAsia" w:ascii="Times New Roman" w:hAnsi="Times New Roman" w:cs="Times New Roman"/>
                <w:spacing w:val="4"/>
                <w:kern w:val="2"/>
                <w:sz w:val="24"/>
                <w:szCs w:val="24"/>
                <w:lang w:eastAsia="zh-CN"/>
              </w:rPr>
              <w:t>“公路及道路运输（含城市）”中“</w:t>
            </w:r>
            <w:r>
              <w:rPr>
                <w:rFonts w:ascii="Times New Roman" w:hAnsi="Times New Roman" w:cs="Times New Roman"/>
                <w:spacing w:val="4"/>
                <w:kern w:val="2"/>
                <w:sz w:val="24"/>
                <w:szCs w:val="24"/>
                <w:lang w:eastAsia="zh-CN"/>
              </w:rPr>
              <w:t>2</w:t>
            </w:r>
            <w:r>
              <w:rPr>
                <w:rFonts w:hint="eastAsia" w:ascii="Times New Roman" w:hAnsi="Times New Roman" w:cs="Times New Roman"/>
                <w:spacing w:val="4"/>
                <w:kern w:val="2"/>
                <w:sz w:val="24"/>
                <w:szCs w:val="24"/>
                <w:lang w:eastAsia="zh-CN"/>
              </w:rPr>
              <w:t>、公路交通网络建设：国省干线改造升级”</w:t>
            </w:r>
            <w:r>
              <w:rPr>
                <w:rFonts w:ascii="Times New Roman" w:hAnsi="Times New Roman" w:cs="Times New Roman"/>
                <w:spacing w:val="4"/>
                <w:kern w:val="2"/>
                <w:sz w:val="24"/>
                <w:szCs w:val="24"/>
                <w:lang w:eastAsia="zh-CN"/>
              </w:rPr>
              <w:t>，因此本项目符合国家产业政策。</w:t>
            </w:r>
          </w:p>
          <w:p w14:paraId="65EFA193">
            <w:pPr>
              <w:pStyle w:val="18"/>
              <w:spacing w:before="120" w:beforeLines="50" w:line="360" w:lineRule="auto"/>
              <w:rPr>
                <w:rFonts w:ascii="Times New Roman" w:hAnsi="Times New Roman" w:cs="Times New Roman"/>
                <w:sz w:val="24"/>
                <w:szCs w:val="24"/>
                <w:lang w:eastAsia="zh-CN"/>
              </w:rPr>
            </w:pPr>
            <w:r>
              <w:rPr>
                <w:rFonts w:ascii="Times New Roman" w:hAnsi="Times New Roman" w:cs="Times New Roman"/>
                <w:b/>
                <w:bCs/>
                <w:spacing w:val="4"/>
                <w:kern w:val="2"/>
                <w:sz w:val="28"/>
                <w:szCs w:val="28"/>
                <w:lang w:eastAsia="zh-CN"/>
              </w:rPr>
              <w:t>2、</w:t>
            </w:r>
            <w:r>
              <w:rPr>
                <w:rFonts w:hint="eastAsia" w:ascii="Times New Roman" w:hAnsi="Times New Roman" w:cs="Times New Roman"/>
                <w:b/>
                <w:bCs/>
                <w:spacing w:val="4"/>
                <w:kern w:val="2"/>
                <w:sz w:val="28"/>
                <w:szCs w:val="28"/>
                <w:lang w:eastAsia="zh-CN"/>
              </w:rPr>
              <w:t>项目与新疆维吾尔自治区“三线一单”符合性分析</w:t>
            </w:r>
          </w:p>
          <w:p w14:paraId="351679BE">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根据《新疆维吾尔自治区“三线一单”生态环境分区管控方案》（新政发</w:t>
            </w:r>
            <w:r>
              <w:rPr>
                <w:rFonts w:ascii="Times New Roman" w:hAnsi="Times New Roman" w:cs="Times New Roman"/>
                <w:sz w:val="24"/>
                <w:szCs w:val="24"/>
                <w:lang w:eastAsia="zh-CN"/>
              </w:rPr>
              <w:t xml:space="preserve"> [2021] 18 号），自治区共划定1323个环境管控单元，分为优先保护单元、重点管控单元和一般管控单元三类，实施分类管控。</w:t>
            </w:r>
          </w:p>
          <w:p w14:paraId="3A4932BC">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优先保护单元</w:t>
            </w:r>
            <w:r>
              <w:rPr>
                <w:rFonts w:ascii="Times New Roman" w:hAnsi="Times New Roman" w:cs="Times New Roman"/>
                <w:sz w:val="24"/>
                <w:szCs w:val="24"/>
                <w:lang w:eastAsia="zh-CN"/>
              </w:rPr>
              <w:t>465个，主要包括生态保护红线区和生态保护红线区以外的饮用水水源保护区、水源涵养区、防风固沙区、土地沙化防控区、水土流失防控区等一般生态空间管控区。</w:t>
            </w:r>
          </w:p>
          <w:p w14:paraId="252C1F6E">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重点管控单元</w:t>
            </w:r>
            <w:r>
              <w:rPr>
                <w:rFonts w:ascii="Times New Roman" w:hAnsi="Times New Roman" w:cs="Times New Roman"/>
                <w:sz w:val="24"/>
                <w:szCs w:val="24"/>
                <w:lang w:eastAsia="zh-CN"/>
              </w:rPr>
              <w:t>699个，主要包括城镇建成区、工业园区和开发强度大、污染物排放强度高的工业聚集区等。</w:t>
            </w:r>
          </w:p>
          <w:p w14:paraId="28BE7D3A">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一般管控单元</w:t>
            </w:r>
            <w:r>
              <w:rPr>
                <w:rFonts w:ascii="Times New Roman" w:hAnsi="Times New Roman" w:cs="Times New Roman"/>
                <w:sz w:val="24"/>
                <w:szCs w:val="24"/>
                <w:lang w:eastAsia="zh-CN"/>
              </w:rPr>
              <w:t>159个，主要包括优先保护单元和重点管控单元之外的其他区域。</w:t>
            </w:r>
          </w:p>
          <w:p w14:paraId="2ED6F1BD">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本项目涉及重点管控单元、一般管控单元，各管控单元的管控要求如下：</w:t>
            </w:r>
          </w:p>
          <w:p w14:paraId="588A14FC">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重点管控单元管控要求：要着力优化空间布局，不断提升资源利用效率，有针对性地加强污染物排放管控和环境风险防控，解决生态环境质量不达标、生态环境风险高等问题。</w:t>
            </w:r>
          </w:p>
          <w:p w14:paraId="4453F145">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一般管控单元管控要求：主要落实生态环境保护基本要求，推动区域环境质量持续改善。</w:t>
            </w:r>
          </w:p>
          <w:p w14:paraId="635BC938">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工艺流程简单，运营期污染物排放量较小，通过合理优化空间布局，针对本项目产生的污染物采取相应的治理措施，能实现达标排放，项目建设不会加剧环境质量的恶化，不会触及环境质量底线。项目不存在大负荷用电、用水、燃气等消耗资源的情况，不会突破资源利用上线。</w:t>
            </w:r>
          </w:p>
          <w:p w14:paraId="53434B6D">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根据《新疆维吾尔自治区</w:t>
            </w:r>
            <w:r>
              <w:rPr>
                <w:rFonts w:ascii="Times New Roman" w:hAnsi="Times New Roman" w:cs="Times New Roman"/>
                <w:sz w:val="24"/>
                <w:szCs w:val="24"/>
                <w:lang w:eastAsia="zh-CN"/>
              </w:rPr>
              <w:t>28个生态功能区县（市）产业准入负面清单（试行）》、《新疆维吾尔自治区17个新增纳入国家重点生态功能区县（市）产业准入负面清单（试行）》的相关内容，本项目不属于禁止类及限制类项目。</w:t>
            </w:r>
          </w:p>
          <w:p w14:paraId="57B16585">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由此可知，项目的建设符合新疆维吾尔自治区“三线一单”管控要求。</w:t>
            </w:r>
          </w:p>
          <w:p w14:paraId="0CD95606">
            <w:pPr>
              <w:autoSpaceDE/>
              <w:autoSpaceDN/>
              <w:jc w:val="both"/>
              <w:rPr>
                <w:rFonts w:ascii="Times New Roman" w:hAnsi="Times New Roman" w:cs="Times New Roman"/>
                <w:b/>
                <w:bCs/>
                <w:spacing w:val="4"/>
                <w:kern w:val="2"/>
                <w:sz w:val="28"/>
                <w:szCs w:val="28"/>
                <w:lang w:eastAsia="zh-CN"/>
              </w:rPr>
            </w:pPr>
            <w:r>
              <w:rPr>
                <w:rFonts w:hint="eastAsia" w:ascii="Times New Roman" w:hAnsi="Times New Roman" w:cs="Times New Roman"/>
                <w:b/>
                <w:bCs/>
                <w:spacing w:val="4"/>
                <w:kern w:val="2"/>
                <w:sz w:val="28"/>
                <w:szCs w:val="28"/>
                <w:lang w:eastAsia="zh-CN"/>
              </w:rPr>
              <w:t>3、项目与新疆维吾尔自治区七大片区“三线一单”符合性分析</w:t>
            </w:r>
          </w:p>
          <w:p w14:paraId="08C5E85E">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根据《新疆维吾尔自治区“三线一单”生态环境分区管控方案》，全区划分为七大片区，包括北疆北部</w:t>
            </w:r>
            <w:r>
              <w:rPr>
                <w:rFonts w:ascii="Times New Roman" w:hAnsi="Times New Roman" w:cs="Times New Roman"/>
                <w:sz w:val="24"/>
                <w:szCs w:val="24"/>
                <w:lang w:eastAsia="zh-CN"/>
              </w:rPr>
              <w:t>(塔城地区、阿勒泰地区)、伊犁河谷、克奎乌-博州、乌昌石、吐哈、天山南坡(巴州、阿克苏地区)和南疆三地州片区</w:t>
            </w:r>
            <w:r>
              <w:rPr>
                <w:rFonts w:hint="eastAsia" w:ascii="Times New Roman" w:hAnsi="Times New Roman" w:cs="Times New Roman"/>
                <w:sz w:val="24"/>
                <w:szCs w:val="24"/>
                <w:lang w:eastAsia="zh-CN"/>
              </w:rPr>
              <w:t>。本项目属于乌昌石片区。七大片区总体管控要求如下：</w:t>
            </w:r>
          </w:p>
          <w:p w14:paraId="2B701CDD">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空间布局约束。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p>
          <w:p w14:paraId="07102567">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2）污染物排放管控。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结构，加快货物运输绿色转型，做好车油联合管控。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p w14:paraId="11778F1A">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（3）环境风险防控。禁止在化工园区外新建、扩建危险化学品生产项目。严格落实危险废物处置相关要求。加强重点流域水环境风险管控，保障水环境安全。</w:t>
            </w:r>
          </w:p>
          <w:p w14:paraId="32B99224">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4）资源利用效率要求。优化能源结构，控制煤炭等化石能源使用量，鼓励使用清洁能源，协同推进减污降碳。全面实施节水工程，合理开发利用水资源，提升水资源利用效率，保障生态用水，严防地下水超采。</w:t>
            </w:r>
          </w:p>
          <w:p w14:paraId="142843AD">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不属于“三高”项目，不属于危险化学品生产项目，不涉及重化工、重金属，不涉及污染物排放管控要求中所列情形。本项目不涉及地下水开采，运营期生活污水经污水处理站处理后，冬储夏灌，用于站区绿化。因此，本项目符合七大片区总体管控要求。</w:t>
            </w:r>
          </w:p>
          <w:p w14:paraId="67B8FA18">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本项目与乌昌石片区管控要求符合性分析见表1</w:t>
            </w:r>
            <w:r>
              <w:rPr>
                <w:rFonts w:ascii="Times New Roman" w:hAnsi="Times New Roman" w:cs="Times New Roman"/>
                <w:sz w:val="24"/>
                <w:szCs w:val="24"/>
                <w:lang w:eastAsia="zh-CN"/>
              </w:rPr>
              <w:t>.1</w:t>
            </w:r>
            <w:r>
              <w:rPr>
                <w:rFonts w:hint="eastAsia" w:ascii="Times New Roman" w:hAnsi="Times New Roman" w:cs="Times New Roman"/>
                <w:sz w:val="24"/>
                <w:szCs w:val="24"/>
                <w:lang w:eastAsia="zh-CN"/>
              </w:rPr>
              <w:t>。</w:t>
            </w:r>
          </w:p>
          <w:p w14:paraId="3E5F580A">
            <w:pPr>
              <w:autoSpaceDE/>
              <w:autoSpaceDN/>
              <w:jc w:val="center"/>
              <w:rPr>
                <w:rFonts w:ascii="Times New Roman" w:hAnsi="Times New Roman" w:cs="Times New Roman"/>
                <w:b/>
                <w:bCs/>
                <w:spacing w:val="4"/>
                <w:kern w:val="2"/>
                <w:sz w:val="21"/>
                <w:szCs w:val="21"/>
                <w:lang w:eastAsia="zh-CN"/>
              </w:rPr>
            </w:pPr>
            <w:r>
              <w:rPr>
                <w:rFonts w:ascii="Times New Roman" w:hAnsi="Times New Roman" w:cs="Times New Roman"/>
                <w:b/>
                <w:bCs/>
                <w:spacing w:val="4"/>
                <w:kern w:val="2"/>
                <w:sz w:val="21"/>
                <w:szCs w:val="21"/>
                <w:lang w:eastAsia="zh-CN"/>
              </w:rPr>
              <w:t>表1.1  项目</w:t>
            </w:r>
            <w:r>
              <w:rPr>
                <w:rFonts w:hint="eastAsia" w:ascii="Times New Roman" w:hAnsi="Times New Roman" w:cs="Times New Roman"/>
                <w:b/>
                <w:bCs/>
                <w:spacing w:val="4"/>
                <w:kern w:val="2"/>
                <w:sz w:val="21"/>
                <w:szCs w:val="21"/>
                <w:lang w:eastAsia="zh-CN"/>
              </w:rPr>
              <w:t>与乌昌石片区管控要求符合性分析表</w:t>
            </w:r>
          </w:p>
          <w:tbl>
            <w:tblPr>
              <w:tblStyle w:val="12"/>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2834"/>
              <w:gridCol w:w="2264"/>
              <w:gridCol w:w="894"/>
            </w:tblGrid>
            <w:tr w14:paraId="01F5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pct"/>
                  <w:vAlign w:val="center"/>
                </w:tcPr>
                <w:p w14:paraId="6AC151FE">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片区名称</w:t>
                  </w:r>
                </w:p>
              </w:tc>
              <w:tc>
                <w:tcPr>
                  <w:tcW w:w="2004" w:type="pct"/>
                  <w:vAlign w:val="center"/>
                </w:tcPr>
                <w:p w14:paraId="15737FBA">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管控要求</w:t>
                  </w:r>
                </w:p>
              </w:tc>
              <w:tc>
                <w:tcPr>
                  <w:tcW w:w="1601" w:type="pct"/>
                  <w:vAlign w:val="center"/>
                </w:tcPr>
                <w:p w14:paraId="0AF7BF1E">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本项目</w:t>
                  </w:r>
                </w:p>
              </w:tc>
              <w:tc>
                <w:tcPr>
                  <w:tcW w:w="632" w:type="pct"/>
                  <w:vAlign w:val="center"/>
                </w:tcPr>
                <w:p w14:paraId="5D6B8C62">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符合性</w:t>
                  </w:r>
                </w:p>
              </w:tc>
            </w:tr>
            <w:tr w14:paraId="0C0A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pct"/>
                  <w:vMerge w:val="restart"/>
                  <w:vAlign w:val="center"/>
                </w:tcPr>
                <w:p w14:paraId="3E33125F">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乌昌石</w:t>
                  </w:r>
                </w:p>
                <w:p w14:paraId="48548E25">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片区</w:t>
                  </w:r>
                </w:p>
              </w:tc>
              <w:tc>
                <w:tcPr>
                  <w:tcW w:w="2004" w:type="pct"/>
                  <w:vAlign w:val="center"/>
                </w:tcPr>
                <w:p w14:paraId="6EDE04CB">
                  <w:pPr>
                    <w:jc w:val="both"/>
                    <w:rPr>
                      <w:rFonts w:ascii="Times New Roman" w:hAnsi="Times New Roman" w:cs="Times New Roman"/>
                      <w:sz w:val="21"/>
                      <w:szCs w:val="21"/>
                      <w:lang w:eastAsia="zh-CN"/>
                    </w:rPr>
                  </w:pPr>
                  <w:r>
                    <w:rPr>
                      <w:rFonts w:ascii="Times New Roman" w:hAnsi="Times New Roman" w:cs="Times New Roman"/>
                      <w:sz w:val="21"/>
                      <w:szCs w:val="21"/>
                      <w:lang w:eastAsia="zh-CN"/>
                    </w:rPr>
                    <w:t>1、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w:t>
                  </w:r>
                </w:p>
              </w:tc>
              <w:tc>
                <w:tcPr>
                  <w:tcW w:w="1601" w:type="pct"/>
                  <w:vAlign w:val="center"/>
                </w:tcPr>
                <w:p w14:paraId="566ADA67">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本项目不属于煤化工、电解铝、燃煤纯发电机组、金属硅、碳化硅等新增产能项目。</w:t>
                  </w:r>
                </w:p>
              </w:tc>
              <w:tc>
                <w:tcPr>
                  <w:tcW w:w="632" w:type="pct"/>
                  <w:vAlign w:val="center"/>
                </w:tcPr>
                <w:p w14:paraId="5C498898">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符合</w:t>
                  </w:r>
                </w:p>
              </w:tc>
            </w:tr>
            <w:tr w14:paraId="756A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pct"/>
                  <w:vMerge w:val="continue"/>
                  <w:vAlign w:val="center"/>
                </w:tcPr>
                <w:p w14:paraId="78B9AE3B">
                  <w:pPr>
                    <w:jc w:val="center"/>
                    <w:rPr>
                      <w:rFonts w:ascii="Times New Roman" w:hAnsi="Times New Roman" w:cs="Times New Roman"/>
                      <w:sz w:val="21"/>
                      <w:szCs w:val="21"/>
                      <w:lang w:eastAsia="zh-CN"/>
                    </w:rPr>
                  </w:pPr>
                </w:p>
              </w:tc>
              <w:tc>
                <w:tcPr>
                  <w:tcW w:w="2004" w:type="pct"/>
                  <w:vAlign w:val="center"/>
                </w:tcPr>
                <w:p w14:paraId="065DF7FC">
                  <w:pPr>
                    <w:jc w:val="both"/>
                    <w:rPr>
                      <w:rFonts w:ascii="Times New Roman" w:hAnsi="Times New Roman" w:cs="Times New Roman"/>
                      <w:sz w:val="21"/>
                      <w:szCs w:val="21"/>
                      <w:lang w:eastAsia="zh-CN"/>
                    </w:rPr>
                  </w:pPr>
                  <w:r>
                    <w:rPr>
                      <w:rFonts w:ascii="Times New Roman" w:hAnsi="Times New Roman" w:cs="Times New Roman"/>
                      <w:sz w:val="21"/>
                      <w:szCs w:val="21"/>
                      <w:lang w:eastAsia="zh-CN"/>
                    </w:rPr>
                    <w:t>2、坚持属地负责与区域大气污染联防联控相结合，以明显降低细颗粒物浓度为重点，协同推进“乌-昌-石”区域大气环境治理。</w:t>
                  </w:r>
                </w:p>
              </w:tc>
              <w:tc>
                <w:tcPr>
                  <w:tcW w:w="1601" w:type="pct"/>
                  <w:vAlign w:val="center"/>
                </w:tcPr>
                <w:p w14:paraId="5DFF3D69">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项目施工期采取洒水抑尘、临时围挡、车斗苫布遮蔽、物料覆盖防尘布等抑尘措施。</w:t>
                  </w:r>
                </w:p>
              </w:tc>
              <w:tc>
                <w:tcPr>
                  <w:tcW w:w="632" w:type="pct"/>
                  <w:vAlign w:val="center"/>
                </w:tcPr>
                <w:p w14:paraId="23E3CE3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符合</w:t>
                  </w:r>
                </w:p>
              </w:tc>
            </w:tr>
            <w:tr w14:paraId="5A9D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pct"/>
                  <w:vMerge w:val="continue"/>
                  <w:vAlign w:val="center"/>
                </w:tcPr>
                <w:p w14:paraId="037F848B">
                  <w:pPr>
                    <w:jc w:val="center"/>
                    <w:rPr>
                      <w:rFonts w:ascii="Times New Roman" w:hAnsi="Times New Roman" w:cs="Times New Roman"/>
                      <w:sz w:val="21"/>
                      <w:szCs w:val="21"/>
                      <w:lang w:eastAsia="zh-CN"/>
                    </w:rPr>
                  </w:pPr>
                </w:p>
              </w:tc>
              <w:tc>
                <w:tcPr>
                  <w:tcW w:w="2004" w:type="pct"/>
                  <w:vAlign w:val="center"/>
                </w:tcPr>
                <w:p w14:paraId="4E0C6FAF">
                  <w:pPr>
                    <w:jc w:val="both"/>
                    <w:rPr>
                      <w:rFonts w:ascii="Times New Roman" w:hAnsi="Times New Roman" w:cs="Times New Roman"/>
                      <w:sz w:val="21"/>
                      <w:szCs w:val="21"/>
                      <w:lang w:eastAsia="zh-CN"/>
                    </w:rPr>
                  </w:pPr>
                  <w:r>
                    <w:rPr>
                      <w:rFonts w:ascii="Times New Roman" w:hAnsi="Times New Roman" w:cs="Times New Roman"/>
                      <w:sz w:val="21"/>
                      <w:szCs w:val="21"/>
                      <w:lang w:eastAsia="zh-CN"/>
                    </w:rPr>
                    <w:t>3、所有新建、改建、扩建工业项目执行最严格的大气污染物排放标准。强化氮氧化物深度治理。强化挥发性有机物污染防治措施。</w:t>
                  </w:r>
                </w:p>
              </w:tc>
              <w:tc>
                <w:tcPr>
                  <w:tcW w:w="1601" w:type="pct"/>
                  <w:vAlign w:val="center"/>
                </w:tcPr>
                <w:p w14:paraId="4E256656">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本项目不属于工业项目。</w:t>
                  </w:r>
                </w:p>
              </w:tc>
              <w:tc>
                <w:tcPr>
                  <w:tcW w:w="632" w:type="pct"/>
                  <w:vAlign w:val="center"/>
                </w:tcPr>
                <w:p w14:paraId="0BD3E250">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符合</w:t>
                  </w:r>
                </w:p>
              </w:tc>
            </w:tr>
            <w:tr w14:paraId="0E19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pct"/>
                  <w:vMerge w:val="continue"/>
                  <w:vAlign w:val="center"/>
                </w:tcPr>
                <w:p w14:paraId="72FCBB77">
                  <w:pPr>
                    <w:jc w:val="center"/>
                    <w:rPr>
                      <w:rFonts w:ascii="Times New Roman" w:hAnsi="Times New Roman" w:cs="Times New Roman"/>
                      <w:sz w:val="21"/>
                      <w:szCs w:val="21"/>
                      <w:lang w:eastAsia="zh-CN"/>
                    </w:rPr>
                  </w:pPr>
                </w:p>
              </w:tc>
              <w:tc>
                <w:tcPr>
                  <w:tcW w:w="2004" w:type="pct"/>
                  <w:vAlign w:val="center"/>
                </w:tcPr>
                <w:p w14:paraId="64B0B9DE">
                  <w:pPr>
                    <w:jc w:val="both"/>
                    <w:rPr>
                      <w:rFonts w:ascii="Times New Roman" w:hAnsi="Times New Roman" w:cs="Times New Roman"/>
                      <w:sz w:val="21"/>
                      <w:szCs w:val="21"/>
                      <w:lang w:eastAsia="zh-CN"/>
                    </w:rPr>
                  </w:pPr>
                  <w:r>
                    <w:rPr>
                      <w:rFonts w:ascii="Times New Roman" w:hAnsi="Times New Roman" w:cs="Times New Roman"/>
                      <w:sz w:val="21"/>
                      <w:szCs w:val="21"/>
                      <w:lang w:eastAsia="zh-CN"/>
                    </w:rPr>
                    <w:t>4、强化企业清洁生产改造，推进节水型企业、节水型工业园区建设，提高资源集约节约利用水平。</w:t>
                  </w:r>
                </w:p>
              </w:tc>
              <w:tc>
                <w:tcPr>
                  <w:tcW w:w="1601" w:type="pct"/>
                  <w:vAlign w:val="center"/>
                </w:tcPr>
                <w:p w14:paraId="6AD75A61">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运营期生活污水经污水处理站处理后，冬储夏灌，用于站区绿化。</w:t>
                  </w:r>
                </w:p>
              </w:tc>
              <w:tc>
                <w:tcPr>
                  <w:tcW w:w="632" w:type="pct"/>
                  <w:vAlign w:val="center"/>
                </w:tcPr>
                <w:p w14:paraId="62B3282F">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符合</w:t>
                  </w:r>
                </w:p>
              </w:tc>
            </w:tr>
            <w:tr w14:paraId="6005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pct"/>
                  <w:vMerge w:val="continue"/>
                  <w:vAlign w:val="center"/>
                </w:tcPr>
                <w:p w14:paraId="01151771">
                  <w:pPr>
                    <w:jc w:val="center"/>
                    <w:rPr>
                      <w:rFonts w:ascii="Times New Roman" w:hAnsi="Times New Roman" w:cs="Times New Roman"/>
                      <w:sz w:val="21"/>
                      <w:szCs w:val="21"/>
                      <w:lang w:eastAsia="zh-CN"/>
                    </w:rPr>
                  </w:pPr>
                </w:p>
              </w:tc>
              <w:tc>
                <w:tcPr>
                  <w:tcW w:w="2004" w:type="pct"/>
                  <w:vAlign w:val="center"/>
                </w:tcPr>
                <w:p w14:paraId="2130FC7B">
                  <w:pPr>
                    <w:jc w:val="both"/>
                    <w:rPr>
                      <w:rFonts w:ascii="Times New Roman" w:hAnsi="Times New Roman" w:cs="Times New Roman"/>
                      <w:sz w:val="21"/>
                      <w:szCs w:val="21"/>
                      <w:lang w:eastAsia="zh-CN"/>
                    </w:rPr>
                  </w:pPr>
                  <w:r>
                    <w:rPr>
                      <w:rFonts w:ascii="Times New Roman" w:hAnsi="Times New Roman" w:cs="Times New Roman"/>
                      <w:sz w:val="21"/>
                      <w:szCs w:val="21"/>
                      <w:lang w:eastAsia="zh-CN"/>
                    </w:rPr>
                    <w:t>5、强化油（气）资源开发区土壤环境污染综合整治。加强涉重金属行业污染防控与工业废物处理处置。</w:t>
                  </w:r>
                </w:p>
              </w:tc>
              <w:tc>
                <w:tcPr>
                  <w:tcW w:w="1601" w:type="pct"/>
                  <w:vAlign w:val="center"/>
                </w:tcPr>
                <w:p w14:paraId="6F52B786">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本项目不属于油气资源开发和涉重金属项目。</w:t>
                  </w:r>
                </w:p>
              </w:tc>
              <w:tc>
                <w:tcPr>
                  <w:tcW w:w="632" w:type="pct"/>
                  <w:vAlign w:val="center"/>
                </w:tcPr>
                <w:p w14:paraId="535787E7">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符合</w:t>
                  </w:r>
                </w:p>
              </w:tc>
            </w:tr>
          </w:tbl>
          <w:p w14:paraId="3BAB77D7">
            <w:pPr>
              <w:autoSpaceDE/>
              <w:autoSpaceDN/>
              <w:jc w:val="center"/>
              <w:rPr>
                <w:rFonts w:ascii="Times New Roman" w:hAnsi="Times New Roman" w:cs="Times New Roman"/>
                <w:sz w:val="21"/>
                <w:szCs w:val="21"/>
                <w:lang w:eastAsia="zh-CN"/>
              </w:rPr>
            </w:pPr>
          </w:p>
          <w:p w14:paraId="785D8DA5">
            <w:pPr>
              <w:autoSpaceDE/>
              <w:autoSpaceDN/>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4、项目与</w:t>
            </w:r>
            <w:r>
              <w:rPr>
                <w:rFonts w:hint="eastAsia" w:ascii="Times New Roman" w:hAnsi="Times New Roman" w:cs="Times New Roman"/>
                <w:b/>
                <w:bCs/>
                <w:spacing w:val="4"/>
                <w:kern w:val="2"/>
                <w:sz w:val="28"/>
                <w:szCs w:val="28"/>
                <w:lang w:eastAsia="zh-CN"/>
              </w:rPr>
              <w:t>新疆生产建设兵团</w:t>
            </w:r>
            <w:r>
              <w:rPr>
                <w:rFonts w:ascii="Times New Roman" w:hAnsi="Times New Roman" w:cs="Times New Roman"/>
                <w:b/>
                <w:bCs/>
                <w:spacing w:val="4"/>
                <w:kern w:val="2"/>
                <w:sz w:val="28"/>
                <w:szCs w:val="28"/>
                <w:lang w:eastAsia="zh-CN"/>
              </w:rPr>
              <w:t>“三线一单”符合性分析</w:t>
            </w:r>
          </w:p>
          <w:p w14:paraId="7A13D6DE">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根据《新疆生产建设兵团“三线一单”生态环境分区管控方案》（新兵发</w:t>
            </w:r>
            <w:r>
              <w:rPr>
                <w:rFonts w:ascii="Times New Roman" w:hAnsi="Times New Roman" w:cs="Times New Roman"/>
                <w:sz w:val="24"/>
                <w:szCs w:val="24"/>
                <w:lang w:eastAsia="zh-CN"/>
              </w:rPr>
              <w:t xml:space="preserve"> [2021] 16 号），全兵团共划定862个环境管控单元，分为优先保护单元、重点管控单元和一般管控单元三类，实施分类管控。</w:t>
            </w:r>
          </w:p>
          <w:p w14:paraId="6626EB82">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优先保护单元</w:t>
            </w:r>
            <w:r>
              <w:rPr>
                <w:rFonts w:ascii="Times New Roman" w:hAnsi="Times New Roman" w:cs="Times New Roman"/>
                <w:sz w:val="24"/>
                <w:szCs w:val="24"/>
                <w:lang w:eastAsia="zh-CN"/>
              </w:rPr>
              <w:t>306个，占兵团总面积的38.89%，主要包括生态保护红线、一般生态空间，水环境优先保护区，环境空气一类功能区等区域。</w:t>
            </w:r>
          </w:p>
          <w:p w14:paraId="7E25CF30">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重点管控单元</w:t>
            </w:r>
            <w:r>
              <w:rPr>
                <w:rFonts w:ascii="Times New Roman" w:hAnsi="Times New Roman" w:cs="Times New Roman"/>
                <w:sz w:val="24"/>
                <w:szCs w:val="24"/>
                <w:lang w:eastAsia="zh-CN"/>
              </w:rPr>
              <w:t>411个，占兵团总面积的21.86%，主要包括兵团城市和团部区域、兵团级及以上开发区和开发强度大、污染物排放强度高及存在环境风险的区域。</w:t>
            </w:r>
          </w:p>
          <w:p w14:paraId="0B8A5309">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一般管控单元</w:t>
            </w:r>
            <w:r>
              <w:rPr>
                <w:rFonts w:ascii="Times New Roman" w:hAnsi="Times New Roman" w:cs="Times New Roman"/>
                <w:sz w:val="24"/>
                <w:szCs w:val="24"/>
                <w:lang w:eastAsia="zh-CN"/>
              </w:rPr>
              <w:t>145个，占兵团总面积的39.25%，主要指优先保护单元和重点管控单元之外的区域。</w:t>
            </w:r>
          </w:p>
          <w:p w14:paraId="54A037A4">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本项目区域属于《新疆生产建设兵团“三线一单”生态环境分区管控方案》（新兵发</w:t>
            </w:r>
            <w:r>
              <w:rPr>
                <w:rFonts w:ascii="Times New Roman" w:hAnsi="Times New Roman" w:cs="Times New Roman"/>
                <w:sz w:val="24"/>
                <w:szCs w:val="24"/>
                <w:lang w:eastAsia="zh-CN"/>
              </w:rPr>
              <w:t xml:space="preserve"> [2021] 16 号）的</w:t>
            </w:r>
            <w:r>
              <w:rPr>
                <w:rFonts w:hint="eastAsia" w:ascii="Times New Roman" w:hAnsi="Times New Roman" w:cs="Times New Roman"/>
                <w:sz w:val="24"/>
                <w:szCs w:val="24"/>
                <w:lang w:eastAsia="zh-CN"/>
              </w:rPr>
              <w:t>一般</w:t>
            </w:r>
            <w:r>
              <w:rPr>
                <w:rFonts w:ascii="Times New Roman" w:hAnsi="Times New Roman" w:cs="Times New Roman"/>
                <w:sz w:val="24"/>
                <w:szCs w:val="24"/>
                <w:lang w:eastAsia="zh-CN"/>
              </w:rPr>
              <w:t>管控单元，</w:t>
            </w:r>
            <w:r>
              <w:rPr>
                <w:rFonts w:hint="eastAsia" w:ascii="Times New Roman" w:hAnsi="Times New Roman" w:cs="Times New Roman"/>
                <w:sz w:val="24"/>
                <w:szCs w:val="24"/>
                <w:lang w:eastAsia="zh-CN"/>
              </w:rPr>
              <w:t>一般</w:t>
            </w:r>
            <w:r>
              <w:rPr>
                <w:rFonts w:ascii="Times New Roman" w:hAnsi="Times New Roman" w:cs="Times New Roman"/>
                <w:sz w:val="24"/>
                <w:szCs w:val="24"/>
                <w:lang w:eastAsia="zh-CN"/>
              </w:rPr>
              <w:t>管控单元的环境管控要求为：</w:t>
            </w:r>
            <w:r>
              <w:rPr>
                <w:rFonts w:hint="eastAsia" w:ascii="Times New Roman" w:hAnsi="Times New Roman" w:cs="Times New Roman"/>
                <w:sz w:val="24"/>
                <w:szCs w:val="24"/>
                <w:lang w:eastAsia="zh-CN"/>
              </w:rPr>
              <w:t>以经济社会可持续发展为导向，生态环境保护与适度开发相结合，开发建设应落实现行生态环境保护基本要求。</w:t>
            </w:r>
          </w:p>
          <w:p w14:paraId="09C9BE92">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经核实，本项目</w:t>
            </w:r>
            <w:r>
              <w:rPr>
                <w:rFonts w:ascii="Times New Roman" w:hAnsi="Times New Roman" w:cs="Times New Roman"/>
                <w:sz w:val="24"/>
                <w:szCs w:val="24"/>
                <w:lang w:eastAsia="zh-CN"/>
              </w:rPr>
              <w:t>k58+360-k109+380路段</w:t>
            </w:r>
            <w:r>
              <w:rPr>
                <w:rFonts w:hint="eastAsia" w:ascii="Times New Roman" w:hAnsi="Times New Roman" w:cs="Times New Roman"/>
                <w:sz w:val="24"/>
                <w:szCs w:val="24"/>
                <w:lang w:eastAsia="zh-CN"/>
              </w:rPr>
              <w:t>涉及穿越第六师五家渠市红旗农场，该段只建设公路，无公路沿线附属设施，路段不涉及生态保护红线，不占用基本农田。本项目工艺流程简单，运营期污染物排放量较小，通过合理优化空间布局，针对本项目产生的污染物采取相应的治理措施，能实现达标排放，项目建设不会加剧环境质量的恶化，不会触及环境质量底线。项目不存在大负荷用电、用水、燃气等消耗资源的情况，不会突破资源利用上线。</w:t>
            </w:r>
          </w:p>
          <w:p w14:paraId="7F8DF937">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由此可知，项目的建设符合新疆生产建设兵团“三线一单”管控要求。</w:t>
            </w:r>
          </w:p>
          <w:p w14:paraId="4B907FC0">
            <w:pPr>
              <w:autoSpaceDE/>
              <w:autoSpaceDN/>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5、</w:t>
            </w:r>
            <w:r>
              <w:rPr>
                <w:rFonts w:hint="eastAsia" w:ascii="Times New Roman" w:hAnsi="Times New Roman" w:cs="Times New Roman"/>
                <w:b/>
                <w:bCs/>
                <w:spacing w:val="4"/>
                <w:kern w:val="2"/>
                <w:sz w:val="28"/>
                <w:szCs w:val="28"/>
                <w:lang w:eastAsia="zh-CN"/>
              </w:rPr>
              <w:t>项目与昌吉回族自治州“三线一单”、第六师五家渠市“三线一单”符合性分析</w:t>
            </w:r>
          </w:p>
          <w:p w14:paraId="0181B9D4">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根据《昌吉回族自治州“三线一单”生态环境分区管控方案及生态环境准入清单》</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吉木萨尔县</w:t>
            </w:r>
            <w:r>
              <w:rPr>
                <w:rFonts w:ascii="Times New Roman" w:hAnsi="Times New Roman" w:cs="Times New Roman"/>
                <w:sz w:val="24"/>
                <w:szCs w:val="24"/>
                <w:lang w:eastAsia="zh-CN"/>
              </w:rPr>
              <w:t>共划定22个管控单元，其中：优先保护单元4个，重点管控单元17个，一般管控单元1个。</w:t>
            </w:r>
            <w:r>
              <w:rPr>
                <w:rFonts w:hint="eastAsia" w:ascii="Times New Roman" w:hAnsi="Times New Roman" w:cs="Times New Roman"/>
                <w:sz w:val="24"/>
                <w:szCs w:val="24"/>
                <w:lang w:eastAsia="zh-CN"/>
              </w:rPr>
              <w:t>本次评价将分别从项目涉及的</w:t>
            </w:r>
            <w:r>
              <w:rPr>
                <w:rFonts w:ascii="Times New Roman" w:hAnsi="Times New Roman" w:cs="Times New Roman"/>
                <w:sz w:val="24"/>
                <w:szCs w:val="24"/>
                <w:lang w:eastAsia="zh-CN"/>
              </w:rPr>
              <w:t>重点管控单元</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一般管控单元</w:t>
            </w:r>
            <w:r>
              <w:rPr>
                <w:rFonts w:hint="eastAsia" w:ascii="Times New Roman" w:hAnsi="Times New Roman" w:cs="Times New Roman"/>
                <w:sz w:val="24"/>
                <w:szCs w:val="24"/>
                <w:lang w:eastAsia="zh-CN"/>
              </w:rPr>
              <w:t>分析符合性。项目在昌吉回族自治州“三线一单”环境管控单元分类图的位置示意图见附图</w:t>
            </w:r>
            <w:r>
              <w:rPr>
                <w:rFonts w:ascii="Times New Roman" w:hAnsi="Times New Roman" w:cs="Times New Roman"/>
                <w:sz w:val="24"/>
                <w:szCs w:val="24"/>
                <w:lang w:eastAsia="zh-CN"/>
              </w:rPr>
              <w:t>1</w:t>
            </w:r>
            <w:r>
              <w:rPr>
                <w:rFonts w:hint="eastAsia" w:ascii="Times New Roman" w:hAnsi="Times New Roman" w:cs="Times New Roman"/>
                <w:sz w:val="24"/>
                <w:szCs w:val="24"/>
                <w:lang w:eastAsia="zh-CN"/>
              </w:rPr>
              <w:t>。</w:t>
            </w:r>
          </w:p>
          <w:p w14:paraId="68C29BA8">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项目k</w:t>
            </w:r>
            <w:r>
              <w:rPr>
                <w:rFonts w:ascii="Times New Roman" w:hAnsi="Times New Roman" w:cs="Times New Roman"/>
                <w:sz w:val="24"/>
                <w:szCs w:val="24"/>
                <w:lang w:eastAsia="zh-CN"/>
              </w:rPr>
              <w:t>37+060~k49+550路段占地涉及</w:t>
            </w:r>
            <w:r>
              <w:rPr>
                <w:rFonts w:hint="eastAsia" w:ascii="Times New Roman" w:hAnsi="Times New Roman" w:cs="Times New Roman"/>
                <w:sz w:val="24"/>
                <w:szCs w:val="24"/>
                <w:lang w:eastAsia="zh-CN"/>
              </w:rPr>
              <w:t>吉木萨尔县</w:t>
            </w:r>
            <w:r>
              <w:rPr>
                <w:rFonts w:ascii="Times New Roman" w:hAnsi="Times New Roman" w:cs="Times New Roman"/>
                <w:sz w:val="24"/>
                <w:szCs w:val="24"/>
                <w:lang w:eastAsia="zh-CN"/>
              </w:rPr>
              <w:t>重点管控单元，单元名称为：</w:t>
            </w:r>
            <w:r>
              <w:rPr>
                <w:rFonts w:hint="eastAsia" w:ascii="Times New Roman" w:hAnsi="Times New Roman" w:cs="Times New Roman"/>
                <w:sz w:val="24"/>
                <w:szCs w:val="24"/>
                <w:lang w:eastAsia="zh-CN"/>
              </w:rPr>
              <w:t>五彩湾南部产业园区</w:t>
            </w:r>
            <w:r>
              <w:rPr>
                <w:rFonts w:ascii="Times New Roman" w:hAnsi="Times New Roman" w:cs="Times New Roman"/>
                <w:sz w:val="24"/>
                <w:szCs w:val="24"/>
                <w:lang w:eastAsia="zh-CN"/>
              </w:rPr>
              <w:t>，单元代码为：ZH65232720011</w:t>
            </w:r>
            <w:r>
              <w:rPr>
                <w:rFonts w:hint="eastAsia" w:ascii="Times New Roman" w:hAnsi="Times New Roman" w:cs="Times New Roman"/>
                <w:sz w:val="24"/>
                <w:szCs w:val="24"/>
                <w:lang w:eastAsia="zh-CN"/>
              </w:rPr>
              <w:t>。本项目与该管控单元符合性分析具体见表</w:t>
            </w:r>
            <w:r>
              <w:rPr>
                <w:rFonts w:ascii="Times New Roman" w:hAnsi="Times New Roman" w:cs="Times New Roman"/>
                <w:sz w:val="24"/>
                <w:szCs w:val="24"/>
                <w:lang w:eastAsia="zh-CN"/>
              </w:rPr>
              <w:t>1</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2。</w:t>
            </w:r>
          </w:p>
          <w:p w14:paraId="0CDA6B3B">
            <w:pPr>
              <w:autoSpaceDE/>
              <w:autoSpaceDN/>
              <w:jc w:val="center"/>
              <w:rPr>
                <w:rFonts w:ascii="Times New Roman" w:hAnsi="Times New Roman" w:cs="Times New Roman"/>
                <w:b/>
                <w:bCs/>
                <w:kern w:val="2"/>
                <w:sz w:val="21"/>
                <w:szCs w:val="24"/>
                <w:lang w:eastAsia="zh-CN"/>
              </w:rPr>
            </w:pPr>
            <w:r>
              <w:rPr>
                <w:rFonts w:ascii="Times New Roman" w:hAnsi="Times New Roman" w:cs="Times New Roman"/>
                <w:b/>
                <w:bCs/>
                <w:kern w:val="2"/>
                <w:sz w:val="21"/>
                <w:szCs w:val="24"/>
                <w:lang w:eastAsia="zh-CN"/>
              </w:rPr>
              <w:t>表</w:t>
            </w:r>
            <w:r>
              <w:rPr>
                <w:rFonts w:hint="eastAsia" w:ascii="Times New Roman" w:hAnsi="Times New Roman" w:cs="Times New Roman"/>
                <w:b/>
                <w:bCs/>
                <w:kern w:val="2"/>
                <w:sz w:val="21"/>
                <w:szCs w:val="24"/>
                <w:lang w:eastAsia="zh-CN"/>
              </w:rPr>
              <w:t>1</w:t>
            </w:r>
            <w:r>
              <w:rPr>
                <w:rFonts w:ascii="Times New Roman" w:hAnsi="Times New Roman" w:cs="Times New Roman"/>
                <w:b/>
                <w:bCs/>
                <w:kern w:val="2"/>
                <w:sz w:val="21"/>
                <w:szCs w:val="24"/>
                <w:lang w:eastAsia="zh-CN"/>
              </w:rPr>
              <w:t xml:space="preserve">.2  </w:t>
            </w:r>
            <w:r>
              <w:rPr>
                <w:rFonts w:hint="eastAsia" w:ascii="Times New Roman" w:hAnsi="Times New Roman" w:cs="Times New Roman"/>
                <w:b/>
                <w:bCs/>
                <w:kern w:val="2"/>
                <w:sz w:val="21"/>
                <w:szCs w:val="24"/>
                <w:lang w:eastAsia="zh-CN"/>
              </w:rPr>
              <w:t>项目</w:t>
            </w:r>
            <w:r>
              <w:rPr>
                <w:rFonts w:ascii="Times New Roman" w:hAnsi="Times New Roman" w:cs="Times New Roman"/>
                <w:b/>
                <w:bCs/>
                <w:kern w:val="2"/>
                <w:sz w:val="21"/>
                <w:szCs w:val="24"/>
                <w:lang w:eastAsia="zh-CN"/>
              </w:rPr>
              <w:t>与</w:t>
            </w:r>
            <w:r>
              <w:rPr>
                <w:rFonts w:hint="eastAsia" w:ascii="Times New Roman" w:hAnsi="Times New Roman" w:cs="Times New Roman"/>
                <w:b/>
                <w:bCs/>
                <w:kern w:val="2"/>
                <w:sz w:val="21"/>
                <w:szCs w:val="24"/>
                <w:lang w:eastAsia="zh-CN"/>
              </w:rPr>
              <w:t>“五彩湾南部产业园区重点管控单元”符合性分析</w:t>
            </w:r>
          </w:p>
          <w:tbl>
            <w:tblPr>
              <w:tblStyle w:val="12"/>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4408"/>
              <w:gridCol w:w="1421"/>
              <w:gridCol w:w="466"/>
            </w:tblGrid>
            <w:tr w14:paraId="2594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429E5757">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管控</w:t>
                  </w:r>
                </w:p>
                <w:p w14:paraId="4F89803E">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类别</w:t>
                  </w:r>
                </w:p>
              </w:tc>
              <w:tc>
                <w:tcPr>
                  <w:tcW w:w="3114" w:type="pct"/>
                  <w:vAlign w:val="center"/>
                </w:tcPr>
                <w:p w14:paraId="6909A9FB">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管控要求</w:t>
                  </w:r>
                </w:p>
              </w:tc>
              <w:tc>
                <w:tcPr>
                  <w:tcW w:w="1004" w:type="pct"/>
                  <w:vAlign w:val="center"/>
                </w:tcPr>
                <w:p w14:paraId="32CAEBC2">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本项目</w:t>
                  </w:r>
                </w:p>
                <w:p w14:paraId="2DC348B2">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情况</w:t>
                  </w:r>
                </w:p>
              </w:tc>
              <w:tc>
                <w:tcPr>
                  <w:tcW w:w="329" w:type="pct"/>
                  <w:vAlign w:val="center"/>
                </w:tcPr>
                <w:p w14:paraId="37C898A0">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符合性</w:t>
                  </w:r>
                </w:p>
              </w:tc>
            </w:tr>
            <w:tr w14:paraId="61AA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3A29051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空间</w:t>
                  </w:r>
                </w:p>
                <w:p w14:paraId="52B4F0E9">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布局</w:t>
                  </w:r>
                </w:p>
                <w:p w14:paraId="028B054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约束</w:t>
                  </w:r>
                </w:p>
              </w:tc>
              <w:tc>
                <w:tcPr>
                  <w:tcW w:w="3114" w:type="pct"/>
                  <w:vAlign w:val="center"/>
                </w:tcPr>
                <w:p w14:paraId="2A55EDC0">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1、执行自治区总体准入要求中关于重点管控单元空间布局约束的准入要求（A6.1）</w:t>
                  </w:r>
                </w:p>
                <w:p w14:paraId="3D8EB5BF">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6.1-1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p w14:paraId="26DF2672">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6.1-2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p w14:paraId="59D2B6E2">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6.1-3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经预处理达到集中处理要求后，方可进入污水集中处理设施，不断提高污水集中处理中水回用率。加强城镇配套管网建设，提高城镇生活污水出水排放标准，推进城镇生活污水深度治理，提高污水厂脱氮除磷效率。对农业污染重点管控区，推进畜禽养殖禁养区、限养区的划定，限期依法关闭或搬迁禁养区内的畜禽养殖场，对现有规</w:t>
                  </w:r>
                  <w:r>
                    <w:rPr>
                      <w:rFonts w:hint="eastAsia" w:ascii="Times New Roman" w:hAnsi="Times New Roman" w:cs="Times New Roman"/>
                      <w:spacing w:val="4"/>
                      <w:kern w:val="2"/>
                      <w:sz w:val="21"/>
                      <w:szCs w:val="21"/>
                      <w:lang w:eastAsia="zh-CN"/>
                    </w:rPr>
                    <w:t>模化畜禽养殖配套建设粪便污水贮存、处理、利用设施，鼓励设施农业循环发展模式，推进养殖废弃物资源化利用。控制化肥农药使用量，推进农膜回收及加工再利用，农药化肥等包装废弃物的安全收集处置设施建设，降低农业污染负荷。</w:t>
                  </w:r>
                </w:p>
                <w:p w14:paraId="03BEE348">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6.1-4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p w14:paraId="350A3FD5">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2、入园企业需符合园区产业发展定位，产业发展以煤电治一体化、煤制气、新型建材、机械制造和现代物流等产业为主导。</w:t>
                  </w:r>
                </w:p>
                <w:p w14:paraId="653F8F57">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3、铁路及高速公路边沟（或坡脚）线两侧60米范围内为禁止建设区。公路以中心线为基点，一级公路两侧各30米、二级公路两侧各25米、三级公路两侧各20米地段为禁止建设区，同时应满足公路法、公路管理条例等相关法律法规中关于公路两侧建筑控制区相关要求。</w:t>
                  </w:r>
                </w:p>
                <w:p w14:paraId="4D21F934">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4、执行《准东开发区关于贯彻落实&lt;自治区严禁“三高”项目进新疆推动经济高质量发展实施方案&gt;的实施意见》中的准入要求。</w:t>
                  </w:r>
                </w:p>
              </w:tc>
              <w:tc>
                <w:tcPr>
                  <w:tcW w:w="1004" w:type="pct"/>
                  <w:vAlign w:val="center"/>
                </w:tcPr>
                <w:p w14:paraId="7E51DE47">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本项目不属于“高污染、高环境风险产品”工业项目；本项目不涉及国家和自治区明令禁止或淘汰的产业及工艺；本项目运营期生活污水经污水处理站处理后回用于站区绿化，冬储夏灌不外排；本项目不属于涉及重金属、持久性有机物等有毒有害污染物工业。</w:t>
                  </w:r>
                </w:p>
                <w:p w14:paraId="19E3DA2A">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2</w:t>
                  </w:r>
                  <w:r>
                    <w:rPr>
                      <w:rFonts w:hint="eastAsia" w:ascii="Times New Roman" w:hAnsi="Times New Roman" w:cs="Times New Roman"/>
                      <w:spacing w:val="4"/>
                      <w:kern w:val="2"/>
                      <w:sz w:val="21"/>
                      <w:szCs w:val="21"/>
                      <w:lang w:eastAsia="zh-CN"/>
                    </w:rPr>
                    <w:t>、本项目不属于入园企业。</w:t>
                  </w:r>
                </w:p>
                <w:p w14:paraId="0A92231F">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3、本项目建成后，道路沿线两侧按管控要求规定执行。</w:t>
                  </w:r>
                </w:p>
                <w:p w14:paraId="2B6214A3">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4、本项目不属“三高”项目。</w:t>
                  </w:r>
                </w:p>
              </w:tc>
              <w:tc>
                <w:tcPr>
                  <w:tcW w:w="329" w:type="pct"/>
                  <w:vAlign w:val="center"/>
                </w:tcPr>
                <w:p w14:paraId="6CBE756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3E7E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6C0D8689">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污染</w:t>
                  </w:r>
                </w:p>
                <w:p w14:paraId="5DEF3825">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物排</w:t>
                  </w:r>
                </w:p>
                <w:p w14:paraId="3D49BF6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放管</w:t>
                  </w:r>
                </w:p>
                <w:p w14:paraId="513FC135">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控</w:t>
                  </w:r>
                </w:p>
              </w:tc>
              <w:tc>
                <w:tcPr>
                  <w:tcW w:w="3114" w:type="pct"/>
                  <w:vAlign w:val="center"/>
                </w:tcPr>
                <w:p w14:paraId="15E3E759">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1、执行自治区总体准入要求中关于重点管控单元污染物排放管控的准入要求（A6.2）。</w:t>
                  </w:r>
                </w:p>
                <w:p w14:paraId="3AC4A6D0">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6.2-1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p w14:paraId="7446F5AF">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2、PM</w:t>
                  </w:r>
                  <w:r>
                    <w:rPr>
                      <w:rFonts w:ascii="Times New Roman" w:hAnsi="Times New Roman" w:cs="Times New Roman"/>
                      <w:spacing w:val="4"/>
                      <w:kern w:val="2"/>
                      <w:sz w:val="21"/>
                      <w:szCs w:val="21"/>
                      <w:vertAlign w:val="subscript"/>
                      <w:lang w:eastAsia="zh-CN"/>
                    </w:rPr>
                    <w:t>2.5</w:t>
                  </w:r>
                  <w:r>
                    <w:rPr>
                      <w:rFonts w:ascii="Times New Roman" w:hAnsi="Times New Roman" w:cs="Times New Roman"/>
                      <w:spacing w:val="4"/>
                      <w:kern w:val="2"/>
                      <w:sz w:val="21"/>
                      <w:szCs w:val="21"/>
                      <w:lang w:eastAsia="zh-CN"/>
                    </w:rPr>
                    <w:t>年平均浓度不达标县市（园区），禁止新（改、扩）建未落实SO</w:t>
                  </w:r>
                  <w:r>
                    <w:rPr>
                      <w:rFonts w:ascii="Times New Roman" w:hAnsi="Times New Roman" w:cs="Times New Roman"/>
                      <w:spacing w:val="4"/>
                      <w:kern w:val="2"/>
                      <w:sz w:val="21"/>
                      <w:szCs w:val="21"/>
                      <w:vertAlign w:val="subscript"/>
                      <w:lang w:eastAsia="zh-CN"/>
                    </w:rPr>
                    <w:t>2</w:t>
                  </w:r>
                  <w:r>
                    <w:rPr>
                      <w:rFonts w:ascii="Times New Roman" w:hAnsi="Times New Roman" w:cs="Times New Roman"/>
                      <w:spacing w:val="4"/>
                      <w:kern w:val="2"/>
                      <w:sz w:val="21"/>
                      <w:szCs w:val="21"/>
                      <w:lang w:eastAsia="zh-CN"/>
                    </w:rPr>
                    <w:t>、NOx、烟粉尘、挥发性有机物（VOCs）等四项大气污染物总量指标昌吉州区域内倍量替代的项目。</w:t>
                  </w:r>
                </w:p>
                <w:p w14:paraId="614C42DE">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3、现有燃煤电厂企业和65蒸吨及以上燃煤锅炉应限期开展提标升级改造，其大气污染物排放应逐步或依法限期达到超低排放标准限值。</w:t>
                  </w:r>
                </w:p>
                <w:p w14:paraId="45AE2813">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4、加快完善铁路线路建设，减少公路运输负荷。</w:t>
                  </w:r>
                </w:p>
                <w:p w14:paraId="45442A2F">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5、重点加强对重型开采矿机械、重型运输车辆尾气排放限值管理，推广重型机械专用尾气治理设备的应用。</w:t>
                  </w:r>
                </w:p>
                <w:p w14:paraId="63131946">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6、加快完善相关基础配套设施，推广使用天然气汽车和新能源汽车。</w:t>
                  </w:r>
                </w:p>
                <w:p w14:paraId="632EF3AF">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7、严格涉VOCs建设项目环境影响评价，实行区域内VOCs排放倍量削减替代，并将替代方案落实到企业排污许可证中，纳入环境执法管理。新、改、扩建涉VOCs排放项目，应从源头加强控制，使用低（无）VOCs含量的原辅材料，加强废气收集，安装高效治理设施。</w:t>
                  </w:r>
                </w:p>
              </w:tc>
              <w:tc>
                <w:tcPr>
                  <w:tcW w:w="1004" w:type="pct"/>
                  <w:vAlign w:val="center"/>
                </w:tcPr>
                <w:p w14:paraId="69DAABB5">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1、本项目不属于新建工业项目，不在工业园区内。</w:t>
                  </w:r>
                </w:p>
                <w:p w14:paraId="01823FF1">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2、本项目无需申请总量控制指标。</w:t>
                  </w:r>
                </w:p>
                <w:p w14:paraId="61C35B0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3、本项目不属于燃煤电厂企业，不涉及燃煤锅炉。</w:t>
                  </w:r>
                </w:p>
                <w:p w14:paraId="5CDD05D0">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4、本项目不涉及铁路线路建设。</w:t>
                  </w:r>
                </w:p>
                <w:p w14:paraId="232B992D">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5、本项目不涉及。</w:t>
                  </w:r>
                </w:p>
                <w:p w14:paraId="4FA99475">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6、本项目不涉及。</w:t>
                  </w:r>
                </w:p>
                <w:p w14:paraId="1B475CD0">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7、本项目不涉及。</w:t>
                  </w:r>
                </w:p>
              </w:tc>
              <w:tc>
                <w:tcPr>
                  <w:tcW w:w="329" w:type="pct"/>
                  <w:vAlign w:val="center"/>
                </w:tcPr>
                <w:p w14:paraId="1BC0620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1372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041CD62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环境</w:t>
                  </w:r>
                </w:p>
                <w:p w14:paraId="6150B10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风险</w:t>
                  </w:r>
                </w:p>
                <w:p w14:paraId="6FA4DE2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防控</w:t>
                  </w:r>
                </w:p>
              </w:tc>
              <w:tc>
                <w:tcPr>
                  <w:tcW w:w="3114" w:type="pct"/>
                  <w:vAlign w:val="center"/>
                </w:tcPr>
                <w:p w14:paraId="34253C72">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重点管控单元环境风险防控的准入要求（A6.3）。A6.3-1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14:paraId="4D38FD21">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2、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w:t>
                  </w:r>
                </w:p>
                <w:p w14:paraId="22EB018B">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3、园区应建立环境风险监管制度、环境风险预警制度、区域性突发事件应急预案、环境风险应急保障制度、环境风险事前预防、事中应急、事后处置等环境风险防控体系。</w:t>
                  </w:r>
                </w:p>
              </w:tc>
              <w:tc>
                <w:tcPr>
                  <w:tcW w:w="1004" w:type="pct"/>
                  <w:vAlign w:val="center"/>
                </w:tcPr>
                <w:p w14:paraId="2CA6EBB8">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本项目不涉及。</w:t>
                  </w:r>
                </w:p>
              </w:tc>
              <w:tc>
                <w:tcPr>
                  <w:tcW w:w="329" w:type="pct"/>
                  <w:vAlign w:val="center"/>
                </w:tcPr>
                <w:p w14:paraId="1AADAA7E">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6C32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26616EB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资源</w:t>
                  </w:r>
                </w:p>
                <w:p w14:paraId="02E12432">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开发</w:t>
                  </w:r>
                </w:p>
                <w:p w14:paraId="1236511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利用</w:t>
                  </w:r>
                </w:p>
                <w:p w14:paraId="48D2427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效率</w:t>
                  </w:r>
                </w:p>
              </w:tc>
              <w:tc>
                <w:tcPr>
                  <w:tcW w:w="3114" w:type="pct"/>
                  <w:vAlign w:val="center"/>
                </w:tcPr>
                <w:p w14:paraId="454CAEEA">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1、执行自治区总体准入要求中关于重点管控单元资源利用效率的准入要求（A6.4）。</w:t>
                  </w:r>
                </w:p>
                <w:p w14:paraId="4DB4C289">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A6.4-1推进工业集聚区生态化改造，强化企业清洁生产改造，推进节水型企业、节水型工业园区建设，提高资源能源利用效率。</w:t>
                  </w:r>
                </w:p>
                <w:p w14:paraId="45E43A86">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2、开发区发展过程应遵循“以水定产业规模”的发展原则，坚持“量水而行”，在水资源许可的条件下开展开发区建设，用水指标≤0.1m</w:t>
                  </w:r>
                  <w:r>
                    <w:rPr>
                      <w:rFonts w:ascii="Times New Roman" w:hAnsi="Times New Roman" w:cs="Times New Roman"/>
                      <w:spacing w:val="4"/>
                      <w:kern w:val="2"/>
                      <w:sz w:val="21"/>
                      <w:szCs w:val="21"/>
                      <w:vertAlign w:val="superscript"/>
                      <w:lang w:eastAsia="zh-CN"/>
                    </w:rPr>
                    <w:t>3</w:t>
                  </w:r>
                  <w:r>
                    <w:rPr>
                      <w:rFonts w:ascii="Times New Roman" w:hAnsi="Times New Roman" w:cs="Times New Roman"/>
                      <w:spacing w:val="4"/>
                      <w:kern w:val="2"/>
                      <w:sz w:val="21"/>
                      <w:szCs w:val="21"/>
                      <w:lang w:eastAsia="zh-CN"/>
                    </w:rPr>
                    <w:t>/m百万千瓦。</w:t>
                  </w:r>
                </w:p>
                <w:p w14:paraId="29DF1F20">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3、园区水资源开发总量、土地投资强度、能耗消费增量等指标应达到水利、国土、能源等部门相应要求。</w:t>
                  </w:r>
                </w:p>
              </w:tc>
              <w:tc>
                <w:tcPr>
                  <w:tcW w:w="1004" w:type="pct"/>
                  <w:vAlign w:val="center"/>
                </w:tcPr>
                <w:p w14:paraId="6FB9D97A">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本项不涉及</w:t>
                  </w:r>
                  <w:r>
                    <w:rPr>
                      <w:rFonts w:ascii="Times New Roman" w:hAnsi="Times New Roman" w:cs="Times New Roman"/>
                      <w:spacing w:val="4"/>
                      <w:kern w:val="2"/>
                      <w:sz w:val="21"/>
                      <w:szCs w:val="21"/>
                      <w:lang w:eastAsia="zh-CN"/>
                    </w:rPr>
                    <w:t>。</w:t>
                  </w:r>
                </w:p>
              </w:tc>
              <w:tc>
                <w:tcPr>
                  <w:tcW w:w="329" w:type="pct"/>
                  <w:vAlign w:val="center"/>
                </w:tcPr>
                <w:p w14:paraId="47D908C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bl>
          <w:p w14:paraId="4E0ED3B4">
            <w:pPr>
              <w:autoSpaceDE/>
              <w:autoSpaceDN/>
              <w:jc w:val="center"/>
              <w:rPr>
                <w:rFonts w:ascii="Times New Roman" w:hAnsi="Times New Roman" w:cs="Times New Roman"/>
                <w:b/>
                <w:bCs/>
                <w:kern w:val="2"/>
                <w:sz w:val="21"/>
                <w:szCs w:val="24"/>
                <w:lang w:eastAsia="zh-CN"/>
              </w:rPr>
            </w:pPr>
          </w:p>
          <w:p w14:paraId="4726D94C">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w:t>
            </w:r>
            <w:r>
              <w:rPr>
                <w:rFonts w:ascii="Times New Roman" w:hAnsi="Times New Roman" w:cs="Times New Roman"/>
                <w:sz w:val="24"/>
                <w:szCs w:val="24"/>
                <w:lang w:eastAsia="zh-CN"/>
              </w:rPr>
              <w:t>k49+550-k58+360路段占地涉及</w:t>
            </w:r>
            <w:r>
              <w:rPr>
                <w:rFonts w:hint="eastAsia" w:ascii="Times New Roman" w:hAnsi="Times New Roman" w:cs="Times New Roman"/>
                <w:sz w:val="24"/>
                <w:szCs w:val="24"/>
                <w:lang w:eastAsia="zh-CN"/>
              </w:rPr>
              <w:t>吉木萨尔县一般管控单元</w:t>
            </w:r>
            <w:r>
              <w:rPr>
                <w:rFonts w:ascii="Times New Roman" w:hAnsi="Times New Roman" w:cs="Times New Roman"/>
                <w:sz w:val="24"/>
                <w:szCs w:val="24"/>
                <w:lang w:eastAsia="zh-CN"/>
              </w:rPr>
              <w:t>，单元名称为：</w:t>
            </w:r>
            <w:r>
              <w:rPr>
                <w:rFonts w:hint="eastAsia" w:ascii="Times New Roman" w:hAnsi="Times New Roman" w:cs="Times New Roman"/>
                <w:sz w:val="24"/>
                <w:szCs w:val="24"/>
                <w:lang w:eastAsia="zh-CN"/>
              </w:rPr>
              <w:t>吉木萨尔县一般管控单元</w:t>
            </w:r>
            <w:r>
              <w:rPr>
                <w:rFonts w:ascii="Times New Roman" w:hAnsi="Times New Roman" w:cs="Times New Roman"/>
                <w:sz w:val="24"/>
                <w:szCs w:val="24"/>
                <w:lang w:eastAsia="zh-CN"/>
              </w:rPr>
              <w:t>，单元代码为：ZH65232730001</w:t>
            </w:r>
            <w:r>
              <w:rPr>
                <w:rFonts w:hint="eastAsia" w:ascii="Times New Roman" w:hAnsi="Times New Roman" w:cs="Times New Roman"/>
                <w:sz w:val="24"/>
                <w:szCs w:val="24"/>
                <w:lang w:eastAsia="zh-CN"/>
              </w:rPr>
              <w:t>。本项目与该管控单元符合性分析具体见表</w:t>
            </w:r>
            <w:r>
              <w:rPr>
                <w:rFonts w:ascii="Times New Roman" w:hAnsi="Times New Roman" w:cs="Times New Roman"/>
                <w:sz w:val="24"/>
                <w:szCs w:val="24"/>
                <w:lang w:eastAsia="zh-CN"/>
              </w:rPr>
              <w:t>1</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3。</w:t>
            </w:r>
          </w:p>
          <w:p w14:paraId="7FB80B8C">
            <w:pPr>
              <w:autoSpaceDE/>
              <w:autoSpaceDN/>
              <w:jc w:val="center"/>
              <w:rPr>
                <w:rFonts w:ascii="Times New Roman" w:hAnsi="Times New Roman" w:cs="Times New Roman"/>
                <w:b/>
                <w:bCs/>
                <w:kern w:val="2"/>
                <w:sz w:val="21"/>
                <w:szCs w:val="24"/>
                <w:lang w:eastAsia="zh-CN"/>
              </w:rPr>
            </w:pPr>
            <w:r>
              <w:rPr>
                <w:rFonts w:ascii="Times New Roman" w:hAnsi="Times New Roman" w:cs="Times New Roman"/>
                <w:b/>
                <w:bCs/>
                <w:kern w:val="2"/>
                <w:sz w:val="21"/>
                <w:szCs w:val="24"/>
                <w:lang w:eastAsia="zh-CN"/>
              </w:rPr>
              <w:t>表</w:t>
            </w:r>
            <w:r>
              <w:rPr>
                <w:rFonts w:hint="eastAsia" w:ascii="Times New Roman" w:hAnsi="Times New Roman" w:cs="Times New Roman"/>
                <w:b/>
                <w:bCs/>
                <w:kern w:val="2"/>
                <w:sz w:val="21"/>
                <w:szCs w:val="24"/>
                <w:lang w:eastAsia="zh-CN"/>
              </w:rPr>
              <w:t>1</w:t>
            </w:r>
            <w:r>
              <w:rPr>
                <w:rFonts w:ascii="Times New Roman" w:hAnsi="Times New Roman" w:cs="Times New Roman"/>
                <w:b/>
                <w:bCs/>
                <w:kern w:val="2"/>
                <w:sz w:val="21"/>
                <w:szCs w:val="24"/>
                <w:lang w:eastAsia="zh-CN"/>
              </w:rPr>
              <w:t xml:space="preserve">.3  </w:t>
            </w:r>
            <w:r>
              <w:rPr>
                <w:rFonts w:hint="eastAsia" w:ascii="Times New Roman" w:hAnsi="Times New Roman" w:cs="Times New Roman"/>
                <w:b/>
                <w:bCs/>
                <w:kern w:val="2"/>
                <w:sz w:val="21"/>
                <w:szCs w:val="24"/>
                <w:lang w:eastAsia="zh-CN"/>
              </w:rPr>
              <w:t>项目</w:t>
            </w:r>
            <w:r>
              <w:rPr>
                <w:rFonts w:ascii="Times New Roman" w:hAnsi="Times New Roman" w:cs="Times New Roman"/>
                <w:b/>
                <w:bCs/>
                <w:kern w:val="2"/>
                <w:sz w:val="21"/>
                <w:szCs w:val="24"/>
                <w:lang w:eastAsia="zh-CN"/>
              </w:rPr>
              <w:t>与</w:t>
            </w:r>
            <w:r>
              <w:rPr>
                <w:rFonts w:hint="eastAsia" w:ascii="Times New Roman" w:hAnsi="Times New Roman" w:cs="Times New Roman"/>
                <w:b/>
                <w:bCs/>
                <w:kern w:val="2"/>
                <w:sz w:val="21"/>
                <w:szCs w:val="24"/>
                <w:lang w:eastAsia="zh-CN"/>
              </w:rPr>
              <w:t>“吉木萨尔县一般管控单元”符合性分析</w:t>
            </w:r>
          </w:p>
          <w:tbl>
            <w:tblPr>
              <w:tblStyle w:val="12"/>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4408"/>
              <w:gridCol w:w="1421"/>
              <w:gridCol w:w="466"/>
            </w:tblGrid>
            <w:tr w14:paraId="404B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023B5CB9">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管控</w:t>
                  </w:r>
                </w:p>
                <w:p w14:paraId="3A60CC3F">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类别</w:t>
                  </w:r>
                </w:p>
              </w:tc>
              <w:tc>
                <w:tcPr>
                  <w:tcW w:w="3114" w:type="pct"/>
                  <w:vAlign w:val="center"/>
                </w:tcPr>
                <w:p w14:paraId="2E8858B8">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管控要求</w:t>
                  </w:r>
                </w:p>
              </w:tc>
              <w:tc>
                <w:tcPr>
                  <w:tcW w:w="1004" w:type="pct"/>
                  <w:vAlign w:val="center"/>
                </w:tcPr>
                <w:p w14:paraId="3FC04E6E">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本项目</w:t>
                  </w:r>
                </w:p>
                <w:p w14:paraId="4F8DA5A8">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情况</w:t>
                  </w:r>
                </w:p>
              </w:tc>
              <w:tc>
                <w:tcPr>
                  <w:tcW w:w="329" w:type="pct"/>
                  <w:vAlign w:val="center"/>
                </w:tcPr>
                <w:p w14:paraId="0818F3C1">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符合性</w:t>
                  </w:r>
                </w:p>
              </w:tc>
            </w:tr>
            <w:tr w14:paraId="7617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39AF0DF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空间</w:t>
                  </w:r>
                </w:p>
                <w:p w14:paraId="0BB80FC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布局</w:t>
                  </w:r>
                </w:p>
                <w:p w14:paraId="2F431F7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约束</w:t>
                  </w:r>
                </w:p>
              </w:tc>
              <w:tc>
                <w:tcPr>
                  <w:tcW w:w="3114" w:type="pct"/>
                  <w:vAlign w:val="center"/>
                </w:tcPr>
                <w:p w14:paraId="3D1AD29A">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1、执行自治区总体准入要求中关于一般环境管控单元的准入要求（A7.1）。</w:t>
                  </w:r>
                </w:p>
                <w:p w14:paraId="490E2487">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7.1-1限制进行大规模高强度工业化城镇化开发，严格控制金属冶炼、石油化工、焦化等“高污染、高环境风险产品”工业项目，原则上不增加产能，现有“高污染、高环境风险产品”工业项目持续削减污染物排放总量并严格控制环境风险。原则上禁止建设涉及一类重金属、持久性有机污染物排放的工业项目。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004" w:type="pct"/>
                  <w:vAlign w:val="center"/>
                </w:tcPr>
                <w:p w14:paraId="3E9C2CEE">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本项目不属于“高污染、高环境风险产品”工业项目，不涉及畜禽养殖，不涉及占用基本农田。</w:t>
                  </w:r>
                </w:p>
              </w:tc>
              <w:tc>
                <w:tcPr>
                  <w:tcW w:w="329" w:type="pct"/>
                  <w:vAlign w:val="center"/>
                </w:tcPr>
                <w:p w14:paraId="087470C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0D28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0B8982F8">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污染</w:t>
                  </w:r>
                </w:p>
                <w:p w14:paraId="35720B48">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物排</w:t>
                  </w:r>
                </w:p>
                <w:p w14:paraId="7327A2E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放管</w:t>
                  </w:r>
                </w:p>
                <w:p w14:paraId="52A20270">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控</w:t>
                  </w:r>
                </w:p>
              </w:tc>
              <w:tc>
                <w:tcPr>
                  <w:tcW w:w="3114" w:type="pct"/>
                  <w:vAlign w:val="center"/>
                </w:tcPr>
                <w:p w14:paraId="2C446046">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1、执行自治区总体准入要求中关于一般环境管控单元的准入要求（A7.2）。</w:t>
                  </w:r>
                </w:p>
                <w:p w14:paraId="562E323F">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A7.2-1落实污染物总量控制制度，根据区域环境质量改善目标，削减污染物排放总量。加强农业面源污染治理，严格控制化肥农药施加量，逐步削减农业面源污染物排放量。</w:t>
                  </w:r>
                </w:p>
              </w:tc>
              <w:tc>
                <w:tcPr>
                  <w:tcW w:w="1004" w:type="pct"/>
                  <w:vAlign w:val="center"/>
                </w:tcPr>
                <w:p w14:paraId="454A8C67">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本项目污染物排放量较小，不涉及农业面源污染治理。</w:t>
                  </w:r>
                </w:p>
              </w:tc>
              <w:tc>
                <w:tcPr>
                  <w:tcW w:w="329" w:type="pct"/>
                  <w:vAlign w:val="center"/>
                </w:tcPr>
                <w:p w14:paraId="57F92C60">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1CCB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5B53D34E">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环境</w:t>
                  </w:r>
                </w:p>
                <w:p w14:paraId="39DE492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风险</w:t>
                  </w:r>
                </w:p>
                <w:p w14:paraId="1FA933A3">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防控</w:t>
                  </w:r>
                </w:p>
              </w:tc>
              <w:tc>
                <w:tcPr>
                  <w:tcW w:w="3114" w:type="pct"/>
                  <w:vAlign w:val="center"/>
                </w:tcPr>
                <w:p w14:paraId="392EBF38">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1、执行自治区总体准入要求中关于一般环境管控单元的准入要求（A7.3）。</w:t>
                  </w:r>
                </w:p>
                <w:p w14:paraId="516A9A5D">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7.3-1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1004" w:type="pct"/>
                  <w:vAlign w:val="center"/>
                </w:tcPr>
                <w:p w14:paraId="01B0C585">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本项目另行单独编制水土保持方案，制定相关水土保持措施。本项目不涉及向农用地排放重金属或者其他有毒有害物质。</w:t>
                  </w:r>
                </w:p>
              </w:tc>
              <w:tc>
                <w:tcPr>
                  <w:tcW w:w="329" w:type="pct"/>
                  <w:vAlign w:val="center"/>
                </w:tcPr>
                <w:p w14:paraId="759629B9">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1F1F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496F577E">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资源</w:t>
                  </w:r>
                </w:p>
                <w:p w14:paraId="4F7C615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开发</w:t>
                  </w:r>
                </w:p>
                <w:p w14:paraId="71AEA43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利用</w:t>
                  </w:r>
                </w:p>
                <w:p w14:paraId="53DE9D82">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效率</w:t>
                  </w:r>
                </w:p>
              </w:tc>
              <w:tc>
                <w:tcPr>
                  <w:tcW w:w="3114" w:type="pct"/>
                  <w:vAlign w:val="center"/>
                </w:tcPr>
                <w:p w14:paraId="1E4D61AA">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w:t>
                  </w:r>
                  <w:r>
                    <w:rPr>
                      <w:rFonts w:hint="eastAsia" w:ascii="Times New Roman" w:hAnsi="Times New Roman" w:cs="Times New Roman"/>
                      <w:spacing w:val="4"/>
                      <w:kern w:val="2"/>
                      <w:sz w:val="21"/>
                      <w:szCs w:val="21"/>
                      <w:lang w:eastAsia="zh-CN"/>
                    </w:rPr>
                    <w:t>执行自治区总体准入要求中关于一般环境管控单元的准入要求（</w:t>
                  </w:r>
                  <w:r>
                    <w:rPr>
                      <w:rFonts w:ascii="Times New Roman" w:hAnsi="Times New Roman" w:cs="Times New Roman"/>
                      <w:spacing w:val="4"/>
                      <w:kern w:val="2"/>
                      <w:sz w:val="21"/>
                      <w:szCs w:val="21"/>
                      <w:lang w:eastAsia="zh-CN"/>
                    </w:rPr>
                    <w:t>A7.4）。</w:t>
                  </w:r>
                </w:p>
                <w:p w14:paraId="19A87DA5">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A7.4-1实行水资源消耗总量和强度双控，推进农业节水，提高农业用水效率。优化能源结构，加强能源清洁利用。</w:t>
                  </w:r>
                </w:p>
              </w:tc>
              <w:tc>
                <w:tcPr>
                  <w:tcW w:w="1004" w:type="pct"/>
                  <w:vAlign w:val="center"/>
                </w:tcPr>
                <w:p w14:paraId="6FE8CFF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本项不涉及</w:t>
                  </w:r>
                  <w:r>
                    <w:rPr>
                      <w:rFonts w:ascii="Times New Roman" w:hAnsi="Times New Roman" w:cs="Times New Roman"/>
                      <w:spacing w:val="4"/>
                      <w:kern w:val="2"/>
                      <w:sz w:val="21"/>
                      <w:szCs w:val="21"/>
                      <w:lang w:eastAsia="zh-CN"/>
                    </w:rPr>
                    <w:t>。</w:t>
                  </w:r>
                </w:p>
              </w:tc>
              <w:tc>
                <w:tcPr>
                  <w:tcW w:w="329" w:type="pct"/>
                  <w:vAlign w:val="center"/>
                </w:tcPr>
                <w:p w14:paraId="517F63A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bl>
          <w:p w14:paraId="3FDB7B57">
            <w:pPr>
              <w:autoSpaceDE/>
              <w:autoSpaceDN/>
              <w:jc w:val="center"/>
              <w:rPr>
                <w:rFonts w:ascii="Times New Roman" w:hAnsi="Times New Roman" w:cs="Times New Roman"/>
                <w:b/>
                <w:bCs/>
                <w:kern w:val="2"/>
                <w:sz w:val="21"/>
                <w:szCs w:val="24"/>
                <w:lang w:eastAsia="zh-CN"/>
              </w:rPr>
            </w:pPr>
          </w:p>
          <w:p w14:paraId="1E7841BB">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根据《第六师五家渠市“三线一单”生态环境分区管控方案》</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第六师五家渠市</w:t>
            </w:r>
            <w:r>
              <w:rPr>
                <w:rFonts w:ascii="Times New Roman" w:hAnsi="Times New Roman" w:cs="Times New Roman"/>
                <w:sz w:val="24"/>
                <w:szCs w:val="24"/>
                <w:lang w:eastAsia="zh-CN"/>
              </w:rPr>
              <w:t>共划定57个管控单元，其中：优先保护单元10个，重点管控单元33个，一般管控单元14个。</w:t>
            </w:r>
          </w:p>
          <w:p w14:paraId="273C477D">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w:t>
            </w:r>
            <w:r>
              <w:rPr>
                <w:rFonts w:ascii="Times New Roman" w:hAnsi="Times New Roman" w:cs="Times New Roman"/>
                <w:sz w:val="24"/>
                <w:szCs w:val="24"/>
                <w:lang w:eastAsia="zh-CN"/>
              </w:rPr>
              <w:t>k58+360-k109+380路段占地涉及</w:t>
            </w:r>
            <w:r>
              <w:rPr>
                <w:rFonts w:hint="eastAsia" w:ascii="Times New Roman" w:hAnsi="Times New Roman" w:cs="Times New Roman"/>
                <w:sz w:val="24"/>
                <w:szCs w:val="24"/>
                <w:lang w:eastAsia="zh-CN"/>
              </w:rPr>
              <w:t>第六师五家渠市一般管控单元</w:t>
            </w:r>
            <w:r>
              <w:rPr>
                <w:rFonts w:ascii="Times New Roman" w:hAnsi="Times New Roman" w:cs="Times New Roman"/>
                <w:sz w:val="24"/>
                <w:szCs w:val="24"/>
                <w:lang w:eastAsia="zh-CN"/>
              </w:rPr>
              <w:t>，单元名称为：</w:t>
            </w:r>
            <w:r>
              <w:rPr>
                <w:rFonts w:hint="eastAsia" w:ascii="Times New Roman" w:hAnsi="Times New Roman" w:cs="Times New Roman"/>
                <w:sz w:val="24"/>
                <w:szCs w:val="24"/>
                <w:lang w:eastAsia="zh-CN"/>
              </w:rPr>
              <w:t>红旗农场一般管控单元</w:t>
            </w:r>
            <w:r>
              <w:rPr>
                <w:rFonts w:ascii="Times New Roman" w:hAnsi="Times New Roman" w:cs="Times New Roman"/>
                <w:sz w:val="24"/>
                <w:szCs w:val="24"/>
                <w:lang w:eastAsia="zh-CN"/>
              </w:rPr>
              <w:t>，单元代码为：ZH65761230001</w:t>
            </w:r>
            <w:r>
              <w:rPr>
                <w:rFonts w:hint="eastAsia" w:ascii="Times New Roman" w:hAnsi="Times New Roman" w:cs="Times New Roman"/>
                <w:sz w:val="24"/>
                <w:szCs w:val="24"/>
                <w:lang w:eastAsia="zh-CN"/>
              </w:rPr>
              <w:t>。本项目与该管控单元符合性分析具体见表</w:t>
            </w:r>
            <w:r>
              <w:rPr>
                <w:rFonts w:ascii="Times New Roman" w:hAnsi="Times New Roman" w:cs="Times New Roman"/>
                <w:sz w:val="24"/>
                <w:szCs w:val="24"/>
                <w:lang w:eastAsia="zh-CN"/>
              </w:rPr>
              <w:t>1</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4。</w:t>
            </w:r>
          </w:p>
          <w:p w14:paraId="4E8F595B">
            <w:pPr>
              <w:autoSpaceDE/>
              <w:autoSpaceDN/>
              <w:jc w:val="center"/>
              <w:rPr>
                <w:rFonts w:ascii="Times New Roman" w:hAnsi="Times New Roman" w:cs="Times New Roman"/>
                <w:b/>
                <w:bCs/>
                <w:kern w:val="2"/>
                <w:sz w:val="21"/>
                <w:szCs w:val="24"/>
                <w:lang w:eastAsia="zh-CN"/>
              </w:rPr>
            </w:pPr>
            <w:r>
              <w:rPr>
                <w:rFonts w:ascii="Times New Roman" w:hAnsi="Times New Roman" w:cs="Times New Roman"/>
                <w:b/>
                <w:bCs/>
                <w:kern w:val="2"/>
                <w:sz w:val="21"/>
                <w:szCs w:val="24"/>
                <w:lang w:eastAsia="zh-CN"/>
              </w:rPr>
              <w:t>表</w:t>
            </w:r>
            <w:r>
              <w:rPr>
                <w:rFonts w:hint="eastAsia" w:ascii="Times New Roman" w:hAnsi="Times New Roman" w:cs="Times New Roman"/>
                <w:b/>
                <w:bCs/>
                <w:kern w:val="2"/>
                <w:sz w:val="21"/>
                <w:szCs w:val="24"/>
                <w:lang w:eastAsia="zh-CN"/>
              </w:rPr>
              <w:t>1</w:t>
            </w:r>
            <w:r>
              <w:rPr>
                <w:rFonts w:ascii="Times New Roman" w:hAnsi="Times New Roman" w:cs="Times New Roman"/>
                <w:b/>
                <w:bCs/>
                <w:kern w:val="2"/>
                <w:sz w:val="21"/>
                <w:szCs w:val="24"/>
                <w:lang w:eastAsia="zh-CN"/>
              </w:rPr>
              <w:t xml:space="preserve">.4  </w:t>
            </w:r>
            <w:r>
              <w:rPr>
                <w:rFonts w:hint="eastAsia" w:ascii="Times New Roman" w:hAnsi="Times New Roman" w:cs="Times New Roman"/>
                <w:b/>
                <w:bCs/>
                <w:kern w:val="2"/>
                <w:sz w:val="21"/>
                <w:szCs w:val="24"/>
                <w:lang w:eastAsia="zh-CN"/>
              </w:rPr>
              <w:t>项目</w:t>
            </w:r>
            <w:r>
              <w:rPr>
                <w:rFonts w:ascii="Times New Roman" w:hAnsi="Times New Roman" w:cs="Times New Roman"/>
                <w:b/>
                <w:bCs/>
                <w:kern w:val="2"/>
                <w:sz w:val="21"/>
                <w:szCs w:val="24"/>
                <w:lang w:eastAsia="zh-CN"/>
              </w:rPr>
              <w:t>与</w:t>
            </w:r>
            <w:r>
              <w:rPr>
                <w:rFonts w:hint="eastAsia" w:ascii="Times New Roman" w:hAnsi="Times New Roman" w:cs="Times New Roman"/>
                <w:b/>
                <w:bCs/>
                <w:kern w:val="2"/>
                <w:sz w:val="21"/>
                <w:szCs w:val="24"/>
                <w:lang w:eastAsia="zh-CN"/>
              </w:rPr>
              <w:t>“红旗农场一般管控单元”符合性分析</w:t>
            </w:r>
          </w:p>
          <w:tbl>
            <w:tblPr>
              <w:tblStyle w:val="12"/>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4408"/>
              <w:gridCol w:w="1421"/>
              <w:gridCol w:w="466"/>
            </w:tblGrid>
            <w:tr w14:paraId="7765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6C63D4D1">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管控</w:t>
                  </w:r>
                </w:p>
                <w:p w14:paraId="4CE8512F">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类别</w:t>
                  </w:r>
                </w:p>
              </w:tc>
              <w:tc>
                <w:tcPr>
                  <w:tcW w:w="3114" w:type="pct"/>
                  <w:vAlign w:val="center"/>
                </w:tcPr>
                <w:p w14:paraId="077F4A46">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管控要求</w:t>
                  </w:r>
                </w:p>
              </w:tc>
              <w:tc>
                <w:tcPr>
                  <w:tcW w:w="1004" w:type="pct"/>
                  <w:vAlign w:val="center"/>
                </w:tcPr>
                <w:p w14:paraId="39511CDF">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本项目</w:t>
                  </w:r>
                </w:p>
                <w:p w14:paraId="77CD6EC0">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情况</w:t>
                  </w:r>
                </w:p>
              </w:tc>
              <w:tc>
                <w:tcPr>
                  <w:tcW w:w="329" w:type="pct"/>
                  <w:vAlign w:val="center"/>
                </w:tcPr>
                <w:p w14:paraId="1F1EB07E">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符合性</w:t>
                  </w:r>
                </w:p>
              </w:tc>
            </w:tr>
            <w:tr w14:paraId="36BB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0CB5B9ED">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空间</w:t>
                  </w:r>
                </w:p>
                <w:p w14:paraId="32AA6C4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布局</w:t>
                  </w:r>
                </w:p>
                <w:p w14:paraId="4F08959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约束</w:t>
                  </w:r>
                </w:p>
              </w:tc>
              <w:tc>
                <w:tcPr>
                  <w:tcW w:w="3114" w:type="pct"/>
                  <w:vAlign w:val="center"/>
                </w:tcPr>
                <w:p w14:paraId="65B39C3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普适性管控要求：</w:t>
                  </w:r>
                </w:p>
                <w:p w14:paraId="7CA07C5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1.1）大气环境：</w:t>
                  </w:r>
                </w:p>
                <w:p w14:paraId="33CFD374">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1.1.1）加快城市及周边绿化和防风防沙林建设。扩大城市建成区绿地规模，继续推进道路绿化、居住区绿化、立体空间绿化。</w:t>
                  </w:r>
                </w:p>
                <w:p w14:paraId="46EFD0B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1.1.2）淘汰集中供热管网覆盖范围内的燃煤锅炉，加快逐步淘汰建成区燃煤锅炉，加大燃煤锅炉及设施“电能替代”改造力度。</w:t>
                  </w:r>
                </w:p>
                <w:p w14:paraId="79262868">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1.1.3）加强企事业单位及居民燃煤散烧控制。</w:t>
                  </w:r>
                </w:p>
                <w:p w14:paraId="47E925A0">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1.1.4）严格落实建筑施工、道路、车辆运输、堆场等扬尘源点污染控制要求，扩大绿地和地面铺装硬化面积。</w:t>
                  </w:r>
                </w:p>
                <w:p w14:paraId="5655511A">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1.1.5）具备风光电清洁供暖建设条件的区域，原则上不新批热电联产项目。</w:t>
                  </w:r>
                </w:p>
                <w:p w14:paraId="22153474">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1.1.6）加大燃煤小锅炉淘汰力度。</w:t>
                  </w:r>
                  <w:r>
                    <w:rPr>
                      <w:rFonts w:hint="eastAsia"/>
                      <w:spacing w:val="4"/>
                      <w:kern w:val="2"/>
                      <w:sz w:val="21"/>
                      <w:szCs w:val="21"/>
                      <w:lang w:eastAsia="zh-CN"/>
                    </w:rPr>
                    <w:t>①</w:t>
                  </w:r>
                  <w:r>
                    <w:rPr>
                      <w:rFonts w:ascii="Times New Roman" w:hAnsi="Times New Roman" w:cs="Times New Roman"/>
                      <w:spacing w:val="4"/>
                      <w:kern w:val="2"/>
                      <w:sz w:val="21"/>
                      <w:szCs w:val="21"/>
                      <w:lang w:eastAsia="zh-CN"/>
                    </w:rPr>
                    <w:t>城市建成区淘汰每小时10蒸吨及以下燃煤锅炉及茶水炉、经营性炉灶、储粮烘干设备等燃煤设施，原则上不再新建每小时35蒸吨以下的燃煤锅炉。</w:t>
                  </w:r>
                  <w:r>
                    <w:rPr>
                      <w:rFonts w:hint="eastAsia"/>
                      <w:spacing w:val="4"/>
                      <w:kern w:val="2"/>
                      <w:sz w:val="21"/>
                      <w:szCs w:val="21"/>
                      <w:lang w:eastAsia="zh-CN"/>
                    </w:rPr>
                    <w:t>②</w:t>
                  </w:r>
                  <w:r>
                    <w:rPr>
                      <w:rFonts w:ascii="Times New Roman" w:hAnsi="Times New Roman" w:cs="Times New Roman"/>
                      <w:spacing w:val="4"/>
                      <w:kern w:val="2"/>
                      <w:sz w:val="21"/>
                      <w:szCs w:val="21"/>
                      <w:lang w:eastAsia="zh-CN"/>
                    </w:rPr>
                    <w:t>团场严禁新建10蒸吨以下的小锅炉，严格限制建设20蒸吨以下的小锅炉。</w:t>
                  </w:r>
                  <w:r>
                    <w:rPr>
                      <w:rFonts w:hint="eastAsia"/>
                      <w:spacing w:val="4"/>
                      <w:kern w:val="2"/>
                      <w:sz w:val="21"/>
                      <w:szCs w:val="21"/>
                      <w:lang w:eastAsia="zh-CN"/>
                    </w:rPr>
                    <w:t>③</w:t>
                  </w:r>
                  <w:r>
                    <w:rPr>
                      <w:rFonts w:ascii="Times New Roman" w:hAnsi="Times New Roman" w:cs="Times New Roman"/>
                      <w:spacing w:val="4"/>
                      <w:kern w:val="2"/>
                      <w:sz w:val="21"/>
                      <w:szCs w:val="21"/>
                      <w:lang w:eastAsia="zh-CN"/>
                    </w:rPr>
                    <w:t>环境空气质量未达标地区加大淘汰力度。</w:t>
                  </w:r>
                  <w:r>
                    <w:rPr>
                      <w:rFonts w:hint="eastAsia"/>
                      <w:spacing w:val="4"/>
                      <w:kern w:val="2"/>
                      <w:sz w:val="21"/>
                      <w:szCs w:val="21"/>
                      <w:lang w:eastAsia="zh-CN"/>
                    </w:rPr>
                    <w:t>④</w:t>
                  </w:r>
                  <w:r>
                    <w:rPr>
                      <w:rFonts w:ascii="Times New Roman" w:hAnsi="Times New Roman" w:cs="Times New Roman"/>
                      <w:spacing w:val="4"/>
                      <w:kern w:val="2"/>
                      <w:sz w:val="21"/>
                      <w:szCs w:val="21"/>
                      <w:lang w:eastAsia="zh-CN"/>
                    </w:rPr>
                    <w:t>国家级、兵团级工业园区基本淘汰每小时35蒸吨以下燃煤锅炉，禁止新建每小时65蒸吨以下燃煤锅炉。</w:t>
                  </w:r>
                </w:p>
                <w:p w14:paraId="228A101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1.1.7）相关师环保部门要严格按照大气污染物特别排放限值要求审批相应的新建项目，并严格对新建项目的“三同时”进行监管，确保达标排放。</w:t>
                  </w:r>
                </w:p>
                <w:p w14:paraId="25984D4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1.1.8）大气污染联防联控区域内新建火电、钢铁、石化、水泥、有色金属冶炼、化工等企业以及燃煤锅炉要执行大气污染物特别排放限值，现有企业要按规定时限达到大气污染物特别排放限值要求，对达不到要求的，要采取限期治理、关停等措施。</w:t>
                  </w:r>
                </w:p>
                <w:p w14:paraId="5ED94720">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1.1.9）现有火电、钢铁、水泥、铝企业不能达到大气污染物特别排放限值的，应根据超标情况制订限期治理计划，确保在规定时间内实现达标排放。限期治理后仍不能达标的，按相关规定查处。</w:t>
                  </w:r>
                </w:p>
                <w:p w14:paraId="508A8884">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1.2）水环境：</w:t>
                  </w:r>
                </w:p>
                <w:p w14:paraId="6DA40D63">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1.2.1）青格达湖地下水源一级保护区内，禁止建设与取水设施无关的建筑物，禁止从事农牧业活动，禁止倾倒、堆放工业废渣、生活垃圾和其他有害废弃物。</w:t>
                  </w:r>
                </w:p>
                <w:p w14:paraId="49A27C3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1.2.2）禁止在生活饮用水源保护区建设畜禽养殖场，对已建成的畜禽养殖场限期搬迁或关闭。</w:t>
                  </w:r>
                </w:p>
                <w:p w14:paraId="7983F72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1.2.3）加快城镇污水处理设施建设与改造。五家渠市及重点独立建制镇均应建成污水处理设施，现有城镇污水处理设施，要因地制宜进行改造。五家渠市新改扩建城镇污水处理设施要执行一级A排放标准。加强污水处理设施运行管理，建立和完善污水处理设施第三方运营机制。</w:t>
                  </w:r>
                </w:p>
                <w:p w14:paraId="56ADCE0A">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1.2.4）保护水和湿地生态系统。加强河湖水生态保护，落实生态保护红线。禁止侵占自然湿地等水源涵养空间，已侵占的要限期予以恢复。实施流域湿地保护与恢复工程，继续加大退耕还林、还草、还湿、还水力度。加强滨河带生态建设，在河道两侧建设植被缓冲带和隔离带。加大湿地类自然保护区保护力度，开展重点保护水禽繁殖栖息地、越冬地或迁徙停歇地保护工作提高生物多样性。</w:t>
                  </w:r>
                </w:p>
                <w:p w14:paraId="64C6301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1.2.5）严格执行水资源管理制度和工业项目水耗标准，对于水耗总量大、单位产品水耗高的项目要按照相关水耗标准的先进值进行准入限制，不达标的项目视同“三高”项目严格禁止新、改、扩建。</w:t>
                  </w:r>
                </w:p>
                <w:p w14:paraId="222F059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1.3）土壤环境：</w:t>
                  </w:r>
                </w:p>
                <w:p w14:paraId="00F6770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1.3.1）强化空间布局管控，加强规划区划和建设项目布局论证，合理确定区域功能定位、空间布局。</w:t>
                  </w:r>
                </w:p>
                <w:p w14:paraId="0A403297">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1.3.2）严格用地准入，土地开发利用必须符合土壤环境质量要求。充分考虑污染地块的环境风险，合理确定土地用途。</w:t>
                  </w:r>
                </w:p>
                <w:p w14:paraId="5BE17A6F">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1.3.3）加强对严格管控类耕地的用途管理，特定农产品禁止生产区内严禁种植食用农产品。</w:t>
                  </w:r>
                </w:p>
                <w:p w14:paraId="7422E6C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1.3.4）严格执行相关行业企业布局选址要求，禁止在居民区、学校、医疗和养老机构等周边新建有色金属冶炼、焦化等行业企业；结合推进新型城镇化、产业结构调整和化解过剩产能。</w:t>
                  </w:r>
                </w:p>
                <w:p w14:paraId="79FC3868">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1.3.5）结合区域功能定位和土壤污染防治需要，科学布局生活垃圾处理、危险废物处置、废旧资源再生利用等设施和场所，合理确定畜禽养殖布局和规模。</w:t>
                  </w:r>
                </w:p>
                <w:p w14:paraId="5C0CDEFF">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1.3.6）淘汰涉重金属重点行业落后产能，完善重金属相关行业准入条件，禁止新建落后产能或产能严重过剩行业的建设项目。</w:t>
                  </w:r>
                </w:p>
                <w:p w14:paraId="74D3C828">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1.3.7）科学划定农用地土壤环境质量类别。按污染程度将农用地划为三个类别，未污染和轻微污染的划为优先保护类，轻度和中度污染的划为安全利用类，重度污染的划为严格管控类，以耕地为重点，分别采取相应管理措施，保障农产品质量安全。</w:t>
                  </w:r>
                </w:p>
                <w:p w14:paraId="7BB29978">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1.4）鼓励六师五家渠市发展铝深加工项目、石油天然气深加工项目、生物产业项目、装备制造项目、新一代信息技术产业项目以及碳、铝、硅基新材料项目；兵团准东产业园区发展煤化工、氯碱化工深加工项目以及发展纺织服装深加工项目。</w:t>
                  </w:r>
                </w:p>
                <w:p w14:paraId="0DB68303">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1.5）完善城市信息基础设施。按照自治区、兵团总体部署，有序推进五家渠市信息基础设施改造升级，提升城市网络承载力，重点支持治安、民生领域信息系统智能化改造，利用信息技术进一步方便市民日常生活，促进信息消费和信息产业发展。</w:t>
                  </w:r>
                </w:p>
                <w:p w14:paraId="2DCCCBA7">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1.6）加快发展新型功能材料产业。鼓励光纤光缆新材料企业降低能耗、提升效能，不断扩大生产规模，提高新材料产品有效供给。促进产业向价值链中高端迈进，形成新产业，扩大规模，提升市场占有率。</w:t>
                  </w:r>
                </w:p>
                <w:p w14:paraId="24AD9D0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1.7）加大钢铁、水泥、焦炭、玻璃、煤炭等行业落后产能淘汰力度。实施差别电价、惩罚性电价等价格杠杆，推进落后、过剩产能退出。</w:t>
                  </w:r>
                </w:p>
                <w:p w14:paraId="1807928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1.8）根据主导生态功能定位，实施差别化管理，确保生态保护红线生态功能不降低、面积不减少、性质不改变。对生态保护红线内的自然保护区、国家公园、风景名胜区、森林公园、地质公园、世界自然遗产、湿地公园、饮用水水源保护区等各类保护地的管理，法律法规和规章另有规定的，从其规定。</w:t>
                  </w:r>
                </w:p>
                <w:p w14:paraId="53C85D1F">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管控单元管控要求：</w:t>
                  </w:r>
                </w:p>
                <w:p w14:paraId="03293CCE">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1）执行一般生态空间-生物多样性/防风固沙相关要求。</w:t>
                  </w:r>
                </w:p>
                <w:p w14:paraId="4C4BF1A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2）将保护现有荒漠植被作为防沙治沙的首要任务，持续开展防沙治沙工作，保护绿洲边缘荒漠林，避免营造高耗水的人工速生林。</w:t>
                  </w:r>
                </w:p>
              </w:tc>
              <w:tc>
                <w:tcPr>
                  <w:tcW w:w="1004" w:type="pct"/>
                  <w:vAlign w:val="center"/>
                </w:tcPr>
                <w:p w14:paraId="03972DBD">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普适性管控要求符合性分析：（</w:t>
                  </w:r>
                  <w:r>
                    <w:rPr>
                      <w:rFonts w:ascii="Times New Roman" w:hAnsi="Times New Roman" w:cs="Times New Roman"/>
                      <w:spacing w:val="4"/>
                      <w:kern w:val="2"/>
                      <w:sz w:val="21"/>
                      <w:szCs w:val="21"/>
                      <w:lang w:eastAsia="zh-CN"/>
                    </w:rPr>
                    <w:t>1.1）大气环境：</w:t>
                  </w:r>
                </w:p>
                <w:p w14:paraId="500599C5">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目不涉及燃煤锅炉建设，服务区、收费站冬季采用电采暖。本项目不涉及燃煤散烧。施工期设置施工围挡；洒水抑尘；施工材料、土方等覆盖防尘布、遮网；运输车辆驶离工地前清洗车轮及车身，车斗用苫布遮蔽；施工机械设备、运输车辆使用标准柴油，加强机械、车辆维护保养，鼓励优先使用清洁能源货车。（</w:t>
                  </w:r>
                  <w:r>
                    <w:rPr>
                      <w:rFonts w:ascii="Times New Roman" w:hAnsi="Times New Roman" w:cs="Times New Roman"/>
                      <w:spacing w:val="4"/>
                      <w:kern w:val="2"/>
                      <w:sz w:val="21"/>
                      <w:szCs w:val="21"/>
                      <w:lang w:eastAsia="zh-CN"/>
                    </w:rPr>
                    <w:t>1.2）水环境：</w:t>
                  </w:r>
                  <w:r>
                    <w:rPr>
                      <w:rFonts w:hint="eastAsia" w:ascii="Times New Roman" w:hAnsi="Times New Roman" w:cs="Times New Roman"/>
                      <w:spacing w:val="4"/>
                      <w:kern w:val="2"/>
                      <w:sz w:val="21"/>
                      <w:szCs w:val="21"/>
                      <w:lang w:eastAsia="zh-CN"/>
                    </w:rPr>
                    <w:t>本项目不涉及饮用水水源保护区；（</w:t>
                  </w:r>
                  <w:r>
                    <w:rPr>
                      <w:rFonts w:ascii="Times New Roman" w:hAnsi="Times New Roman" w:cs="Times New Roman"/>
                      <w:spacing w:val="4"/>
                      <w:kern w:val="2"/>
                      <w:sz w:val="21"/>
                      <w:szCs w:val="21"/>
                      <w:lang w:eastAsia="zh-CN"/>
                    </w:rPr>
                    <w:t>1.3）土壤环境：</w:t>
                  </w:r>
                  <w:r>
                    <w:rPr>
                      <w:rFonts w:hint="eastAsia" w:ascii="Times New Roman" w:hAnsi="Times New Roman" w:cs="Times New Roman"/>
                      <w:spacing w:val="4"/>
                      <w:kern w:val="2"/>
                      <w:sz w:val="21"/>
                      <w:szCs w:val="21"/>
                      <w:lang w:eastAsia="zh-CN"/>
                    </w:rPr>
                    <w:t>本项目不涉及。</w:t>
                  </w:r>
                </w:p>
                <w:p w14:paraId="1882BA3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管控单元管控要求符合性分析：本项目施工期落实本环评提出的施工期防沙固沙措施。</w:t>
                  </w:r>
                </w:p>
              </w:tc>
              <w:tc>
                <w:tcPr>
                  <w:tcW w:w="329" w:type="pct"/>
                  <w:vAlign w:val="center"/>
                </w:tcPr>
                <w:p w14:paraId="6A2F617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668C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41ADBEC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污染</w:t>
                  </w:r>
                </w:p>
                <w:p w14:paraId="417C7DA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物排</w:t>
                  </w:r>
                </w:p>
                <w:p w14:paraId="5FEE6E8D">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放管</w:t>
                  </w:r>
                </w:p>
                <w:p w14:paraId="5913F81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控</w:t>
                  </w:r>
                </w:p>
              </w:tc>
              <w:tc>
                <w:tcPr>
                  <w:tcW w:w="3114" w:type="pct"/>
                  <w:vAlign w:val="center"/>
                </w:tcPr>
                <w:p w14:paraId="37229AB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普适性管控要求：</w:t>
                  </w:r>
                </w:p>
                <w:p w14:paraId="43B020EF">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2.1）大气环境：</w:t>
                  </w:r>
                </w:p>
                <w:p w14:paraId="56EC4CF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2.1.1）实施燃煤锅炉整治，禁止新建燃煤小锅炉，加快推进集中供热、“煤改气”、“煤改电”工程建设。</w:t>
                  </w:r>
                </w:p>
                <w:p w14:paraId="4252496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2.1.2）加强机动车污染治理，完善机动车环境管理制度。</w:t>
                  </w:r>
                </w:p>
                <w:p w14:paraId="69D780F5">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2.1.3）划定高污染燃料禁燃区并逐渐扩大范围。</w:t>
                  </w:r>
                </w:p>
                <w:p w14:paraId="0B7B373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2.1.4）推进重点行业工业废气治理，不断提高火电、水泥等重点行业脱硫脱硝除尘效率。</w:t>
                  </w:r>
                </w:p>
                <w:p w14:paraId="1101BDEE">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2.1.5）位于自治区特别排放限制执行区域范围内的火电、钢铁、石化、水泥等行业以及燃煤锅炉要执行大气污染物特别排放限值，其他企业一律执行国家最新污染物排放标准，减少污染物排放总量，对达不到要求的，要采取限期治理等措施。</w:t>
                  </w:r>
                </w:p>
                <w:p w14:paraId="0AE0067E">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2.1.6）开展燃煤电厂超低排放和节能改造，实施全工况烟气脱硝改造。鼓励各大电力集团在集团内部火电企业和新能源企业之间开展可再生能源发电权交易。</w:t>
                  </w:r>
                </w:p>
                <w:p w14:paraId="4F65B7A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2.1.7）火电、钢铁、水泥、铝行业新建和已建项目按照环保部发布的《火电大气污染物排放标准》（GB13223-2011）、《钢铁工业水污染物排放标准》（GB13456-2012）、《水泥工业大气污染物排放标准》（GB4915-2013）、《铝工业污染物排放标准》（GB25465-2010）修改单规定的时间执行大气污染物特别排放限值。</w:t>
                  </w:r>
                </w:p>
                <w:p w14:paraId="0C42B3F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2.2）水环境：</w:t>
                  </w:r>
                </w:p>
                <w:p w14:paraId="75FEFD11">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2.2.1）强化城镇生活污水污染治理，加快处理设施建设与改造。全面加强配套管网建设，完善城市排水体制，现有系统加快实施雨污分流改造。</w:t>
                  </w:r>
                </w:p>
                <w:p w14:paraId="523F7C6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2.2.2）到2025年至2035年，全师流域内水质稳定，出境水质不低于入境水质，城市集中式饮用水水源水质达到或优于Ⅲ类比例为100%。</w:t>
                  </w:r>
                </w:p>
                <w:p w14:paraId="68950FD4">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2.2.3）畜禽散养密集区要实行畜禽粪便污水分户收集、集中处理利用。</w:t>
                  </w:r>
                </w:p>
                <w:p w14:paraId="398D14A1">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2.2.4）划定五家渠市饮用水水源地保护区范围，严格执行饮用水源水质控制标准。</w:t>
                  </w:r>
                </w:p>
                <w:p w14:paraId="745D2B71">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2.2.5）新建、改建、扩建农副食品加工、焦化、氨肥、有色金属、造纸等行业建设项目实行主要污染物排放等量或减量置换。持续深化浆粕化纤、煤化工等重点行业环境整治提升，加强废水中重金属、盐分和其他有毒有害污染物的管控。</w:t>
                  </w:r>
                </w:p>
                <w:p w14:paraId="35588EC7">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2.2.6）对超过重点水污染物排放总量控制指标的地区，暂停审批新增重点水污染物排放总量的项目。</w:t>
                  </w:r>
                </w:p>
                <w:p w14:paraId="216A4488">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2.2.7）工业集聚区内工业废水必须经预处理达到集中处理要求方可进入污水集中处理设施，对不符合环保要求的晾晒池、蒸发塘进行清理整顿。</w:t>
                  </w:r>
                </w:p>
                <w:p w14:paraId="04D3DFE4">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2.2.8）逐步实现区域内所有兵团城市和重点镇污水收集处理全覆盖，建立和完善污水处理设施第三方运营机制，加快完成现有污泥处理处置设施达标改造。</w:t>
                  </w:r>
                </w:p>
                <w:p w14:paraId="4F40D01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2.3）土壤环境：</w:t>
                  </w:r>
                </w:p>
                <w:p w14:paraId="047B1CC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2.3.1）合理使用化肥农药，鼓励使用配方肥。加强废弃农膜回收利用，提高农膜质量，严厉打击违法生产和销售不合格农膜的行为。</w:t>
                  </w:r>
                </w:p>
                <w:p w14:paraId="45CF056B">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2.3.2）强化畜禽养殖污染防治，严格规范兽药、饲料添加剂的生产和使用，防止过量使用，促进源头减量。</w:t>
                  </w:r>
                </w:p>
                <w:p w14:paraId="0A0AF98A">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管控单元管控要求：</w:t>
                  </w:r>
                </w:p>
                <w:p w14:paraId="2840842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1）合理使用化肥农药，鼓励使用配方肥。加强废弃农膜回收利用，提高农膜质量，严厉打击违法生产和销售不合格农膜的行为。</w:t>
                  </w:r>
                </w:p>
              </w:tc>
              <w:tc>
                <w:tcPr>
                  <w:tcW w:w="1004" w:type="pct"/>
                  <w:vAlign w:val="center"/>
                </w:tcPr>
                <w:p w14:paraId="32F1AB1A">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普适性管控要求符合性分析：（</w:t>
                  </w:r>
                  <w:r>
                    <w:rPr>
                      <w:rFonts w:ascii="Times New Roman" w:hAnsi="Times New Roman" w:cs="Times New Roman"/>
                      <w:spacing w:val="4"/>
                      <w:kern w:val="2"/>
                      <w:sz w:val="21"/>
                      <w:szCs w:val="21"/>
                      <w:lang w:eastAsia="zh-CN"/>
                    </w:rPr>
                    <w:t>2.1）大气环境：</w:t>
                  </w:r>
                  <w:r>
                    <w:rPr>
                      <w:rFonts w:hint="eastAsia" w:ascii="Times New Roman" w:hAnsi="Times New Roman" w:cs="Times New Roman"/>
                      <w:spacing w:val="4"/>
                      <w:kern w:val="2"/>
                      <w:sz w:val="21"/>
                      <w:szCs w:val="21"/>
                      <w:lang w:eastAsia="zh-CN"/>
                    </w:rPr>
                    <w:t>本项目不涉及燃煤锅炉。本项目为公路建设项目，不属于高污染的重点行业。（</w:t>
                  </w:r>
                  <w:r>
                    <w:rPr>
                      <w:rFonts w:ascii="Times New Roman" w:hAnsi="Times New Roman" w:cs="Times New Roman"/>
                      <w:spacing w:val="4"/>
                      <w:kern w:val="2"/>
                      <w:sz w:val="21"/>
                      <w:szCs w:val="21"/>
                      <w:lang w:eastAsia="zh-CN"/>
                    </w:rPr>
                    <w:t>2.2）水环境：</w:t>
                  </w:r>
                  <w:r>
                    <w:rPr>
                      <w:rFonts w:hint="eastAsia" w:ascii="Times New Roman" w:hAnsi="Times New Roman" w:cs="Times New Roman"/>
                      <w:spacing w:val="4"/>
                      <w:kern w:val="2"/>
                      <w:sz w:val="21"/>
                      <w:szCs w:val="21"/>
                      <w:lang w:eastAsia="zh-CN"/>
                    </w:rPr>
                    <w:t>项目生活污水经污水处理站处理后，用于站区绿化，冬储夏灌不外排。（</w:t>
                  </w:r>
                  <w:r>
                    <w:rPr>
                      <w:rFonts w:ascii="Times New Roman" w:hAnsi="Times New Roman" w:cs="Times New Roman"/>
                      <w:spacing w:val="4"/>
                      <w:kern w:val="2"/>
                      <w:sz w:val="21"/>
                      <w:szCs w:val="21"/>
                      <w:lang w:eastAsia="zh-CN"/>
                    </w:rPr>
                    <w:t>2.3）土壤环境：</w:t>
                  </w:r>
                  <w:r>
                    <w:rPr>
                      <w:rFonts w:hint="eastAsia" w:ascii="Times New Roman" w:hAnsi="Times New Roman" w:cs="Times New Roman"/>
                      <w:spacing w:val="4"/>
                      <w:kern w:val="2"/>
                      <w:sz w:val="21"/>
                      <w:szCs w:val="21"/>
                      <w:lang w:eastAsia="zh-CN"/>
                    </w:rPr>
                    <w:t>本项目不涉及使用化肥农药、畜禽养殖。</w:t>
                  </w:r>
                </w:p>
                <w:p w14:paraId="4E1AE40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管控单元管控要求：本项目不涉及使用化肥农药、地膜。</w:t>
                  </w:r>
                </w:p>
              </w:tc>
              <w:tc>
                <w:tcPr>
                  <w:tcW w:w="329" w:type="pct"/>
                  <w:vAlign w:val="center"/>
                </w:tcPr>
                <w:p w14:paraId="78AB8150">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4C19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44DD719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环境</w:t>
                  </w:r>
                </w:p>
                <w:p w14:paraId="7E5C19B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风险</w:t>
                  </w:r>
                </w:p>
                <w:p w14:paraId="2E53ED48">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防控</w:t>
                  </w:r>
                </w:p>
              </w:tc>
              <w:tc>
                <w:tcPr>
                  <w:tcW w:w="3114" w:type="pct"/>
                  <w:vAlign w:val="center"/>
                </w:tcPr>
                <w:p w14:paraId="7E75BD25">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普适性管控要求：</w:t>
                  </w:r>
                </w:p>
                <w:p w14:paraId="23EFB7E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3.1）大气环境：</w:t>
                  </w:r>
                </w:p>
                <w:p w14:paraId="3E6E24DB">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3.1.1）建立监测预警体系，环保部门加强与气象部门合作，实现环境气象监测信息共享，建立城市重污染天气监测预警体系。</w:t>
                  </w:r>
                </w:p>
                <w:p w14:paraId="2288B18A">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3.1.2）及时采取应急措施，将重污染天气应急响应纳入师（市）突发事件应急管理体系。</w:t>
                  </w:r>
                </w:p>
                <w:p w14:paraId="710FB5A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3.1.3）做好五家渠市大气污染联防联控工作，遵循区域同治和兵地同治原则。</w:t>
                  </w:r>
                </w:p>
                <w:p w14:paraId="02B89C31">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3.2）水环境：</w:t>
                  </w:r>
                </w:p>
                <w:p w14:paraId="7F4CB314">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3.2.1）稳妥处置突发水环境污染事件，落实责任主体，明确预警预报与响应程序、应急处置及保障措施等内容，及时公布预警信息，有效应对突发事件。</w:t>
                  </w:r>
                </w:p>
                <w:p w14:paraId="3C7EF7B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3.2.2）每5-10年调查评估集中式地下水型饮用水水源补给区的环境状况，严格控制地下水富集区污染物排放，对重点区域做好必要的防渗处理。</w:t>
                  </w:r>
                </w:p>
                <w:p w14:paraId="6DF1CBD1">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3.2.3）加强河道排污口设置和使用的监督管理，加强河流湖库环境风险管理，制定并实施水质改善和环境风险防范工作方案等。</w:t>
                  </w:r>
                </w:p>
                <w:p w14:paraId="702514C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3.2.4）制定生活饮用水源污染事故处理应急预案，对威胁饮用水源安全的突发事件进行处置。</w:t>
                  </w:r>
                </w:p>
                <w:p w14:paraId="599BCA5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3.2.5）加强预案管理落实防控措施，排除水污染隐患。评估现有化学物质环境和健康风险，根据国家公布的优先控制化学品名录，对高风险化学品生产、使用进行严格限制并逐步淘汰替代。</w:t>
                  </w:r>
                </w:p>
                <w:p w14:paraId="48ADA180">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3.3）土壤环境：</w:t>
                  </w:r>
                </w:p>
                <w:p w14:paraId="4819930D">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3.3.1）严控工矿污染，加强日常监管，严防矿产资源开发污染土壤。</w:t>
                  </w:r>
                </w:p>
                <w:p w14:paraId="182B349D">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3.3.2）重点监测土壤中镉汞、砷、铅、铬等重金属和多环芳烃、石油烃等有机污染物，重点监管有色金属矿采选、有色金属冶炼、石油加工、化工、焦化、电镀、制革、铅酸蓄电池、危险废物处置、电子拆解、涉重金属等重点行业，以及粮油蔬菜主产区、城市建成区等区域。</w:t>
                  </w:r>
                </w:p>
                <w:p w14:paraId="4C8E2B2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3.3.3）对优先保护类耕地面积减少或土壤环境质量下降的团（场）要进行预警提醒，并依法采取环评限批等限制性措施。</w:t>
                  </w:r>
                </w:p>
                <w:p w14:paraId="1F5137DD">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3.3.4）对污染扩散的污染地块，有关责任主体要及时采取污染物隔离、阻断等环境风险管控措施。</w:t>
                  </w:r>
                </w:p>
                <w:p w14:paraId="21EA675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管控单元管控要求：</w:t>
                  </w:r>
                </w:p>
                <w:p w14:paraId="1BB16D24">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1）对耕地面积减少或土壤环境质量下降的团场要进行预警提醒，并依法采取环评限批等限制性措施。</w:t>
                  </w:r>
                </w:p>
              </w:tc>
              <w:tc>
                <w:tcPr>
                  <w:tcW w:w="1004" w:type="pct"/>
                  <w:vAlign w:val="center"/>
                </w:tcPr>
                <w:p w14:paraId="7197BB03">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普适性管控要求符合性分析：（</w:t>
                  </w:r>
                  <w:r>
                    <w:rPr>
                      <w:rFonts w:ascii="Times New Roman" w:hAnsi="Times New Roman" w:cs="Times New Roman"/>
                      <w:spacing w:val="4"/>
                      <w:kern w:val="2"/>
                      <w:sz w:val="21"/>
                      <w:szCs w:val="21"/>
                      <w:lang w:eastAsia="zh-CN"/>
                    </w:rPr>
                    <w:t>3.1）大气环境：</w:t>
                  </w:r>
                  <w:r>
                    <w:rPr>
                      <w:rFonts w:hint="eastAsia" w:ascii="Times New Roman" w:hAnsi="Times New Roman" w:cs="Times New Roman"/>
                      <w:spacing w:val="4"/>
                      <w:kern w:val="2"/>
                      <w:sz w:val="21"/>
                      <w:szCs w:val="21"/>
                      <w:lang w:eastAsia="zh-CN"/>
                    </w:rPr>
                    <w:t>项目建成头晕后，按管控要求执行。（</w:t>
                  </w:r>
                  <w:r>
                    <w:rPr>
                      <w:rFonts w:ascii="Times New Roman" w:hAnsi="Times New Roman" w:cs="Times New Roman"/>
                      <w:spacing w:val="4"/>
                      <w:kern w:val="2"/>
                      <w:sz w:val="21"/>
                      <w:szCs w:val="21"/>
                      <w:lang w:eastAsia="zh-CN"/>
                    </w:rPr>
                    <w:t>3.2）水环境：</w:t>
                  </w:r>
                  <w:r>
                    <w:rPr>
                      <w:rFonts w:hint="eastAsia" w:ascii="Times New Roman" w:hAnsi="Times New Roman" w:cs="Times New Roman"/>
                      <w:spacing w:val="4"/>
                      <w:kern w:val="2"/>
                      <w:sz w:val="21"/>
                      <w:szCs w:val="21"/>
                      <w:lang w:eastAsia="zh-CN"/>
                    </w:rPr>
                    <w:t>项目生活污水经污水处理站处理后，用于站区绿化，冬储夏灌不外排。（</w:t>
                  </w:r>
                  <w:r>
                    <w:rPr>
                      <w:rFonts w:ascii="Times New Roman" w:hAnsi="Times New Roman" w:cs="Times New Roman"/>
                      <w:spacing w:val="4"/>
                      <w:kern w:val="2"/>
                      <w:sz w:val="21"/>
                      <w:szCs w:val="21"/>
                      <w:lang w:eastAsia="zh-CN"/>
                    </w:rPr>
                    <w:t>3.3）土壤环境：</w:t>
                  </w:r>
                  <w:r>
                    <w:rPr>
                      <w:rFonts w:hint="eastAsia" w:ascii="Times New Roman" w:hAnsi="Times New Roman" w:cs="Times New Roman"/>
                      <w:spacing w:val="4"/>
                      <w:kern w:val="2"/>
                      <w:sz w:val="21"/>
                      <w:szCs w:val="21"/>
                      <w:lang w:eastAsia="zh-CN"/>
                    </w:rPr>
                    <w:t>本项目不涉及。</w:t>
                  </w:r>
                </w:p>
                <w:p w14:paraId="29CAC003">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管控单元管控要求符合性分析：本项目不涉及。</w:t>
                  </w:r>
                </w:p>
                <w:p w14:paraId="00B4C916">
                  <w:pPr>
                    <w:autoSpaceDE/>
                    <w:autoSpaceDN/>
                    <w:jc w:val="both"/>
                    <w:rPr>
                      <w:rFonts w:ascii="Times New Roman" w:hAnsi="Times New Roman" w:cs="Times New Roman"/>
                      <w:spacing w:val="4"/>
                      <w:kern w:val="2"/>
                      <w:sz w:val="21"/>
                      <w:szCs w:val="21"/>
                      <w:lang w:eastAsia="zh-CN"/>
                    </w:rPr>
                  </w:pPr>
                </w:p>
              </w:tc>
              <w:tc>
                <w:tcPr>
                  <w:tcW w:w="329" w:type="pct"/>
                  <w:vAlign w:val="center"/>
                </w:tcPr>
                <w:p w14:paraId="3292FDA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4FEC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10100E8C">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资源</w:t>
                  </w:r>
                </w:p>
                <w:p w14:paraId="530ACB9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开发</w:t>
                  </w:r>
                </w:p>
                <w:p w14:paraId="6031BC5E">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利用</w:t>
                  </w:r>
                </w:p>
                <w:p w14:paraId="6F1451C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效率</w:t>
                  </w:r>
                </w:p>
              </w:tc>
              <w:tc>
                <w:tcPr>
                  <w:tcW w:w="3114" w:type="pct"/>
                  <w:vAlign w:val="center"/>
                </w:tcPr>
                <w:p w14:paraId="741C5865">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普适性管控要求：</w:t>
                  </w:r>
                </w:p>
                <w:p w14:paraId="53D3E4A3">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4.1）提高能源使用效率，严格落实节能评估审查制度。</w:t>
                  </w:r>
                </w:p>
                <w:p w14:paraId="02F7335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4.2）推广新能源汽车，采取直接上牌、财政补贴等措施鼓励个人购买，提高城市新增公交车中新能源和清洁燃料车的比例。</w:t>
                  </w:r>
                </w:p>
                <w:p w14:paraId="60790FDB">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4.3）控制用水总量，2025年用水总量98711亿m³，灌溉水利用系数0.67，退减灌溉面积12.5万亩；2030年用水总量92991亿m³，灌溉水利用系数0.68，退减灌溉面积12.5万亩。</w:t>
                  </w:r>
                </w:p>
                <w:p w14:paraId="1F62257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4.4）加强城镇节水，禁止生产、销售不符合节水标准的产品、设备，加快城镇老旧供水管网更新改造，开展节水型城市创建活动。</w:t>
                  </w:r>
                </w:p>
                <w:p w14:paraId="13434B93">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4.5）强化农作物秸秆还田或饲料加工综合利用，加大农业种植连队产业链延伸，防治秸秆造成的面源污染。</w:t>
                  </w:r>
                </w:p>
                <w:p w14:paraId="17B712FB">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4.6）推行清洁生产，对钢铁、水泥、化工、石化、有色金属冶炼等重点行业进行清洁生产审核。</w:t>
                  </w:r>
                </w:p>
                <w:p w14:paraId="655FF316">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4.7）煤电煤化工、有色金属材料等产业需要建立循环经济，提高资源的利用效率。</w:t>
                  </w:r>
                </w:p>
                <w:p w14:paraId="2CFD6CE8">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4.8）加快对五家渠经济技术开发区循环化改造升级，延伸产业链，提高产业关联度，实现土地集约利用、资源能源高效利用、废弃物资源化利用，推动煤矸石、粉煤灰、脱硫石膏、冶炼和化工废渣等工业固体废弃物综合利用。</w:t>
                  </w:r>
                </w:p>
                <w:p w14:paraId="1147D8ED">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4.9）发展高效节能、先进环保和资源循环利用等新装备与产品，确立师市节能环保产业领先地位。</w:t>
                  </w:r>
                </w:p>
                <w:p w14:paraId="0C59AB02">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4.10）围绕绿色发展，积极发展节能环保装备制造、资源循环利用、节能与环保服务、环保工程设计等产业，大力开展烟、气、尘、水和废弃回收利用，重点发展大气治理、城市及工业污水污泥处理、危险固体废弃物的处置、环境在线监测仪器仪表、脱硝脱硫设备、余热余气循环再利用、资源综合利用等成套设备。</w:t>
                  </w:r>
                </w:p>
                <w:p w14:paraId="7966129A">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4.11）大力发展循环经济。鼓励产业集聚发展，实施园区循环化设计和改造；推进能源阶梯利用、水资源循环利用等，促进企业循环式生产、园区循环式发展、产业循环式组合，构建循环型工业体系。推动水泥、钢铁等工业窑炉、高炉实施废物协同处置。推进资源再生利用产业发展。</w:t>
                  </w:r>
                </w:p>
                <w:p w14:paraId="638A8BEC">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管控单元管控要求：</w:t>
                  </w:r>
                </w:p>
                <w:p w14:paraId="09CECDC8">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r>
                    <w:rPr>
                      <w:rFonts w:ascii="Times New Roman" w:hAnsi="Times New Roman" w:cs="Times New Roman"/>
                      <w:spacing w:val="4"/>
                      <w:kern w:val="2"/>
                      <w:sz w:val="21"/>
                      <w:szCs w:val="21"/>
                      <w:lang w:eastAsia="zh-CN"/>
                    </w:rPr>
                    <w:t>1）推行秸秆还田、增施有机肥、少耕免耕、粮豆轮作、化肥农药减量、农膜减量与回收利用等措施，切实保护耕地土壤环境质量。</w:t>
                  </w:r>
                </w:p>
              </w:tc>
              <w:tc>
                <w:tcPr>
                  <w:tcW w:w="1004" w:type="pct"/>
                  <w:vAlign w:val="center"/>
                </w:tcPr>
                <w:p w14:paraId="6BC554F9">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普适性管控要求符合性分析：项目生活污水经污水处理站处理后，用于站区绿化，冬储夏灌不外排，符合管控要求中提高能源使用效率的要求。</w:t>
                  </w:r>
                </w:p>
                <w:p w14:paraId="5DB91A7E">
                  <w:pPr>
                    <w:autoSpaceDE/>
                    <w:autoSpaceDN/>
                    <w:jc w:val="both"/>
                    <w:rPr>
                      <w:rFonts w:ascii="Times New Roman" w:hAnsi="Times New Roman" w:cs="Times New Roman"/>
                      <w:spacing w:val="4"/>
                      <w:kern w:val="2"/>
                      <w:sz w:val="21"/>
                      <w:szCs w:val="21"/>
                      <w:lang w:eastAsia="zh-CN"/>
                    </w:rPr>
                  </w:pPr>
                </w:p>
              </w:tc>
              <w:tc>
                <w:tcPr>
                  <w:tcW w:w="329" w:type="pct"/>
                  <w:vAlign w:val="center"/>
                </w:tcPr>
                <w:p w14:paraId="213A2D6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bl>
          <w:p w14:paraId="79E704EE">
            <w:pPr>
              <w:autoSpaceDE/>
              <w:autoSpaceDN/>
              <w:jc w:val="center"/>
              <w:rPr>
                <w:rFonts w:ascii="Times New Roman" w:hAnsi="Times New Roman" w:cs="Times New Roman"/>
                <w:b/>
                <w:bCs/>
                <w:kern w:val="2"/>
                <w:sz w:val="21"/>
                <w:szCs w:val="24"/>
                <w:lang w:eastAsia="zh-CN"/>
              </w:rPr>
            </w:pPr>
          </w:p>
          <w:p w14:paraId="62177FAC">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w:t>
            </w:r>
            <w:r>
              <w:rPr>
                <w:rFonts w:ascii="Times New Roman" w:hAnsi="Times New Roman" w:cs="Times New Roman"/>
                <w:sz w:val="24"/>
                <w:szCs w:val="24"/>
                <w:lang w:eastAsia="zh-CN"/>
              </w:rPr>
              <w:t>k109+380-k126+200路段占地涉及吉木萨尔县</w:t>
            </w:r>
            <w:r>
              <w:rPr>
                <w:rFonts w:hint="eastAsia" w:ascii="Times New Roman" w:hAnsi="Times New Roman" w:cs="Times New Roman"/>
                <w:sz w:val="24"/>
                <w:szCs w:val="24"/>
                <w:lang w:eastAsia="zh-CN"/>
              </w:rPr>
              <w:t>重点</w:t>
            </w:r>
            <w:r>
              <w:rPr>
                <w:rFonts w:ascii="Times New Roman" w:hAnsi="Times New Roman" w:cs="Times New Roman"/>
                <w:sz w:val="24"/>
                <w:szCs w:val="24"/>
                <w:lang w:eastAsia="zh-CN"/>
              </w:rPr>
              <w:t>管控单元，，单元名称为：</w:t>
            </w:r>
            <w:r>
              <w:rPr>
                <w:rFonts w:hint="eastAsia" w:ascii="Times New Roman" w:hAnsi="Times New Roman" w:cs="Times New Roman"/>
                <w:sz w:val="24"/>
                <w:szCs w:val="24"/>
                <w:lang w:eastAsia="zh-CN"/>
              </w:rPr>
              <w:t>吉木萨尔县建成区</w:t>
            </w:r>
            <w:r>
              <w:rPr>
                <w:rFonts w:ascii="Times New Roman" w:hAnsi="Times New Roman" w:cs="Times New Roman"/>
                <w:sz w:val="24"/>
                <w:szCs w:val="24"/>
                <w:lang w:eastAsia="zh-CN"/>
              </w:rPr>
              <w:t>，单元代码为：ZH65232720001</w:t>
            </w:r>
            <w:r>
              <w:rPr>
                <w:rFonts w:hint="eastAsia" w:ascii="Times New Roman" w:hAnsi="Times New Roman" w:cs="Times New Roman"/>
                <w:sz w:val="24"/>
                <w:szCs w:val="24"/>
                <w:lang w:eastAsia="zh-CN"/>
              </w:rPr>
              <w:t>。本项目与该管控单元符合性分析具体见表</w:t>
            </w:r>
            <w:r>
              <w:rPr>
                <w:rFonts w:ascii="Times New Roman" w:hAnsi="Times New Roman" w:cs="Times New Roman"/>
                <w:sz w:val="24"/>
                <w:szCs w:val="24"/>
                <w:lang w:eastAsia="zh-CN"/>
              </w:rPr>
              <w:t>1</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5。</w:t>
            </w:r>
          </w:p>
          <w:p w14:paraId="3A89E185">
            <w:pPr>
              <w:autoSpaceDE/>
              <w:autoSpaceDN/>
              <w:jc w:val="center"/>
              <w:rPr>
                <w:rFonts w:ascii="Times New Roman" w:hAnsi="Times New Roman" w:cs="Times New Roman"/>
                <w:b/>
                <w:bCs/>
                <w:kern w:val="2"/>
                <w:sz w:val="21"/>
                <w:szCs w:val="24"/>
                <w:lang w:eastAsia="zh-CN"/>
              </w:rPr>
            </w:pPr>
            <w:r>
              <w:rPr>
                <w:rFonts w:ascii="Times New Roman" w:hAnsi="Times New Roman" w:cs="Times New Roman"/>
                <w:b/>
                <w:bCs/>
                <w:kern w:val="2"/>
                <w:sz w:val="21"/>
                <w:szCs w:val="24"/>
                <w:lang w:eastAsia="zh-CN"/>
              </w:rPr>
              <w:t>表</w:t>
            </w:r>
            <w:r>
              <w:rPr>
                <w:rFonts w:hint="eastAsia" w:ascii="Times New Roman" w:hAnsi="Times New Roman" w:cs="Times New Roman"/>
                <w:b/>
                <w:bCs/>
                <w:kern w:val="2"/>
                <w:sz w:val="21"/>
                <w:szCs w:val="24"/>
                <w:lang w:eastAsia="zh-CN"/>
              </w:rPr>
              <w:t>1</w:t>
            </w:r>
            <w:r>
              <w:rPr>
                <w:rFonts w:ascii="Times New Roman" w:hAnsi="Times New Roman" w:cs="Times New Roman"/>
                <w:b/>
                <w:bCs/>
                <w:kern w:val="2"/>
                <w:sz w:val="21"/>
                <w:szCs w:val="24"/>
                <w:lang w:eastAsia="zh-CN"/>
              </w:rPr>
              <w:t xml:space="preserve">.5  </w:t>
            </w:r>
            <w:r>
              <w:rPr>
                <w:rFonts w:hint="eastAsia" w:ascii="Times New Roman" w:hAnsi="Times New Roman" w:cs="Times New Roman"/>
                <w:b/>
                <w:bCs/>
                <w:kern w:val="2"/>
                <w:sz w:val="21"/>
                <w:szCs w:val="24"/>
                <w:lang w:eastAsia="zh-CN"/>
              </w:rPr>
              <w:t>项目</w:t>
            </w:r>
            <w:r>
              <w:rPr>
                <w:rFonts w:ascii="Times New Roman" w:hAnsi="Times New Roman" w:cs="Times New Roman"/>
                <w:b/>
                <w:bCs/>
                <w:kern w:val="2"/>
                <w:sz w:val="21"/>
                <w:szCs w:val="24"/>
                <w:lang w:eastAsia="zh-CN"/>
              </w:rPr>
              <w:t>与</w:t>
            </w:r>
            <w:r>
              <w:rPr>
                <w:rFonts w:hint="eastAsia" w:ascii="Times New Roman" w:hAnsi="Times New Roman" w:cs="Times New Roman"/>
                <w:b/>
                <w:bCs/>
                <w:kern w:val="2"/>
                <w:sz w:val="21"/>
                <w:szCs w:val="24"/>
                <w:lang w:eastAsia="zh-CN"/>
              </w:rPr>
              <w:t>“吉木萨尔县建成区重点管控单元”符合性分析</w:t>
            </w:r>
          </w:p>
          <w:tbl>
            <w:tblPr>
              <w:tblStyle w:val="12"/>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4408"/>
              <w:gridCol w:w="1421"/>
              <w:gridCol w:w="466"/>
            </w:tblGrid>
            <w:tr w14:paraId="4BFD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569D84B4">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管控</w:t>
                  </w:r>
                </w:p>
                <w:p w14:paraId="73F8E1FA">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类别</w:t>
                  </w:r>
                </w:p>
              </w:tc>
              <w:tc>
                <w:tcPr>
                  <w:tcW w:w="3114" w:type="pct"/>
                  <w:vAlign w:val="center"/>
                </w:tcPr>
                <w:p w14:paraId="2E0225F0">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管控要求</w:t>
                  </w:r>
                </w:p>
              </w:tc>
              <w:tc>
                <w:tcPr>
                  <w:tcW w:w="1004" w:type="pct"/>
                  <w:vAlign w:val="center"/>
                </w:tcPr>
                <w:p w14:paraId="2376343E">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本项目</w:t>
                  </w:r>
                </w:p>
                <w:p w14:paraId="08BEF004">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情况</w:t>
                  </w:r>
                </w:p>
              </w:tc>
              <w:tc>
                <w:tcPr>
                  <w:tcW w:w="329" w:type="pct"/>
                  <w:vAlign w:val="center"/>
                </w:tcPr>
                <w:p w14:paraId="200A737D">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符合性</w:t>
                  </w:r>
                </w:p>
              </w:tc>
            </w:tr>
            <w:tr w14:paraId="1DB0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51363B8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空间</w:t>
                  </w:r>
                </w:p>
                <w:p w14:paraId="289622B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布局</w:t>
                  </w:r>
                </w:p>
                <w:p w14:paraId="22BE0E83">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约束</w:t>
                  </w:r>
                </w:p>
              </w:tc>
              <w:tc>
                <w:tcPr>
                  <w:tcW w:w="3114" w:type="pct"/>
                  <w:vAlign w:val="center"/>
                </w:tcPr>
                <w:p w14:paraId="703F7720">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1、执行自治区总体准入要求中关于重点管控单元空间布局约束的准入要求（A6.1）</w:t>
                  </w:r>
                </w:p>
                <w:p w14:paraId="4DCA0807">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6.1-1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p w14:paraId="5AA2C2B1">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6.1-2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p w14:paraId="3113EB73">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6.1-3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经预处理达到集中处理要求后，方可进入污水集中处理设施，不断提高污水集中处理中水回用率。加强城镇配套管网建设，提高城镇生活污水出水排放标准，推进城镇生活污水深度治理，提高污水厂脱氮除磷效率。对农业污染重点管控区，推进畜禽养殖禁养区、限养区的划定，限期依法关闭或搬迁禁养区内的畜禽养殖场，对现有规</w:t>
                  </w:r>
                  <w:r>
                    <w:rPr>
                      <w:rFonts w:hint="eastAsia" w:ascii="Times New Roman" w:hAnsi="Times New Roman" w:cs="Times New Roman"/>
                      <w:spacing w:val="4"/>
                      <w:kern w:val="2"/>
                      <w:sz w:val="21"/>
                      <w:szCs w:val="21"/>
                      <w:lang w:eastAsia="zh-CN"/>
                    </w:rPr>
                    <w:t>模化畜禽养殖配套建设粪便污水贮存、处理、利用设施，鼓励设施农业循环发展模式，推进养殖废弃物资源化利用。控制化肥农药使用量，推进农膜回收及加工再利用，农药化肥等包装废弃物的安全收集处置设施建设，降低农业污染负荷。</w:t>
                  </w:r>
                </w:p>
                <w:p w14:paraId="643C6AE0">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6.1-4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p w14:paraId="7CDCF3E1">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2、禁止新建煤层含硫量大于</w:t>
                  </w:r>
                  <w:r>
                    <w:rPr>
                      <w:rFonts w:ascii="Times New Roman" w:hAnsi="Times New Roman" w:cs="Times New Roman"/>
                      <w:spacing w:val="4"/>
                      <w:kern w:val="2"/>
                      <w:sz w:val="21"/>
                      <w:szCs w:val="21"/>
                      <w:lang w:eastAsia="zh-CN"/>
                    </w:rPr>
                    <w:t>3%的煤矿。</w:t>
                  </w:r>
                </w:p>
              </w:tc>
              <w:tc>
                <w:tcPr>
                  <w:tcW w:w="1004" w:type="pct"/>
                  <w:vAlign w:val="center"/>
                </w:tcPr>
                <w:p w14:paraId="4384FD24">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目不属于“高污染、高环境风险产品”工业项目；本项目不涉及国家和自治区明令禁止或淘汰的产业及工艺；本项目运营期生活污水经污水处理站处理后回用于绿化，不外排；本项目不属于涉及重金属、持久性有机物等有毒有害污染物工业；本项目不涉及新建煤矿。</w:t>
                  </w:r>
                </w:p>
              </w:tc>
              <w:tc>
                <w:tcPr>
                  <w:tcW w:w="329" w:type="pct"/>
                  <w:vAlign w:val="center"/>
                </w:tcPr>
                <w:p w14:paraId="5FF0386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0CB3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1AB4635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污染</w:t>
                  </w:r>
                </w:p>
                <w:p w14:paraId="155387CD">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物排</w:t>
                  </w:r>
                </w:p>
                <w:p w14:paraId="408D87BC">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放管</w:t>
                  </w:r>
                </w:p>
                <w:p w14:paraId="109CFCFC">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控</w:t>
                  </w:r>
                </w:p>
              </w:tc>
              <w:tc>
                <w:tcPr>
                  <w:tcW w:w="3114" w:type="pct"/>
                  <w:vAlign w:val="center"/>
                </w:tcPr>
                <w:p w14:paraId="71A2002C">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1、执行自治区总体准入要求中关于重点管控单元污染物排放管控的准入要求（A6.2）。</w:t>
                  </w:r>
                </w:p>
                <w:p w14:paraId="6EED93C3">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6.2-1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004" w:type="pct"/>
                  <w:vAlign w:val="center"/>
                </w:tcPr>
                <w:p w14:paraId="2B4AA2BE">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本项目不属于新建工业项目，不在工业园区内。</w:t>
                  </w:r>
                </w:p>
              </w:tc>
              <w:tc>
                <w:tcPr>
                  <w:tcW w:w="329" w:type="pct"/>
                  <w:vAlign w:val="center"/>
                </w:tcPr>
                <w:p w14:paraId="6952131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22DF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4DBDA50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环境</w:t>
                  </w:r>
                </w:p>
                <w:p w14:paraId="7F6FFE29">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风险</w:t>
                  </w:r>
                </w:p>
                <w:p w14:paraId="0676733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防控</w:t>
                  </w:r>
                </w:p>
              </w:tc>
              <w:tc>
                <w:tcPr>
                  <w:tcW w:w="3114" w:type="pct"/>
                  <w:vAlign w:val="center"/>
                </w:tcPr>
                <w:p w14:paraId="092DE1DE">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重点管控单元环境风险防控的准入要求（A6.3）。A6.3-1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004" w:type="pct"/>
                  <w:vAlign w:val="center"/>
                </w:tcPr>
                <w:p w14:paraId="403EA491">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本项目不涉及。</w:t>
                  </w:r>
                </w:p>
              </w:tc>
              <w:tc>
                <w:tcPr>
                  <w:tcW w:w="329" w:type="pct"/>
                  <w:vAlign w:val="center"/>
                </w:tcPr>
                <w:p w14:paraId="3E3C1AE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r w14:paraId="09A3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0566886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资源</w:t>
                  </w:r>
                </w:p>
                <w:p w14:paraId="498C214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开发</w:t>
                  </w:r>
                </w:p>
                <w:p w14:paraId="1FE5614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利用</w:t>
                  </w:r>
                </w:p>
                <w:p w14:paraId="3DD2D63C">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效率</w:t>
                  </w:r>
                </w:p>
              </w:tc>
              <w:tc>
                <w:tcPr>
                  <w:tcW w:w="3114" w:type="pct"/>
                  <w:vAlign w:val="center"/>
                </w:tcPr>
                <w:p w14:paraId="5C71A106">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1、执行自治区总体准入要求中关于重点管控单元资源利用效率的准入要求（A6.4）。</w:t>
                  </w:r>
                </w:p>
                <w:p w14:paraId="0E3B4C3C">
                  <w:pPr>
                    <w:autoSpaceDE/>
                    <w:autoSpaceDN/>
                    <w:jc w:val="both"/>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A6.4-1推进工业集聚区生态化改造，强化企业清洁生产改造，推进节水型企业、节水型工业园区建设，提高资源能源利用效率。</w:t>
                  </w:r>
                </w:p>
              </w:tc>
              <w:tc>
                <w:tcPr>
                  <w:tcW w:w="1004" w:type="pct"/>
                  <w:vAlign w:val="center"/>
                </w:tcPr>
                <w:p w14:paraId="13E8403D">
                  <w:pPr>
                    <w:autoSpaceDE/>
                    <w:autoSpaceDN/>
                    <w:jc w:val="both"/>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本项不涉及</w:t>
                  </w:r>
                  <w:r>
                    <w:rPr>
                      <w:rFonts w:ascii="Times New Roman" w:hAnsi="Times New Roman" w:cs="Times New Roman"/>
                      <w:spacing w:val="4"/>
                      <w:kern w:val="2"/>
                      <w:sz w:val="21"/>
                      <w:szCs w:val="21"/>
                      <w:lang w:eastAsia="zh-CN"/>
                    </w:rPr>
                    <w:t>。</w:t>
                  </w:r>
                </w:p>
              </w:tc>
              <w:tc>
                <w:tcPr>
                  <w:tcW w:w="329" w:type="pct"/>
                  <w:vAlign w:val="center"/>
                </w:tcPr>
                <w:p w14:paraId="4FF51E9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符合</w:t>
                  </w:r>
                </w:p>
              </w:tc>
            </w:tr>
          </w:tbl>
          <w:p w14:paraId="47053C25">
            <w:pPr>
              <w:autoSpaceDE/>
              <w:autoSpaceDN/>
              <w:jc w:val="center"/>
              <w:rPr>
                <w:rFonts w:ascii="Times New Roman" w:hAnsi="Times New Roman" w:cs="Times New Roman"/>
                <w:sz w:val="21"/>
                <w:szCs w:val="21"/>
                <w:lang w:eastAsia="zh-CN"/>
              </w:rPr>
            </w:pPr>
          </w:p>
          <w:p w14:paraId="06999DC5">
            <w:pPr>
              <w:autoSpaceDE/>
              <w:autoSpaceDN/>
              <w:jc w:val="both"/>
              <w:rPr>
                <w:rFonts w:ascii="Times New Roman" w:hAnsi="Times New Roman" w:cs="Times New Roman"/>
                <w:b/>
                <w:bCs/>
                <w:kern w:val="2"/>
                <w:sz w:val="21"/>
                <w:szCs w:val="24"/>
                <w:lang w:eastAsia="zh-CN"/>
              </w:rPr>
            </w:pPr>
            <w:r>
              <w:rPr>
                <w:rFonts w:ascii="Times New Roman" w:hAnsi="Times New Roman" w:cs="Times New Roman"/>
                <w:b/>
                <w:bCs/>
                <w:spacing w:val="4"/>
                <w:kern w:val="2"/>
                <w:sz w:val="28"/>
                <w:szCs w:val="28"/>
                <w:lang w:eastAsia="zh-CN"/>
              </w:rPr>
              <w:t>6、</w:t>
            </w:r>
            <w:r>
              <w:rPr>
                <w:rFonts w:hint="eastAsia" w:ascii="Times New Roman" w:hAnsi="Times New Roman" w:cs="Times New Roman"/>
                <w:b/>
                <w:bCs/>
                <w:spacing w:val="4"/>
                <w:kern w:val="2"/>
                <w:sz w:val="28"/>
                <w:szCs w:val="28"/>
                <w:lang w:eastAsia="zh-CN"/>
              </w:rPr>
              <w:t>项目与《新疆维吾尔自治区生态环境保护“十四五”规划》符合性分析</w:t>
            </w:r>
          </w:p>
          <w:p w14:paraId="61DD4CB0">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《新疆维吾尔自治区生态环境保护“十四五”规划》规划指出：</w:t>
            </w:r>
          </w:p>
          <w:p w14:paraId="04A97F9C">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实施重点行业氮氧化物（以下简称“</w:t>
            </w:r>
            <w:r>
              <w:rPr>
                <w:rFonts w:ascii="Times New Roman" w:hAnsi="Times New Roman" w:cs="Times New Roman"/>
                <w:sz w:val="24"/>
                <w:szCs w:val="24"/>
                <w:lang w:eastAsia="zh-CN"/>
              </w:rPr>
              <w:t>NOx”）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p w14:paraId="75913AF7">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加强重点行业</w:t>
            </w:r>
            <w:r>
              <w:rPr>
                <w:rFonts w:ascii="Times New Roman" w:hAnsi="Times New Roman" w:cs="Times New Roman"/>
                <w:sz w:val="24"/>
                <w:szCs w:val="24"/>
                <w:lang w:eastAsia="zh-CN"/>
              </w:rPr>
              <w:t>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p w14:paraId="5F9017E1">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协同开展</w:t>
            </w:r>
            <w:r>
              <w:rPr>
                <w:rFonts w:ascii="Times New Roman" w:hAnsi="Times New Roman" w:cs="Times New Roman"/>
                <w:sz w:val="24"/>
                <w:szCs w:val="24"/>
                <w:lang w:eastAsia="zh-CN"/>
              </w:rPr>
              <w:t>PM</w:t>
            </w:r>
            <w:r>
              <w:rPr>
                <w:rFonts w:ascii="Times New Roman" w:hAnsi="Times New Roman" w:cs="Times New Roman"/>
                <w:sz w:val="24"/>
                <w:szCs w:val="24"/>
                <w:vertAlign w:val="subscript"/>
                <w:lang w:eastAsia="zh-CN"/>
              </w:rPr>
              <w:t>2.5</w:t>
            </w:r>
            <w:r>
              <w:rPr>
                <w:rFonts w:ascii="Times New Roman" w:hAnsi="Times New Roman" w:cs="Times New Roman"/>
                <w:sz w:val="24"/>
                <w:szCs w:val="24"/>
                <w:lang w:eastAsia="zh-CN"/>
              </w:rPr>
              <w:t>和臭氧（以下简称“O</w:t>
            </w:r>
            <w:r>
              <w:rPr>
                <w:rFonts w:ascii="Times New Roman" w:hAnsi="Times New Roman" w:cs="Times New Roman"/>
                <w:sz w:val="24"/>
                <w:szCs w:val="24"/>
                <w:vertAlign w:val="subscript"/>
                <w:lang w:eastAsia="zh-CN"/>
              </w:rPr>
              <w:t>3</w:t>
            </w:r>
            <w:r>
              <w:rPr>
                <w:rFonts w:ascii="Times New Roman" w:hAnsi="Times New Roman" w:cs="Times New Roman"/>
                <w:sz w:val="24"/>
                <w:szCs w:val="24"/>
                <w:lang w:eastAsia="zh-CN"/>
              </w:rPr>
              <w:t>”）污染防治。推动城市PM</w:t>
            </w:r>
            <w:r>
              <w:rPr>
                <w:rFonts w:ascii="Times New Roman" w:hAnsi="Times New Roman" w:cs="Times New Roman"/>
                <w:sz w:val="24"/>
                <w:szCs w:val="24"/>
                <w:vertAlign w:val="subscript"/>
                <w:lang w:eastAsia="zh-CN"/>
              </w:rPr>
              <w:t>2.5</w:t>
            </w:r>
            <w:r>
              <w:rPr>
                <w:rFonts w:ascii="Times New Roman" w:hAnsi="Times New Roman" w:cs="Times New Roman"/>
                <w:sz w:val="24"/>
                <w:szCs w:val="24"/>
                <w:lang w:eastAsia="zh-CN"/>
              </w:rPr>
              <w:t>浓度持续下降，有效遏制O</w:t>
            </w:r>
            <w:r>
              <w:rPr>
                <w:rFonts w:ascii="Times New Roman" w:hAnsi="Times New Roman" w:cs="Times New Roman"/>
                <w:sz w:val="24"/>
                <w:szCs w:val="24"/>
                <w:vertAlign w:val="subscript"/>
                <w:lang w:eastAsia="zh-CN"/>
              </w:rPr>
              <w:t>3</w:t>
            </w:r>
            <w:r>
              <w:rPr>
                <w:rFonts w:ascii="Times New Roman" w:hAnsi="Times New Roman" w:cs="Times New Roman"/>
                <w:sz w:val="24"/>
                <w:szCs w:val="24"/>
                <w:lang w:eastAsia="zh-CN"/>
              </w:rPr>
              <w:t>浓度增长趋势。探索开展PM</w:t>
            </w:r>
            <w:r>
              <w:rPr>
                <w:rFonts w:ascii="Times New Roman" w:hAnsi="Times New Roman" w:cs="Times New Roman"/>
                <w:sz w:val="24"/>
                <w:szCs w:val="24"/>
                <w:vertAlign w:val="subscript"/>
                <w:lang w:eastAsia="zh-CN"/>
              </w:rPr>
              <w:t>2.5</w:t>
            </w:r>
            <w:r>
              <w:rPr>
                <w:rFonts w:ascii="Times New Roman" w:hAnsi="Times New Roman" w:cs="Times New Roman"/>
                <w:sz w:val="24"/>
                <w:szCs w:val="24"/>
                <w:lang w:eastAsia="zh-CN"/>
              </w:rPr>
              <w:t>和O</w:t>
            </w:r>
            <w:r>
              <w:rPr>
                <w:rFonts w:ascii="Times New Roman" w:hAnsi="Times New Roman" w:cs="Times New Roman"/>
                <w:sz w:val="24"/>
                <w:szCs w:val="24"/>
                <w:vertAlign w:val="subscript"/>
                <w:lang w:eastAsia="zh-CN"/>
              </w:rPr>
              <w:t>3</w:t>
            </w:r>
            <w:r>
              <w:rPr>
                <w:rFonts w:ascii="Times New Roman" w:hAnsi="Times New Roman" w:cs="Times New Roman"/>
                <w:sz w:val="24"/>
                <w:szCs w:val="24"/>
                <w:lang w:eastAsia="zh-CN"/>
              </w:rPr>
              <w:t>污染区域传输规律和特征研究，加强重点区域、重点领域、重点行业治理，强化差异化精细化协同管控。</w:t>
            </w:r>
          </w:p>
          <w:p w14:paraId="35F10036">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强化车油路联合管控。加强车辆环保管理，推进油品配套升级。加大油品销售的监管力度，加强油品质量监督检查，严厉打击非法生产、销售不合格油品行为，对于限期不达标的成品油加油站，依法整治或关停。建立完善兵地机动车信息共享机制，推动建立区域机动车污染防治一体化机制，实现兵地统一制度、统一标准、统一执法的机动车污染防治体系。</w:t>
            </w:r>
          </w:p>
          <w:p w14:paraId="5C44BB55">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p w14:paraId="452F0E82">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本项目不属于重点行业，施工期（施工扬尘、交通扬尘）采取洒水抑尘、临时围挡、车斗苫布遮蔽、物料覆盖防尘布、运输车辆驶离工地前，清洗车轮及车身等措施，来降低施工期影响。</w:t>
            </w:r>
          </w:p>
          <w:p w14:paraId="4CAA3BDD">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因此，本项目符合新疆维吾尔自治区生态环境保护“十四五”规划的相关要求。</w:t>
            </w:r>
          </w:p>
          <w:p w14:paraId="2652CD63">
            <w:pPr>
              <w:autoSpaceDE/>
              <w:autoSpaceDN/>
              <w:jc w:val="both"/>
              <w:rPr>
                <w:rFonts w:ascii="Times New Roman" w:hAnsi="Times New Roman" w:cs="Times New Roman"/>
                <w:b/>
                <w:bCs/>
                <w:kern w:val="2"/>
                <w:sz w:val="21"/>
                <w:szCs w:val="24"/>
                <w:lang w:eastAsia="zh-CN"/>
              </w:rPr>
            </w:pPr>
            <w:r>
              <w:rPr>
                <w:rFonts w:ascii="Times New Roman" w:hAnsi="Times New Roman" w:cs="Times New Roman"/>
                <w:b/>
                <w:bCs/>
                <w:spacing w:val="4"/>
                <w:kern w:val="2"/>
                <w:sz w:val="28"/>
                <w:szCs w:val="28"/>
                <w:lang w:eastAsia="zh-CN"/>
              </w:rPr>
              <w:t>7、</w:t>
            </w:r>
            <w:r>
              <w:rPr>
                <w:rFonts w:hint="eastAsia" w:ascii="Times New Roman" w:hAnsi="Times New Roman" w:cs="Times New Roman"/>
                <w:b/>
                <w:bCs/>
                <w:spacing w:val="4"/>
                <w:kern w:val="2"/>
                <w:sz w:val="28"/>
                <w:szCs w:val="28"/>
                <w:lang w:eastAsia="zh-CN"/>
              </w:rPr>
              <w:t>项目与《昌吉回族自治州生态环境保护与建设“十四五”规划》符合性分析</w:t>
            </w:r>
          </w:p>
          <w:p w14:paraId="36A4B656">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《昌吉回族自治州生态环境保护与建设“十四五”规划》指出：</w:t>
            </w:r>
          </w:p>
          <w:p w14:paraId="5EB7AB0B">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开展多污染源治理。推进石化、化工、工业涂装、家具制造、塑料、橡胶、包装印刷、汽修等重点行业领域</w:t>
            </w:r>
            <w:r>
              <w:rPr>
                <w:rFonts w:ascii="Times New Roman" w:hAnsi="Times New Roman" w:cs="Times New Roman"/>
                <w:sz w:val="24"/>
                <w:szCs w:val="24"/>
                <w:lang w:eastAsia="zh-CN"/>
              </w:rPr>
              <w:t>VOCs整治，加强VOCs 源头、过程、末端全流程控制。持续开展防风固沙绿化工程，抑制季节性裸地农田扬尘。推进露天矿山综合整治。深化建筑施工扬尘整治，全州所有建筑工地全面落实“六个百分百”。强化道路扬尘治理，进一步加强散料货运车辆运输环节的扬尘污染整治。加强桔秆综合利用，严防因秸秆露天焚烧造成区域性重污染天气。</w:t>
            </w:r>
          </w:p>
          <w:p w14:paraId="25F293F8">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持续推进荒漠化综合治理。持续巩固防沙治沙成果，通过人工造林、封禁保护、退化林修复、沙化草原治理等工程项目，强化沙化地区生态治理。加强对开发建设活动占地区域砾幕层的保护。继续实施昌吉州防沙治沙规划。推广应用无灌溉造林、沙障网格造林、管件治沙造林等先进实用技术，加强自然保护区、沙化土地封禁保护区、地质公园、森林公园、沙漠公园、重要水源地和重要湿地保护建设，加快沙漠前缘、前山丘陵及城乡、道路、园区、农村居民点等中部绿洲重点区域绿化，全面促进水源涵养、水土保持、防风固沙保护功能逐步提升。</w:t>
            </w:r>
          </w:p>
          <w:p w14:paraId="1F7C1363">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施工扬尘、交通扬尘采取洒水抑尘、临时围挡、车斗苫布遮蔽、物料覆盖防尘布、运输车辆驶离工地前，清洗车轮及车身等措施，来降低施工期影响。本项目涉及穿越新疆吉木萨尔县国家沙化土地封禁保护区的桩号区间为：</w:t>
            </w:r>
            <w:r>
              <w:rPr>
                <w:rFonts w:ascii="Times New Roman" w:hAnsi="Times New Roman" w:cs="Times New Roman"/>
                <w:sz w:val="24"/>
                <w:szCs w:val="24"/>
                <w:lang w:eastAsia="zh-CN"/>
              </w:rPr>
              <w:t>k49+550-k85+360段，共35.81km，建设单位应严格控制施工对封禁区扰动范围，对占用破坏的封禁保护区原有草方格沙障按照“占一补一”的原则实施生态补偿，补偿区域位于项目k49+550-k85+360段封禁保护区原有草方格沙障边界外围。</w:t>
            </w:r>
          </w:p>
          <w:p w14:paraId="6BBF9D19">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综上所述，本项目符合昌吉回族自治州生态环境保护与建设“十四五”规划。</w:t>
            </w:r>
          </w:p>
          <w:p w14:paraId="7F849A27">
            <w:pPr>
              <w:autoSpaceDE/>
              <w:autoSpaceDN/>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8、</w:t>
            </w:r>
            <w:r>
              <w:rPr>
                <w:rFonts w:hint="eastAsia" w:ascii="Times New Roman" w:hAnsi="Times New Roman" w:cs="Times New Roman"/>
                <w:b/>
                <w:bCs/>
                <w:spacing w:val="4"/>
                <w:kern w:val="2"/>
                <w:sz w:val="28"/>
                <w:szCs w:val="28"/>
                <w:lang w:eastAsia="zh-CN"/>
              </w:rPr>
              <w:t>项目与《新疆生产建设兵团“十四五”生态环境保护规划》符合性分析</w:t>
            </w:r>
          </w:p>
          <w:p w14:paraId="35A9012E">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《新疆生产建设兵团“十四五”生态环境保护规划》指出：</w:t>
            </w:r>
          </w:p>
          <w:p w14:paraId="6D61C056">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强化水资源刚性约束。聚焦水资源保护，贯彻落实最严格的水资源管理制度，与自治区共同推进兵地各部门、各行业统一联动。加强水资源取用监控，对农业、工业园区等用水大户进行用水量跟踪监控，促进高效用水、节约用水和循环用水。完善水资源管理考核体系，严格落实退地减水、灌溉面积控制任务。从严加强各类规划和建设项目的水资源论证报告审批和跟踪。</w:t>
            </w:r>
          </w:p>
          <w:p w14:paraId="213FC67D">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强化面源污染防控。加强城市扬尘综合防控，积极推进“智慧工地”建设，建筑工地扬尘防控标准化管理全覆盖。控制道路交通扬尘污染，加强城市道路清扫保洁和洒水抑尘，提高机械化作业水平。到</w:t>
            </w:r>
            <w:r>
              <w:rPr>
                <w:rFonts w:ascii="Times New Roman" w:hAnsi="Times New Roman" w:cs="Times New Roman"/>
                <w:sz w:val="24"/>
                <w:szCs w:val="24"/>
                <w:lang w:eastAsia="zh-CN"/>
              </w:rPr>
              <w:t>2025年，兵团现有城市建成区道路机械化清扫率达到80%以上，涉及“乌—昌—石”和“奎—独—乌”区域的师市达到90%以上。加强矿山粉尘治理，充分运用新型、高效的防尘、降尘、除尘技术，全面加强矿山开采各环节粉尘防控措施。全面推进秸秆实现资源化利用，推进农业大气氨污染防治，加强种植业氨排放控制，调整氮肥结构，加速挥发性氮肥产品的应用。</w:t>
            </w:r>
          </w:p>
          <w:p w14:paraId="2F9BA916">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运营期生活污水经污水处理站处理以后，用于站区绿化，冬储夏灌不外排，符合促进高效用水、节约用水和循环用水的要求。本项目施工扬尘、交通扬尘采取洒水抑尘、临时围挡、车斗苫布遮蔽、物料覆盖防尘布、运输车辆驶离工地前，清洗车轮及车身等措施，来降低施工期影响。</w:t>
            </w:r>
          </w:p>
          <w:p w14:paraId="0F2D2DE8">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综合分析，项目符合《新疆生产建设兵团“十四五”生态环境保护规划》。</w:t>
            </w:r>
          </w:p>
          <w:p w14:paraId="2F2F4D17">
            <w:pPr>
              <w:autoSpaceDE/>
              <w:autoSpaceDN/>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9、</w:t>
            </w:r>
            <w:r>
              <w:rPr>
                <w:rFonts w:hint="eastAsia" w:ascii="Times New Roman" w:hAnsi="Times New Roman" w:cs="Times New Roman"/>
                <w:b/>
                <w:bCs/>
                <w:spacing w:val="4"/>
                <w:kern w:val="2"/>
                <w:sz w:val="28"/>
                <w:szCs w:val="28"/>
                <w:lang w:eastAsia="zh-CN"/>
              </w:rPr>
              <w:t>项目与《第六师五家渠市“十四五”生态环境保护规划》符合性分析</w:t>
            </w:r>
          </w:p>
          <w:p w14:paraId="2C55DEE1">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《第六师五家渠市“十四五”生态环境保护规划》指出：</w:t>
            </w:r>
          </w:p>
          <w:p w14:paraId="6340ED9B">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坚持提升质量，</w:t>
            </w:r>
            <w:r>
              <w:rPr>
                <w:rFonts w:ascii="Times New Roman" w:hAnsi="Times New Roman" w:cs="Times New Roman"/>
                <w:sz w:val="24"/>
                <w:szCs w:val="24"/>
                <w:lang w:eastAsia="zh-CN"/>
              </w:rPr>
              <w:t>持续改善师市生态环境。以改善生态环境质量为核心，推进生态环境质量全面达标，逐步推进环境质量总体改善。重点解决涉及水、气等根本性的环境问题，加快补齐环境基础设施短板，提升环境监测能力，不断增加环境风险防范能力。继续提升空气环境质量，深化大气联防</w:t>
            </w:r>
            <w:r>
              <w:rPr>
                <w:rFonts w:hint="eastAsia" w:ascii="Times New Roman" w:hAnsi="Times New Roman" w:cs="Times New Roman"/>
                <w:sz w:val="24"/>
                <w:szCs w:val="24"/>
                <w:lang w:eastAsia="zh-CN"/>
              </w:rPr>
              <w:t>联控治理，</w:t>
            </w:r>
            <w:r>
              <w:rPr>
                <w:rFonts w:ascii="Times New Roman" w:hAnsi="Times New Roman" w:cs="Times New Roman"/>
                <w:sz w:val="24"/>
                <w:szCs w:val="24"/>
                <w:lang w:eastAsia="zh-CN"/>
              </w:rPr>
              <w:t>严格落实水资源利用</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三条红线</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（水资源开发利用控制红线、用水效率控制红线、水功能区限制纳污红线），加强水污染防治，强化土壤污染管控和修复，提升环境监管能力，持续改善师市生态环境。</w:t>
            </w:r>
          </w:p>
          <w:p w14:paraId="202B12C1">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施工期的施工扬尘、交通扬尘采取洒水抑尘、临时围挡、车斗苫布遮蔽、物料覆盖防尘布等措施；燃油废气、沥青烟气、焊接烟尘无组织排放。运营期车辆燃油废气无组织排放；食堂油烟经油烟净化器处理后，通过专用烟道延伸至楼顶排放。施工期车轮清洗废水经临时防渗沉淀池处理后用于洒水抑尘，混凝土养护废水自然蒸发；施工现场生活污水经移动式环保厕所收集后，定期拉运至吉木萨尔县污水处理厂处理。运营期生活污水经污水处理站处理后，用于站区绿化，冬储夏灌不外排。</w:t>
            </w:r>
          </w:p>
          <w:p w14:paraId="552813A7">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因此，项目符合《第六师五家渠市“十四五”生态环境保护规划》。</w:t>
            </w:r>
          </w:p>
          <w:p w14:paraId="2EE136FA">
            <w:pPr>
              <w:autoSpaceDE/>
              <w:autoSpaceDN/>
              <w:jc w:val="both"/>
              <w:rPr>
                <w:rFonts w:ascii="Times New Roman" w:hAnsi="Times New Roman" w:cs="Times New Roman"/>
                <w:b/>
                <w:bCs/>
                <w:kern w:val="2"/>
                <w:sz w:val="21"/>
                <w:szCs w:val="24"/>
                <w:lang w:eastAsia="zh-CN"/>
              </w:rPr>
            </w:pPr>
            <w:r>
              <w:rPr>
                <w:rFonts w:ascii="Times New Roman" w:hAnsi="Times New Roman" w:cs="Times New Roman"/>
                <w:b/>
                <w:bCs/>
                <w:spacing w:val="4"/>
                <w:kern w:val="2"/>
                <w:sz w:val="28"/>
                <w:szCs w:val="28"/>
                <w:lang w:eastAsia="zh-CN"/>
              </w:rPr>
              <w:t>10、</w:t>
            </w:r>
            <w:r>
              <w:rPr>
                <w:rFonts w:hint="eastAsia" w:ascii="Times New Roman" w:hAnsi="Times New Roman" w:cs="Times New Roman"/>
                <w:b/>
                <w:bCs/>
                <w:spacing w:val="4"/>
                <w:kern w:val="2"/>
                <w:sz w:val="28"/>
                <w:szCs w:val="28"/>
                <w:lang w:eastAsia="zh-CN"/>
              </w:rPr>
              <w:t>项目与《新疆维吾尔自治区交通运输（公路）“十四五”发展规划》符合性分析</w:t>
            </w:r>
          </w:p>
          <w:p w14:paraId="1106DF01">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《新疆维吾尔自治区交通运输（公路）“十四五”发展规划》是《新疆维吾尔自治区国民经济和社会发展第十四个五年规划和</w:t>
            </w:r>
            <w:r>
              <w:rPr>
                <w:rFonts w:ascii="Times New Roman" w:hAnsi="Times New Roman" w:cs="Times New Roman"/>
                <w:sz w:val="24"/>
                <w:szCs w:val="24"/>
                <w:lang w:eastAsia="zh-CN"/>
              </w:rPr>
              <w:t>2035年远景目标纲要》的重点专项规划，是“十四五”</w:t>
            </w:r>
            <w:r>
              <w:rPr>
                <w:rFonts w:hint="eastAsia" w:ascii="Times New Roman" w:hAnsi="Times New Roman" w:cs="Times New Roman"/>
                <w:sz w:val="24"/>
                <w:szCs w:val="24"/>
                <w:lang w:eastAsia="zh-CN"/>
              </w:rPr>
              <w:t>时</w:t>
            </w:r>
            <w:r>
              <w:rPr>
                <w:rFonts w:ascii="Times New Roman" w:hAnsi="Times New Roman" w:cs="Times New Roman"/>
                <w:sz w:val="24"/>
                <w:szCs w:val="24"/>
                <w:lang w:eastAsia="zh-CN"/>
              </w:rPr>
              <w:t>期全区交通运输高质量发展的指导性文件。旨在为新疆打造一个完善的的公路交通运输体系，推动新疆经济社会全面发展。</w:t>
            </w:r>
          </w:p>
          <w:p w14:paraId="4FA5D618">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规划》中提出，要全力推进运输大通道建设。加快建设丝绸之路经济带北通道、南通道，继续提速扩容中通道，推进南北疆跨天山新通道加快贯通，推进沿边交通体系建设工程，加快完善北疆环、南疆环、天山环通道，全面构筑东联西出、南北畅通的运输通道，加快实现“疆内环起来、进出疆快起来”</w:t>
            </w:r>
            <w:r>
              <w:rPr>
                <w:rFonts w:ascii="Times New Roman" w:hAnsi="Times New Roman" w:cs="Times New Roman"/>
                <w:sz w:val="24"/>
                <w:szCs w:val="24"/>
                <w:lang w:eastAsia="zh-CN"/>
              </w:rPr>
              <w:t>发展目标，构筑紧密连接国内国际双循环的战略纽带。</w:t>
            </w:r>
          </w:p>
          <w:p w14:paraId="2813416B">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规划》还要求加快形成完善的干线公路网。加快低等级路段升级改造。全面推进普通国道待贯通路段建设。加强普通国省道低等级路段升级改造力度，着力提升普通国省道技术等级和服务能力。提升普通干线公路服务功能。适应经济建设、对外开放、旅游开发及新型城镇化发展的要求，加快建设一批连接口岸、交通枢纽、旅游景区、产业园区的普通国省道项目。推动军民融合发展，加快推进国防战略战役通道建设，提高战略投送支援能力。推动兵地融合发展，加快推进一批连接自治区县市、乡镇与周边兵团城</w:t>
            </w:r>
            <w:r>
              <w:rPr>
                <w:rFonts w:ascii="Times New Roman" w:hAnsi="Times New Roman" w:cs="Times New Roman"/>
                <w:sz w:val="24"/>
                <w:szCs w:val="24"/>
                <w:lang w:eastAsia="zh-CN"/>
              </w:rPr>
              <w:t>市、团场的公路建设。</w:t>
            </w:r>
          </w:p>
          <w:p w14:paraId="05C17287">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项目所在区域目前已形成以</w:t>
            </w:r>
            <w:r>
              <w:rPr>
                <w:rFonts w:ascii="Times New Roman" w:hAnsi="Times New Roman" w:cs="Times New Roman"/>
                <w:sz w:val="24"/>
                <w:szCs w:val="24"/>
                <w:lang w:eastAsia="zh-CN"/>
              </w:rPr>
              <w:t>G7（京新高速公路）和S11（五大高速公路）高速公路为主骨架，同时以G216线、G335线、S327线、</w:t>
            </w:r>
            <w:r>
              <w:rPr>
                <w:rFonts w:hint="eastAsia" w:ascii="Times New Roman" w:hAnsi="Times New Roman" w:cs="Times New Roman"/>
                <w:sz w:val="24"/>
                <w:szCs w:val="24"/>
                <w:lang w:eastAsia="zh-CN"/>
              </w:rPr>
              <w:t>S</w:t>
            </w:r>
            <w:r>
              <w:rPr>
                <w:rFonts w:ascii="Times New Roman" w:hAnsi="Times New Roman" w:cs="Times New Roman"/>
                <w:sz w:val="24"/>
                <w:szCs w:val="24"/>
                <w:lang w:eastAsia="zh-CN"/>
              </w:rPr>
              <w:t>239</w:t>
            </w:r>
            <w:r>
              <w:rPr>
                <w:rFonts w:hint="eastAsia" w:ascii="Times New Roman" w:hAnsi="Times New Roman" w:cs="Times New Roman"/>
                <w:sz w:val="24"/>
                <w:szCs w:val="24"/>
                <w:lang w:eastAsia="zh-CN"/>
              </w:rPr>
              <w:t>线、</w:t>
            </w:r>
            <w:r>
              <w:rPr>
                <w:rFonts w:ascii="Times New Roman" w:hAnsi="Times New Roman" w:cs="Times New Roman"/>
                <w:sz w:val="24"/>
                <w:szCs w:val="24"/>
                <w:lang w:eastAsia="zh-CN"/>
              </w:rPr>
              <w:t>S240线、S228线及众多县乡道路、城市道路为支线的公路网络体系。</w:t>
            </w:r>
          </w:p>
          <w:p w14:paraId="6953518C">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拟建项目是自治区东北部的南北向快速通道，规划路线起自</w:t>
            </w:r>
            <w:r>
              <w:rPr>
                <w:rFonts w:ascii="Times New Roman" w:hAnsi="Times New Roman" w:cs="Times New Roman"/>
                <w:sz w:val="24"/>
                <w:szCs w:val="24"/>
                <w:lang w:eastAsia="zh-CN"/>
              </w:rPr>
              <w:t xml:space="preserve"> S239</w:t>
            </w:r>
            <w:r>
              <w:rPr>
                <w:rFonts w:hint="eastAsia" w:ascii="Times New Roman" w:hAnsi="Times New Roman" w:cs="Times New Roman"/>
                <w:sz w:val="24"/>
                <w:szCs w:val="24"/>
                <w:lang w:eastAsia="zh-CN"/>
              </w:rPr>
              <w:t>线与</w:t>
            </w:r>
            <w:r>
              <w:rPr>
                <w:rFonts w:ascii="Times New Roman" w:hAnsi="Times New Roman" w:cs="Times New Roman"/>
                <w:sz w:val="24"/>
                <w:szCs w:val="24"/>
                <w:lang w:eastAsia="zh-CN"/>
              </w:rPr>
              <w:t>S327线交叉处，</w:t>
            </w:r>
            <w:r>
              <w:rPr>
                <w:rFonts w:hint="eastAsia" w:ascii="Times New Roman" w:hAnsi="Times New Roman" w:cs="Times New Roman"/>
                <w:sz w:val="24"/>
                <w:szCs w:val="24"/>
                <w:lang w:eastAsia="zh-CN"/>
              </w:rPr>
              <w:t>终点位于</w:t>
            </w:r>
            <w:r>
              <w:rPr>
                <w:rFonts w:ascii="Times New Roman" w:hAnsi="Times New Roman" w:cs="Times New Roman"/>
                <w:sz w:val="24"/>
                <w:szCs w:val="24"/>
                <w:lang w:eastAsia="zh-CN"/>
              </w:rPr>
              <w:t>G7京新高速泉子街互通连接交叉处。路线沟通了区域内两条重要的横向通道，加强了G7、G335和S327线之间的横向联系。</w:t>
            </w:r>
          </w:p>
          <w:p w14:paraId="3C6C6404">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升等改造的完成，近期是对昌吉州干线公路交通网的有效补充，实现五彩湾南部产业园区、吉木萨尔北庭工业园区、吉木萨尔县与周边城市都有快速通道相连；加强乌昌地区组团经济体之间的联系，促进准东经济开发区的快速发展，实现横向快速通道之间的互相转化，形成高效的公路运输体系。</w:t>
            </w:r>
          </w:p>
          <w:p w14:paraId="2545C678">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因此，项目建设符合《新疆维吾尔自治区交通运输（公路）“十四五”发展规划》。</w:t>
            </w:r>
          </w:p>
          <w:p w14:paraId="00DBBB58">
            <w:pPr>
              <w:pStyle w:val="18"/>
              <w:spacing w:before="120" w:beforeLines="50"/>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11、</w:t>
            </w:r>
            <w:r>
              <w:rPr>
                <w:rFonts w:hint="eastAsia" w:ascii="Times New Roman" w:hAnsi="Times New Roman" w:cs="Times New Roman"/>
                <w:b/>
                <w:bCs/>
                <w:spacing w:val="4"/>
                <w:kern w:val="2"/>
                <w:sz w:val="28"/>
                <w:szCs w:val="28"/>
                <w:lang w:eastAsia="zh-CN"/>
              </w:rPr>
              <w:t>项目与《昌吉回族自治州综合交通运输“十四五”发展规划》符合性分析</w:t>
            </w:r>
          </w:p>
          <w:p w14:paraId="08AED8F8">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根据《昌吉回族自治州综合交通运输“十四五”发展规划》，</w:t>
            </w:r>
            <w:r>
              <w:rPr>
                <w:rFonts w:ascii="Times New Roman" w:hAnsi="Times New Roman" w:cs="Times New Roman"/>
                <w:sz w:val="24"/>
                <w:szCs w:val="24"/>
                <w:lang w:eastAsia="zh-CN"/>
              </w:rPr>
              <w:t>“十四五”期间，昌吉州交通运输事业发展的重点任务是继续完善基础设施布局，按照构建层次清晰、覆盖广泛、安全可靠的公路网络体系的思路，持续加快全州公路发展，大力优化路网等级结构，着力提升路网保障能力和服务品质，努力实现公路发展提档升级，不断强化公路的支撑引领作用。</w:t>
            </w:r>
          </w:p>
          <w:p w14:paraId="36C645D6">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全面加快骨架公路升等改造，依托调整后的骨架公路网规划，加快新增骨架公路的断头路段、等外路建设，完善骨架公路网；围绕提升路网技术等级，积极推进骨架公路升级改造，重点加快交通繁忙路段、瓶颈路段改造，推进准东资源运输通道建设和改造，着力提升二级及以上公路比重，提升骨架公路通行能力；结合产业布局和旅游发展，加快连通重要产业园区、旅游景区的道路建设，力争自治区级产业园区、</w:t>
            </w:r>
            <w:r>
              <w:rPr>
                <w:rFonts w:ascii="Times New Roman" w:hAnsi="Times New Roman" w:cs="Times New Roman"/>
                <w:sz w:val="24"/>
                <w:szCs w:val="24"/>
                <w:lang w:eastAsia="zh-CN"/>
              </w:rPr>
              <w:t>3A级旅游景区实现二级公路连通，打造两大旅游环线；加强与周边区域之间的路网衔接，促进区域协调发展。</w:t>
            </w:r>
          </w:p>
          <w:p w14:paraId="6F71FA5E">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昌吉州普通干线公路网规划布局为“六横十纵十二连两环”，本项目</w:t>
            </w:r>
            <w:r>
              <w:rPr>
                <w:rFonts w:ascii="Times New Roman" w:hAnsi="Times New Roman" w:cs="Times New Roman"/>
                <w:sz w:val="24"/>
                <w:szCs w:val="24"/>
                <w:lang w:eastAsia="zh-CN"/>
              </w:rPr>
              <w:t>S239省道是干线公路网规划中“</w:t>
            </w:r>
            <w:r>
              <w:rPr>
                <w:rFonts w:hint="eastAsia" w:ascii="Times New Roman" w:hAnsi="Times New Roman" w:cs="Times New Roman"/>
                <w:sz w:val="24"/>
                <w:szCs w:val="24"/>
                <w:lang w:eastAsia="zh-CN"/>
              </w:rPr>
              <w:t>纵七</w:t>
            </w:r>
            <w:r>
              <w:rPr>
                <w:rFonts w:ascii="Times New Roman" w:hAnsi="Times New Roman" w:cs="Times New Roman"/>
                <w:sz w:val="24"/>
                <w:szCs w:val="24"/>
                <w:lang w:eastAsia="zh-CN"/>
              </w:rPr>
              <w:t>”的重要组成部分，主要服务昌吉州与周边县市以及区域重点乡镇之间的交通联系。</w:t>
            </w:r>
          </w:p>
          <w:p w14:paraId="029EE595">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因此，本项目符合《昌吉回族自治州综合交通运输“十四五”发展规划》。</w:t>
            </w:r>
          </w:p>
          <w:p w14:paraId="1898E002">
            <w:pPr>
              <w:pStyle w:val="18"/>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12、</w:t>
            </w:r>
            <w:r>
              <w:rPr>
                <w:rFonts w:hint="eastAsia" w:ascii="Times New Roman" w:hAnsi="Times New Roman" w:cs="Times New Roman"/>
                <w:b/>
                <w:bCs/>
                <w:spacing w:val="4"/>
                <w:kern w:val="2"/>
                <w:sz w:val="28"/>
                <w:szCs w:val="28"/>
                <w:lang w:eastAsia="zh-CN"/>
              </w:rPr>
              <w:t>项目与《昌吉回族自治州综合交通运输“十四五”发展规划》符合性分析</w:t>
            </w:r>
          </w:p>
          <w:p w14:paraId="3BD67CC0">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根据昌吉回族自治州综合交通运输“十四五”发展规划，</w:t>
            </w:r>
            <w:r>
              <w:rPr>
                <w:rFonts w:ascii="Times New Roman" w:hAnsi="Times New Roman" w:cs="Times New Roman"/>
                <w:sz w:val="24"/>
                <w:szCs w:val="24"/>
                <w:lang w:eastAsia="zh-CN"/>
              </w:rPr>
              <w:t>“十四五”期间，昌吉州交通运输事业发展的重点任务是继续完善基础设施布局，按照构建层次清晰、覆盖广泛、安全可靠的公路网络体系的思路，持续加快全州公路发展，大力优化路网等级结构，着力提升路网保障能力和服务品质，努力实现公路发展提档升级，不断强化公路的支撑引领作用。</w:t>
            </w:r>
          </w:p>
          <w:p w14:paraId="2E7CAB4A">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全面加快骨架公路升等改造，依托调整后的骨架公路网规划，加快新增骨架公路的断头路段、等外路建设，完善骨架公路网；围绕提升路网技术等级，积极推进骨架公路升级改造，重点加快交通繁忙路段、瓶颈路段改造，推进准东资源运输通道建设和改造，着力提升二级及以上公路比重，提升骨架公路通行能力；结合产业布局和旅游发展，加快连通重要产业园区、旅游景区的道路建设，力争自治区级产业园区、</w:t>
            </w:r>
            <w:r>
              <w:rPr>
                <w:rFonts w:ascii="Times New Roman" w:hAnsi="Times New Roman" w:cs="Times New Roman"/>
                <w:sz w:val="24"/>
                <w:szCs w:val="24"/>
                <w:lang w:eastAsia="zh-CN"/>
              </w:rPr>
              <w:t>3A级旅游景区实现二级公路连通，打造两大旅游环线；加强与周边区域之间的路网衔接，促进区域协调发展。</w:t>
            </w:r>
          </w:p>
          <w:p w14:paraId="7FC4120B">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昌吉州普通干线公路网规划布局为“六横十纵十二连两环”，本项目</w:t>
            </w:r>
            <w:r>
              <w:rPr>
                <w:rFonts w:ascii="Times New Roman" w:hAnsi="Times New Roman" w:cs="Times New Roman"/>
                <w:sz w:val="24"/>
                <w:szCs w:val="24"/>
                <w:lang w:eastAsia="zh-CN"/>
              </w:rPr>
              <w:t>S240省道是干线公路网规划中“纵八”的重要组成部分，主要服务昌吉州与周边县市以及区域重点乡镇之间的交通联系。</w:t>
            </w:r>
          </w:p>
          <w:p w14:paraId="1FF519DF">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因此，本项目符合《昌吉回族自治州综合交通运输“十四五”发展规划》。</w:t>
            </w:r>
          </w:p>
          <w:p w14:paraId="18EE4CD1">
            <w:pPr>
              <w:pStyle w:val="18"/>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13</w:t>
            </w:r>
            <w:r>
              <w:rPr>
                <w:rFonts w:hint="eastAsia" w:ascii="Times New Roman" w:hAnsi="Times New Roman" w:cs="Times New Roman"/>
                <w:b/>
                <w:bCs/>
                <w:spacing w:val="4"/>
                <w:kern w:val="2"/>
                <w:sz w:val="28"/>
                <w:szCs w:val="28"/>
                <w:lang w:eastAsia="zh-CN"/>
              </w:rPr>
              <w:t>、项目与“新疆维吾尔自治区公路网规划（2</w:t>
            </w:r>
            <w:r>
              <w:rPr>
                <w:rFonts w:ascii="Times New Roman" w:hAnsi="Times New Roman" w:cs="Times New Roman"/>
                <w:b/>
                <w:bCs/>
                <w:spacing w:val="4"/>
                <w:kern w:val="2"/>
                <w:sz w:val="28"/>
                <w:szCs w:val="28"/>
                <w:lang w:eastAsia="zh-CN"/>
              </w:rPr>
              <w:t>021-2050</w:t>
            </w:r>
            <w:r>
              <w:rPr>
                <w:rFonts w:hint="eastAsia" w:ascii="Times New Roman" w:hAnsi="Times New Roman" w:cs="Times New Roman"/>
                <w:b/>
                <w:bCs/>
                <w:spacing w:val="4"/>
                <w:kern w:val="2"/>
                <w:sz w:val="28"/>
                <w:szCs w:val="28"/>
                <w:lang w:eastAsia="zh-CN"/>
              </w:rPr>
              <w:t>年）环境影响报告书审查意见”符合性分析</w:t>
            </w:r>
          </w:p>
          <w:p w14:paraId="0905A860">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“新疆维吾尔自治区公路网规划（</w:t>
            </w:r>
            <w:r>
              <w:rPr>
                <w:rFonts w:ascii="Times New Roman" w:hAnsi="Times New Roman" w:cs="Times New Roman"/>
                <w:sz w:val="24"/>
                <w:szCs w:val="24"/>
                <w:lang w:eastAsia="zh-CN"/>
              </w:rPr>
              <w:t>2021-2050年）环境影响报告书审查意见”</w:t>
            </w:r>
            <w:r>
              <w:rPr>
                <w:rFonts w:hint="eastAsia" w:ascii="Times New Roman" w:hAnsi="Times New Roman" w:cs="Times New Roman"/>
                <w:sz w:val="24"/>
                <w:szCs w:val="24"/>
                <w:lang w:eastAsia="zh-CN"/>
              </w:rPr>
              <w:t>指出：</w:t>
            </w:r>
          </w:p>
          <w:p w14:paraId="39191210">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坚持生态优先、绿色发展。根据区域发展战略和主体功能定位，坚持生态保护优先，从顶层设计和源头控制着手，防范环境污染和生态破坏。针对规划涉及区域较为突出的生态环境问题，进一步完善生态环境目标和“三线一单”管理要求。统筹考虑环境敏感区、生态脆弱区、重要物种生境的分布等情况，切实落实各项生态环境保护要求，促进区域经济社会与生态文明协调发展。</w:t>
            </w:r>
          </w:p>
          <w:p w14:paraId="11D6C994">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2）严格保护生态空间，优化规划布局。主动对接国家、自治区国土空间规划，加强与“三线一单”、生态功能区划等有关要求的衔接，确保符合相关管控和保护要求，实现公路交通与生态环境保护、人居环境安全协调。在严格落实《报告书》提出的优化调整意见的基础上，进一步优化选址选线和施工布置，坚持“绕避”优先原则，严格按照自然保护地、饮用水源保护区等的管控要求进行交通开发建设活动。</w:t>
            </w:r>
          </w:p>
          <w:p w14:paraId="77FFFD77">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合理确定开发时序和规模，强化环境管理。优化调整规划开发时序和规模时，应充分考虑对生态环境的累积影响和长期影响。总结凝练公路交通开发现存的主要经验与教训，加强对在建和已建项目事中事后监管，针对开发过程中的环境问题及时整治。</w:t>
            </w:r>
          </w:p>
          <w:p w14:paraId="32ABC21B">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（4）建立健全长期稳定的环境监测体系。根据规划实施状况、环境敏感目标的分布等，建立和完善生态、大气、声环境等环境要素监控体系。根据监测结果并结合环境影响适时优化、调整规划。</w:t>
            </w:r>
          </w:p>
          <w:p w14:paraId="024253AA">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5）加强开发过程的环境风险防控。强化风险防控意识，坚持事前防范和事中监管，按照“属地为主、分级响应、区域联动”的原则，建立完善各区域环境管理制度、环境风险防控和应急管理体系，健全突发环境事故预警和应急管理机制，制定细化环境风险防控方案和措施，落实责任主体，明晰防控流程，确保环境风险可控。</w:t>
            </w:r>
          </w:p>
          <w:p w14:paraId="1F9CD1E2">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本项目选线为由北向南走向，沿着现有道路进行改扩建，项目</w:t>
            </w:r>
            <w:r>
              <w:rPr>
                <w:rFonts w:ascii="Times New Roman" w:hAnsi="Times New Roman" w:cs="Times New Roman"/>
                <w:sz w:val="24"/>
                <w:szCs w:val="24"/>
                <w:lang w:eastAsia="zh-CN"/>
              </w:rPr>
              <w:t>k49+550-k85+360</w:t>
            </w:r>
            <w:r>
              <w:rPr>
                <w:rFonts w:hint="eastAsia" w:ascii="Times New Roman" w:hAnsi="Times New Roman" w:cs="Times New Roman"/>
                <w:sz w:val="24"/>
                <w:szCs w:val="24"/>
                <w:lang w:eastAsia="zh-CN"/>
              </w:rPr>
              <w:t>段涉及穿越新疆吉木萨尔县国家沙化土地封禁保护区，封禁保护区东西方向平均宽度约5km，南北方向长约3</w:t>
            </w:r>
            <w:r>
              <w:rPr>
                <w:rFonts w:ascii="Times New Roman" w:hAnsi="Times New Roman" w:cs="Times New Roman"/>
                <w:sz w:val="24"/>
                <w:szCs w:val="24"/>
                <w:lang w:eastAsia="zh-CN"/>
              </w:rPr>
              <w:t>5.81</w:t>
            </w:r>
            <w:r>
              <w:rPr>
                <w:rFonts w:hint="eastAsia" w:ascii="Times New Roman" w:hAnsi="Times New Roman" w:cs="Times New Roman"/>
                <w:sz w:val="24"/>
                <w:szCs w:val="24"/>
                <w:lang w:eastAsia="zh-CN"/>
              </w:rPr>
              <w:t>km，如若改线施工，势必新增大量的生态扰动和破坏，工程量巨大，且会造成现有老路区间路段闲置浪费，本项目对施工占用破坏的封禁保护区内的草方格沙障按照“占一补一”的原则实施生态补偿，新建草方格沙障位于项目</w:t>
            </w:r>
            <w:r>
              <w:rPr>
                <w:rFonts w:ascii="Times New Roman" w:hAnsi="Times New Roman" w:cs="Times New Roman"/>
                <w:sz w:val="24"/>
                <w:szCs w:val="24"/>
                <w:lang w:eastAsia="zh-CN"/>
              </w:rPr>
              <w:t>k49+550-k85+360段封禁保护区原有草方格沙障边界外围</w:t>
            </w:r>
            <w:r>
              <w:rPr>
                <w:rFonts w:hint="eastAsia" w:ascii="Times New Roman" w:hAnsi="Times New Roman" w:cs="Times New Roman"/>
                <w:sz w:val="24"/>
                <w:szCs w:val="24"/>
                <w:lang w:eastAsia="zh-CN"/>
              </w:rPr>
              <w:t>。项目已取得国家林业和草原局同意项目占用新疆吉木萨尔县国家沙化土地封禁保护区的复函。本项目涉及穿越吉木萨尔北庭国家湿地公园的桩号区间为：</w:t>
            </w:r>
            <w:r>
              <w:rPr>
                <w:rFonts w:ascii="Times New Roman" w:hAnsi="Times New Roman" w:cs="Times New Roman"/>
                <w:sz w:val="24"/>
                <w:szCs w:val="24"/>
                <w:lang w:eastAsia="zh-CN"/>
              </w:rPr>
              <w:t>k118+480-k119+370</w:t>
            </w:r>
            <w:r>
              <w:rPr>
                <w:rFonts w:hint="eastAsia" w:ascii="Times New Roman" w:hAnsi="Times New Roman" w:cs="Times New Roman"/>
                <w:sz w:val="24"/>
                <w:szCs w:val="24"/>
                <w:lang w:eastAsia="zh-CN"/>
              </w:rPr>
              <w:t>，项目占用湿地公园面积</w:t>
            </w:r>
            <w:r>
              <w:rPr>
                <w:rFonts w:ascii="Times New Roman" w:hAnsi="Times New Roman" w:cs="Times New Roman"/>
                <w:sz w:val="24"/>
                <w:szCs w:val="24"/>
                <w:lang w:eastAsia="zh-CN"/>
              </w:rPr>
              <w:t>0.8455公顷，涉及使用河流水面0.0050公顷、坑塘水面0.1933公顷，占用湿地公园总面积的0.0363%，均为一般湿地。</w:t>
            </w:r>
            <w:r>
              <w:rPr>
                <w:rFonts w:hint="eastAsia" w:ascii="Times New Roman" w:hAnsi="Times New Roman" w:cs="Times New Roman"/>
                <w:sz w:val="24"/>
                <w:szCs w:val="24"/>
                <w:lang w:eastAsia="zh-CN"/>
              </w:rPr>
              <w:t>往西侧避绕会穿行更多居民点，占用基本农田，东侧是东二畦水库（属于湿地公园范围），往东侧不具备避绕条件，属于不可避绕情形，从严格保护生态空间的角度考虑，沿着老路改扩建，既能保证原有道路的有效利用，又能最大限度减少对湿地公园的占用，避免造成更多的生态破坏，项目已取得自治区林业和草原局同意穿越湿地公园的复函。项目料场选用商品料场，弃土场、综合场站选址已综合考虑避让不良地质、生态保护红线、基本农田、居民点等敏感目标。施工便道大部分优先利用周边已有社会道路，新建施工道路较短。</w:t>
            </w:r>
          </w:p>
          <w:p w14:paraId="459049AB">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综上所述，项目建设与“新疆维吾尔自治区公路网规划（</w:t>
            </w:r>
            <w:r>
              <w:rPr>
                <w:rFonts w:ascii="Times New Roman" w:hAnsi="Times New Roman" w:cs="Times New Roman"/>
                <w:sz w:val="24"/>
                <w:szCs w:val="24"/>
                <w:lang w:eastAsia="zh-CN"/>
              </w:rPr>
              <w:t>2021-2050年）环境影响报告书审查意见”</w:t>
            </w:r>
            <w:r>
              <w:rPr>
                <w:rFonts w:hint="eastAsia" w:ascii="Times New Roman" w:hAnsi="Times New Roman" w:cs="Times New Roman"/>
                <w:sz w:val="24"/>
                <w:szCs w:val="24"/>
                <w:lang w:eastAsia="zh-CN"/>
              </w:rPr>
              <w:t>不相违背。</w:t>
            </w:r>
          </w:p>
          <w:p w14:paraId="4B6705B5">
            <w:pPr>
              <w:pStyle w:val="18"/>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14</w:t>
            </w:r>
            <w:r>
              <w:rPr>
                <w:rFonts w:hint="eastAsia" w:ascii="Times New Roman" w:hAnsi="Times New Roman" w:cs="Times New Roman"/>
                <w:b/>
                <w:bCs/>
                <w:spacing w:val="4"/>
                <w:kern w:val="2"/>
                <w:sz w:val="28"/>
                <w:szCs w:val="28"/>
                <w:lang w:eastAsia="zh-CN"/>
              </w:rPr>
              <w:t>、项目与“新疆生产建设兵团“十四五”公路建设规划环境影响报告书的审查意见”符合性分析</w:t>
            </w:r>
          </w:p>
          <w:p w14:paraId="4A52C067">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“新疆生产建设兵团“十四五”公路建设规划环境影响报告书的审查意见”指出：</w:t>
            </w:r>
          </w:p>
          <w:p w14:paraId="63AC0C7A">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坚持生态优先，打造绿色交通。做好与各级国土空间规划的衔接协调，结合兵团城镇布局，遵循集约节约利用土地资源、岸线资源和通道资源等理念，优化各类交通方式规模、空间布局。按照《新疆生产建设兵团“三线一单”生态环境分区管控方案》《新疆生产建设兵团“十四五”生态环境保护规划》等要求，基于区域生态环境承载力，进一步优化各类运输方式结构比例、规划项目选线选址，打造布局科学、生态友好、清洁低碳、集约高效的绿色交通体系。</w:t>
            </w:r>
          </w:p>
          <w:p w14:paraId="5A679516">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2）优化选线选址，严格空间管控。禁止实施不符合国土空间规划、“三线一单”、自然保护区等相关管控要求的各类开发建设活动，对各类生态环境敏感区依法依规实施强制性保护，涉及各类生态环境敏感区域的项目，应坚持“避让优先，严格管控”</w:t>
            </w:r>
            <w:r>
              <w:rPr>
                <w:rFonts w:ascii="Times New Roman" w:hAnsi="Times New Roman" w:cs="Times New Roman"/>
                <w:sz w:val="24"/>
                <w:szCs w:val="24"/>
                <w:lang w:eastAsia="zh-CN"/>
              </w:rPr>
              <w:t>的原则，采取有效环境保护对策措施，切实减缓对生态环境敏感区的不利影响。加强对路网规划周边居民、学校、医院声环境敏感区等用地功能的规划控制，进一步优化局部选址选线。</w:t>
            </w:r>
          </w:p>
          <w:p w14:paraId="52CF54FE">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3）严格减缓措施，强化风险防范。按照区域地表水、大气等环境质量达标要求或阶段目标，严格各类运输方式污染防控要求，推广使用新能源和清洁燃料车辆，最大限度减少污染排放，引导绿色物流体系建设。加强交通运输项目环境风险管理，可能涉及生态环境敏感区的项目，应严格限定危险品储运。建立健全与各项目环境风险相匹配的应急能力，制定突发环境事件应急预案，建立区域环境风险防范体系联防联控机制，提高交通运输的风险防控能力和应急处置能力。</w:t>
            </w:r>
          </w:p>
          <w:p w14:paraId="76FC729B">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（4）健全监测机制，优化规划实施。衔接规划实施，健全涵盖大气环境、声环境、水环境等环境要素以及聚焦生态环境敏感区的跟踪监测机制，根据监测结果结合环境影响适时优化规划。</w:t>
            </w:r>
          </w:p>
          <w:p w14:paraId="186C8E43">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次评价提出了项目施工期和运营期废气、废水、噪声、固废相应的治理措施，运营期环境风险防范措施，施工期和运营期的环境监测计划，项目建设符合“新疆生产建设兵团“十四五”公路建设规划环境影响报告书的审查意见</w:t>
            </w:r>
            <w:r>
              <w:rPr>
                <w:rFonts w:ascii="Times New Roman" w:hAnsi="Times New Roman" w:cs="Times New Roman"/>
                <w:sz w:val="24"/>
                <w:szCs w:val="24"/>
                <w:lang w:eastAsia="zh-CN"/>
              </w:rPr>
              <w:t>”的要求。</w:t>
            </w:r>
          </w:p>
          <w:p w14:paraId="2A6A3982">
            <w:pPr>
              <w:pStyle w:val="18"/>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15</w:t>
            </w:r>
            <w:r>
              <w:rPr>
                <w:rFonts w:hint="eastAsia" w:ascii="Times New Roman" w:hAnsi="Times New Roman" w:cs="Times New Roman"/>
                <w:b/>
                <w:bCs/>
                <w:spacing w:val="4"/>
                <w:kern w:val="2"/>
                <w:sz w:val="28"/>
                <w:szCs w:val="28"/>
                <w:lang w:eastAsia="zh-CN"/>
              </w:rPr>
              <w:t>、项目与《国家级自然公园管理办法（试行）》符合性分析</w:t>
            </w:r>
          </w:p>
          <w:p w14:paraId="0DD93BF8">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国家级自然公园管理办法（试行）》中第十九条规定：国家级自然公园范围内除国家重大项目外，仅允许对生态功能不造成破坏的有限人为活动：（一）自然公园内居民和其他合法权益主体依法依规开展的生产生活及设施建设；（二）符合自然公园保护管理要求的文化、体育活动和必要的配套设施建设；（三）符合生态保护红线管控要求的其他活动和设施建设；（四）法律法规和国家政策允许在自然公园内开展的其他活动。</w:t>
            </w:r>
          </w:p>
          <w:p w14:paraId="78A44DA2">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w:t>
            </w:r>
            <w:r>
              <w:rPr>
                <w:rFonts w:ascii="Times New Roman" w:hAnsi="Times New Roman" w:cs="Times New Roman"/>
                <w:sz w:val="24"/>
                <w:szCs w:val="24"/>
                <w:lang w:eastAsia="zh-CN"/>
              </w:rPr>
              <w:t>k118+480- k119+370</w:t>
            </w:r>
            <w:r>
              <w:rPr>
                <w:rFonts w:hint="eastAsia" w:ascii="Times New Roman" w:hAnsi="Times New Roman" w:cs="Times New Roman"/>
                <w:sz w:val="24"/>
                <w:szCs w:val="24"/>
                <w:lang w:eastAsia="zh-CN"/>
              </w:rPr>
              <w:t>段</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穿越吉木萨尔北庭国家湿地公园，符合第十九条（三）符合生态保护红线管控要求的其他活动和设施建设，是《国家林草局关于加强生态保护红线管理的通知（试行）》中“必须且无法避让、符合县级以上国土空间规划的线性基础设施；已有的合法水利、交通运输等设施运行维护改造”的项目。符合《国家级自然公园管理办法（试行）》的要求。</w:t>
            </w:r>
          </w:p>
          <w:p w14:paraId="26F51B21">
            <w:pPr>
              <w:pStyle w:val="18"/>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16</w:t>
            </w:r>
            <w:r>
              <w:rPr>
                <w:rFonts w:hint="eastAsia" w:ascii="Times New Roman" w:hAnsi="Times New Roman" w:cs="Times New Roman"/>
                <w:b/>
                <w:bCs/>
                <w:spacing w:val="4"/>
                <w:kern w:val="2"/>
                <w:sz w:val="28"/>
                <w:szCs w:val="28"/>
                <w:lang w:eastAsia="zh-CN"/>
              </w:rPr>
              <w:t>、项目与《中华人民共和国湿地保护法》符合性分析</w:t>
            </w:r>
          </w:p>
          <w:p w14:paraId="0FFAACFE">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w:t>
            </w:r>
            <w:r>
              <w:rPr>
                <w:rFonts w:ascii="Times New Roman" w:hAnsi="Times New Roman" w:cs="Times New Roman"/>
                <w:sz w:val="24"/>
                <w:szCs w:val="24"/>
                <w:lang w:eastAsia="zh-CN"/>
              </w:rPr>
              <w:t>《中华人民共和国湿地保护法》第十九条：国家严格控制占用湿地中“建设项目选址、选线应当避让湿地，无法避让的应当尽量减少占用，并采取必要措施减轻对湿地生态功能的不利影响。”</w:t>
            </w:r>
          </w:p>
          <w:p w14:paraId="15B41F30">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本项目为道路扩建项目，项目（</w:t>
            </w:r>
            <w:r>
              <w:rPr>
                <w:rFonts w:ascii="Times New Roman" w:hAnsi="Times New Roman" w:cs="Times New Roman"/>
                <w:sz w:val="24"/>
                <w:szCs w:val="24"/>
                <w:lang w:eastAsia="zh-CN"/>
              </w:rPr>
              <w:t>k118+480- k119+370段）</w:t>
            </w:r>
            <w:r>
              <w:rPr>
                <w:rFonts w:hint="eastAsia" w:ascii="Times New Roman" w:hAnsi="Times New Roman" w:cs="Times New Roman"/>
                <w:sz w:val="24"/>
                <w:szCs w:val="24"/>
                <w:lang w:eastAsia="zh-CN"/>
              </w:rPr>
              <w:t>无法避让新疆吉木萨尔北庭国家湿地公园，但经过实际勘察后项目区已尽量减少占用湿地公园，并且要求项目实施过程采取必要措施减轻对湿地生态功能的不利影响。项目符合《中华人民共和国湿地保护法》中的规定。</w:t>
            </w:r>
          </w:p>
          <w:p w14:paraId="18D96409">
            <w:pPr>
              <w:pStyle w:val="18"/>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17</w:t>
            </w:r>
            <w:r>
              <w:rPr>
                <w:rFonts w:hint="eastAsia" w:ascii="Times New Roman" w:hAnsi="Times New Roman" w:cs="Times New Roman"/>
                <w:b/>
                <w:bCs/>
                <w:spacing w:val="4"/>
                <w:kern w:val="2"/>
                <w:sz w:val="28"/>
                <w:szCs w:val="28"/>
                <w:lang w:eastAsia="zh-CN"/>
              </w:rPr>
              <w:t>、项目与《国家公益林管理办法》符合性分析</w:t>
            </w:r>
          </w:p>
          <w:p w14:paraId="33797A49">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根据《国家公益林管理办法》第十一条的要求，国家级公益林管理遵循“生态优先、严格保护、分级管理、科学经营、合理利用”的原则。</w:t>
            </w:r>
            <w:r>
              <w:rPr>
                <w:rFonts w:ascii="Times New Roman" w:hAnsi="Times New Roman" w:cs="Times New Roman"/>
                <w:sz w:val="24"/>
                <w:szCs w:val="24"/>
                <w:lang w:eastAsia="zh-CN"/>
              </w:rPr>
              <w:t>禁止在国家级公益林地开垦、采石、采沙、取土，严格控制勘查、开采矿藏和工程建设征收、征用、占用国家级公益林地。除国务院有关部门和省级人民政府批准的基础设施建设项目外，不得征收、征用、占用一级国家级公益林地。经批准征收、征用、占用的国家级公益林地，由国家林业局进行审核汇总并相应核减国家级公益林总量，财政部根据国家林业局审核结果相应核减下一年度中央财政森林生态效益补偿基金</w:t>
            </w:r>
            <w:r>
              <w:rPr>
                <w:rFonts w:hint="eastAsia" w:ascii="Times New Roman" w:hAnsi="Times New Roman" w:cs="Times New Roman"/>
                <w:sz w:val="24"/>
                <w:szCs w:val="24"/>
                <w:lang w:eastAsia="zh-CN"/>
              </w:rPr>
              <w:t>。</w:t>
            </w:r>
          </w:p>
          <w:p w14:paraId="1DDFD5F3">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本项目k</w:t>
            </w:r>
            <w:r>
              <w:rPr>
                <w:rFonts w:ascii="Times New Roman" w:hAnsi="Times New Roman" w:cs="Times New Roman"/>
                <w:sz w:val="24"/>
                <w:szCs w:val="24"/>
                <w:lang w:eastAsia="zh-CN"/>
              </w:rPr>
              <w:t>85+560～</w:t>
            </w:r>
            <w:r>
              <w:rPr>
                <w:rFonts w:hint="eastAsia" w:ascii="Times New Roman" w:hAnsi="Times New Roman" w:cs="Times New Roman"/>
                <w:sz w:val="24"/>
                <w:szCs w:val="24"/>
                <w:lang w:eastAsia="zh-CN"/>
              </w:rPr>
              <w:t>k</w:t>
            </w:r>
            <w:r>
              <w:rPr>
                <w:rFonts w:ascii="Times New Roman" w:hAnsi="Times New Roman" w:cs="Times New Roman"/>
                <w:sz w:val="24"/>
                <w:szCs w:val="24"/>
                <w:lang w:eastAsia="zh-CN"/>
              </w:rPr>
              <w:t>100+260段穿越</w:t>
            </w:r>
            <w:r>
              <w:rPr>
                <w:rFonts w:hint="eastAsia" w:ascii="Times New Roman" w:hAnsi="Times New Roman" w:cs="Times New Roman"/>
                <w:sz w:val="24"/>
                <w:szCs w:val="24"/>
                <w:lang w:eastAsia="zh-CN"/>
              </w:rPr>
              <w:t>第六师五家渠市红旗农场</w:t>
            </w:r>
            <w:r>
              <w:rPr>
                <w:rFonts w:ascii="Times New Roman" w:hAnsi="Times New Roman" w:cs="Times New Roman"/>
                <w:sz w:val="24"/>
                <w:szCs w:val="24"/>
                <w:lang w:eastAsia="zh-CN"/>
              </w:rPr>
              <w:t>国家二级公益林约14.7km，占地面积约42.2公顷。经与当地自然资源局沟通，公路建设用地可以占用国家二级公益林，但需编制专项报告提交兵团林草局相关部部门批准。</w:t>
            </w:r>
            <w:r>
              <w:rPr>
                <w:rFonts w:hint="eastAsia" w:ascii="Times New Roman" w:hAnsi="Times New Roman" w:cs="Times New Roman"/>
                <w:sz w:val="24"/>
                <w:szCs w:val="24"/>
                <w:lang w:eastAsia="zh-CN"/>
              </w:rPr>
              <w:t>因此，本项目符合《国家公益林管理办法》的要求。</w:t>
            </w:r>
          </w:p>
          <w:p w14:paraId="277655C9">
            <w:pPr>
              <w:pStyle w:val="18"/>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18</w:t>
            </w:r>
            <w:r>
              <w:rPr>
                <w:rFonts w:hint="eastAsia" w:ascii="Times New Roman" w:hAnsi="Times New Roman" w:cs="Times New Roman"/>
                <w:b/>
                <w:bCs/>
                <w:spacing w:val="4"/>
                <w:kern w:val="2"/>
                <w:sz w:val="28"/>
                <w:szCs w:val="28"/>
                <w:lang w:eastAsia="zh-CN"/>
              </w:rPr>
              <w:t>、项目与《在国家沙化土地封禁保护区范围内进行修建铁路、公路等建设活动监督管理办法》符合性分析</w:t>
            </w:r>
          </w:p>
          <w:p w14:paraId="7EA9714E">
            <w:pPr>
              <w:autoSpaceDE/>
              <w:autoSpaceDN/>
              <w:spacing w:before="120" w:beforeLines="50"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在国家沙化土地封禁保护区范围内进行修建铁路、公路等建设活动监督管理办法》中指出：第六条、经批准在封禁保护区范围内进行建设活动的，建设单位应当严格依据批复内容进行施工，落实好防沙治沙措施，严禁对批复范围以外的封禁保护区域造成破坏。第七条、在封禁保护区范围内进行建设活动造成封禁设施和固沙压沙措施毁坏的，建设单位应当自建设项目竣工验收合格之日起一年内予以修复并完善封禁设施和固沙压沙措施，确保封禁和固沙压沙效果。</w:t>
            </w:r>
          </w:p>
          <w:p w14:paraId="24DA3B4E">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本项目涉及穿越新疆吉木萨尔县国家沙化土地封禁保护区的桩号区间为：</w:t>
            </w:r>
            <w:r>
              <w:rPr>
                <w:rFonts w:ascii="Times New Roman" w:hAnsi="Times New Roman" w:cs="Times New Roman"/>
                <w:sz w:val="24"/>
                <w:szCs w:val="24"/>
                <w:lang w:eastAsia="zh-CN"/>
              </w:rPr>
              <w:t>k49+550-k85+360段，共35.81km，建设单位应严格控制施工对封禁区扰动范围，对占用破坏的封禁保护区原有草方格沙障按照“占一补一”的原则实施生态补偿，补偿区域位于项目k49+550-k85+360段封禁保护区原有草方格沙障边界外围。</w:t>
            </w:r>
            <w:r>
              <w:rPr>
                <w:rFonts w:hint="eastAsia" w:ascii="Times New Roman" w:hAnsi="Times New Roman" w:cs="Times New Roman"/>
                <w:sz w:val="24"/>
                <w:szCs w:val="24"/>
                <w:lang w:eastAsia="zh-CN"/>
              </w:rPr>
              <w:t>综上所述，《在国家沙化土地封禁保护区范围内进行修建铁路、公路等建设活动监督管理办法》。</w:t>
            </w:r>
          </w:p>
        </w:tc>
      </w:tr>
    </w:tbl>
    <w:p w14:paraId="3B58445C">
      <w:pPr>
        <w:rPr>
          <w:rFonts w:ascii="Times New Roman" w:hAnsi="Times New Roman" w:cs="Times New Roman"/>
          <w:sz w:val="21"/>
          <w:lang w:eastAsia="zh-CN"/>
        </w:rPr>
        <w:sectPr>
          <w:pgSz w:w="11913" w:h="16840"/>
          <w:pgMar w:top="1134" w:right="1134" w:bottom="1134" w:left="1134" w:header="0" w:footer="1043" w:gutter="0"/>
          <w:pgNumType w:start="1"/>
          <w:cols w:space="720" w:num="1"/>
          <w:docGrid w:linePitch="299" w:charSpace="0"/>
        </w:sectPr>
      </w:pPr>
    </w:p>
    <w:p w14:paraId="70982E39">
      <w:pPr>
        <w:pStyle w:val="2"/>
        <w:ind w:left="0"/>
        <w:jc w:val="center"/>
        <w:rPr>
          <w:rFonts w:ascii="黑体" w:hAnsi="黑体" w:eastAsia="黑体" w:cs="Times New Roman"/>
          <w:b/>
          <w:bCs/>
          <w:lang w:eastAsia="zh-CN"/>
        </w:rPr>
      </w:pPr>
      <w:bookmarkStart w:id="1" w:name="_Toc119927459"/>
      <w:r>
        <w:rPr>
          <w:rFonts w:ascii="黑体" w:hAnsi="黑体" w:eastAsia="黑体" w:cs="Times New Roman"/>
          <w:b/>
          <w:bCs/>
          <w:lang w:eastAsia="zh-CN"/>
        </w:rPr>
        <w:t>二、建设内容</w:t>
      </w:r>
      <w:bookmarkEnd w:id="1"/>
    </w:p>
    <w:tbl>
      <w:tblPr>
        <w:tblStyle w:val="16"/>
        <w:tblW w:w="501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77"/>
        <w:gridCol w:w="8907"/>
      </w:tblGrid>
      <w:tr w14:paraId="153208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14" w:hRule="atLeast"/>
        </w:trPr>
        <w:tc>
          <w:tcPr>
            <w:tcW w:w="401" w:type="pct"/>
            <w:tcBorders>
              <w:bottom w:val="single" w:color="000000" w:sz="4" w:space="0"/>
              <w:right w:val="single" w:color="000000" w:sz="4" w:space="0"/>
            </w:tcBorders>
            <w:vAlign w:val="center"/>
          </w:tcPr>
          <w:p w14:paraId="193227F6">
            <w:pPr>
              <w:pStyle w:val="18"/>
              <w:jc w:val="center"/>
              <w:rPr>
                <w:rFonts w:ascii="Times New Roman" w:hAnsi="Times New Roman" w:cs="Times New Roman"/>
                <w:b/>
                <w:bCs/>
                <w:sz w:val="24"/>
                <w:szCs w:val="24"/>
              </w:rPr>
            </w:pPr>
            <w:r>
              <w:rPr>
                <w:rFonts w:ascii="Times New Roman" w:hAnsi="Times New Roman" w:cs="Times New Roman"/>
                <w:b/>
                <w:bCs/>
                <w:sz w:val="24"/>
                <w:szCs w:val="24"/>
              </w:rPr>
              <w:t>地理</w:t>
            </w:r>
          </w:p>
          <w:p w14:paraId="3433C788">
            <w:pPr>
              <w:pStyle w:val="18"/>
              <w:jc w:val="center"/>
              <w:rPr>
                <w:rFonts w:ascii="Times New Roman" w:hAnsi="Times New Roman" w:cs="Times New Roman"/>
                <w:szCs w:val="24"/>
              </w:rPr>
            </w:pPr>
            <w:r>
              <w:rPr>
                <w:rFonts w:ascii="Times New Roman" w:hAnsi="Times New Roman" w:cs="Times New Roman"/>
                <w:b/>
                <w:bCs/>
                <w:sz w:val="24"/>
                <w:szCs w:val="24"/>
              </w:rPr>
              <w:t>位置</w:t>
            </w:r>
          </w:p>
        </w:tc>
        <w:tc>
          <w:tcPr>
            <w:tcW w:w="4599" w:type="pct"/>
            <w:tcBorders>
              <w:left w:val="single" w:color="000000" w:sz="4" w:space="0"/>
              <w:bottom w:val="single" w:color="000000" w:sz="4" w:space="0"/>
            </w:tcBorders>
          </w:tcPr>
          <w:p w14:paraId="417A8AF7">
            <w:pPr>
              <w:autoSpaceDE/>
              <w:autoSpaceDN/>
              <w:spacing w:before="120" w:beforeLines="50"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项目建设地点位于准东经济技术开发区、第六师红旗农场、吉木萨尔县，项目总长度</w:t>
            </w:r>
            <w:r>
              <w:rPr>
                <w:rFonts w:ascii="Times New Roman" w:hAnsi="Times New Roman" w:cs="Times New Roman"/>
                <w:spacing w:val="4"/>
                <w:kern w:val="2"/>
                <w:sz w:val="24"/>
                <w:szCs w:val="24"/>
                <w:lang w:eastAsia="zh-CN"/>
              </w:rPr>
              <w:t>89.14</w:t>
            </w:r>
            <w:r>
              <w:rPr>
                <w:rFonts w:hint="eastAsia" w:ascii="Times New Roman" w:hAnsi="Times New Roman" w:cs="Times New Roman"/>
                <w:spacing w:val="4"/>
                <w:kern w:val="2"/>
                <w:sz w:val="24"/>
                <w:szCs w:val="24"/>
                <w:lang w:eastAsia="zh-CN"/>
              </w:rPr>
              <w:t>km（准东段</w:t>
            </w:r>
            <w:r>
              <w:rPr>
                <w:rFonts w:ascii="Times New Roman" w:hAnsi="Times New Roman" w:cs="Times New Roman"/>
                <w:spacing w:val="4"/>
                <w:kern w:val="2"/>
                <w:sz w:val="24"/>
                <w:szCs w:val="24"/>
                <w:lang w:eastAsia="zh-CN"/>
              </w:rPr>
              <w:t>21.3km，第六师红旗农场段51.02km，吉木萨尔段16.82km</w:t>
            </w:r>
            <w:r>
              <w:rPr>
                <w:rFonts w:hint="eastAsia" w:ascii="Times New Roman" w:hAnsi="Times New Roman" w:cs="Times New Roman"/>
                <w:spacing w:val="4"/>
                <w:kern w:val="2"/>
                <w:sz w:val="24"/>
                <w:szCs w:val="24"/>
                <w:lang w:eastAsia="zh-CN"/>
              </w:rPr>
              <w:t>），项目沿途主要控制点包括五彩湾水库、新疆吉木萨尔县国家沙化土地封禁保护区、红旗农场公益林、红旗农场农田、张家庄子村、东二畦村、冉家湖村、吉木萨尔北庭国家湿地公园保育区、昌吉州公路局吉木萨尔分局、</w:t>
            </w:r>
            <w:r>
              <w:rPr>
                <w:rFonts w:ascii="Times New Roman" w:hAnsi="Times New Roman" w:cs="Times New Roman"/>
                <w:spacing w:val="4"/>
                <w:kern w:val="2"/>
                <w:sz w:val="24"/>
                <w:szCs w:val="24"/>
                <w:lang w:eastAsia="zh-CN"/>
              </w:rPr>
              <w:t>G7京新高速泉子街互通连接线。</w:t>
            </w:r>
            <w:r>
              <w:rPr>
                <w:rFonts w:hint="eastAsia" w:ascii="Times New Roman" w:hAnsi="Times New Roman" w:cs="Times New Roman"/>
                <w:spacing w:val="4"/>
                <w:kern w:val="2"/>
                <w:sz w:val="24"/>
                <w:szCs w:val="24"/>
                <w:lang w:eastAsia="zh-CN"/>
              </w:rPr>
              <w:t>起点位于</w:t>
            </w:r>
            <w:r>
              <w:rPr>
                <w:rFonts w:ascii="Times New Roman" w:hAnsi="Times New Roman" w:cs="Times New Roman"/>
                <w:spacing w:val="4"/>
                <w:kern w:val="2"/>
                <w:sz w:val="24"/>
                <w:szCs w:val="24"/>
                <w:lang w:eastAsia="zh-CN"/>
              </w:rPr>
              <w:t>S239线</w:t>
            </w:r>
            <w:r>
              <w:rPr>
                <w:rFonts w:hint="eastAsia" w:ascii="Times New Roman" w:hAnsi="Times New Roman" w:cs="Times New Roman"/>
                <w:spacing w:val="4"/>
                <w:kern w:val="2"/>
                <w:sz w:val="24"/>
                <w:szCs w:val="24"/>
                <w:lang w:eastAsia="zh-CN"/>
              </w:rPr>
              <w:t>k</w:t>
            </w:r>
            <w:r>
              <w:rPr>
                <w:rFonts w:ascii="Times New Roman" w:hAnsi="Times New Roman" w:cs="Times New Roman"/>
                <w:spacing w:val="4"/>
                <w:kern w:val="2"/>
                <w:sz w:val="24"/>
                <w:szCs w:val="24"/>
                <w:lang w:eastAsia="zh-CN"/>
              </w:rPr>
              <w:t>37+060与S327线</w:t>
            </w:r>
            <w:r>
              <w:rPr>
                <w:rFonts w:hint="eastAsia" w:ascii="Times New Roman" w:hAnsi="Times New Roman" w:cs="Times New Roman"/>
                <w:spacing w:val="4"/>
                <w:kern w:val="2"/>
                <w:sz w:val="24"/>
                <w:szCs w:val="24"/>
                <w:lang w:eastAsia="zh-CN"/>
              </w:rPr>
              <w:t>k</w:t>
            </w:r>
            <w:r>
              <w:rPr>
                <w:rFonts w:ascii="Times New Roman" w:hAnsi="Times New Roman" w:cs="Times New Roman"/>
                <w:spacing w:val="4"/>
                <w:kern w:val="2"/>
                <w:sz w:val="24"/>
                <w:szCs w:val="24"/>
                <w:lang w:eastAsia="zh-CN"/>
              </w:rPr>
              <w:t>23+500交叉处</w:t>
            </w:r>
            <w:r>
              <w:rPr>
                <w:rFonts w:hint="eastAsia" w:ascii="Times New Roman" w:hAnsi="Times New Roman" w:cs="Times New Roman"/>
                <w:spacing w:val="4"/>
                <w:kern w:val="2"/>
                <w:sz w:val="24"/>
                <w:szCs w:val="24"/>
                <w:lang w:eastAsia="zh-CN"/>
              </w:rPr>
              <w:t>，终点位于</w:t>
            </w:r>
            <w:r>
              <w:rPr>
                <w:rFonts w:ascii="Times New Roman" w:hAnsi="Times New Roman" w:cs="Times New Roman"/>
                <w:spacing w:val="4"/>
                <w:kern w:val="2"/>
                <w:sz w:val="24"/>
                <w:szCs w:val="24"/>
                <w:lang w:eastAsia="zh-CN"/>
              </w:rPr>
              <w:t>G7京新高速泉子街互通连接交叉处</w:t>
            </w:r>
            <w:r>
              <w:rPr>
                <w:rFonts w:hint="eastAsia" w:ascii="Times New Roman" w:hAnsi="Times New Roman" w:cs="Times New Roman"/>
                <w:spacing w:val="4"/>
                <w:kern w:val="2"/>
                <w:sz w:val="24"/>
                <w:szCs w:val="24"/>
                <w:lang w:eastAsia="zh-CN"/>
              </w:rPr>
              <w:t>，项目呈南北走向，北端起点坐标：，南端终点坐标：</w:t>
            </w:r>
            <w:r>
              <w:rPr>
                <w:rFonts w:ascii="Times New Roman" w:hAnsi="Times New Roman" w:cs="Times New Roman"/>
                <w:spacing w:val="4"/>
                <w:kern w:val="2"/>
                <w:sz w:val="24"/>
                <w:szCs w:val="24"/>
                <w:lang w:eastAsia="zh-CN"/>
              </w:rPr>
              <w:t>。项目地理位置见附图2。</w:t>
            </w:r>
          </w:p>
        </w:tc>
      </w:tr>
      <w:tr w14:paraId="3719D0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0" w:hRule="atLeast"/>
        </w:trPr>
        <w:tc>
          <w:tcPr>
            <w:tcW w:w="401" w:type="pct"/>
            <w:tcBorders>
              <w:top w:val="single" w:color="000000" w:sz="4" w:space="0"/>
              <w:bottom w:val="single" w:color="000000" w:sz="4" w:space="0"/>
              <w:right w:val="single" w:color="000000" w:sz="4" w:space="0"/>
            </w:tcBorders>
            <w:vAlign w:val="center"/>
          </w:tcPr>
          <w:p w14:paraId="3B798673">
            <w:pPr>
              <w:pStyle w:val="18"/>
              <w:jc w:val="center"/>
              <w:rPr>
                <w:rFonts w:ascii="Times New Roman" w:hAnsi="Times New Roman" w:cs="Times New Roman"/>
                <w:b/>
                <w:bCs/>
                <w:sz w:val="24"/>
                <w:szCs w:val="24"/>
              </w:rPr>
            </w:pPr>
            <w:r>
              <w:rPr>
                <w:rFonts w:ascii="Times New Roman" w:hAnsi="Times New Roman" w:cs="Times New Roman"/>
                <w:b/>
                <w:bCs/>
                <w:sz w:val="24"/>
                <w:szCs w:val="24"/>
              </w:rPr>
              <w:t>项目组成及规模</w:t>
            </w:r>
          </w:p>
        </w:tc>
        <w:tc>
          <w:tcPr>
            <w:tcW w:w="4599" w:type="pct"/>
            <w:tcBorders>
              <w:top w:val="single" w:color="000000" w:sz="4" w:space="0"/>
              <w:left w:val="single" w:color="000000" w:sz="4" w:space="0"/>
              <w:bottom w:val="single" w:color="000000" w:sz="4" w:space="0"/>
            </w:tcBorders>
          </w:tcPr>
          <w:p w14:paraId="4027CF9B">
            <w:pPr>
              <w:autoSpaceDE/>
              <w:autoSpaceDN/>
              <w:spacing w:before="120" w:beforeLines="50" w:line="360" w:lineRule="auto"/>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1、项目背景</w:t>
            </w:r>
          </w:p>
          <w:p w14:paraId="52544161">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十四五</w:t>
            </w: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期间，昌吉州交通运输事业发展的重点任务是继续完善基础设施布局，按照构建层次清晰、覆盖广泛、安全可靠的公路网络体系的思路，持续加快全州公路发展，大力优化路网等级结构，着力提升路网保障能力和服务品质，努力实现公路发展提档升级，不断强化公路的支撑引领作用</w:t>
            </w:r>
            <w:r>
              <w:rPr>
                <w:rFonts w:hint="eastAsia" w:ascii="Times New Roman" w:hAnsi="Times New Roman" w:cs="Times New Roman"/>
                <w:spacing w:val="4"/>
                <w:kern w:val="2"/>
                <w:sz w:val="24"/>
                <w:szCs w:val="24"/>
                <w:lang w:eastAsia="zh-CN"/>
              </w:rPr>
              <w:t>，全面加快骨架公路升等改造。依托调整后的骨架公路网规划，加快新增骨架公路的断头路段、等外路建设，完善骨架公路网；围绕提升路网技术等级，积极推进骨架公路升级改造，重点加快交通繁忙路段、瓶颈路段改造，推进准东资源运输通道建设和改造，着力提升二级及以上公路比重，提升骨架公路通行能力</w:t>
            </w:r>
            <w:r>
              <w:rPr>
                <w:rFonts w:ascii="Times New Roman" w:hAnsi="Times New Roman" w:cs="Times New Roman"/>
                <w:spacing w:val="4"/>
                <w:kern w:val="2"/>
                <w:sz w:val="24"/>
                <w:szCs w:val="24"/>
                <w:lang w:eastAsia="zh-CN"/>
              </w:rPr>
              <w:t>。</w:t>
            </w:r>
          </w:p>
          <w:p w14:paraId="055CF870">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昌吉州普通干线公路网规划布局为“六横十纵十二连两环”，规划</w:t>
            </w:r>
            <w:r>
              <w:rPr>
                <w:rFonts w:ascii="Times New Roman" w:hAnsi="Times New Roman" w:cs="Times New Roman"/>
                <w:spacing w:val="4"/>
                <w:kern w:val="2"/>
                <w:sz w:val="24"/>
                <w:szCs w:val="24"/>
                <w:lang w:eastAsia="zh-CN"/>
              </w:rPr>
              <w:t>S239省道是干线公路网规划中</w:t>
            </w: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纵</w:t>
            </w:r>
            <w:r>
              <w:rPr>
                <w:rFonts w:hint="eastAsia" w:ascii="Times New Roman" w:hAnsi="Times New Roman" w:cs="Times New Roman"/>
                <w:spacing w:val="4"/>
                <w:kern w:val="2"/>
                <w:sz w:val="24"/>
                <w:szCs w:val="24"/>
                <w:lang w:eastAsia="zh-CN"/>
              </w:rPr>
              <w:t>七”</w:t>
            </w:r>
            <w:r>
              <w:rPr>
                <w:rFonts w:ascii="Times New Roman" w:hAnsi="Times New Roman" w:cs="Times New Roman"/>
                <w:spacing w:val="4"/>
                <w:kern w:val="2"/>
                <w:sz w:val="24"/>
                <w:szCs w:val="24"/>
                <w:lang w:eastAsia="zh-CN"/>
              </w:rPr>
              <w:t>的重要组成部分，主要服务昌吉州与周边县市以及区域重点乡镇之间的交通联系。</w:t>
            </w:r>
            <w:r>
              <w:rPr>
                <w:rFonts w:hint="eastAsia" w:ascii="Times New Roman" w:hAnsi="Times New Roman" w:cs="Times New Roman"/>
                <w:spacing w:val="4"/>
                <w:kern w:val="2"/>
                <w:sz w:val="24"/>
                <w:szCs w:val="24"/>
                <w:lang w:eastAsia="zh-CN"/>
              </w:rPr>
              <w:t>现状路网中只有</w:t>
            </w:r>
            <w:r>
              <w:rPr>
                <w:rFonts w:ascii="Times New Roman" w:hAnsi="Times New Roman" w:cs="Times New Roman"/>
                <w:spacing w:val="4"/>
                <w:kern w:val="2"/>
                <w:sz w:val="24"/>
                <w:szCs w:val="24"/>
                <w:lang w:eastAsia="zh-CN"/>
              </w:rPr>
              <w:t>S11和G7两条高速公路，S327一条一级公路，其余均为二级公路，无法满足区域经济快速发展的要求。</w:t>
            </w:r>
            <w:r>
              <w:rPr>
                <w:rFonts w:hint="eastAsia" w:ascii="Times New Roman" w:hAnsi="Times New Roman" w:cs="Times New Roman"/>
                <w:spacing w:val="4"/>
                <w:kern w:val="2"/>
                <w:sz w:val="24"/>
                <w:szCs w:val="24"/>
                <w:lang w:eastAsia="zh-CN"/>
              </w:rPr>
              <w:t>现有</w:t>
            </w:r>
            <w:r>
              <w:rPr>
                <w:rFonts w:ascii="Times New Roman" w:hAnsi="Times New Roman" w:cs="Times New Roman"/>
                <w:spacing w:val="4"/>
                <w:kern w:val="2"/>
                <w:sz w:val="24"/>
                <w:szCs w:val="24"/>
                <w:lang w:eastAsia="zh-CN"/>
              </w:rPr>
              <w:t>S239线起点于火烧山G216线，终点于泉子街互通连接线，公路等级为二级公路，设计速度80km/h，路基宽12米，路线全长126km，于2012年建成通车。其中宜化工业园至1100kv昌吉换流站路段约28.6km，于2018年已改造为一级公路，路基宽度23.5m，其余路段</w:t>
            </w:r>
            <w:r>
              <w:rPr>
                <w:rFonts w:hint="eastAsia" w:ascii="Times New Roman" w:hAnsi="Times New Roman" w:cs="Times New Roman"/>
                <w:spacing w:val="4"/>
                <w:kern w:val="2"/>
                <w:sz w:val="24"/>
                <w:szCs w:val="24"/>
                <w:lang w:eastAsia="zh-CN"/>
              </w:rPr>
              <w:t>仍</w:t>
            </w:r>
            <w:r>
              <w:rPr>
                <w:rFonts w:ascii="Times New Roman" w:hAnsi="Times New Roman" w:cs="Times New Roman"/>
                <w:spacing w:val="4"/>
                <w:kern w:val="2"/>
                <w:sz w:val="24"/>
                <w:szCs w:val="24"/>
                <w:lang w:eastAsia="zh-CN"/>
              </w:rPr>
              <w:t>维持二级公路。随着准东经济技术开发区和五彩湾矿区的高速开发建设，交通量快速增长，五彩湾至吉木萨尔县路段道路技术标准低、服务水平低等问题突显，路基、路面病害时有发生，对区域经济的健康发展及沿线人民的生产和生活均带来极大的不便，现</w:t>
            </w:r>
            <w:r>
              <w:rPr>
                <w:rFonts w:hint="eastAsia" w:ascii="Times New Roman" w:hAnsi="Times New Roman" w:cs="Times New Roman"/>
                <w:spacing w:val="4"/>
                <w:kern w:val="2"/>
                <w:sz w:val="24"/>
                <w:szCs w:val="24"/>
                <w:lang w:eastAsia="zh-CN"/>
              </w:rPr>
              <w:t>有道路已不能满足五彩湾矿区、周边乡镇的对外交通问题。为促使区域外部投资环境能有一个明显的改观，区域工业建设等实现跨越发展，为区域产业结构的调整提供必要的外部条件，新交建交通发展（昌吉）有限公司拟投资</w:t>
            </w:r>
            <w:r>
              <w:rPr>
                <w:rFonts w:ascii="Times New Roman" w:hAnsi="Times New Roman" w:cs="Times New Roman"/>
                <w:spacing w:val="4"/>
                <w:kern w:val="2"/>
                <w:sz w:val="24"/>
                <w:szCs w:val="24"/>
                <w:lang w:eastAsia="zh-CN"/>
              </w:rPr>
              <w:t>208912.22万元建设</w:t>
            </w: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S239线五彩湾至吉木萨尔县公路改扩建项目</w:t>
            </w: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w:t>
            </w:r>
          </w:p>
          <w:p w14:paraId="5AB39E21">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根据《中华人民共和国环境保护法》、《中华人民共和国环境影响评价法》、《建设项目环境保护管理条例》和《建设项目环境影响评价分类管理名录》（2021版）及修订的有关规定，项目属于</w:t>
            </w:r>
            <w:r>
              <w:rPr>
                <w:rFonts w:hint="eastAsia" w:ascii="Times New Roman" w:hAnsi="Times New Roman" w:cs="Times New Roman"/>
                <w:spacing w:val="4"/>
                <w:kern w:val="2"/>
                <w:sz w:val="24"/>
                <w:szCs w:val="24"/>
                <w:lang w:eastAsia="zh-CN"/>
              </w:rPr>
              <w:t>“五十二、交通运输业、管道运输业—</w:t>
            </w:r>
            <w:r>
              <w:rPr>
                <w:rFonts w:ascii="Times New Roman" w:hAnsi="Times New Roman" w:cs="Times New Roman"/>
                <w:spacing w:val="4"/>
                <w:kern w:val="2"/>
                <w:sz w:val="24"/>
                <w:szCs w:val="24"/>
                <w:lang w:eastAsia="zh-CN"/>
              </w:rPr>
              <w:t>130等级公路—其他</w:t>
            </w: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，应编制建设项目环境影响报告表。</w:t>
            </w:r>
            <w:r>
              <w:rPr>
                <w:rFonts w:hint="eastAsia" w:ascii="Times New Roman" w:hAnsi="Times New Roman" w:cs="Times New Roman"/>
                <w:spacing w:val="4"/>
                <w:kern w:val="2"/>
                <w:sz w:val="24"/>
                <w:szCs w:val="24"/>
                <w:lang w:eastAsia="zh-CN"/>
              </w:rPr>
              <w:t>新交建交通发展（昌吉）有限公司</w:t>
            </w:r>
            <w:r>
              <w:rPr>
                <w:rFonts w:ascii="Times New Roman" w:hAnsi="Times New Roman" w:cs="Times New Roman"/>
                <w:spacing w:val="4"/>
                <w:kern w:val="2"/>
                <w:sz w:val="24"/>
                <w:szCs w:val="24"/>
                <w:lang w:eastAsia="zh-CN"/>
              </w:rPr>
              <w:t>委托</w:t>
            </w:r>
            <w:r>
              <w:rPr>
                <w:rFonts w:hint="eastAsia" w:ascii="Times New Roman" w:hAnsi="Times New Roman" w:cs="Times New Roman"/>
                <w:spacing w:val="4"/>
                <w:kern w:val="2"/>
                <w:sz w:val="24"/>
                <w:szCs w:val="24"/>
                <w:lang w:eastAsia="zh-CN"/>
              </w:rPr>
              <w:t>新疆环能工程技术有限公司</w:t>
            </w:r>
            <w:r>
              <w:rPr>
                <w:rFonts w:ascii="Times New Roman" w:hAnsi="Times New Roman" w:cs="Times New Roman"/>
                <w:spacing w:val="4"/>
                <w:kern w:val="2"/>
                <w:sz w:val="24"/>
                <w:szCs w:val="24"/>
                <w:lang w:eastAsia="zh-CN"/>
              </w:rPr>
              <w:t>承担本项目的环境影响评价工作，</w:t>
            </w:r>
            <w:r>
              <w:rPr>
                <w:rFonts w:hint="eastAsia" w:ascii="Times New Roman" w:hAnsi="Times New Roman" w:cs="Times New Roman"/>
                <w:spacing w:val="4"/>
                <w:kern w:val="2"/>
                <w:sz w:val="24"/>
                <w:szCs w:val="24"/>
                <w:lang w:eastAsia="zh-CN"/>
              </w:rPr>
              <w:t>我公司接受委托后进行了现场踏勘并收集、查阅了相关资料，在此基础上编制完成了本项目环境影响评价报告表。</w:t>
            </w:r>
          </w:p>
          <w:p w14:paraId="37C62FBB">
            <w:pPr>
              <w:autoSpaceDE/>
              <w:autoSpaceDN/>
              <w:spacing w:line="360" w:lineRule="auto"/>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2、项目组成及规模</w:t>
            </w:r>
          </w:p>
          <w:p w14:paraId="4921E74F">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项目</w:t>
            </w:r>
            <w:r>
              <w:rPr>
                <w:rFonts w:hint="eastAsia" w:ascii="Times New Roman" w:hAnsi="Times New Roman" w:cs="Times New Roman"/>
                <w:spacing w:val="4"/>
                <w:kern w:val="2"/>
                <w:sz w:val="24"/>
                <w:szCs w:val="24"/>
                <w:lang w:eastAsia="zh-CN"/>
              </w:rPr>
              <w:t>总长度</w:t>
            </w:r>
            <w:r>
              <w:rPr>
                <w:rFonts w:ascii="Times New Roman" w:hAnsi="Times New Roman" w:cs="Times New Roman"/>
                <w:spacing w:val="4"/>
                <w:kern w:val="2"/>
                <w:sz w:val="24"/>
                <w:szCs w:val="24"/>
                <w:lang w:eastAsia="zh-CN"/>
              </w:rPr>
              <w:t>89.14km</w:t>
            </w:r>
            <w:r>
              <w:rPr>
                <w:rFonts w:hint="eastAsia" w:ascii="Times New Roman" w:hAnsi="Times New Roman" w:cs="Times New Roman"/>
                <w:spacing w:val="4"/>
                <w:kern w:val="2"/>
                <w:sz w:val="24"/>
                <w:szCs w:val="24"/>
                <w:lang w:eastAsia="zh-CN"/>
              </w:rPr>
              <w:t>（其中：准东段</w:t>
            </w:r>
            <w:r>
              <w:rPr>
                <w:rFonts w:ascii="Times New Roman" w:hAnsi="Times New Roman" w:cs="Times New Roman"/>
                <w:spacing w:val="4"/>
                <w:kern w:val="2"/>
                <w:sz w:val="24"/>
                <w:szCs w:val="24"/>
                <w:lang w:eastAsia="zh-CN"/>
              </w:rPr>
              <w:t>21.3</w:t>
            </w:r>
            <w:r>
              <w:rPr>
                <w:rFonts w:hint="eastAsia" w:ascii="Times New Roman" w:hAnsi="Times New Roman" w:cs="Times New Roman"/>
                <w:spacing w:val="4"/>
                <w:kern w:val="2"/>
                <w:sz w:val="24"/>
                <w:szCs w:val="24"/>
                <w:lang w:eastAsia="zh-CN"/>
              </w:rPr>
              <w:t>km（</w:t>
            </w:r>
            <w:r>
              <w:rPr>
                <w:rFonts w:ascii="Times New Roman" w:hAnsi="Times New Roman" w:cs="Times New Roman"/>
                <w:spacing w:val="4"/>
                <w:kern w:val="2"/>
                <w:sz w:val="24"/>
                <w:szCs w:val="24"/>
                <w:lang w:eastAsia="zh-CN"/>
              </w:rPr>
              <w:t>k37+060~k109+380）</w:t>
            </w:r>
            <w:r>
              <w:rPr>
                <w:rFonts w:hint="eastAsia" w:ascii="Times New Roman" w:hAnsi="Times New Roman" w:cs="Times New Roman"/>
                <w:spacing w:val="4"/>
                <w:kern w:val="2"/>
                <w:sz w:val="24"/>
                <w:szCs w:val="24"/>
                <w:lang w:eastAsia="zh-CN"/>
              </w:rPr>
              <w:t>，第六师红旗农场段</w:t>
            </w:r>
            <w:r>
              <w:rPr>
                <w:rFonts w:ascii="Times New Roman" w:hAnsi="Times New Roman" w:cs="Times New Roman"/>
                <w:spacing w:val="4"/>
                <w:kern w:val="2"/>
                <w:sz w:val="24"/>
                <w:szCs w:val="24"/>
                <w:lang w:eastAsia="zh-CN"/>
              </w:rPr>
              <w:t>51.02</w:t>
            </w:r>
            <w:r>
              <w:rPr>
                <w:rFonts w:hint="eastAsia" w:ascii="Times New Roman" w:hAnsi="Times New Roman" w:cs="Times New Roman"/>
                <w:spacing w:val="4"/>
                <w:kern w:val="2"/>
                <w:sz w:val="24"/>
                <w:szCs w:val="24"/>
                <w:lang w:eastAsia="zh-CN"/>
              </w:rPr>
              <w:t>km（</w:t>
            </w:r>
            <w:r>
              <w:rPr>
                <w:rFonts w:ascii="Times New Roman" w:hAnsi="Times New Roman" w:cs="Times New Roman"/>
                <w:spacing w:val="4"/>
                <w:kern w:val="2"/>
                <w:sz w:val="24"/>
                <w:szCs w:val="24"/>
                <w:lang w:eastAsia="zh-CN"/>
              </w:rPr>
              <w:t>k58+360~k109+380）</w:t>
            </w:r>
            <w:r>
              <w:rPr>
                <w:rFonts w:hint="eastAsia" w:ascii="Times New Roman" w:hAnsi="Times New Roman" w:cs="Times New Roman"/>
                <w:spacing w:val="4"/>
                <w:kern w:val="2"/>
                <w:sz w:val="24"/>
                <w:szCs w:val="24"/>
                <w:lang w:eastAsia="zh-CN"/>
              </w:rPr>
              <w:t>，吉木萨尔段</w:t>
            </w:r>
            <w:r>
              <w:rPr>
                <w:rFonts w:ascii="Times New Roman" w:hAnsi="Times New Roman" w:cs="Times New Roman"/>
                <w:spacing w:val="4"/>
                <w:kern w:val="2"/>
                <w:sz w:val="24"/>
                <w:szCs w:val="24"/>
                <w:lang w:eastAsia="zh-CN"/>
              </w:rPr>
              <w:t>16.82</w:t>
            </w:r>
            <w:r>
              <w:rPr>
                <w:rFonts w:hint="eastAsia" w:ascii="Times New Roman" w:hAnsi="Times New Roman" w:cs="Times New Roman"/>
                <w:spacing w:val="4"/>
                <w:kern w:val="2"/>
                <w:sz w:val="24"/>
                <w:szCs w:val="24"/>
                <w:lang w:eastAsia="zh-CN"/>
              </w:rPr>
              <w:t>km（</w:t>
            </w:r>
            <w:r>
              <w:rPr>
                <w:rFonts w:ascii="Times New Roman" w:hAnsi="Times New Roman" w:cs="Times New Roman"/>
                <w:spacing w:val="4"/>
                <w:kern w:val="2"/>
                <w:sz w:val="24"/>
                <w:szCs w:val="24"/>
                <w:lang w:eastAsia="zh-CN"/>
              </w:rPr>
              <w:t>k109+380~k126+200）</w:t>
            </w:r>
            <w:r>
              <w:rPr>
                <w:rFonts w:hint="eastAsia" w:ascii="Times New Roman" w:hAnsi="Times New Roman" w:cs="Times New Roman"/>
                <w:spacing w:val="4"/>
                <w:kern w:val="2"/>
                <w:sz w:val="24"/>
                <w:szCs w:val="24"/>
                <w:lang w:eastAsia="zh-CN"/>
              </w:rPr>
              <w:t>），总占地</w:t>
            </w:r>
            <w:r>
              <w:rPr>
                <w:rFonts w:ascii="Times New Roman" w:hAnsi="Times New Roman" w:cs="Times New Roman"/>
                <w:spacing w:val="4"/>
                <w:kern w:val="2"/>
                <w:sz w:val="24"/>
                <w:szCs w:val="24"/>
                <w:lang w:eastAsia="zh-CN"/>
              </w:rPr>
              <w:t>564.3831</w:t>
            </w:r>
            <w:r>
              <w:rPr>
                <w:rFonts w:hint="eastAsia" w:ascii="Times New Roman" w:hAnsi="Times New Roman" w:cs="Times New Roman"/>
                <w:spacing w:val="4"/>
                <w:kern w:val="2"/>
                <w:sz w:val="24"/>
                <w:szCs w:val="24"/>
                <w:lang w:eastAsia="zh-CN"/>
              </w:rPr>
              <w:t>hm²（永久占地</w:t>
            </w:r>
            <w:r>
              <w:rPr>
                <w:rFonts w:ascii="Times New Roman" w:hAnsi="Times New Roman" w:cs="Times New Roman"/>
                <w:spacing w:val="4"/>
                <w:kern w:val="2"/>
                <w:sz w:val="24"/>
                <w:szCs w:val="24"/>
                <w:lang w:eastAsia="zh-CN"/>
              </w:rPr>
              <w:t>445.1011</w:t>
            </w:r>
            <w:r>
              <w:rPr>
                <w:rFonts w:hint="eastAsia" w:ascii="Times New Roman" w:hAnsi="Times New Roman" w:cs="Times New Roman"/>
                <w:spacing w:val="4"/>
                <w:kern w:val="2"/>
                <w:sz w:val="24"/>
                <w:szCs w:val="24"/>
                <w:lang w:eastAsia="zh-CN"/>
              </w:rPr>
              <w:t>hm²，临时占地1</w:t>
            </w:r>
            <w:r>
              <w:rPr>
                <w:rFonts w:ascii="Times New Roman" w:hAnsi="Times New Roman" w:cs="Times New Roman"/>
                <w:spacing w:val="4"/>
                <w:kern w:val="2"/>
                <w:sz w:val="24"/>
                <w:szCs w:val="24"/>
                <w:lang w:eastAsia="zh-CN"/>
              </w:rPr>
              <w:t>19.282</w:t>
            </w:r>
            <w:r>
              <w:rPr>
                <w:rFonts w:hint="eastAsia" w:ascii="Times New Roman" w:hAnsi="Times New Roman" w:cs="Times New Roman"/>
                <w:spacing w:val="4"/>
                <w:kern w:val="2"/>
                <w:sz w:val="24"/>
                <w:szCs w:val="24"/>
                <w:lang w:eastAsia="zh-CN"/>
              </w:rPr>
              <w:t>hm²）</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主要对S</w:t>
            </w:r>
            <w:r>
              <w:rPr>
                <w:rFonts w:ascii="Times New Roman" w:hAnsi="Times New Roman" w:cs="Times New Roman"/>
                <w:spacing w:val="4"/>
                <w:kern w:val="2"/>
                <w:sz w:val="24"/>
                <w:szCs w:val="24"/>
                <w:lang w:eastAsia="zh-CN"/>
              </w:rPr>
              <w:t>239</w:t>
            </w:r>
            <w:r>
              <w:rPr>
                <w:rFonts w:hint="eastAsia" w:ascii="Times New Roman" w:hAnsi="Times New Roman" w:cs="Times New Roman"/>
                <w:spacing w:val="4"/>
                <w:kern w:val="2"/>
                <w:sz w:val="24"/>
                <w:szCs w:val="24"/>
                <w:lang w:eastAsia="zh-CN"/>
              </w:rPr>
              <w:t>线k</w:t>
            </w:r>
            <w:r>
              <w:rPr>
                <w:rFonts w:ascii="Times New Roman" w:hAnsi="Times New Roman" w:cs="Times New Roman"/>
                <w:spacing w:val="4"/>
                <w:kern w:val="2"/>
                <w:sz w:val="24"/>
                <w:szCs w:val="24"/>
                <w:lang w:eastAsia="zh-CN"/>
              </w:rPr>
              <w:t>37+060与S327线</w:t>
            </w:r>
            <w:r>
              <w:rPr>
                <w:rFonts w:hint="eastAsia" w:ascii="Times New Roman" w:hAnsi="Times New Roman" w:cs="Times New Roman"/>
                <w:spacing w:val="4"/>
                <w:kern w:val="2"/>
                <w:sz w:val="24"/>
                <w:szCs w:val="24"/>
                <w:lang w:eastAsia="zh-CN"/>
              </w:rPr>
              <w:t>k</w:t>
            </w:r>
            <w:r>
              <w:rPr>
                <w:rFonts w:ascii="Times New Roman" w:hAnsi="Times New Roman" w:cs="Times New Roman"/>
                <w:spacing w:val="4"/>
                <w:kern w:val="2"/>
                <w:sz w:val="24"/>
                <w:szCs w:val="24"/>
                <w:lang w:eastAsia="zh-CN"/>
              </w:rPr>
              <w:t>23+500交叉处至G7京新高速泉子街互通连接交叉处之间</w:t>
            </w:r>
            <w:r>
              <w:rPr>
                <w:rFonts w:hint="eastAsia" w:ascii="Times New Roman" w:hAnsi="Times New Roman" w:cs="Times New Roman"/>
                <w:spacing w:val="4"/>
                <w:kern w:val="2"/>
                <w:sz w:val="24"/>
                <w:szCs w:val="24"/>
                <w:lang w:eastAsia="zh-CN"/>
              </w:rPr>
              <w:t>的</w:t>
            </w:r>
            <w:r>
              <w:rPr>
                <w:rFonts w:ascii="Times New Roman" w:hAnsi="Times New Roman" w:cs="Times New Roman"/>
                <w:spacing w:val="4"/>
                <w:kern w:val="2"/>
                <w:sz w:val="24"/>
                <w:szCs w:val="24"/>
                <w:lang w:eastAsia="zh-CN"/>
              </w:rPr>
              <w:t>S239线</w:t>
            </w:r>
            <w:r>
              <w:rPr>
                <w:rFonts w:hint="eastAsia" w:ascii="Times New Roman" w:hAnsi="Times New Roman" w:cs="Times New Roman"/>
                <w:spacing w:val="4"/>
                <w:kern w:val="2"/>
                <w:sz w:val="24"/>
                <w:szCs w:val="24"/>
                <w:lang w:eastAsia="zh-CN"/>
              </w:rPr>
              <w:t>现有</w:t>
            </w:r>
            <w:r>
              <w:rPr>
                <w:rFonts w:ascii="Times New Roman" w:hAnsi="Times New Roman" w:cs="Times New Roman"/>
                <w:spacing w:val="4"/>
                <w:kern w:val="2"/>
                <w:sz w:val="24"/>
                <w:szCs w:val="24"/>
                <w:lang w:eastAsia="zh-CN"/>
              </w:rPr>
              <w:t>路段</w:t>
            </w:r>
            <w:r>
              <w:rPr>
                <w:rFonts w:hint="eastAsia" w:ascii="Times New Roman" w:hAnsi="Times New Roman" w:cs="Times New Roman"/>
                <w:spacing w:val="4"/>
                <w:kern w:val="2"/>
                <w:sz w:val="24"/>
                <w:szCs w:val="24"/>
                <w:lang w:eastAsia="zh-CN"/>
              </w:rPr>
              <w:t>进行改造扩建。其他</w:t>
            </w:r>
            <w:r>
              <w:rPr>
                <w:rFonts w:ascii="Times New Roman" w:hAnsi="Times New Roman" w:cs="Times New Roman"/>
                <w:spacing w:val="4"/>
                <w:kern w:val="2"/>
                <w:sz w:val="24"/>
                <w:szCs w:val="24"/>
                <w:lang w:eastAsia="zh-CN"/>
              </w:rPr>
              <w:t>建设内容主要包括：</w:t>
            </w:r>
            <w:r>
              <w:rPr>
                <w:rFonts w:hint="eastAsia" w:ascii="Times New Roman" w:hAnsi="Times New Roman" w:cs="Times New Roman"/>
                <w:spacing w:val="4"/>
                <w:kern w:val="2"/>
                <w:sz w:val="24"/>
                <w:szCs w:val="24"/>
                <w:lang w:eastAsia="zh-CN"/>
              </w:rPr>
              <w:t>服务区1处、养护工区1处、收费站1处，配套建设交通工程和沿线设施。</w:t>
            </w:r>
          </w:p>
          <w:p w14:paraId="34B39B64">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项目建设内容见表</w:t>
            </w:r>
            <w:r>
              <w:rPr>
                <w:rFonts w:hint="eastAsia" w:ascii="Times New Roman" w:hAnsi="Times New Roman" w:cs="Times New Roman"/>
                <w:spacing w:val="4"/>
                <w:kern w:val="2"/>
                <w:sz w:val="24"/>
                <w:szCs w:val="24"/>
                <w:lang w:eastAsia="zh-CN"/>
              </w:rPr>
              <w:t>2</w:t>
            </w:r>
            <w:r>
              <w:rPr>
                <w:rFonts w:ascii="Times New Roman" w:hAnsi="Times New Roman" w:cs="Times New Roman"/>
                <w:spacing w:val="4"/>
                <w:kern w:val="2"/>
                <w:sz w:val="24"/>
                <w:szCs w:val="24"/>
                <w:lang w:eastAsia="zh-CN"/>
              </w:rPr>
              <w:t>.1，</w:t>
            </w:r>
            <w:r>
              <w:rPr>
                <w:rFonts w:hint="eastAsia" w:ascii="Times New Roman" w:hAnsi="Times New Roman" w:cs="Times New Roman"/>
                <w:spacing w:val="4"/>
                <w:kern w:val="2"/>
                <w:sz w:val="24"/>
                <w:szCs w:val="24"/>
                <w:lang w:eastAsia="zh-CN"/>
              </w:rPr>
              <w:t>经济技术指标</w:t>
            </w:r>
            <w:r>
              <w:rPr>
                <w:rFonts w:ascii="Times New Roman" w:hAnsi="Times New Roman" w:cs="Times New Roman"/>
                <w:spacing w:val="4"/>
                <w:kern w:val="2"/>
                <w:sz w:val="24"/>
                <w:szCs w:val="24"/>
                <w:lang w:eastAsia="zh-CN"/>
              </w:rPr>
              <w:t>见表2.2。</w:t>
            </w:r>
          </w:p>
          <w:p w14:paraId="695D0F10">
            <w:pPr>
              <w:autoSpaceDE/>
              <w:autoSpaceDN/>
              <w:jc w:val="center"/>
              <w:rPr>
                <w:rFonts w:ascii="Times New Roman" w:hAnsi="Times New Roman" w:cs="Times New Roman"/>
                <w:b/>
                <w:bCs/>
                <w:spacing w:val="4"/>
                <w:kern w:val="2"/>
                <w:sz w:val="21"/>
                <w:szCs w:val="21"/>
                <w:lang w:eastAsia="zh-CN"/>
              </w:rPr>
            </w:pPr>
            <w:r>
              <w:rPr>
                <w:rFonts w:ascii="Times New Roman" w:hAnsi="Times New Roman" w:cs="Times New Roman"/>
                <w:b/>
                <w:bCs/>
                <w:spacing w:val="4"/>
                <w:kern w:val="2"/>
                <w:sz w:val="21"/>
                <w:szCs w:val="21"/>
                <w:lang w:eastAsia="zh-CN"/>
              </w:rPr>
              <w:t>表</w:t>
            </w:r>
            <w:r>
              <w:rPr>
                <w:rFonts w:hint="eastAsia" w:ascii="Times New Roman" w:hAnsi="Times New Roman" w:cs="Times New Roman"/>
                <w:b/>
                <w:bCs/>
                <w:spacing w:val="4"/>
                <w:kern w:val="2"/>
                <w:sz w:val="21"/>
                <w:szCs w:val="21"/>
                <w:lang w:eastAsia="zh-CN"/>
              </w:rPr>
              <w:t>2</w:t>
            </w:r>
            <w:r>
              <w:rPr>
                <w:rFonts w:ascii="Times New Roman" w:hAnsi="Times New Roman" w:cs="Times New Roman"/>
                <w:b/>
                <w:bCs/>
                <w:spacing w:val="4"/>
                <w:kern w:val="2"/>
                <w:sz w:val="21"/>
                <w:szCs w:val="21"/>
                <w:lang w:eastAsia="zh-CN"/>
              </w:rPr>
              <w:t>.1  项目建设内容一览表</w:t>
            </w:r>
          </w:p>
          <w:tbl>
            <w:tblPr>
              <w:tblStyle w:val="12"/>
              <w:tblW w:w="48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566"/>
              <w:gridCol w:w="3631"/>
              <w:gridCol w:w="3895"/>
            </w:tblGrid>
            <w:tr w14:paraId="1B89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Align w:val="center"/>
                </w:tcPr>
                <w:p w14:paraId="6044E75F">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工程</w:t>
                  </w:r>
                </w:p>
                <w:p w14:paraId="4E6D0AF1">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类别</w:t>
                  </w:r>
                </w:p>
              </w:tc>
              <w:tc>
                <w:tcPr>
                  <w:tcW w:w="327" w:type="pct"/>
                  <w:vAlign w:val="center"/>
                </w:tcPr>
                <w:p w14:paraId="48499AD0">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工程名称</w:t>
                  </w:r>
                </w:p>
              </w:tc>
              <w:tc>
                <w:tcPr>
                  <w:tcW w:w="2097" w:type="pct"/>
                  <w:vAlign w:val="center"/>
                </w:tcPr>
                <w:p w14:paraId="4AC5008B">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原工程内容</w:t>
                  </w:r>
                </w:p>
              </w:tc>
              <w:tc>
                <w:tcPr>
                  <w:tcW w:w="2249" w:type="pct"/>
                  <w:vAlign w:val="center"/>
                </w:tcPr>
                <w:p w14:paraId="02B2AC51">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改扩建后本项目建设内容</w:t>
                  </w:r>
                </w:p>
              </w:tc>
            </w:tr>
            <w:tr w14:paraId="4CC6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restart"/>
                  <w:vAlign w:val="center"/>
                </w:tcPr>
                <w:p w14:paraId="7D91C15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主体</w:t>
                  </w:r>
                </w:p>
                <w:p w14:paraId="5BB374CF">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工程</w:t>
                  </w:r>
                </w:p>
              </w:tc>
              <w:tc>
                <w:tcPr>
                  <w:tcW w:w="327" w:type="pct"/>
                  <w:vAlign w:val="center"/>
                </w:tcPr>
                <w:p w14:paraId="0E94FE3F">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道路</w:t>
                  </w:r>
                </w:p>
              </w:tc>
              <w:tc>
                <w:tcPr>
                  <w:tcW w:w="2097" w:type="pct"/>
                  <w:vAlign w:val="center"/>
                </w:tcPr>
                <w:p w14:paraId="04EA7096">
                  <w:pPr>
                    <w:jc w:val="both"/>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全线采用双向两车道二级公路标准建设，设计速度为</w:t>
                  </w:r>
                  <w:r>
                    <w:rPr>
                      <w:rFonts w:ascii="Times New Roman" w:hAnsi="Times New Roman" w:cs="Times New Roman" w:eastAsiaTheme="minorEastAsia"/>
                      <w:sz w:val="21"/>
                      <w:szCs w:val="21"/>
                      <w:lang w:eastAsia="zh-CN"/>
                    </w:rPr>
                    <w:t>80km/h，</w:t>
                  </w:r>
                  <w:r>
                    <w:rPr>
                      <w:rFonts w:hint="eastAsia" w:ascii="Times New Roman" w:hAnsi="Times New Roman" w:cs="Times New Roman" w:eastAsiaTheme="minorEastAsia"/>
                      <w:sz w:val="21"/>
                      <w:szCs w:val="21"/>
                      <w:lang w:eastAsia="zh-CN"/>
                    </w:rPr>
                    <w:t>起点：</w:t>
                  </w:r>
                  <w:r>
                    <w:rPr>
                      <w:rFonts w:ascii="Times New Roman" w:hAnsi="Times New Roman" w:cs="Times New Roman" w:eastAsiaTheme="minorEastAsia"/>
                      <w:sz w:val="21"/>
                      <w:szCs w:val="21"/>
                      <w:lang w:eastAsia="zh-CN"/>
                    </w:rPr>
                    <w:t>S239线</w:t>
                  </w: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37+060与S327线</w:t>
                  </w: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23+500交叉处，终点：G7京新高速泉子街互通连接交叉处；长度：89.14km。</w:t>
                  </w:r>
                </w:p>
              </w:tc>
              <w:tc>
                <w:tcPr>
                  <w:tcW w:w="2249" w:type="pct"/>
                  <w:shd w:val="clear" w:color="auto" w:fill="auto"/>
                  <w:vAlign w:val="center"/>
                </w:tcPr>
                <w:p w14:paraId="13CA1C3A">
                  <w:pPr>
                    <w:jc w:val="both"/>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全线采用双向四车道</w:t>
                  </w:r>
                  <w:r>
                    <w:rPr>
                      <w:rFonts w:ascii="Times New Roman" w:hAnsi="Times New Roman" w:cs="Times New Roman" w:eastAsiaTheme="minorEastAsia"/>
                      <w:sz w:val="21"/>
                      <w:szCs w:val="21"/>
                      <w:lang w:eastAsia="zh-CN"/>
                    </w:rPr>
                    <w:t>一级公路标准建设，设计速度为100km/h，起点：S239线</w:t>
                  </w: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37+060与S327线</w:t>
                  </w: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23+500交叉处，终点：G7京新高速泉子街互通连接交叉处；长度：89.14km。</w:t>
                  </w:r>
                </w:p>
                <w:p w14:paraId="4BA99BDC">
                  <w:pPr>
                    <w:jc w:val="both"/>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37+060-</w:t>
                  </w: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48+500段</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11.44</w:t>
                  </w:r>
                  <w:r>
                    <w:rPr>
                      <w:rFonts w:hint="eastAsia" w:ascii="Times New Roman" w:hAnsi="Times New Roman" w:cs="Times New Roman" w:eastAsiaTheme="minorEastAsia"/>
                      <w:sz w:val="21"/>
                      <w:szCs w:val="21"/>
                      <w:lang w:eastAsia="zh-CN"/>
                    </w:rPr>
                    <w:t>km）</w:t>
                  </w:r>
                  <w:r>
                    <w:rPr>
                      <w:rFonts w:ascii="Times New Roman" w:hAnsi="Times New Roman" w:cs="Times New Roman" w:eastAsiaTheme="minorEastAsia"/>
                      <w:sz w:val="21"/>
                      <w:szCs w:val="21"/>
                      <w:lang w:eastAsia="zh-CN"/>
                    </w:rPr>
                    <w:t>和</w:t>
                  </w: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90+134-</w:t>
                  </w:r>
                  <w:r>
                    <w:rPr>
                      <w:rFonts w:hint="eastAsia" w:ascii="Times New Roman" w:hAnsi="Times New Roman" w:cs="Times New Roman" w:eastAsiaTheme="minorEastAsia"/>
                      <w:sz w:val="21"/>
                      <w:szCs w:val="21"/>
                      <w:lang w:eastAsia="zh-CN"/>
                    </w:rPr>
                    <w:t>k126+200</w:t>
                  </w:r>
                  <w:r>
                    <w:rPr>
                      <w:rFonts w:ascii="Times New Roman" w:hAnsi="Times New Roman" w:cs="Times New Roman" w:eastAsiaTheme="minorEastAsia"/>
                      <w:sz w:val="21"/>
                      <w:szCs w:val="21"/>
                      <w:lang w:eastAsia="zh-CN"/>
                    </w:rPr>
                    <w:t>段</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36.086</w:t>
                  </w:r>
                  <w:r>
                    <w:rPr>
                      <w:rFonts w:hint="eastAsia" w:ascii="Times New Roman" w:hAnsi="Times New Roman" w:cs="Times New Roman" w:eastAsiaTheme="minorEastAsia"/>
                      <w:sz w:val="21"/>
                      <w:szCs w:val="21"/>
                      <w:lang w:eastAsia="zh-CN"/>
                    </w:rPr>
                    <w:t>km）</w:t>
                  </w:r>
                  <w:r>
                    <w:rPr>
                      <w:rFonts w:ascii="Times New Roman" w:hAnsi="Times New Roman" w:cs="Times New Roman" w:eastAsiaTheme="minorEastAsia"/>
                      <w:sz w:val="21"/>
                      <w:szCs w:val="21"/>
                      <w:lang w:eastAsia="zh-CN"/>
                    </w:rPr>
                    <w:t>采用整体式路基，路基宽度26m，两段共计47.506km。</w:t>
                  </w:r>
                </w:p>
                <w:p w14:paraId="2A3EF83F">
                  <w:pPr>
                    <w:jc w:val="both"/>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48+500-</w:t>
                  </w: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90+134.4</w:t>
                  </w:r>
                  <w:r>
                    <w:rPr>
                      <w:rFonts w:hint="eastAsia" w:ascii="Times New Roman" w:hAnsi="Times New Roman" w:cs="Times New Roman" w:eastAsiaTheme="minorEastAsia"/>
                      <w:sz w:val="21"/>
                      <w:szCs w:val="21"/>
                      <w:lang w:eastAsia="zh-CN"/>
                    </w:rPr>
                    <w:t>段</w:t>
                  </w:r>
                  <w:r>
                    <w:rPr>
                      <w:rFonts w:ascii="Times New Roman" w:hAnsi="Times New Roman" w:cs="Times New Roman" w:eastAsiaTheme="minorEastAsia"/>
                      <w:sz w:val="21"/>
                      <w:szCs w:val="21"/>
                      <w:lang w:eastAsia="zh-CN"/>
                    </w:rPr>
                    <w:t>采用分离式路基，路基宽度26m，</w:t>
                  </w:r>
                  <w:r>
                    <w:rPr>
                      <w:rFonts w:hint="eastAsia" w:ascii="Times New Roman" w:hAnsi="Times New Roman" w:cs="Times New Roman" w:eastAsiaTheme="minorEastAsia"/>
                      <w:sz w:val="21"/>
                      <w:szCs w:val="21"/>
                      <w:lang w:eastAsia="zh-CN"/>
                    </w:rPr>
                    <w:t>东侧采用</w:t>
                  </w:r>
                  <w:r>
                    <w:rPr>
                      <w:rFonts w:ascii="Times New Roman" w:hAnsi="Times New Roman" w:cs="Times New Roman" w:eastAsiaTheme="minorEastAsia"/>
                      <w:sz w:val="21"/>
                      <w:szCs w:val="21"/>
                      <w:lang w:eastAsia="zh-CN"/>
                    </w:rPr>
                    <w:t>新建</w:t>
                  </w:r>
                  <w:r>
                    <w:rPr>
                      <w:rFonts w:hint="eastAsia" w:ascii="Times New Roman" w:hAnsi="Times New Roman" w:cs="Times New Roman" w:eastAsiaTheme="minorEastAsia"/>
                      <w:sz w:val="21"/>
                      <w:szCs w:val="21"/>
                      <w:lang w:eastAsia="zh-CN"/>
                    </w:rPr>
                    <w:t>路基宽度1</w:t>
                  </w:r>
                  <w:r>
                    <w:rPr>
                      <w:rFonts w:ascii="Times New Roman" w:hAnsi="Times New Roman" w:cs="Times New Roman" w:eastAsiaTheme="minorEastAsia"/>
                      <w:sz w:val="21"/>
                      <w:szCs w:val="21"/>
                      <w:lang w:eastAsia="zh-CN"/>
                    </w:rPr>
                    <w:t>3</w:t>
                  </w:r>
                  <w:r>
                    <w:rPr>
                      <w:rFonts w:hint="eastAsia" w:ascii="Times New Roman" w:hAnsi="Times New Roman" w:cs="Times New Roman" w:eastAsiaTheme="minorEastAsia"/>
                      <w:sz w:val="21"/>
                      <w:szCs w:val="21"/>
                      <w:lang w:eastAsia="zh-CN"/>
                    </w:rPr>
                    <w:t>m，西侧利用老</w:t>
                  </w:r>
                  <w:r>
                    <w:rPr>
                      <w:rFonts w:ascii="Times New Roman" w:hAnsi="Times New Roman" w:cs="Times New Roman" w:eastAsiaTheme="minorEastAsia"/>
                      <w:sz w:val="21"/>
                      <w:szCs w:val="21"/>
                      <w:lang w:eastAsia="zh-CN"/>
                    </w:rPr>
                    <w:t>路</w:t>
                  </w:r>
                  <w:r>
                    <w:rPr>
                      <w:rFonts w:hint="eastAsia" w:ascii="Times New Roman" w:hAnsi="Times New Roman" w:cs="Times New Roman" w:eastAsiaTheme="minorEastAsia"/>
                      <w:sz w:val="21"/>
                      <w:szCs w:val="21"/>
                      <w:lang w:eastAsia="zh-CN"/>
                    </w:rPr>
                    <w:t>加宽至</w:t>
                  </w:r>
                  <w:r>
                    <w:rPr>
                      <w:rFonts w:ascii="Times New Roman" w:hAnsi="Times New Roman" w:cs="Times New Roman" w:eastAsiaTheme="minorEastAsia"/>
                      <w:sz w:val="21"/>
                      <w:szCs w:val="21"/>
                      <w:lang w:eastAsia="zh-CN"/>
                    </w:rPr>
                    <w:t>13m，共计41.634km。</w:t>
                  </w:r>
                </w:p>
              </w:tc>
            </w:tr>
            <w:tr w14:paraId="70BD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71DA6A56">
                  <w:pPr>
                    <w:jc w:val="center"/>
                    <w:rPr>
                      <w:rFonts w:ascii="Times New Roman" w:hAnsi="Times New Roman" w:cs="Times New Roman"/>
                      <w:sz w:val="21"/>
                      <w:szCs w:val="21"/>
                      <w:lang w:eastAsia="zh-CN"/>
                    </w:rPr>
                  </w:pPr>
                </w:p>
              </w:tc>
              <w:tc>
                <w:tcPr>
                  <w:tcW w:w="327" w:type="pct"/>
                  <w:vAlign w:val="center"/>
                </w:tcPr>
                <w:p w14:paraId="632E4825">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服务区</w:t>
                  </w:r>
                </w:p>
              </w:tc>
              <w:tc>
                <w:tcPr>
                  <w:tcW w:w="2097" w:type="pct"/>
                  <w:vAlign w:val="center"/>
                </w:tcPr>
                <w:p w14:paraId="0192AAA8">
                  <w:pPr>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无</w:t>
                  </w:r>
                </w:p>
              </w:tc>
              <w:tc>
                <w:tcPr>
                  <w:tcW w:w="2249" w:type="pct"/>
                  <w:vAlign w:val="center"/>
                </w:tcPr>
                <w:p w14:paraId="72A9A221">
                  <w:pPr>
                    <w:jc w:val="both"/>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红旗农场东服务区</w:t>
                  </w:r>
                  <w:r>
                    <w:rPr>
                      <w:rFonts w:ascii="Times New Roman" w:hAnsi="Times New Roman" w:cs="Times New Roman" w:eastAsiaTheme="minorEastAsia"/>
                      <w:sz w:val="21"/>
                      <w:szCs w:val="21"/>
                      <w:lang w:eastAsia="zh-CN"/>
                    </w:rPr>
                    <w:t>为道路双侧布设</w:t>
                  </w:r>
                  <w:r>
                    <w:rPr>
                      <w:rFonts w:hint="eastAsia" w:ascii="Times New Roman" w:hAnsi="Times New Roman" w:cs="Times New Roman" w:eastAsiaTheme="minorEastAsia"/>
                      <w:sz w:val="21"/>
                      <w:szCs w:val="21"/>
                      <w:lang w:eastAsia="zh-CN"/>
                    </w:rPr>
                    <w:t>，k</w:t>
                  </w:r>
                  <w:r>
                    <w:rPr>
                      <w:rFonts w:ascii="Times New Roman" w:hAnsi="Times New Roman" w:cs="Times New Roman" w:eastAsiaTheme="minorEastAsia"/>
                      <w:sz w:val="21"/>
                      <w:szCs w:val="21"/>
                      <w:lang w:eastAsia="zh-CN"/>
                    </w:rPr>
                    <w:t>88+000</w:t>
                  </w:r>
                  <w:r>
                    <w:rPr>
                      <w:rFonts w:hint="eastAsia" w:ascii="Times New Roman" w:hAnsi="Times New Roman" w:cs="Times New Roman" w:eastAsiaTheme="minorEastAsia"/>
                      <w:sz w:val="21"/>
                      <w:szCs w:val="21"/>
                      <w:lang w:eastAsia="zh-CN"/>
                    </w:rPr>
                    <w:t>附近，东区</w:t>
                  </w:r>
                  <w:r>
                    <w:rPr>
                      <w:rFonts w:ascii="Times New Roman" w:hAnsi="Times New Roman" w:cs="Times New Roman" w:eastAsiaTheme="minorEastAsia"/>
                      <w:sz w:val="21"/>
                      <w:szCs w:val="21"/>
                      <w:lang w:eastAsia="zh-CN"/>
                    </w:rPr>
                    <w:t>总用地24362.81</w:t>
                  </w:r>
                  <w:r>
                    <w:rPr>
                      <w:rFonts w:hint="eastAsia" w:ascii="Times New Roman" w:hAnsi="Times New Roman" w:cs="Times New Roman" w:eastAsiaTheme="minorEastAsia"/>
                      <w:sz w:val="21"/>
                      <w:szCs w:val="21"/>
                      <w:lang w:eastAsia="zh-CN"/>
                    </w:rPr>
                    <w:t>m²</w:t>
                  </w:r>
                  <w:r>
                    <w:rPr>
                      <w:rFonts w:ascii="Times New Roman" w:hAnsi="Times New Roman" w:cs="Times New Roman" w:eastAsiaTheme="minorEastAsia"/>
                      <w:sz w:val="21"/>
                      <w:szCs w:val="21"/>
                      <w:lang w:eastAsia="zh-CN"/>
                    </w:rPr>
                    <w:t>，总建筑面积2505.85</w:t>
                  </w:r>
                  <w:r>
                    <w:rPr>
                      <w:rFonts w:hint="eastAsia" w:ascii="Times New Roman" w:hAnsi="Times New Roman" w:cs="Times New Roman" w:eastAsiaTheme="minorEastAsia"/>
                      <w:sz w:val="21"/>
                      <w:szCs w:val="21"/>
                      <w:lang w:eastAsia="zh-CN"/>
                    </w:rPr>
                    <w:t>m²</w:t>
                  </w:r>
                  <w:r>
                    <w:rPr>
                      <w:rFonts w:ascii="Times New Roman" w:hAnsi="Times New Roman" w:cs="Times New Roman" w:eastAsiaTheme="minorEastAsia"/>
                      <w:sz w:val="21"/>
                      <w:szCs w:val="21"/>
                      <w:lang w:eastAsia="zh-CN"/>
                    </w:rPr>
                    <w:t>，其中</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服务</w:t>
                  </w:r>
                  <w:r>
                    <w:rPr>
                      <w:rFonts w:hint="eastAsia" w:ascii="Times New Roman" w:hAnsi="Times New Roman" w:cs="Times New Roman" w:eastAsiaTheme="minorEastAsia"/>
                      <w:sz w:val="21"/>
                      <w:szCs w:val="21"/>
                      <w:lang w:eastAsia="zh-CN"/>
                    </w:rPr>
                    <w:t>区综合楼</w:t>
                  </w:r>
                  <w:r>
                    <w:rPr>
                      <w:rFonts w:ascii="Times New Roman" w:hAnsi="Times New Roman" w:cs="Times New Roman" w:eastAsiaTheme="minorEastAsia"/>
                      <w:sz w:val="21"/>
                      <w:szCs w:val="21"/>
                      <w:lang w:eastAsia="zh-CN"/>
                    </w:rPr>
                    <w:t>1914.55</w:t>
                  </w:r>
                  <w:r>
                    <w:rPr>
                      <w:rFonts w:hint="eastAsia" w:ascii="Times New Roman" w:hAnsi="Times New Roman" w:cs="Times New Roman" w:eastAsiaTheme="minorEastAsia"/>
                      <w:sz w:val="21"/>
                      <w:szCs w:val="21"/>
                      <w:lang w:eastAsia="zh-CN"/>
                    </w:rPr>
                    <w:t>m²</w:t>
                  </w:r>
                  <w:r>
                    <w:rPr>
                      <w:rFonts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eastAsia="zh-CN"/>
                    </w:rPr>
                    <w:t>附属用房</w:t>
                  </w:r>
                  <w:r>
                    <w:rPr>
                      <w:rFonts w:ascii="Times New Roman" w:hAnsi="Times New Roman" w:cs="Times New Roman" w:eastAsiaTheme="minorEastAsia"/>
                      <w:sz w:val="21"/>
                      <w:szCs w:val="21"/>
                      <w:lang w:eastAsia="zh-CN"/>
                    </w:rPr>
                    <w:t>267.35</w:t>
                  </w:r>
                  <w:r>
                    <w:rPr>
                      <w:rFonts w:hint="eastAsia" w:ascii="Times New Roman" w:hAnsi="Times New Roman" w:cs="Times New Roman" w:eastAsiaTheme="minorEastAsia"/>
                      <w:sz w:val="21"/>
                      <w:szCs w:val="21"/>
                      <w:lang w:eastAsia="zh-CN"/>
                    </w:rPr>
                    <w:t>m²</w:t>
                  </w:r>
                  <w:r>
                    <w:rPr>
                      <w:rFonts w:ascii="Times New Roman" w:hAnsi="Times New Roman" w:cs="Times New Roman" w:eastAsiaTheme="minorEastAsia"/>
                      <w:sz w:val="21"/>
                      <w:szCs w:val="21"/>
                      <w:lang w:eastAsia="zh-CN"/>
                    </w:rPr>
                    <w:t>，修理间323.95m²，</w:t>
                  </w:r>
                  <w:r>
                    <w:rPr>
                      <w:rFonts w:hint="eastAsia" w:ascii="Times New Roman" w:hAnsi="Times New Roman" w:cs="Times New Roman" w:eastAsiaTheme="minorEastAsia"/>
                      <w:sz w:val="21"/>
                      <w:szCs w:val="21"/>
                      <w:lang w:eastAsia="zh-CN"/>
                    </w:rPr>
                    <w:t>预留</w:t>
                  </w:r>
                  <w:r>
                    <w:rPr>
                      <w:rFonts w:ascii="Times New Roman" w:hAnsi="Times New Roman" w:cs="Times New Roman" w:eastAsiaTheme="minorEastAsia"/>
                      <w:sz w:val="21"/>
                      <w:szCs w:val="21"/>
                      <w:lang w:eastAsia="zh-CN"/>
                    </w:rPr>
                    <w:t>加油加气站</w:t>
                  </w:r>
                  <w:r>
                    <w:rPr>
                      <w:rFonts w:hint="eastAsia" w:ascii="Times New Roman" w:hAnsi="Times New Roman" w:cs="Times New Roman" w:eastAsiaTheme="minorEastAsia"/>
                      <w:sz w:val="21"/>
                      <w:szCs w:val="21"/>
                      <w:lang w:eastAsia="zh-CN"/>
                    </w:rPr>
                    <w:t>用地</w:t>
                  </w:r>
                  <w:r>
                    <w:rPr>
                      <w:rFonts w:ascii="Times New Roman" w:hAnsi="Times New Roman" w:cs="Times New Roman" w:eastAsiaTheme="minorEastAsia"/>
                      <w:sz w:val="21"/>
                      <w:szCs w:val="21"/>
                      <w:lang w:eastAsia="zh-CN"/>
                    </w:rPr>
                    <w:t>12187m²。结构类型为框架结构，建筑类别为单层/多层民用建筑，建筑防火设计等级为二级。</w:t>
                  </w:r>
                  <w:r>
                    <w:rPr>
                      <w:rFonts w:hint="eastAsia" w:ascii="Times New Roman" w:hAnsi="Times New Roman" w:cs="Times New Roman" w:eastAsiaTheme="minorEastAsia"/>
                      <w:sz w:val="21"/>
                      <w:szCs w:val="21"/>
                      <w:lang w:eastAsia="zh-CN"/>
                    </w:rPr>
                    <w:t>西区</w:t>
                  </w:r>
                  <w:r>
                    <w:rPr>
                      <w:rFonts w:ascii="Times New Roman" w:hAnsi="Times New Roman" w:cs="Times New Roman" w:eastAsiaTheme="minorEastAsia"/>
                      <w:sz w:val="21"/>
                      <w:szCs w:val="21"/>
                      <w:lang w:eastAsia="zh-CN"/>
                    </w:rPr>
                    <w:t>总用地24362.81m²，总建筑面积2505.85m²，</w:t>
                  </w:r>
                  <w:r>
                    <w:rPr>
                      <w:rFonts w:hint="eastAsia" w:ascii="Times New Roman" w:hAnsi="Times New Roman" w:cs="Times New Roman" w:eastAsiaTheme="minorEastAsia"/>
                      <w:sz w:val="21"/>
                      <w:szCs w:val="21"/>
                      <w:lang w:eastAsia="zh-CN"/>
                    </w:rPr>
                    <w:t>其中：服务区综合楼</w:t>
                  </w:r>
                  <w:r>
                    <w:rPr>
                      <w:rFonts w:ascii="Times New Roman" w:hAnsi="Times New Roman" w:cs="Times New Roman" w:eastAsiaTheme="minorEastAsia"/>
                      <w:sz w:val="21"/>
                      <w:szCs w:val="21"/>
                      <w:lang w:eastAsia="zh-CN"/>
                    </w:rPr>
                    <w:t>1914.55m²，</w:t>
                  </w:r>
                  <w:r>
                    <w:rPr>
                      <w:rFonts w:hint="eastAsia" w:ascii="Times New Roman" w:hAnsi="Times New Roman" w:cs="Times New Roman" w:eastAsiaTheme="minorEastAsia"/>
                      <w:sz w:val="21"/>
                      <w:szCs w:val="21"/>
                      <w:lang w:eastAsia="zh-CN"/>
                    </w:rPr>
                    <w:t>附属用房</w:t>
                  </w:r>
                  <w:r>
                    <w:rPr>
                      <w:rFonts w:ascii="Times New Roman" w:hAnsi="Times New Roman" w:cs="Times New Roman" w:eastAsiaTheme="minorEastAsia"/>
                      <w:sz w:val="21"/>
                      <w:szCs w:val="21"/>
                      <w:lang w:eastAsia="zh-CN"/>
                    </w:rPr>
                    <w:t>267.35m²，修理间323.95m²，预留加油加气站用地</w:t>
                  </w:r>
                  <w:r>
                    <w:rPr>
                      <w:rFonts w:hint="eastAsia" w:ascii="Times New Roman" w:hAnsi="Times New Roman" w:cs="Times New Roman" w:eastAsiaTheme="minorEastAsia"/>
                      <w:sz w:val="21"/>
                      <w:szCs w:val="21"/>
                      <w:lang w:eastAsia="zh-CN"/>
                    </w:rPr>
                    <w:t>12187</w:t>
                  </w:r>
                  <w:r>
                    <w:rPr>
                      <w:rFonts w:ascii="Times New Roman" w:hAnsi="Times New Roman" w:cs="Times New Roman" w:eastAsiaTheme="minorEastAsia"/>
                      <w:sz w:val="21"/>
                      <w:szCs w:val="21"/>
                      <w:lang w:eastAsia="zh-CN"/>
                    </w:rPr>
                    <w:t>m²。结构类型为框架结构，建筑类别为单层/多层民用建筑，建筑防火设计等级为二级。</w:t>
                  </w:r>
                </w:p>
              </w:tc>
            </w:tr>
            <w:tr w14:paraId="573E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3B9D191B">
                  <w:pPr>
                    <w:jc w:val="center"/>
                    <w:rPr>
                      <w:rFonts w:ascii="Times New Roman" w:hAnsi="Times New Roman" w:cs="Times New Roman"/>
                      <w:sz w:val="21"/>
                      <w:szCs w:val="21"/>
                      <w:lang w:eastAsia="zh-CN"/>
                    </w:rPr>
                  </w:pPr>
                </w:p>
              </w:tc>
              <w:tc>
                <w:tcPr>
                  <w:tcW w:w="327" w:type="pct"/>
                  <w:vAlign w:val="center"/>
                </w:tcPr>
                <w:p w14:paraId="14D8F328">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养护工区</w:t>
                  </w:r>
                </w:p>
              </w:tc>
              <w:tc>
                <w:tcPr>
                  <w:tcW w:w="2097" w:type="pct"/>
                  <w:vAlign w:val="center"/>
                </w:tcPr>
                <w:p w14:paraId="61F510E8">
                  <w:pPr>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无</w:t>
                  </w:r>
                </w:p>
              </w:tc>
              <w:tc>
                <w:tcPr>
                  <w:tcW w:w="2249" w:type="pct"/>
                  <w:vAlign w:val="center"/>
                </w:tcPr>
                <w:p w14:paraId="11968A26">
                  <w:pPr>
                    <w:jc w:val="both"/>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位于k</w:t>
                  </w:r>
                  <w:r>
                    <w:rPr>
                      <w:rFonts w:ascii="Times New Roman" w:hAnsi="Times New Roman" w:cs="Times New Roman" w:eastAsiaTheme="minorEastAsia"/>
                      <w:sz w:val="21"/>
                      <w:szCs w:val="21"/>
                      <w:lang w:eastAsia="zh-CN"/>
                    </w:rPr>
                    <w:t>124+919</w:t>
                  </w:r>
                  <w:r>
                    <w:rPr>
                      <w:rFonts w:hint="eastAsia" w:ascii="Times New Roman" w:hAnsi="Times New Roman" w:cs="Times New Roman" w:eastAsiaTheme="minorEastAsia"/>
                      <w:sz w:val="21"/>
                      <w:szCs w:val="21"/>
                      <w:lang w:eastAsia="zh-CN"/>
                    </w:rPr>
                    <w:t>西侧，</w:t>
                  </w:r>
                  <w:r>
                    <w:rPr>
                      <w:rFonts w:ascii="Times New Roman" w:hAnsi="Times New Roman" w:cs="Times New Roman" w:eastAsiaTheme="minorEastAsia"/>
                      <w:sz w:val="21"/>
                      <w:szCs w:val="21"/>
                      <w:lang w:eastAsia="zh-CN"/>
                    </w:rPr>
                    <w:t>总用地57301m²，</w:t>
                  </w:r>
                  <w:r>
                    <w:rPr>
                      <w:rFonts w:hint="eastAsia" w:ascii="Times New Roman" w:hAnsi="Times New Roman" w:cs="Times New Roman" w:eastAsiaTheme="minorEastAsia"/>
                      <w:sz w:val="21"/>
                      <w:szCs w:val="21"/>
                      <w:lang w:eastAsia="zh-CN"/>
                    </w:rPr>
                    <w:t>内设监控</w:t>
                  </w:r>
                  <w:r>
                    <w:rPr>
                      <w:rFonts w:ascii="Times New Roman" w:hAnsi="Times New Roman" w:cs="Times New Roman" w:eastAsiaTheme="minorEastAsia"/>
                      <w:sz w:val="21"/>
                      <w:szCs w:val="21"/>
                      <w:lang w:eastAsia="zh-CN"/>
                    </w:rPr>
                    <w:t>分中心</w:t>
                  </w:r>
                  <w:r>
                    <w:rPr>
                      <w:rFonts w:hint="eastAsia" w:ascii="Times New Roman" w:hAnsi="Times New Roman" w:cs="Times New Roman" w:eastAsiaTheme="minorEastAsia"/>
                      <w:sz w:val="21"/>
                      <w:szCs w:val="21"/>
                      <w:lang w:eastAsia="zh-CN"/>
                    </w:rPr>
                    <w:t>、养护用地、机械库等</w:t>
                  </w:r>
                  <w:r>
                    <w:rPr>
                      <w:rFonts w:ascii="Times New Roman" w:hAnsi="Times New Roman" w:cs="Times New Roman" w:eastAsiaTheme="minorEastAsia"/>
                      <w:sz w:val="21"/>
                      <w:szCs w:val="21"/>
                      <w:lang w:eastAsia="zh-CN"/>
                    </w:rPr>
                    <w:t>。</w:t>
                  </w:r>
                </w:p>
              </w:tc>
            </w:tr>
            <w:tr w14:paraId="5768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133D9953">
                  <w:pPr>
                    <w:jc w:val="center"/>
                    <w:rPr>
                      <w:rFonts w:ascii="Times New Roman" w:hAnsi="Times New Roman" w:cs="Times New Roman"/>
                      <w:sz w:val="21"/>
                      <w:szCs w:val="21"/>
                      <w:lang w:eastAsia="zh-CN"/>
                    </w:rPr>
                  </w:pPr>
                </w:p>
              </w:tc>
              <w:tc>
                <w:tcPr>
                  <w:tcW w:w="327" w:type="pct"/>
                  <w:vAlign w:val="center"/>
                </w:tcPr>
                <w:p w14:paraId="3D2FC60A">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收费站</w:t>
                  </w:r>
                </w:p>
              </w:tc>
              <w:tc>
                <w:tcPr>
                  <w:tcW w:w="2097" w:type="pct"/>
                  <w:vAlign w:val="center"/>
                </w:tcPr>
                <w:p w14:paraId="6CCD5302">
                  <w:pPr>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无</w:t>
                  </w:r>
                </w:p>
              </w:tc>
              <w:tc>
                <w:tcPr>
                  <w:tcW w:w="2249" w:type="pct"/>
                  <w:vAlign w:val="center"/>
                </w:tcPr>
                <w:p w14:paraId="1BF66AB7">
                  <w:pPr>
                    <w:jc w:val="both"/>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红旗农场东收费站中心桩号位于k</w:t>
                  </w:r>
                  <w:r>
                    <w:rPr>
                      <w:rFonts w:ascii="Times New Roman" w:hAnsi="Times New Roman" w:cs="Times New Roman" w:eastAsiaTheme="minorEastAsia"/>
                      <w:sz w:val="21"/>
                      <w:szCs w:val="21"/>
                      <w:lang w:eastAsia="zh-CN"/>
                    </w:rPr>
                    <w:t>86</w:t>
                  </w:r>
                  <w:r>
                    <w:rPr>
                      <w:rFonts w:hint="eastAsia" w:ascii="Times New Roman" w:hAnsi="Times New Roman" w:cs="Times New Roman" w:eastAsiaTheme="minorEastAsia"/>
                      <w:sz w:val="21"/>
                      <w:szCs w:val="21"/>
                      <w:lang w:eastAsia="zh-CN"/>
                    </w:rPr>
                    <w:t>+7</w:t>
                  </w:r>
                  <w:r>
                    <w:rPr>
                      <w:rFonts w:ascii="Times New Roman" w:hAnsi="Times New Roman" w:cs="Times New Roman" w:eastAsiaTheme="minorEastAsia"/>
                      <w:sz w:val="21"/>
                      <w:szCs w:val="21"/>
                      <w:lang w:eastAsia="zh-CN"/>
                    </w:rPr>
                    <w:t>00</w:t>
                  </w:r>
                  <w:r>
                    <w:rPr>
                      <w:rFonts w:hint="eastAsia" w:ascii="Times New Roman" w:hAnsi="Times New Roman" w:cs="Times New Roman" w:eastAsiaTheme="minorEastAsia"/>
                      <w:sz w:val="21"/>
                      <w:szCs w:val="21"/>
                      <w:lang w:eastAsia="zh-CN"/>
                    </w:rPr>
                    <w:t>附近，总用地</w:t>
                  </w:r>
                  <w:r>
                    <w:rPr>
                      <w:rFonts w:ascii="Times New Roman" w:hAnsi="Times New Roman" w:cs="Times New Roman" w:eastAsiaTheme="minorEastAsia"/>
                      <w:sz w:val="21"/>
                      <w:szCs w:val="21"/>
                      <w:lang w:eastAsia="zh-CN"/>
                    </w:rPr>
                    <w:t>86</w:t>
                  </w:r>
                  <w:r>
                    <w:rPr>
                      <w:rFonts w:hint="eastAsia" w:ascii="Times New Roman" w:hAnsi="Times New Roman" w:cs="Times New Roman" w:eastAsiaTheme="minorEastAsia"/>
                      <w:sz w:val="21"/>
                      <w:szCs w:val="21"/>
                      <w:lang w:eastAsia="zh-CN"/>
                    </w:rPr>
                    <w:t>40</w:t>
                  </w:r>
                  <w:r>
                    <w:rPr>
                      <w:rFonts w:ascii="Times New Roman" w:hAnsi="Times New Roman" w:cs="Times New Roman" w:eastAsiaTheme="minorEastAsia"/>
                      <w:sz w:val="21"/>
                      <w:szCs w:val="21"/>
                      <w:lang w:eastAsia="zh-CN"/>
                    </w:rPr>
                    <w:t>m²，总建筑面积25</w:t>
                  </w:r>
                  <w:r>
                    <w:rPr>
                      <w:rFonts w:hint="eastAsia" w:ascii="Times New Roman" w:hAnsi="Times New Roman" w:cs="Times New Roman" w:eastAsiaTheme="minorEastAsia"/>
                      <w:sz w:val="21"/>
                      <w:szCs w:val="21"/>
                      <w:lang w:eastAsia="zh-CN"/>
                    </w:rPr>
                    <w:t>93</w:t>
                  </w:r>
                  <w:r>
                    <w:rPr>
                      <w:rFonts w:ascii="Times New Roman" w:hAnsi="Times New Roman" w:cs="Times New Roman" w:eastAsiaTheme="minorEastAsia"/>
                      <w:sz w:val="21"/>
                      <w:szCs w:val="21"/>
                      <w:lang w:eastAsia="zh-CN"/>
                    </w:rPr>
                    <w:t>m²，其中</w:t>
                  </w:r>
                  <w:r>
                    <w:rPr>
                      <w:rFonts w:hint="eastAsia" w:ascii="Times New Roman" w:hAnsi="Times New Roman" w:cs="Times New Roman" w:eastAsiaTheme="minorEastAsia"/>
                      <w:sz w:val="21"/>
                      <w:szCs w:val="21"/>
                      <w:lang w:eastAsia="zh-CN"/>
                    </w:rPr>
                    <w:t>：收费站</w:t>
                  </w:r>
                  <w:r>
                    <w:rPr>
                      <w:rFonts w:ascii="Times New Roman" w:hAnsi="Times New Roman" w:cs="Times New Roman" w:eastAsiaTheme="minorEastAsia"/>
                      <w:sz w:val="21"/>
                      <w:szCs w:val="21"/>
                      <w:lang w:eastAsia="zh-CN"/>
                    </w:rPr>
                    <w:t>综合楼</w:t>
                  </w:r>
                  <w:r>
                    <w:rPr>
                      <w:rFonts w:hint="eastAsia" w:ascii="Times New Roman" w:hAnsi="Times New Roman" w:cs="Times New Roman" w:eastAsiaTheme="minorEastAsia"/>
                      <w:sz w:val="21"/>
                      <w:szCs w:val="21"/>
                      <w:lang w:eastAsia="zh-CN"/>
                    </w:rPr>
                    <w:t>1</w:t>
                  </w:r>
                  <w:r>
                    <w:rPr>
                      <w:rFonts w:ascii="Times New Roman" w:hAnsi="Times New Roman" w:cs="Times New Roman" w:eastAsiaTheme="minorEastAsia"/>
                      <w:sz w:val="21"/>
                      <w:szCs w:val="21"/>
                      <w:lang w:eastAsia="zh-CN"/>
                    </w:rPr>
                    <w:t>924.65m²，</w:t>
                  </w:r>
                  <w:r>
                    <w:rPr>
                      <w:rFonts w:hint="eastAsia" w:ascii="Times New Roman" w:hAnsi="Times New Roman" w:cs="Times New Roman" w:eastAsiaTheme="minorEastAsia"/>
                      <w:sz w:val="21"/>
                      <w:szCs w:val="21"/>
                      <w:lang w:eastAsia="zh-CN"/>
                    </w:rPr>
                    <w:t>附属用房3</w:t>
                  </w:r>
                  <w:r>
                    <w:rPr>
                      <w:rFonts w:ascii="Times New Roman" w:hAnsi="Times New Roman" w:cs="Times New Roman" w:eastAsiaTheme="minorEastAsia"/>
                      <w:sz w:val="21"/>
                      <w:szCs w:val="21"/>
                      <w:lang w:eastAsia="zh-CN"/>
                    </w:rPr>
                    <w:t>69.60m²，车库</w:t>
                  </w:r>
                  <w:r>
                    <w:rPr>
                      <w:rFonts w:hint="eastAsia" w:ascii="Times New Roman" w:hAnsi="Times New Roman" w:cs="Times New Roman" w:eastAsiaTheme="minorEastAsia"/>
                      <w:sz w:val="21"/>
                      <w:szCs w:val="21"/>
                      <w:lang w:eastAsia="zh-CN"/>
                    </w:rPr>
                    <w:t>2</w:t>
                  </w:r>
                  <w:r>
                    <w:rPr>
                      <w:rFonts w:ascii="Times New Roman" w:hAnsi="Times New Roman" w:cs="Times New Roman" w:eastAsiaTheme="minorEastAsia"/>
                      <w:sz w:val="21"/>
                      <w:szCs w:val="21"/>
                      <w:lang w:eastAsia="zh-CN"/>
                    </w:rPr>
                    <w:t>98.75m²，结构类型为框架结构，建筑类别为单层/多层民用建筑，建筑防火设计等级为二级。</w:t>
                  </w:r>
                  <w:r>
                    <w:rPr>
                      <w:rFonts w:hint="eastAsia" w:ascii="Times New Roman" w:hAnsi="Times New Roman" w:cs="Times New Roman" w:eastAsiaTheme="minorEastAsia"/>
                      <w:sz w:val="21"/>
                      <w:szCs w:val="21"/>
                      <w:lang w:eastAsia="zh-CN"/>
                    </w:rPr>
                    <w:t>收费站罩棚</w:t>
                  </w:r>
                  <w:r>
                    <w:rPr>
                      <w:rFonts w:ascii="Times New Roman" w:hAnsi="Times New Roman" w:cs="Times New Roman" w:eastAsiaTheme="minorEastAsia"/>
                      <w:sz w:val="21"/>
                      <w:szCs w:val="21"/>
                      <w:lang w:eastAsia="zh-CN"/>
                    </w:rPr>
                    <w:t>898.56m²。</w:t>
                  </w:r>
                </w:p>
              </w:tc>
            </w:tr>
            <w:tr w14:paraId="4B2F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restart"/>
                  <w:vAlign w:val="center"/>
                </w:tcPr>
                <w:p w14:paraId="37660C6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辅助</w:t>
                  </w:r>
                </w:p>
                <w:p w14:paraId="60F613F8">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工程</w:t>
                  </w:r>
                </w:p>
              </w:tc>
              <w:tc>
                <w:tcPr>
                  <w:tcW w:w="327" w:type="pct"/>
                  <w:vAlign w:val="center"/>
                </w:tcPr>
                <w:p w14:paraId="5B69016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桥梁</w:t>
                  </w:r>
                </w:p>
              </w:tc>
              <w:tc>
                <w:tcPr>
                  <w:tcW w:w="2097" w:type="pct"/>
                  <w:vAlign w:val="center"/>
                </w:tcPr>
                <w:p w14:paraId="6667FDB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c>
                <w:tcPr>
                  <w:tcW w:w="2249" w:type="pct"/>
                  <w:vAlign w:val="center"/>
                </w:tcPr>
                <w:p w14:paraId="3E7C8CBA">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r>
            <w:tr w14:paraId="78C1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795EA784">
                  <w:pPr>
                    <w:jc w:val="center"/>
                    <w:rPr>
                      <w:rFonts w:ascii="Times New Roman" w:hAnsi="Times New Roman" w:cs="Times New Roman"/>
                      <w:sz w:val="21"/>
                      <w:szCs w:val="21"/>
                      <w:lang w:eastAsia="zh-CN"/>
                    </w:rPr>
                  </w:pPr>
                </w:p>
              </w:tc>
              <w:tc>
                <w:tcPr>
                  <w:tcW w:w="327" w:type="pct"/>
                  <w:vAlign w:val="center"/>
                </w:tcPr>
                <w:p w14:paraId="3F4D6033">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涵洞</w:t>
                  </w:r>
                </w:p>
              </w:tc>
              <w:tc>
                <w:tcPr>
                  <w:tcW w:w="2097" w:type="pct"/>
                  <w:vAlign w:val="center"/>
                </w:tcPr>
                <w:p w14:paraId="1670581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26</w:t>
                  </w:r>
                  <w:r>
                    <w:rPr>
                      <w:rFonts w:hint="eastAsia" w:ascii="Times New Roman" w:hAnsi="Times New Roman" w:cs="Times New Roman"/>
                      <w:sz w:val="21"/>
                      <w:szCs w:val="21"/>
                      <w:lang w:eastAsia="zh-CN"/>
                    </w:rPr>
                    <w:t>道</w:t>
                  </w:r>
                </w:p>
              </w:tc>
              <w:tc>
                <w:tcPr>
                  <w:tcW w:w="2249" w:type="pct"/>
                  <w:vAlign w:val="center"/>
                </w:tcPr>
                <w:p w14:paraId="6EEF98AE">
                  <w:pPr>
                    <w:jc w:val="both"/>
                    <w:rPr>
                      <w:rFonts w:ascii="Times New Roman" w:hAnsi="Times New Roman" w:cs="Times New Roman"/>
                      <w:sz w:val="21"/>
                      <w:szCs w:val="21"/>
                      <w:lang w:eastAsia="zh-CN"/>
                    </w:rPr>
                  </w:pPr>
                  <w:r>
                    <w:rPr>
                      <w:rFonts w:ascii="Times New Roman" w:hAnsi="Times New Roman" w:cs="Times New Roman"/>
                      <w:sz w:val="21"/>
                      <w:szCs w:val="21"/>
                      <w:lang w:eastAsia="zh-CN"/>
                    </w:rPr>
                    <w:t>39</w:t>
                  </w:r>
                  <w:r>
                    <w:rPr>
                      <w:rFonts w:hint="eastAsia" w:ascii="Times New Roman" w:hAnsi="Times New Roman" w:cs="Times New Roman"/>
                      <w:sz w:val="21"/>
                      <w:szCs w:val="21"/>
                      <w:lang w:eastAsia="zh-CN"/>
                    </w:rPr>
                    <w:t>道（接长利用原有</w:t>
                  </w:r>
                  <w:r>
                    <w:rPr>
                      <w:rFonts w:ascii="Times New Roman" w:hAnsi="Times New Roman" w:cs="Times New Roman"/>
                      <w:sz w:val="21"/>
                      <w:szCs w:val="21"/>
                      <w:lang w:eastAsia="zh-CN"/>
                    </w:rPr>
                    <w:t>26</w:t>
                  </w:r>
                  <w:r>
                    <w:rPr>
                      <w:rFonts w:hint="eastAsia" w:ascii="Times New Roman" w:hAnsi="Times New Roman" w:cs="Times New Roman"/>
                      <w:sz w:val="21"/>
                      <w:szCs w:val="21"/>
                      <w:lang w:eastAsia="zh-CN"/>
                    </w:rPr>
                    <w:t>道，新建1</w:t>
                  </w:r>
                  <w:r>
                    <w:rPr>
                      <w:rFonts w:ascii="Times New Roman" w:hAnsi="Times New Roman" w:cs="Times New Roman"/>
                      <w:sz w:val="21"/>
                      <w:szCs w:val="21"/>
                      <w:lang w:eastAsia="zh-CN"/>
                    </w:rPr>
                    <w:t>3</w:t>
                  </w:r>
                  <w:r>
                    <w:rPr>
                      <w:rFonts w:hint="eastAsia" w:ascii="Times New Roman" w:hAnsi="Times New Roman" w:cs="Times New Roman"/>
                      <w:sz w:val="21"/>
                      <w:szCs w:val="21"/>
                      <w:lang w:eastAsia="zh-CN"/>
                    </w:rPr>
                    <w:t>道），预制装配式涵洞。</w:t>
                  </w:r>
                </w:p>
              </w:tc>
            </w:tr>
            <w:tr w14:paraId="040F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2A88327B">
                  <w:pPr>
                    <w:jc w:val="center"/>
                    <w:rPr>
                      <w:rFonts w:ascii="Times New Roman" w:hAnsi="Times New Roman" w:cs="Times New Roman"/>
                      <w:sz w:val="21"/>
                      <w:szCs w:val="21"/>
                      <w:lang w:eastAsia="zh-CN"/>
                    </w:rPr>
                  </w:pPr>
                </w:p>
              </w:tc>
              <w:tc>
                <w:tcPr>
                  <w:tcW w:w="327" w:type="pct"/>
                  <w:vAlign w:val="center"/>
                </w:tcPr>
                <w:p w14:paraId="46056064">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通道涵</w:t>
                  </w:r>
                </w:p>
              </w:tc>
              <w:tc>
                <w:tcPr>
                  <w:tcW w:w="2097" w:type="pct"/>
                  <w:vAlign w:val="center"/>
                </w:tcPr>
                <w:p w14:paraId="574FAFA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11</w:t>
                  </w:r>
                  <w:r>
                    <w:rPr>
                      <w:rFonts w:hint="eastAsia" w:ascii="Times New Roman" w:hAnsi="Times New Roman" w:cs="Times New Roman"/>
                      <w:sz w:val="21"/>
                      <w:szCs w:val="21"/>
                      <w:lang w:eastAsia="zh-CN"/>
                    </w:rPr>
                    <w:t>道（动物通道，放牧通行共用），跨径4m，净高3m。</w:t>
                  </w:r>
                </w:p>
              </w:tc>
              <w:tc>
                <w:tcPr>
                  <w:tcW w:w="2249" w:type="pct"/>
                  <w:vAlign w:val="center"/>
                </w:tcPr>
                <w:p w14:paraId="27124C8C">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1</w:t>
                  </w:r>
                  <w:r>
                    <w:rPr>
                      <w:rFonts w:hint="eastAsia" w:ascii="Times New Roman" w:hAnsi="Times New Roman" w:cs="Times New Roman"/>
                      <w:sz w:val="21"/>
                      <w:szCs w:val="21"/>
                      <w:lang w:eastAsia="zh-CN"/>
                    </w:rPr>
                    <w:t>道（动物通道，放牧通行共用），跨径4m，净高3m。</w:t>
                  </w:r>
                </w:p>
              </w:tc>
            </w:tr>
            <w:tr w14:paraId="12DD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5B8F20CC">
                  <w:pPr>
                    <w:jc w:val="center"/>
                    <w:rPr>
                      <w:rFonts w:ascii="Times New Roman" w:hAnsi="Times New Roman" w:cs="Times New Roman"/>
                      <w:sz w:val="21"/>
                      <w:szCs w:val="21"/>
                      <w:lang w:eastAsia="zh-CN"/>
                    </w:rPr>
                  </w:pPr>
                </w:p>
              </w:tc>
              <w:tc>
                <w:tcPr>
                  <w:tcW w:w="327" w:type="pct"/>
                  <w:vAlign w:val="center"/>
                </w:tcPr>
                <w:p w14:paraId="1CEA23B4">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弃土场</w:t>
                  </w:r>
                </w:p>
              </w:tc>
              <w:tc>
                <w:tcPr>
                  <w:tcW w:w="2097" w:type="pct"/>
                  <w:vAlign w:val="center"/>
                </w:tcPr>
                <w:p w14:paraId="5D6871F4">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c>
                <w:tcPr>
                  <w:tcW w:w="2249" w:type="pct"/>
                  <w:vAlign w:val="center"/>
                </w:tcPr>
                <w:p w14:paraId="0AE87503">
                  <w:pPr>
                    <w:jc w:val="both"/>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hint="eastAsia" w:ascii="Times New Roman" w:hAnsi="Times New Roman" w:cs="Times New Roman"/>
                      <w:sz w:val="21"/>
                      <w:szCs w:val="21"/>
                      <w:lang w:eastAsia="zh-CN"/>
                    </w:rPr>
                    <w:t>个弃土场，总占地面积</w:t>
                  </w:r>
                  <w:r>
                    <w:rPr>
                      <w:rFonts w:ascii="Times New Roman" w:hAnsi="Times New Roman" w:cs="Times New Roman"/>
                      <w:sz w:val="21"/>
                      <w:szCs w:val="21"/>
                      <w:lang w:eastAsia="zh-CN"/>
                    </w:rPr>
                    <w:t>113</w:t>
                  </w:r>
                  <w:r>
                    <w:rPr>
                      <w:rFonts w:hint="eastAsia" w:ascii="Times New Roman" w:hAnsi="Times New Roman" w:cs="Times New Roman"/>
                      <w:sz w:val="21"/>
                      <w:szCs w:val="21"/>
                      <w:lang w:eastAsia="zh-CN"/>
                    </w:rPr>
                    <w:t>hm²，分别为：</w:t>
                  </w:r>
                  <w:r>
                    <w:rPr>
                      <w:rFonts w:ascii="Times New Roman" w:hAnsi="Times New Roman" w:cs="Times New Roman"/>
                      <w:sz w:val="21"/>
                      <w:szCs w:val="21"/>
                      <w:lang w:eastAsia="zh-CN"/>
                    </w:rPr>
                    <w:t>1#弃土场</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k37+060</w:t>
                  </w:r>
                  <w:r>
                    <w:rPr>
                      <w:rFonts w:hint="eastAsia" w:ascii="Times New Roman" w:hAnsi="Times New Roman" w:cs="Times New Roman"/>
                      <w:sz w:val="21"/>
                      <w:szCs w:val="21"/>
                      <w:lang w:eastAsia="zh-CN"/>
                    </w:rPr>
                    <w:t>西侧约1</w:t>
                  </w:r>
                  <w:r>
                    <w:rPr>
                      <w:rFonts w:ascii="Times New Roman" w:hAnsi="Times New Roman" w:cs="Times New Roman"/>
                      <w:sz w:val="21"/>
                      <w:szCs w:val="21"/>
                      <w:lang w:eastAsia="zh-CN"/>
                    </w:rPr>
                    <w:t>4.2</w:t>
                  </w:r>
                  <w:r>
                    <w:rPr>
                      <w:rFonts w:hint="eastAsia" w:ascii="Times New Roman" w:hAnsi="Times New Roman" w:cs="Times New Roman"/>
                      <w:sz w:val="21"/>
                      <w:szCs w:val="21"/>
                      <w:lang w:eastAsia="zh-CN"/>
                    </w:rPr>
                    <w:t>km）</w:t>
                  </w:r>
                  <w:r>
                    <w:rPr>
                      <w:rFonts w:ascii="Times New Roman" w:hAnsi="Times New Roman" w:cs="Times New Roman"/>
                      <w:sz w:val="21"/>
                      <w:szCs w:val="21"/>
                      <w:lang w:eastAsia="zh-CN"/>
                    </w:rPr>
                    <w:t>；2#弃土场</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k126+200</w:t>
                  </w:r>
                  <w:r>
                    <w:rPr>
                      <w:rFonts w:hint="eastAsia" w:ascii="Times New Roman" w:hAnsi="Times New Roman" w:cs="Times New Roman"/>
                      <w:sz w:val="21"/>
                      <w:szCs w:val="21"/>
                      <w:lang w:eastAsia="zh-CN"/>
                    </w:rPr>
                    <w:t>东南侧约3km）</w:t>
                  </w:r>
                  <w:r>
                    <w:rPr>
                      <w:rFonts w:ascii="Times New Roman" w:hAnsi="Times New Roman" w:cs="Times New Roman"/>
                      <w:sz w:val="21"/>
                      <w:szCs w:val="21"/>
                      <w:lang w:eastAsia="zh-CN"/>
                    </w:rPr>
                    <w:t>。</w:t>
                  </w:r>
                </w:p>
              </w:tc>
            </w:tr>
            <w:tr w14:paraId="56DA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5B41850E">
                  <w:pPr>
                    <w:jc w:val="center"/>
                    <w:rPr>
                      <w:rFonts w:ascii="Times New Roman" w:hAnsi="Times New Roman" w:cs="Times New Roman"/>
                      <w:sz w:val="21"/>
                      <w:szCs w:val="21"/>
                      <w:lang w:eastAsia="zh-CN"/>
                    </w:rPr>
                  </w:pPr>
                </w:p>
              </w:tc>
              <w:tc>
                <w:tcPr>
                  <w:tcW w:w="327" w:type="pct"/>
                  <w:vAlign w:val="center"/>
                </w:tcPr>
                <w:p w14:paraId="7B9A524F">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其他</w:t>
                  </w:r>
                </w:p>
              </w:tc>
              <w:tc>
                <w:tcPr>
                  <w:tcW w:w="2097" w:type="pct"/>
                  <w:vAlign w:val="center"/>
                </w:tcPr>
                <w:p w14:paraId="6A5493F0">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公路平面交叉1</w:t>
                  </w:r>
                  <w:r>
                    <w:rPr>
                      <w:rFonts w:ascii="Times New Roman" w:hAnsi="Times New Roman" w:cs="Times New Roman"/>
                      <w:sz w:val="21"/>
                      <w:szCs w:val="21"/>
                      <w:lang w:eastAsia="zh-CN"/>
                    </w:rPr>
                    <w:t>6</w:t>
                  </w:r>
                  <w:r>
                    <w:rPr>
                      <w:rFonts w:hint="eastAsia" w:ascii="Times New Roman" w:hAnsi="Times New Roman" w:cs="Times New Roman"/>
                      <w:sz w:val="21"/>
                      <w:szCs w:val="21"/>
                      <w:lang w:eastAsia="zh-CN"/>
                    </w:rPr>
                    <w:t>处。</w:t>
                  </w:r>
                </w:p>
              </w:tc>
              <w:tc>
                <w:tcPr>
                  <w:tcW w:w="2249" w:type="pct"/>
                  <w:vAlign w:val="center"/>
                </w:tcPr>
                <w:p w14:paraId="49BC461D">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公路平面</w:t>
                  </w:r>
                  <w:r>
                    <w:rPr>
                      <w:rFonts w:ascii="Times New Roman" w:hAnsi="Times New Roman" w:cs="Times New Roman"/>
                      <w:sz w:val="21"/>
                      <w:szCs w:val="21"/>
                      <w:lang w:eastAsia="zh-CN"/>
                    </w:rPr>
                    <w:t>交叉31</w:t>
                  </w:r>
                  <w:r>
                    <w:rPr>
                      <w:rFonts w:hint="eastAsia" w:ascii="Times New Roman" w:hAnsi="Times New Roman" w:cs="Times New Roman"/>
                      <w:sz w:val="21"/>
                      <w:szCs w:val="21"/>
                      <w:lang w:eastAsia="zh-CN"/>
                    </w:rPr>
                    <w:t>处</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k</w:t>
                  </w:r>
                  <w:r>
                    <w:rPr>
                      <w:rFonts w:ascii="Times New Roman" w:hAnsi="Times New Roman" w:cs="Times New Roman"/>
                      <w:sz w:val="21"/>
                      <w:szCs w:val="21"/>
                      <w:lang w:eastAsia="zh-CN"/>
                    </w:rPr>
                    <w:t>36+000-</w:t>
                  </w:r>
                  <w:r>
                    <w:rPr>
                      <w:rFonts w:hint="eastAsia" w:ascii="Times New Roman" w:hAnsi="Times New Roman" w:cs="Times New Roman"/>
                      <w:sz w:val="21"/>
                      <w:szCs w:val="21"/>
                      <w:lang w:eastAsia="zh-CN"/>
                    </w:rPr>
                    <w:t>k</w:t>
                  </w:r>
                  <w:r>
                    <w:rPr>
                      <w:rFonts w:ascii="Times New Roman" w:hAnsi="Times New Roman" w:cs="Times New Roman"/>
                      <w:sz w:val="21"/>
                      <w:szCs w:val="21"/>
                      <w:lang w:eastAsia="zh-CN"/>
                    </w:rPr>
                    <w:t>48+700段为补强利用段，设置6处平面交叉（含起点利用平交），对原有非法开口进行归并；</w:t>
                  </w:r>
                  <w:r>
                    <w:rPr>
                      <w:rFonts w:hint="eastAsia" w:ascii="Times New Roman" w:hAnsi="Times New Roman" w:cs="Times New Roman"/>
                      <w:sz w:val="21"/>
                      <w:szCs w:val="21"/>
                      <w:lang w:eastAsia="zh-CN"/>
                    </w:rPr>
                    <w:t>k</w:t>
                  </w:r>
                  <w:r>
                    <w:rPr>
                      <w:rFonts w:ascii="Times New Roman" w:hAnsi="Times New Roman" w:cs="Times New Roman"/>
                      <w:sz w:val="21"/>
                      <w:szCs w:val="21"/>
                      <w:lang w:eastAsia="zh-CN"/>
                    </w:rPr>
                    <w:t>48+700-</w:t>
                  </w:r>
                  <w:r>
                    <w:rPr>
                      <w:rFonts w:hint="eastAsia" w:ascii="Times New Roman" w:hAnsi="Times New Roman" w:cs="Times New Roman"/>
                      <w:sz w:val="21"/>
                      <w:szCs w:val="21"/>
                      <w:lang w:eastAsia="zh-CN"/>
                    </w:rPr>
                    <w:t>k126+200</w:t>
                  </w:r>
                  <w:r>
                    <w:rPr>
                      <w:rFonts w:ascii="Times New Roman" w:hAnsi="Times New Roman" w:cs="Times New Roman"/>
                      <w:sz w:val="21"/>
                      <w:szCs w:val="21"/>
                      <w:lang w:eastAsia="zh-CN"/>
                    </w:rPr>
                    <w:t>为改扩建段，设置25处平面交叉。</w:t>
                  </w:r>
                </w:p>
              </w:tc>
            </w:tr>
            <w:tr w14:paraId="3DAD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restart"/>
                  <w:vAlign w:val="center"/>
                </w:tcPr>
                <w:p w14:paraId="1BE878D1">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公用</w:t>
                  </w:r>
                </w:p>
                <w:p w14:paraId="406FB1DB">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工程</w:t>
                  </w:r>
                </w:p>
              </w:tc>
              <w:tc>
                <w:tcPr>
                  <w:tcW w:w="327" w:type="pct"/>
                  <w:vAlign w:val="center"/>
                </w:tcPr>
                <w:p w14:paraId="180706C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供水</w:t>
                  </w:r>
                </w:p>
              </w:tc>
              <w:tc>
                <w:tcPr>
                  <w:tcW w:w="2097" w:type="pct"/>
                  <w:vAlign w:val="center"/>
                </w:tcPr>
                <w:p w14:paraId="609C19E5">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c>
                <w:tcPr>
                  <w:tcW w:w="2249" w:type="pct"/>
                  <w:vAlign w:val="center"/>
                </w:tcPr>
                <w:p w14:paraId="53CD46F4">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供水点：位于准东五彩湾彩南社区，可供应项目用水，上路桩号k</w:t>
                  </w:r>
                  <w:r>
                    <w:rPr>
                      <w:rFonts w:ascii="Times New Roman" w:hAnsi="Times New Roman" w:cs="Times New Roman"/>
                      <w:sz w:val="21"/>
                      <w:szCs w:val="21"/>
                      <w:lang w:eastAsia="zh-CN"/>
                    </w:rPr>
                    <w:t>45+700，</w:t>
                  </w:r>
                  <w:r>
                    <w:rPr>
                      <w:rFonts w:hint="eastAsia" w:ascii="Times New Roman" w:hAnsi="Times New Roman" w:cs="Times New Roman"/>
                      <w:sz w:val="21"/>
                      <w:szCs w:val="21"/>
                      <w:lang w:eastAsia="zh-CN"/>
                    </w:rPr>
                    <w:t>运距</w:t>
                  </w:r>
                  <w:r>
                    <w:rPr>
                      <w:rFonts w:ascii="Times New Roman" w:hAnsi="Times New Roman" w:cs="Times New Roman"/>
                      <w:sz w:val="21"/>
                      <w:szCs w:val="21"/>
                      <w:lang w:eastAsia="zh-CN"/>
                    </w:rPr>
                    <w:t>1.0km</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可沿园区路到达该</w:t>
                  </w:r>
                  <w:r>
                    <w:rPr>
                      <w:rFonts w:hint="eastAsia" w:ascii="Times New Roman" w:hAnsi="Times New Roman" w:cs="Times New Roman"/>
                      <w:sz w:val="21"/>
                      <w:szCs w:val="21"/>
                      <w:lang w:eastAsia="zh-CN"/>
                    </w:rPr>
                    <w:t>供水点</w:t>
                  </w:r>
                  <w:r>
                    <w:rPr>
                      <w:rFonts w:ascii="Times New Roman" w:hAnsi="Times New Roman" w:cs="Times New Roman"/>
                      <w:sz w:val="21"/>
                      <w:szCs w:val="21"/>
                      <w:lang w:eastAsia="zh-CN"/>
                    </w:rPr>
                    <w:t>，运输条件较便利</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供应范围为</w:t>
                  </w:r>
                  <w:r>
                    <w:rPr>
                      <w:rFonts w:hint="eastAsia" w:ascii="Times New Roman" w:hAnsi="Times New Roman" w:cs="Times New Roman"/>
                      <w:sz w:val="21"/>
                      <w:szCs w:val="21"/>
                      <w:lang w:eastAsia="zh-CN"/>
                    </w:rPr>
                    <w:t>k</w:t>
                  </w:r>
                  <w:r>
                    <w:rPr>
                      <w:rFonts w:ascii="Times New Roman" w:hAnsi="Times New Roman" w:cs="Times New Roman"/>
                      <w:sz w:val="21"/>
                      <w:szCs w:val="21"/>
                      <w:lang w:eastAsia="zh-CN"/>
                    </w:rPr>
                    <w:t>37+060至</w:t>
                  </w:r>
                  <w:r>
                    <w:rPr>
                      <w:rFonts w:hint="eastAsia" w:ascii="Times New Roman" w:hAnsi="Times New Roman" w:cs="Times New Roman"/>
                      <w:sz w:val="21"/>
                      <w:szCs w:val="21"/>
                      <w:lang w:eastAsia="zh-CN"/>
                    </w:rPr>
                    <w:t>k</w:t>
                  </w:r>
                  <w:r>
                    <w:rPr>
                      <w:rFonts w:ascii="Times New Roman" w:hAnsi="Times New Roman" w:cs="Times New Roman"/>
                      <w:sz w:val="21"/>
                      <w:szCs w:val="21"/>
                      <w:lang w:eastAsia="zh-CN"/>
                    </w:rPr>
                    <w:t>80+000段，平均运距15.5km。</w:t>
                  </w:r>
                </w:p>
                <w:p w14:paraId="5F9A4DF7">
                  <w:pPr>
                    <w:jc w:val="both"/>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hint="eastAsia" w:ascii="Times New Roman" w:hAnsi="Times New Roman" w:cs="Times New Roman"/>
                      <w:sz w:val="21"/>
                      <w:szCs w:val="21"/>
                      <w:lang w:eastAsia="zh-CN"/>
                    </w:rPr>
                    <w:t>供水点：位于吉木萨尔县东二畦水库西侧，可供应项目用水，上路桩号k</w:t>
                  </w:r>
                  <w:r>
                    <w:rPr>
                      <w:rFonts w:ascii="Times New Roman" w:hAnsi="Times New Roman" w:cs="Times New Roman"/>
                      <w:sz w:val="21"/>
                      <w:szCs w:val="21"/>
                      <w:lang w:eastAsia="zh-CN"/>
                    </w:rPr>
                    <w:t>119+800，</w:t>
                  </w:r>
                  <w:r>
                    <w:rPr>
                      <w:rFonts w:hint="eastAsia" w:ascii="Times New Roman" w:hAnsi="Times New Roman" w:cs="Times New Roman"/>
                      <w:sz w:val="21"/>
                      <w:szCs w:val="21"/>
                      <w:lang w:eastAsia="zh-CN"/>
                    </w:rPr>
                    <w:t>运距</w:t>
                  </w:r>
                  <w:r>
                    <w:rPr>
                      <w:rFonts w:ascii="Times New Roman" w:hAnsi="Times New Roman" w:cs="Times New Roman"/>
                      <w:sz w:val="21"/>
                      <w:szCs w:val="21"/>
                      <w:lang w:eastAsia="zh-CN"/>
                    </w:rPr>
                    <w:t>0.1km</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可沿S239线到达该料场，运输条件较便利</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该料场供应范围为</w:t>
                  </w:r>
                  <w:r>
                    <w:rPr>
                      <w:rFonts w:hint="eastAsia" w:ascii="Times New Roman" w:hAnsi="Times New Roman" w:cs="Times New Roman"/>
                      <w:sz w:val="21"/>
                      <w:szCs w:val="21"/>
                      <w:lang w:eastAsia="zh-CN"/>
                    </w:rPr>
                    <w:t>k</w:t>
                  </w:r>
                  <w:r>
                    <w:rPr>
                      <w:rFonts w:ascii="Times New Roman" w:hAnsi="Times New Roman" w:cs="Times New Roman"/>
                      <w:sz w:val="21"/>
                      <w:szCs w:val="21"/>
                      <w:lang w:eastAsia="zh-CN"/>
                    </w:rPr>
                    <w:t>80+000至</w:t>
                  </w:r>
                  <w:r>
                    <w:rPr>
                      <w:rFonts w:hint="eastAsia" w:ascii="Times New Roman" w:hAnsi="Times New Roman" w:cs="Times New Roman"/>
                      <w:sz w:val="21"/>
                      <w:szCs w:val="21"/>
                      <w:lang w:eastAsia="zh-CN"/>
                    </w:rPr>
                    <w:t>k126+200</w:t>
                  </w:r>
                  <w:r>
                    <w:rPr>
                      <w:rFonts w:ascii="Times New Roman" w:hAnsi="Times New Roman" w:cs="Times New Roman"/>
                      <w:sz w:val="21"/>
                      <w:szCs w:val="21"/>
                      <w:lang w:eastAsia="zh-CN"/>
                    </w:rPr>
                    <w:t>段，平均运距17.5km。</w:t>
                  </w:r>
                </w:p>
              </w:tc>
            </w:tr>
            <w:tr w14:paraId="6725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5457AAD1">
                  <w:pPr>
                    <w:jc w:val="center"/>
                    <w:rPr>
                      <w:rFonts w:ascii="Times New Roman" w:hAnsi="Times New Roman" w:cs="Times New Roman"/>
                      <w:sz w:val="21"/>
                      <w:szCs w:val="21"/>
                      <w:lang w:eastAsia="zh-CN"/>
                    </w:rPr>
                  </w:pPr>
                </w:p>
              </w:tc>
              <w:tc>
                <w:tcPr>
                  <w:tcW w:w="327" w:type="pct"/>
                  <w:vAlign w:val="center"/>
                </w:tcPr>
                <w:p w14:paraId="4241017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排水</w:t>
                  </w:r>
                </w:p>
              </w:tc>
              <w:tc>
                <w:tcPr>
                  <w:tcW w:w="2097" w:type="pct"/>
                  <w:vAlign w:val="center"/>
                </w:tcPr>
                <w:p w14:paraId="52E247D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运营期，路面径流自然蒸发。</w:t>
                  </w:r>
                </w:p>
              </w:tc>
              <w:tc>
                <w:tcPr>
                  <w:tcW w:w="2249" w:type="pct"/>
                  <w:vAlign w:val="center"/>
                </w:tcPr>
                <w:p w14:paraId="4DEBB902">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施工废水沉淀后用于洒水抑尘。施工人员食宿依托项目综合</w:t>
                  </w:r>
                  <w:r>
                    <w:rPr>
                      <w:rFonts w:ascii="Times New Roman" w:hAnsi="Times New Roman" w:cs="Times New Roman"/>
                      <w:sz w:val="21"/>
                      <w:szCs w:val="21"/>
                      <w:lang w:eastAsia="zh-CN"/>
                    </w:rPr>
                    <w:t>场站解决，</w:t>
                  </w:r>
                  <w:r>
                    <w:rPr>
                      <w:rFonts w:hint="eastAsia" w:ascii="Times New Roman" w:hAnsi="Times New Roman" w:cs="Times New Roman"/>
                      <w:sz w:val="21"/>
                      <w:szCs w:val="21"/>
                      <w:lang w:eastAsia="zh-CN"/>
                    </w:rPr>
                    <w:t>施工现场</w:t>
                  </w:r>
                  <w:r>
                    <w:rPr>
                      <w:rFonts w:ascii="Times New Roman" w:hAnsi="Times New Roman" w:cs="Times New Roman"/>
                      <w:sz w:val="21"/>
                      <w:szCs w:val="21"/>
                      <w:lang w:eastAsia="zh-CN"/>
                    </w:rPr>
                    <w:t>生活污水经</w:t>
                  </w:r>
                  <w:r>
                    <w:rPr>
                      <w:rFonts w:hint="eastAsia" w:ascii="Times New Roman" w:hAnsi="Times New Roman" w:cs="Times New Roman"/>
                      <w:sz w:val="21"/>
                      <w:szCs w:val="21"/>
                      <w:lang w:eastAsia="zh-CN"/>
                    </w:rPr>
                    <w:t>移动式环保厕所</w:t>
                  </w:r>
                  <w:r>
                    <w:rPr>
                      <w:rFonts w:ascii="Times New Roman" w:hAnsi="Times New Roman" w:cs="Times New Roman"/>
                      <w:sz w:val="21"/>
                      <w:szCs w:val="21"/>
                      <w:lang w:eastAsia="zh-CN"/>
                    </w:rPr>
                    <w:t>收集后，定期拉运至</w:t>
                  </w:r>
                  <w:r>
                    <w:rPr>
                      <w:rFonts w:hint="eastAsia" w:ascii="Times New Roman" w:hAnsi="Times New Roman" w:cs="Times New Roman"/>
                      <w:sz w:val="21"/>
                      <w:szCs w:val="21"/>
                      <w:lang w:eastAsia="zh-CN"/>
                    </w:rPr>
                    <w:t>吉木萨尔县</w:t>
                  </w:r>
                  <w:r>
                    <w:rPr>
                      <w:rFonts w:ascii="Times New Roman" w:hAnsi="Times New Roman" w:cs="Times New Roman"/>
                      <w:sz w:val="21"/>
                      <w:szCs w:val="21"/>
                      <w:lang w:eastAsia="zh-CN"/>
                    </w:rPr>
                    <w:t>污水处理厂处理。</w:t>
                  </w:r>
                  <w:r>
                    <w:rPr>
                      <w:rFonts w:hint="eastAsia" w:ascii="Times New Roman" w:hAnsi="Times New Roman" w:cs="Times New Roman"/>
                      <w:sz w:val="21"/>
                      <w:szCs w:val="21"/>
                      <w:lang w:eastAsia="zh-CN"/>
                    </w:rPr>
                    <w:t>运营期生活污水经污水处理站处理以后，用于站区绿化，冬储夏灌不外排。</w:t>
                  </w:r>
                </w:p>
              </w:tc>
            </w:tr>
            <w:tr w14:paraId="4E11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20BD89C3">
                  <w:pPr>
                    <w:jc w:val="center"/>
                    <w:rPr>
                      <w:rFonts w:ascii="Times New Roman" w:hAnsi="Times New Roman" w:cs="Times New Roman"/>
                      <w:sz w:val="21"/>
                      <w:szCs w:val="21"/>
                      <w:lang w:eastAsia="zh-CN"/>
                    </w:rPr>
                  </w:pPr>
                </w:p>
              </w:tc>
              <w:tc>
                <w:tcPr>
                  <w:tcW w:w="327" w:type="pct"/>
                  <w:vAlign w:val="center"/>
                </w:tcPr>
                <w:p w14:paraId="225ABFD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供电</w:t>
                  </w:r>
                </w:p>
              </w:tc>
              <w:tc>
                <w:tcPr>
                  <w:tcW w:w="2097" w:type="pct"/>
                  <w:vAlign w:val="center"/>
                </w:tcPr>
                <w:p w14:paraId="0E7EE903">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项目沿线部分路段有供电线路端口，项目无需供电。</w:t>
                  </w:r>
                </w:p>
              </w:tc>
              <w:tc>
                <w:tcPr>
                  <w:tcW w:w="2249" w:type="pct"/>
                  <w:vAlign w:val="center"/>
                </w:tcPr>
                <w:p w14:paraId="35BDD143">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项目沿线部分路段有供电线路端口，施工时可接入使用，可考虑采用自发电与公用电结合的方式供电，其中自发电占</w:t>
                  </w:r>
                  <w:r>
                    <w:rPr>
                      <w:rFonts w:ascii="Times New Roman" w:hAnsi="Times New Roman" w:cs="Times New Roman"/>
                      <w:sz w:val="21"/>
                      <w:szCs w:val="21"/>
                      <w:lang w:eastAsia="zh-CN"/>
                    </w:rPr>
                    <w:t>50%，公用电占50%，沙漠路段采用自发电，其余路段可采用公用电。</w:t>
                  </w:r>
                </w:p>
              </w:tc>
            </w:tr>
            <w:tr w14:paraId="793F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1A39DE6A">
                  <w:pPr>
                    <w:jc w:val="center"/>
                    <w:rPr>
                      <w:rFonts w:ascii="Times New Roman" w:hAnsi="Times New Roman" w:cs="Times New Roman"/>
                      <w:sz w:val="21"/>
                      <w:szCs w:val="21"/>
                      <w:lang w:eastAsia="zh-CN"/>
                    </w:rPr>
                  </w:pPr>
                </w:p>
              </w:tc>
              <w:tc>
                <w:tcPr>
                  <w:tcW w:w="327" w:type="pct"/>
                  <w:vAlign w:val="center"/>
                </w:tcPr>
                <w:p w14:paraId="39164CD8">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供暖</w:t>
                  </w:r>
                </w:p>
              </w:tc>
              <w:tc>
                <w:tcPr>
                  <w:tcW w:w="2097" w:type="pct"/>
                  <w:vAlign w:val="center"/>
                </w:tcPr>
                <w:p w14:paraId="278EC71F">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c>
                <w:tcPr>
                  <w:tcW w:w="2249" w:type="pct"/>
                  <w:vAlign w:val="center"/>
                </w:tcPr>
                <w:p w14:paraId="2B79C322">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项目服务区</w:t>
                  </w:r>
                  <w:r>
                    <w:rPr>
                      <w:rFonts w:ascii="Times New Roman" w:hAnsi="Times New Roman" w:cs="Times New Roman"/>
                      <w:sz w:val="21"/>
                      <w:szCs w:val="21"/>
                      <w:lang w:eastAsia="zh-CN"/>
                    </w:rPr>
                    <w:t>、养护工区、收费站</w:t>
                  </w:r>
                  <w:r>
                    <w:rPr>
                      <w:rFonts w:hint="eastAsia" w:ascii="Times New Roman" w:hAnsi="Times New Roman" w:cs="Times New Roman"/>
                      <w:sz w:val="21"/>
                      <w:szCs w:val="21"/>
                      <w:lang w:eastAsia="zh-CN"/>
                    </w:rPr>
                    <w:t>冬季均采用电采暖。</w:t>
                  </w:r>
                </w:p>
              </w:tc>
            </w:tr>
            <w:tr w14:paraId="4F29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restart"/>
                  <w:vAlign w:val="center"/>
                </w:tcPr>
                <w:p w14:paraId="1E7AF575">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环保</w:t>
                  </w:r>
                </w:p>
                <w:p w14:paraId="6E275B40">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工程</w:t>
                  </w:r>
                </w:p>
              </w:tc>
              <w:tc>
                <w:tcPr>
                  <w:tcW w:w="327" w:type="pct"/>
                  <w:vAlign w:val="center"/>
                </w:tcPr>
                <w:p w14:paraId="76E4869B">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废气</w:t>
                  </w:r>
                  <w:r>
                    <w:rPr>
                      <w:rFonts w:hint="eastAsia" w:ascii="Times New Roman" w:hAnsi="Times New Roman" w:cs="Times New Roman"/>
                      <w:sz w:val="21"/>
                      <w:szCs w:val="21"/>
                      <w:lang w:eastAsia="zh-CN"/>
                    </w:rPr>
                    <w:t>治理</w:t>
                  </w:r>
                </w:p>
              </w:tc>
              <w:tc>
                <w:tcPr>
                  <w:tcW w:w="2097" w:type="pct"/>
                  <w:vAlign w:val="center"/>
                </w:tcPr>
                <w:p w14:paraId="380CD8E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运营期车辆燃油废气无组织排放。</w:t>
                  </w:r>
                </w:p>
              </w:tc>
              <w:tc>
                <w:tcPr>
                  <w:tcW w:w="2249" w:type="pct"/>
                  <w:shd w:val="clear" w:color="auto" w:fill="auto"/>
                  <w:vAlign w:val="center"/>
                </w:tcPr>
                <w:p w14:paraId="5FEAD63C">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施工期（施工扬尘、交通扬尘）：洒水抑尘、临时围挡、车斗</w:t>
                  </w:r>
                  <w:r>
                    <w:rPr>
                      <w:rFonts w:ascii="Times New Roman" w:hAnsi="Times New Roman" w:cs="Times New Roman"/>
                      <w:sz w:val="21"/>
                      <w:szCs w:val="21"/>
                      <w:lang w:eastAsia="zh-CN"/>
                    </w:rPr>
                    <w:t>苫布遮蔽、</w:t>
                  </w:r>
                  <w:r>
                    <w:rPr>
                      <w:rFonts w:hint="eastAsia" w:ascii="Times New Roman" w:hAnsi="Times New Roman" w:cs="Times New Roman"/>
                      <w:sz w:val="21"/>
                      <w:szCs w:val="21"/>
                      <w:lang w:eastAsia="zh-CN"/>
                    </w:rPr>
                    <w:t>物料覆盖防尘布等措施；燃油废气、沥青烟气、焊接烟尘无组织排放。运营期车辆燃油废气无组织排放；食堂油烟经油烟净化器处理后，通过专用烟道延伸至楼顶排放。</w:t>
                  </w:r>
                </w:p>
              </w:tc>
            </w:tr>
            <w:tr w14:paraId="2997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0C525DE1">
                  <w:pPr>
                    <w:jc w:val="center"/>
                    <w:rPr>
                      <w:rFonts w:ascii="Times New Roman" w:hAnsi="Times New Roman" w:cs="Times New Roman"/>
                      <w:sz w:val="21"/>
                      <w:szCs w:val="21"/>
                      <w:lang w:eastAsia="zh-CN"/>
                    </w:rPr>
                  </w:pPr>
                </w:p>
              </w:tc>
              <w:tc>
                <w:tcPr>
                  <w:tcW w:w="327" w:type="pct"/>
                  <w:vAlign w:val="center"/>
                </w:tcPr>
                <w:p w14:paraId="4EE82A1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废水</w:t>
                  </w:r>
                  <w:r>
                    <w:rPr>
                      <w:rFonts w:hint="eastAsia" w:ascii="Times New Roman" w:hAnsi="Times New Roman" w:cs="Times New Roman"/>
                      <w:sz w:val="21"/>
                      <w:szCs w:val="21"/>
                      <w:lang w:eastAsia="zh-CN"/>
                    </w:rPr>
                    <w:t>治理</w:t>
                  </w:r>
                </w:p>
              </w:tc>
              <w:tc>
                <w:tcPr>
                  <w:tcW w:w="2097" w:type="pct"/>
                  <w:vAlign w:val="center"/>
                </w:tcPr>
                <w:p w14:paraId="3BA3E51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c>
                <w:tcPr>
                  <w:tcW w:w="2249" w:type="pct"/>
                  <w:vAlign w:val="center"/>
                </w:tcPr>
                <w:p w14:paraId="19994FD2">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期车轮清洗废水经临时防渗沉淀池处理后用于洒水抑尘，混凝土养护废水自然蒸发；施工现场生活污水经移动式环保厕所收集后，定期拉运至吉木萨尔县污水处理厂处理。运营期生活污水经污水处理站处理后，用于站区绿化，冬储夏灌不外排。</w:t>
                  </w:r>
                </w:p>
              </w:tc>
            </w:tr>
            <w:tr w14:paraId="7143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44777DC9">
                  <w:pPr>
                    <w:jc w:val="center"/>
                    <w:rPr>
                      <w:rFonts w:ascii="Times New Roman" w:hAnsi="Times New Roman" w:cs="Times New Roman"/>
                      <w:sz w:val="21"/>
                      <w:szCs w:val="21"/>
                      <w:lang w:eastAsia="zh-CN"/>
                    </w:rPr>
                  </w:pPr>
                </w:p>
              </w:tc>
              <w:tc>
                <w:tcPr>
                  <w:tcW w:w="327" w:type="pct"/>
                  <w:vAlign w:val="center"/>
                </w:tcPr>
                <w:p w14:paraId="3721678E">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噪声</w:t>
                  </w:r>
                  <w:r>
                    <w:rPr>
                      <w:rFonts w:hint="eastAsia" w:ascii="Times New Roman" w:hAnsi="Times New Roman" w:cs="Times New Roman"/>
                      <w:sz w:val="21"/>
                      <w:szCs w:val="21"/>
                      <w:lang w:eastAsia="zh-CN"/>
                    </w:rPr>
                    <w:t>治理</w:t>
                  </w:r>
                </w:p>
              </w:tc>
              <w:tc>
                <w:tcPr>
                  <w:tcW w:w="2097" w:type="pct"/>
                  <w:vAlign w:val="center"/>
                </w:tcPr>
                <w:p w14:paraId="178E7CC5">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运营期加强交通管理，控制车速。</w:t>
                  </w:r>
                </w:p>
              </w:tc>
              <w:tc>
                <w:tcPr>
                  <w:tcW w:w="2249" w:type="pct"/>
                  <w:vAlign w:val="center"/>
                </w:tcPr>
                <w:p w14:paraId="50553E4C">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施工期采用低噪声设备，基础减振，合理安排高噪声作业时段，夜间禁止施工；运营期加强交通管理，控制车速。</w:t>
                  </w:r>
                </w:p>
              </w:tc>
            </w:tr>
            <w:tr w14:paraId="2CF7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vAlign w:val="center"/>
                </w:tcPr>
                <w:p w14:paraId="5234A75A">
                  <w:pPr>
                    <w:jc w:val="center"/>
                    <w:rPr>
                      <w:rFonts w:ascii="Times New Roman" w:hAnsi="Times New Roman" w:cs="Times New Roman"/>
                      <w:sz w:val="21"/>
                      <w:szCs w:val="21"/>
                      <w:lang w:eastAsia="zh-CN"/>
                    </w:rPr>
                  </w:pPr>
                </w:p>
              </w:tc>
              <w:tc>
                <w:tcPr>
                  <w:tcW w:w="327" w:type="pct"/>
                  <w:vAlign w:val="center"/>
                </w:tcPr>
                <w:p w14:paraId="4904FAA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固废</w:t>
                  </w:r>
                  <w:r>
                    <w:rPr>
                      <w:rFonts w:hint="eastAsia" w:ascii="Times New Roman" w:hAnsi="Times New Roman" w:cs="Times New Roman"/>
                      <w:sz w:val="21"/>
                      <w:szCs w:val="21"/>
                      <w:lang w:eastAsia="zh-CN"/>
                    </w:rPr>
                    <w:t>治理</w:t>
                  </w:r>
                </w:p>
              </w:tc>
              <w:tc>
                <w:tcPr>
                  <w:tcW w:w="2097" w:type="pct"/>
                  <w:vAlign w:val="center"/>
                </w:tcPr>
                <w:p w14:paraId="5F104256">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c>
                <w:tcPr>
                  <w:tcW w:w="2249" w:type="pct"/>
                  <w:vAlign w:val="center"/>
                </w:tcPr>
                <w:p w14:paraId="0DCDD881">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施工期弃方拉运</w:t>
                  </w:r>
                  <w:r>
                    <w:rPr>
                      <w:rFonts w:ascii="Times New Roman" w:hAnsi="Times New Roman" w:cs="Times New Roman"/>
                      <w:sz w:val="21"/>
                      <w:szCs w:val="21"/>
                      <w:lang w:eastAsia="zh-CN"/>
                    </w:rPr>
                    <w:t>至弃土场</w:t>
                  </w:r>
                  <w:r>
                    <w:rPr>
                      <w:rFonts w:hint="eastAsia" w:ascii="Times New Roman" w:hAnsi="Times New Roman" w:cs="Times New Roman"/>
                      <w:sz w:val="21"/>
                      <w:szCs w:val="21"/>
                      <w:lang w:eastAsia="zh-CN"/>
                    </w:rPr>
                    <w:t>、建筑垃圾拉运至城市管理部门指定地点处置；施工现场生活垃圾集中收集后交由环卫部门统一处置。运营期生活垃圾集中收集后交由环卫部门统一处置；道路维修养护产生的废沥青，收集后回用；服务区产生的废机油由危废贮存点贮存，交由有相关处理资质的单位处置。</w:t>
                  </w:r>
                </w:p>
              </w:tc>
            </w:tr>
            <w:tr w14:paraId="1265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27" w:type="pct"/>
                  <w:vAlign w:val="center"/>
                </w:tcPr>
                <w:p w14:paraId="2CDB489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依托</w:t>
                  </w:r>
                </w:p>
                <w:p w14:paraId="737CF171">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工程</w:t>
                  </w:r>
                </w:p>
              </w:tc>
              <w:tc>
                <w:tcPr>
                  <w:tcW w:w="327" w:type="pct"/>
                  <w:vAlign w:val="center"/>
                </w:tcPr>
                <w:p w14:paraId="1B47706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取土场</w:t>
                  </w:r>
                </w:p>
              </w:tc>
              <w:tc>
                <w:tcPr>
                  <w:tcW w:w="2097" w:type="pct"/>
                  <w:vAlign w:val="center"/>
                </w:tcPr>
                <w:p w14:paraId="1EB06FCC">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c>
                <w:tcPr>
                  <w:tcW w:w="2249" w:type="pct"/>
                  <w:vAlign w:val="center"/>
                </w:tcPr>
                <w:p w14:paraId="71BD9E0D">
                  <w:pPr>
                    <w:jc w:val="both"/>
                    <w:rPr>
                      <w:rFonts w:ascii="Times New Roman" w:hAnsi="Times New Roman" w:cs="Times New Roman"/>
                      <w:sz w:val="21"/>
                      <w:szCs w:val="21"/>
                      <w:lang w:eastAsia="zh-CN"/>
                    </w:rPr>
                  </w:pPr>
                  <w:r>
                    <w:rPr>
                      <w:rFonts w:ascii="Times New Roman" w:hAnsi="Times New Roman" w:cs="Times New Roman"/>
                      <w:sz w:val="21"/>
                      <w:szCs w:val="21"/>
                      <w:lang w:eastAsia="zh-CN"/>
                    </w:rPr>
                    <w:t>8</w:t>
                  </w:r>
                  <w:r>
                    <w:rPr>
                      <w:rFonts w:hint="eastAsia" w:ascii="Times New Roman" w:hAnsi="Times New Roman" w:cs="Times New Roman"/>
                      <w:sz w:val="21"/>
                      <w:szCs w:val="21"/>
                      <w:lang w:eastAsia="zh-CN"/>
                    </w:rPr>
                    <w:t>个商品料场：</w:t>
                  </w:r>
                  <w:r>
                    <w:rPr>
                      <w:rFonts w:ascii="Times New Roman" w:hAnsi="Times New Roman" w:cs="Times New Roman"/>
                      <w:sz w:val="21"/>
                      <w:szCs w:val="21"/>
                      <w:lang w:eastAsia="zh-CN"/>
                    </w:rPr>
                    <w:t>1#料场（正方圆）</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2#料场（博源建材）</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3#料场（红山子建材）</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4#料场（国投）</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5#料场（水投）</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6#料场（银海）</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7#料场（九方开源）</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8#料场（国投）</w:t>
                  </w:r>
                  <w:r>
                    <w:rPr>
                      <w:rFonts w:hint="eastAsia" w:ascii="Times New Roman" w:hAnsi="Times New Roman" w:cs="Times New Roman"/>
                      <w:sz w:val="21"/>
                      <w:szCs w:val="21"/>
                      <w:lang w:eastAsia="zh-CN"/>
                    </w:rPr>
                    <w:t>。</w:t>
                  </w:r>
                </w:p>
              </w:tc>
            </w:tr>
            <w:tr w14:paraId="3172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27" w:type="pct"/>
                  <w:vAlign w:val="center"/>
                </w:tcPr>
                <w:p w14:paraId="55564AB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临时</w:t>
                  </w:r>
                </w:p>
                <w:p w14:paraId="6A7E2533">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工程</w:t>
                  </w:r>
                </w:p>
              </w:tc>
              <w:tc>
                <w:tcPr>
                  <w:tcW w:w="327" w:type="pct"/>
                  <w:vAlign w:val="center"/>
                </w:tcPr>
                <w:p w14:paraId="04660EF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施工便道</w:t>
                  </w:r>
                </w:p>
              </w:tc>
              <w:tc>
                <w:tcPr>
                  <w:tcW w:w="2097" w:type="pct"/>
                  <w:vAlign w:val="center"/>
                </w:tcPr>
                <w:p w14:paraId="5A59C43E">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w:t>
                  </w:r>
                </w:p>
              </w:tc>
              <w:tc>
                <w:tcPr>
                  <w:tcW w:w="2249" w:type="pct"/>
                  <w:vAlign w:val="center"/>
                </w:tcPr>
                <w:p w14:paraId="40CA718A">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新建</w:t>
                  </w:r>
                  <w:r>
                    <w:rPr>
                      <w:rFonts w:ascii="Times New Roman" w:hAnsi="Times New Roman" w:cs="Times New Roman"/>
                      <w:sz w:val="21"/>
                      <w:szCs w:val="21"/>
                      <w:lang w:eastAsia="zh-CN"/>
                    </w:rPr>
                    <w:t>2</w:t>
                  </w:r>
                  <w:r>
                    <w:rPr>
                      <w:rFonts w:hint="eastAsia" w:ascii="Times New Roman" w:hAnsi="Times New Roman" w:cs="Times New Roman"/>
                      <w:sz w:val="21"/>
                      <w:szCs w:val="21"/>
                      <w:lang w:eastAsia="zh-CN"/>
                    </w:rPr>
                    <w:t>条，占用地类均为荒地，总占地面积</w:t>
                  </w:r>
                  <w:r>
                    <w:rPr>
                      <w:rFonts w:ascii="Times New Roman" w:hAnsi="Times New Roman" w:cs="Times New Roman"/>
                      <w:sz w:val="21"/>
                      <w:szCs w:val="21"/>
                      <w:lang w:eastAsia="zh-CN"/>
                    </w:rPr>
                    <w:t>4500m²，</w:t>
                  </w:r>
                  <w:r>
                    <w:rPr>
                      <w:rFonts w:hint="eastAsia" w:ascii="Times New Roman" w:hAnsi="Times New Roman" w:cs="Times New Roman"/>
                      <w:sz w:val="21"/>
                      <w:szCs w:val="21"/>
                      <w:lang w:eastAsia="zh-CN"/>
                    </w:rPr>
                    <w:t>平均宽度4</w:t>
                  </w:r>
                  <w:r>
                    <w:rPr>
                      <w:rFonts w:ascii="Times New Roman" w:hAnsi="Times New Roman" w:cs="Times New Roman"/>
                      <w:sz w:val="21"/>
                      <w:szCs w:val="21"/>
                      <w:lang w:eastAsia="zh-CN"/>
                    </w:rPr>
                    <w:t>.5</w:t>
                  </w:r>
                  <w:r>
                    <w:rPr>
                      <w:rFonts w:hint="eastAsia" w:ascii="Times New Roman" w:hAnsi="Times New Roman" w:cs="Times New Roman"/>
                      <w:sz w:val="21"/>
                      <w:szCs w:val="21"/>
                      <w:lang w:eastAsia="zh-CN"/>
                    </w:rPr>
                    <w:t>m，</w:t>
                  </w:r>
                  <w:r>
                    <w:rPr>
                      <w:rFonts w:ascii="Times New Roman" w:hAnsi="Times New Roman" w:cs="Times New Roman"/>
                      <w:sz w:val="21"/>
                      <w:szCs w:val="21"/>
                      <w:lang w:eastAsia="zh-CN"/>
                    </w:rPr>
                    <w:t>分别为：k49+100，长度500m；k106+000，长度500m</w:t>
                  </w:r>
                  <w:r>
                    <w:rPr>
                      <w:rFonts w:hint="eastAsia" w:ascii="Times New Roman" w:hAnsi="Times New Roman" w:cs="Times New Roman"/>
                      <w:sz w:val="21"/>
                      <w:szCs w:val="21"/>
                      <w:lang w:eastAsia="zh-CN"/>
                    </w:rPr>
                    <w:t>。依托利用周边已有社会道路总长8</w:t>
                  </w:r>
                  <w:r>
                    <w:rPr>
                      <w:rFonts w:ascii="Times New Roman" w:hAnsi="Times New Roman" w:cs="Times New Roman"/>
                      <w:sz w:val="21"/>
                      <w:szCs w:val="21"/>
                      <w:lang w:eastAsia="zh-CN"/>
                    </w:rPr>
                    <w:t>.64</w:t>
                  </w:r>
                  <w:r>
                    <w:rPr>
                      <w:rFonts w:hint="eastAsia" w:ascii="Times New Roman" w:hAnsi="Times New Roman" w:cs="Times New Roman"/>
                      <w:sz w:val="21"/>
                      <w:szCs w:val="21"/>
                      <w:lang w:eastAsia="zh-CN"/>
                    </w:rPr>
                    <w:t>km，平均宽度5</w:t>
                  </w:r>
                  <w:r>
                    <w:rPr>
                      <w:rFonts w:ascii="Times New Roman" w:hAnsi="Times New Roman" w:cs="Times New Roman"/>
                      <w:sz w:val="21"/>
                      <w:szCs w:val="21"/>
                      <w:lang w:eastAsia="zh-CN"/>
                    </w:rPr>
                    <w:t>-8.5</w:t>
                  </w:r>
                  <w:r>
                    <w:rPr>
                      <w:rFonts w:hint="eastAsia" w:ascii="Times New Roman" w:hAnsi="Times New Roman" w:cs="Times New Roman"/>
                      <w:sz w:val="21"/>
                      <w:szCs w:val="21"/>
                      <w:lang w:eastAsia="zh-CN"/>
                    </w:rPr>
                    <w:t>m。</w:t>
                  </w:r>
                </w:p>
              </w:tc>
            </w:tr>
          </w:tbl>
          <w:p w14:paraId="6BCE173F">
            <w:pPr>
              <w:autoSpaceDE/>
              <w:autoSpaceDN/>
              <w:jc w:val="center"/>
              <w:rPr>
                <w:rFonts w:ascii="Times New Roman" w:hAnsi="Times New Roman" w:cs="Times New Roman"/>
                <w:b/>
                <w:bCs/>
                <w:spacing w:val="4"/>
                <w:kern w:val="2"/>
                <w:sz w:val="21"/>
                <w:szCs w:val="21"/>
                <w:lang w:eastAsia="zh-CN"/>
              </w:rPr>
            </w:pPr>
          </w:p>
          <w:p w14:paraId="193989B7">
            <w:pPr>
              <w:autoSpaceDE/>
              <w:autoSpaceDN/>
              <w:jc w:val="center"/>
              <w:rPr>
                <w:rFonts w:ascii="Times New Roman" w:hAnsi="Times New Roman" w:cs="Times New Roman"/>
                <w:b/>
                <w:bCs/>
                <w:spacing w:val="4"/>
                <w:kern w:val="2"/>
                <w:sz w:val="21"/>
                <w:szCs w:val="21"/>
                <w:lang w:eastAsia="zh-CN"/>
              </w:rPr>
            </w:pPr>
          </w:p>
          <w:p w14:paraId="35969A66">
            <w:pPr>
              <w:autoSpaceDE/>
              <w:autoSpaceDN/>
              <w:jc w:val="center"/>
              <w:rPr>
                <w:rFonts w:ascii="Times New Roman" w:hAnsi="Times New Roman" w:cs="Times New Roman"/>
                <w:b/>
                <w:bCs/>
                <w:spacing w:val="4"/>
                <w:kern w:val="2"/>
                <w:sz w:val="21"/>
                <w:szCs w:val="21"/>
                <w:lang w:eastAsia="zh-CN"/>
              </w:rPr>
            </w:pPr>
          </w:p>
          <w:p w14:paraId="4EDD6EF1">
            <w:pPr>
              <w:autoSpaceDE/>
              <w:autoSpaceDN/>
              <w:jc w:val="center"/>
              <w:rPr>
                <w:rFonts w:ascii="Times New Roman" w:hAnsi="Times New Roman" w:cs="Times New Roman"/>
                <w:b/>
                <w:bCs/>
                <w:spacing w:val="4"/>
                <w:kern w:val="2"/>
                <w:sz w:val="21"/>
                <w:szCs w:val="21"/>
                <w:lang w:eastAsia="zh-CN"/>
              </w:rPr>
            </w:pPr>
          </w:p>
          <w:p w14:paraId="5DB323DD">
            <w:pPr>
              <w:autoSpaceDE/>
              <w:autoSpaceDN/>
              <w:jc w:val="center"/>
              <w:rPr>
                <w:rFonts w:ascii="Times New Roman" w:hAnsi="Times New Roman" w:cs="Times New Roman"/>
                <w:b/>
                <w:bCs/>
                <w:spacing w:val="4"/>
                <w:kern w:val="2"/>
                <w:sz w:val="21"/>
                <w:szCs w:val="21"/>
                <w:lang w:eastAsia="zh-CN"/>
              </w:rPr>
            </w:pPr>
            <w:r>
              <w:rPr>
                <w:rFonts w:ascii="Times New Roman" w:hAnsi="Times New Roman" w:cs="Times New Roman"/>
                <w:b/>
                <w:bCs/>
                <w:spacing w:val="4"/>
                <w:kern w:val="2"/>
                <w:sz w:val="21"/>
                <w:szCs w:val="21"/>
                <w:lang w:eastAsia="zh-CN"/>
              </w:rPr>
              <w:t>表</w:t>
            </w:r>
            <w:r>
              <w:rPr>
                <w:rFonts w:hint="eastAsia" w:ascii="Times New Roman" w:hAnsi="Times New Roman" w:cs="Times New Roman"/>
                <w:b/>
                <w:bCs/>
                <w:spacing w:val="4"/>
                <w:kern w:val="2"/>
                <w:sz w:val="21"/>
                <w:szCs w:val="21"/>
                <w:lang w:eastAsia="zh-CN"/>
              </w:rPr>
              <w:t>2</w:t>
            </w:r>
            <w:r>
              <w:rPr>
                <w:rFonts w:ascii="Times New Roman" w:hAnsi="Times New Roman" w:cs="Times New Roman"/>
                <w:b/>
                <w:bCs/>
                <w:spacing w:val="4"/>
                <w:kern w:val="2"/>
                <w:sz w:val="21"/>
                <w:szCs w:val="21"/>
                <w:lang w:eastAsia="zh-CN"/>
              </w:rPr>
              <w:t>.2  项目</w:t>
            </w:r>
            <w:r>
              <w:rPr>
                <w:rFonts w:hint="eastAsia" w:ascii="Times New Roman" w:hAnsi="Times New Roman" w:cs="Times New Roman"/>
                <w:b/>
                <w:bCs/>
                <w:spacing w:val="4"/>
                <w:kern w:val="2"/>
                <w:sz w:val="21"/>
                <w:szCs w:val="21"/>
                <w:lang w:eastAsia="zh-CN"/>
              </w:rPr>
              <w:t>主要经济技术指标</w:t>
            </w:r>
            <w:r>
              <w:rPr>
                <w:rFonts w:ascii="Times New Roman" w:hAnsi="Times New Roman" w:cs="Times New Roman"/>
                <w:b/>
                <w:bCs/>
                <w:spacing w:val="4"/>
                <w:kern w:val="2"/>
                <w:sz w:val="21"/>
                <w:szCs w:val="21"/>
                <w:lang w:eastAsia="zh-CN"/>
              </w:rPr>
              <w:t>表</w:t>
            </w:r>
          </w:p>
          <w:tbl>
            <w:tblPr>
              <w:tblStyle w:val="12"/>
              <w:tblW w:w="4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276"/>
              <w:gridCol w:w="850"/>
              <w:gridCol w:w="2552"/>
              <w:gridCol w:w="2487"/>
            </w:tblGrid>
            <w:tr w14:paraId="4186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3C73B5B8">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指标名称</w:t>
                  </w:r>
                </w:p>
              </w:tc>
              <w:tc>
                <w:tcPr>
                  <w:tcW w:w="487" w:type="pct"/>
                  <w:vAlign w:val="center"/>
                </w:tcPr>
                <w:p w14:paraId="3E0F24EB">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单位</w:t>
                  </w:r>
                </w:p>
              </w:tc>
              <w:tc>
                <w:tcPr>
                  <w:tcW w:w="2886" w:type="pct"/>
                  <w:gridSpan w:val="2"/>
                  <w:vAlign w:val="center"/>
                </w:tcPr>
                <w:p w14:paraId="5EDC3911">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相关参数</w:t>
                  </w:r>
                </w:p>
              </w:tc>
            </w:tr>
            <w:tr w14:paraId="2871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615FA40C">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桩号</w:t>
                  </w:r>
                </w:p>
              </w:tc>
              <w:tc>
                <w:tcPr>
                  <w:tcW w:w="487" w:type="pct"/>
                  <w:vAlign w:val="center"/>
                </w:tcPr>
                <w:p w14:paraId="2D25545A">
                  <w:pPr>
                    <w:autoSpaceDE/>
                    <w:autoSpaceDN/>
                    <w:jc w:val="center"/>
                    <w:rPr>
                      <w:rFonts w:ascii="Times New Roman" w:hAnsi="Times New Roman" w:cs="Times New Roman"/>
                      <w:spacing w:val="4"/>
                      <w:kern w:val="2"/>
                      <w:sz w:val="21"/>
                      <w:szCs w:val="21"/>
                      <w:lang w:eastAsia="zh-CN"/>
                    </w:rPr>
                  </w:pPr>
                </w:p>
              </w:tc>
              <w:tc>
                <w:tcPr>
                  <w:tcW w:w="1462" w:type="pct"/>
                  <w:vAlign w:val="center"/>
                </w:tcPr>
                <w:p w14:paraId="2D8D8FCF">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k37+060-k48+500</w:t>
                  </w:r>
                </w:p>
                <w:p w14:paraId="0C21BB11">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k90+134-k126+200</w:t>
                  </w:r>
                </w:p>
              </w:tc>
              <w:tc>
                <w:tcPr>
                  <w:tcW w:w="1424" w:type="pct"/>
                  <w:vAlign w:val="center"/>
                </w:tcPr>
                <w:p w14:paraId="051241C3">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k</w:t>
                  </w:r>
                  <w:r>
                    <w:rPr>
                      <w:rFonts w:ascii="Times New Roman" w:hAnsi="Times New Roman" w:cs="Times New Roman"/>
                      <w:spacing w:val="4"/>
                      <w:kern w:val="2"/>
                      <w:sz w:val="21"/>
                      <w:szCs w:val="21"/>
                      <w:lang w:eastAsia="zh-CN"/>
                    </w:rPr>
                    <w:t>48+700-</w:t>
                  </w:r>
                  <w:r>
                    <w:rPr>
                      <w:rFonts w:hint="eastAsia" w:ascii="Times New Roman" w:hAnsi="Times New Roman" w:cs="Times New Roman"/>
                      <w:spacing w:val="4"/>
                      <w:kern w:val="2"/>
                      <w:sz w:val="21"/>
                      <w:szCs w:val="21"/>
                      <w:lang w:eastAsia="zh-CN"/>
                    </w:rPr>
                    <w:t>k126+200</w:t>
                  </w:r>
                </w:p>
              </w:tc>
            </w:tr>
            <w:tr w14:paraId="3484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53F79565">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公路里程</w:t>
                  </w:r>
                </w:p>
              </w:tc>
              <w:tc>
                <w:tcPr>
                  <w:tcW w:w="487" w:type="pct"/>
                  <w:vAlign w:val="center"/>
                </w:tcPr>
                <w:p w14:paraId="5C2B2FF6">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k</w:t>
                  </w:r>
                  <w:r>
                    <w:rPr>
                      <w:rFonts w:hint="eastAsia" w:ascii="Times New Roman" w:hAnsi="Times New Roman" w:cs="Times New Roman"/>
                      <w:spacing w:val="4"/>
                      <w:kern w:val="2"/>
                      <w:sz w:val="21"/>
                      <w:szCs w:val="21"/>
                      <w:lang w:eastAsia="zh-CN"/>
                    </w:rPr>
                    <w:t>m</w:t>
                  </w:r>
                </w:p>
              </w:tc>
              <w:tc>
                <w:tcPr>
                  <w:tcW w:w="1462" w:type="pct"/>
                  <w:vAlign w:val="center"/>
                </w:tcPr>
                <w:p w14:paraId="7FDBDC43">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47.506</w:t>
                  </w:r>
                </w:p>
              </w:tc>
              <w:tc>
                <w:tcPr>
                  <w:tcW w:w="1424" w:type="pct"/>
                </w:tcPr>
                <w:p w14:paraId="309DE5C2">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41.634</w:t>
                  </w:r>
                </w:p>
              </w:tc>
            </w:tr>
            <w:tr w14:paraId="3406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4BFAF75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公路等级</w:t>
                  </w:r>
                </w:p>
              </w:tc>
              <w:tc>
                <w:tcPr>
                  <w:tcW w:w="487" w:type="pct"/>
                  <w:vAlign w:val="center"/>
                </w:tcPr>
                <w:p w14:paraId="75F0E0C8">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级</w:t>
                  </w:r>
                </w:p>
              </w:tc>
              <w:tc>
                <w:tcPr>
                  <w:tcW w:w="2886" w:type="pct"/>
                  <w:gridSpan w:val="2"/>
                  <w:vAlign w:val="center"/>
                </w:tcPr>
                <w:p w14:paraId="6B479403">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一级</w:t>
                  </w:r>
                </w:p>
              </w:tc>
            </w:tr>
            <w:tr w14:paraId="7DFB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6BD7BD5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设计速度</w:t>
                  </w:r>
                </w:p>
              </w:tc>
              <w:tc>
                <w:tcPr>
                  <w:tcW w:w="487" w:type="pct"/>
                  <w:vAlign w:val="center"/>
                </w:tcPr>
                <w:p w14:paraId="4E8773C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km</w:t>
                  </w:r>
                  <w:r>
                    <w:rPr>
                      <w:rFonts w:ascii="Times New Roman" w:hAnsi="Times New Roman" w:cs="Times New Roman"/>
                      <w:spacing w:val="4"/>
                      <w:kern w:val="2"/>
                      <w:sz w:val="21"/>
                      <w:szCs w:val="21"/>
                      <w:lang w:eastAsia="zh-CN"/>
                    </w:rPr>
                    <w:t>/h</w:t>
                  </w:r>
                </w:p>
              </w:tc>
              <w:tc>
                <w:tcPr>
                  <w:tcW w:w="1" w:type="pct"/>
                  <w:gridSpan w:val="2"/>
                  <w:vAlign w:val="center"/>
                </w:tcPr>
                <w:p w14:paraId="5B87A618">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100</w:t>
                  </w:r>
                </w:p>
              </w:tc>
            </w:tr>
            <w:tr w14:paraId="5D57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3FA3ADC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路基宽度</w:t>
                  </w:r>
                </w:p>
              </w:tc>
              <w:tc>
                <w:tcPr>
                  <w:tcW w:w="487" w:type="pct"/>
                  <w:vAlign w:val="center"/>
                </w:tcPr>
                <w:p w14:paraId="054E651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196A255E">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2</w:t>
                  </w:r>
                  <w:r>
                    <w:rPr>
                      <w:rFonts w:ascii="Times New Roman" w:hAnsi="Times New Roman" w:cs="Times New Roman"/>
                      <w:spacing w:val="4"/>
                      <w:kern w:val="2"/>
                      <w:sz w:val="21"/>
                      <w:szCs w:val="21"/>
                      <w:lang w:eastAsia="zh-CN"/>
                    </w:rPr>
                    <w:t>6</w:t>
                  </w:r>
                </w:p>
              </w:tc>
              <w:tc>
                <w:tcPr>
                  <w:tcW w:w="1424" w:type="pct"/>
                </w:tcPr>
                <w:p w14:paraId="18284E7C">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26</w:t>
                  </w:r>
                  <w:r>
                    <w:rPr>
                      <w:rFonts w:hint="eastAsia" w:ascii="Times New Roman" w:hAnsi="Times New Roman" w:cs="Times New Roman"/>
                      <w:spacing w:val="4"/>
                      <w:kern w:val="2"/>
                      <w:sz w:val="21"/>
                      <w:szCs w:val="21"/>
                      <w:lang w:eastAsia="zh-CN"/>
                    </w:rPr>
                    <w:t>（2×1</w:t>
                  </w:r>
                  <w:r>
                    <w:rPr>
                      <w:rFonts w:ascii="Times New Roman" w:hAnsi="Times New Roman" w:cs="Times New Roman"/>
                      <w:spacing w:val="4"/>
                      <w:kern w:val="2"/>
                      <w:sz w:val="21"/>
                      <w:szCs w:val="21"/>
                      <w:lang w:eastAsia="zh-CN"/>
                    </w:rPr>
                    <w:t>3</w:t>
                  </w:r>
                  <w:r>
                    <w:rPr>
                      <w:rFonts w:hint="eastAsia" w:ascii="Times New Roman" w:hAnsi="Times New Roman" w:cs="Times New Roman"/>
                      <w:spacing w:val="4"/>
                      <w:kern w:val="2"/>
                      <w:sz w:val="21"/>
                      <w:szCs w:val="21"/>
                      <w:lang w:eastAsia="zh-CN"/>
                    </w:rPr>
                    <w:t>）</w:t>
                  </w:r>
                </w:p>
              </w:tc>
            </w:tr>
            <w:tr w14:paraId="1E8D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0A98837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行车道</w:t>
                  </w:r>
                  <w:r>
                    <w:rPr>
                      <w:rFonts w:ascii="Times New Roman" w:hAnsi="Times New Roman" w:cs="Times New Roman"/>
                      <w:spacing w:val="4"/>
                      <w:kern w:val="2"/>
                      <w:sz w:val="21"/>
                      <w:szCs w:val="21"/>
                      <w:lang w:eastAsia="zh-CN"/>
                    </w:rPr>
                    <w:t>宽度</w:t>
                  </w:r>
                </w:p>
              </w:tc>
              <w:tc>
                <w:tcPr>
                  <w:tcW w:w="487" w:type="pct"/>
                  <w:vAlign w:val="center"/>
                </w:tcPr>
                <w:p w14:paraId="17F89EC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2886" w:type="pct"/>
                  <w:gridSpan w:val="2"/>
                  <w:vAlign w:val="center"/>
                </w:tcPr>
                <w:p w14:paraId="1A96998E">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4</w:t>
                  </w:r>
                  <w:r>
                    <w:rPr>
                      <w:rFonts w:hint="eastAsia" w:ascii="Times New Roman" w:hAnsi="Times New Roman" w:cs="Times New Roman"/>
                      <w:spacing w:val="4"/>
                      <w:kern w:val="2"/>
                      <w:sz w:val="21"/>
                      <w:szCs w:val="21"/>
                      <w:lang w:eastAsia="zh-CN"/>
                    </w:rPr>
                    <w:t>×3.75</w:t>
                  </w:r>
                </w:p>
              </w:tc>
            </w:tr>
            <w:tr w14:paraId="343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395AD649">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中央</w:t>
                  </w:r>
                  <w:r>
                    <w:rPr>
                      <w:rFonts w:ascii="Times New Roman" w:hAnsi="Times New Roman" w:cs="Times New Roman"/>
                      <w:spacing w:val="4"/>
                      <w:kern w:val="2"/>
                      <w:sz w:val="21"/>
                      <w:szCs w:val="21"/>
                      <w:lang w:eastAsia="zh-CN"/>
                    </w:rPr>
                    <w:t>分隔带宽度</w:t>
                  </w:r>
                </w:p>
              </w:tc>
              <w:tc>
                <w:tcPr>
                  <w:tcW w:w="487" w:type="pct"/>
                  <w:vAlign w:val="center"/>
                </w:tcPr>
                <w:p w14:paraId="6CDB7CE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3B5336E2">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3</w:t>
                  </w:r>
                </w:p>
              </w:tc>
              <w:tc>
                <w:tcPr>
                  <w:tcW w:w="1424" w:type="pct"/>
                </w:tcPr>
                <w:p w14:paraId="026D3FEA">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2</w:t>
                  </w:r>
                </w:p>
              </w:tc>
            </w:tr>
            <w:tr w14:paraId="0B38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2511583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左侧路缘带宽度</w:t>
                  </w:r>
                </w:p>
              </w:tc>
              <w:tc>
                <w:tcPr>
                  <w:tcW w:w="487" w:type="pct"/>
                  <w:vAlign w:val="center"/>
                </w:tcPr>
                <w:p w14:paraId="25732CB3">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4E869143">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0.5</w:t>
                  </w:r>
                </w:p>
              </w:tc>
              <w:tc>
                <w:tcPr>
                  <w:tcW w:w="1424" w:type="pct"/>
                </w:tcPr>
                <w:p w14:paraId="1B7FA70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0</w:t>
                  </w:r>
                  <w:r>
                    <w:rPr>
                      <w:rFonts w:ascii="Times New Roman" w:hAnsi="Times New Roman" w:cs="Times New Roman"/>
                      <w:spacing w:val="4"/>
                      <w:kern w:val="2"/>
                      <w:sz w:val="21"/>
                      <w:szCs w:val="21"/>
                      <w:lang w:eastAsia="zh-CN"/>
                    </w:rPr>
                    <w:t>.75</w:t>
                  </w:r>
                </w:p>
              </w:tc>
            </w:tr>
            <w:tr w14:paraId="79CE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1ACF481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右侧硬路肩宽度</w:t>
                  </w:r>
                </w:p>
              </w:tc>
              <w:tc>
                <w:tcPr>
                  <w:tcW w:w="487" w:type="pct"/>
                  <w:vAlign w:val="center"/>
                </w:tcPr>
                <w:p w14:paraId="1D0C7CB5">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0318FF01">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1.5</w:t>
                  </w:r>
                </w:p>
              </w:tc>
              <w:tc>
                <w:tcPr>
                  <w:tcW w:w="1424" w:type="pct"/>
                </w:tcPr>
                <w:p w14:paraId="70FB7545">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3</w:t>
                  </w:r>
                </w:p>
              </w:tc>
            </w:tr>
            <w:tr w14:paraId="2082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0C159CB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左侧硬路肩宽度</w:t>
                  </w:r>
                </w:p>
              </w:tc>
              <w:tc>
                <w:tcPr>
                  <w:tcW w:w="487" w:type="pct"/>
                  <w:vAlign w:val="center"/>
                </w:tcPr>
                <w:p w14:paraId="342A77B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5C3E9F42">
                  <w:pPr>
                    <w:autoSpaceDE/>
                    <w:autoSpaceDN/>
                    <w:jc w:val="center"/>
                    <w:rPr>
                      <w:rFonts w:ascii="Times New Roman" w:hAnsi="Times New Roman" w:cs="Times New Roman"/>
                      <w:spacing w:val="4"/>
                      <w:kern w:val="2"/>
                      <w:sz w:val="21"/>
                      <w:szCs w:val="21"/>
                      <w:lang w:eastAsia="zh-CN"/>
                    </w:rPr>
                  </w:pPr>
                  <w:r>
                    <w:rPr>
                      <w:rFonts w:ascii="Times New Roman" w:hAnsi="Times New Roman" w:cs="Times New Roman"/>
                      <w:spacing w:val="4"/>
                      <w:kern w:val="2"/>
                      <w:sz w:val="21"/>
                      <w:szCs w:val="21"/>
                      <w:lang w:eastAsia="zh-CN"/>
                    </w:rPr>
                    <w:t>/</w:t>
                  </w:r>
                </w:p>
              </w:tc>
              <w:tc>
                <w:tcPr>
                  <w:tcW w:w="1424" w:type="pct"/>
                </w:tcPr>
                <w:p w14:paraId="69709EA3">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1（分离式）</w:t>
                  </w:r>
                </w:p>
              </w:tc>
            </w:tr>
            <w:tr w14:paraId="3351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50AB9E7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土路肩宽度</w:t>
                  </w:r>
                </w:p>
              </w:tc>
              <w:tc>
                <w:tcPr>
                  <w:tcW w:w="487" w:type="pct"/>
                  <w:vAlign w:val="center"/>
                </w:tcPr>
                <w:p w14:paraId="62EAB862">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2886" w:type="pct"/>
                  <w:gridSpan w:val="2"/>
                  <w:vAlign w:val="center"/>
                </w:tcPr>
                <w:p w14:paraId="4726B742">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0.75</w:t>
                  </w:r>
                </w:p>
              </w:tc>
            </w:tr>
            <w:tr w14:paraId="2F0A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20FF5E89">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停车视距</w:t>
                  </w:r>
                </w:p>
              </w:tc>
              <w:tc>
                <w:tcPr>
                  <w:tcW w:w="487" w:type="pct"/>
                  <w:vAlign w:val="center"/>
                </w:tcPr>
                <w:p w14:paraId="7FDA794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7B6C360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w:t>
                  </w:r>
                  <w:r>
                    <w:rPr>
                      <w:rFonts w:ascii="Times New Roman" w:hAnsi="Times New Roman" w:cs="Times New Roman"/>
                      <w:spacing w:val="4"/>
                      <w:kern w:val="2"/>
                      <w:sz w:val="21"/>
                      <w:szCs w:val="21"/>
                      <w:lang w:eastAsia="zh-CN"/>
                    </w:rPr>
                    <w:t>10</w:t>
                  </w:r>
                </w:p>
              </w:tc>
              <w:tc>
                <w:tcPr>
                  <w:tcW w:w="1424" w:type="pct"/>
                </w:tcPr>
                <w:p w14:paraId="01623152">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w:t>
                  </w:r>
                  <w:r>
                    <w:rPr>
                      <w:rFonts w:ascii="Times New Roman" w:hAnsi="Times New Roman" w:cs="Times New Roman"/>
                      <w:spacing w:val="4"/>
                      <w:kern w:val="2"/>
                      <w:sz w:val="21"/>
                      <w:szCs w:val="21"/>
                      <w:lang w:eastAsia="zh-CN"/>
                    </w:rPr>
                    <w:t>60</w:t>
                  </w:r>
                </w:p>
              </w:tc>
            </w:tr>
            <w:tr w14:paraId="280E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14AB0868">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曲线最小半径</w:t>
                  </w:r>
                  <w:r>
                    <w:rPr>
                      <w:rFonts w:ascii="Times New Roman" w:hAnsi="Times New Roman" w:cs="Times New Roman"/>
                      <w:spacing w:val="4"/>
                      <w:kern w:val="2"/>
                      <w:sz w:val="21"/>
                      <w:szCs w:val="21"/>
                      <w:lang w:eastAsia="zh-CN"/>
                    </w:rPr>
                    <w:t>(一般值)</w:t>
                  </w:r>
                </w:p>
              </w:tc>
              <w:tc>
                <w:tcPr>
                  <w:tcW w:w="487" w:type="pct"/>
                  <w:vAlign w:val="center"/>
                </w:tcPr>
                <w:p w14:paraId="006E374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1F4A784E">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4</w:t>
                  </w:r>
                  <w:r>
                    <w:rPr>
                      <w:rFonts w:ascii="Times New Roman" w:hAnsi="Times New Roman" w:cs="Times New Roman"/>
                      <w:spacing w:val="4"/>
                      <w:kern w:val="2"/>
                      <w:sz w:val="21"/>
                      <w:szCs w:val="21"/>
                      <w:lang w:eastAsia="zh-CN"/>
                    </w:rPr>
                    <w:t>00</w:t>
                  </w:r>
                </w:p>
              </w:tc>
              <w:tc>
                <w:tcPr>
                  <w:tcW w:w="1424" w:type="pct"/>
                </w:tcPr>
                <w:p w14:paraId="06F60AF4">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7</w:t>
                  </w:r>
                  <w:r>
                    <w:rPr>
                      <w:rFonts w:ascii="Times New Roman" w:hAnsi="Times New Roman" w:cs="Times New Roman"/>
                      <w:spacing w:val="4"/>
                      <w:kern w:val="2"/>
                      <w:sz w:val="21"/>
                      <w:szCs w:val="21"/>
                      <w:lang w:eastAsia="zh-CN"/>
                    </w:rPr>
                    <w:t>00</w:t>
                  </w:r>
                </w:p>
              </w:tc>
            </w:tr>
            <w:tr w14:paraId="755E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6D4585DD">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最大纵坡</w:t>
                  </w:r>
                </w:p>
              </w:tc>
              <w:tc>
                <w:tcPr>
                  <w:tcW w:w="487" w:type="pct"/>
                  <w:vAlign w:val="center"/>
                </w:tcPr>
                <w:p w14:paraId="1F2D5CA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w:t>
                  </w:r>
                </w:p>
              </w:tc>
              <w:tc>
                <w:tcPr>
                  <w:tcW w:w="1462" w:type="pct"/>
                  <w:vAlign w:val="center"/>
                </w:tcPr>
                <w:p w14:paraId="2A49608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5</w:t>
                  </w:r>
                </w:p>
              </w:tc>
              <w:tc>
                <w:tcPr>
                  <w:tcW w:w="1424" w:type="pct"/>
                </w:tcPr>
                <w:p w14:paraId="5C098C76">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4</w:t>
                  </w:r>
                </w:p>
              </w:tc>
            </w:tr>
            <w:tr w14:paraId="6F54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vMerge w:val="restart"/>
                  <w:vAlign w:val="center"/>
                </w:tcPr>
                <w:p w14:paraId="6B6811A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竖曲线</w:t>
                  </w:r>
                </w:p>
                <w:p w14:paraId="614FA979">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最小半径</w:t>
                  </w:r>
                </w:p>
              </w:tc>
              <w:tc>
                <w:tcPr>
                  <w:tcW w:w="731" w:type="pct"/>
                  <w:vAlign w:val="center"/>
                </w:tcPr>
                <w:p w14:paraId="1F281FD5">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凸型</w:t>
                  </w:r>
                </w:p>
              </w:tc>
              <w:tc>
                <w:tcPr>
                  <w:tcW w:w="487" w:type="pct"/>
                  <w:vAlign w:val="center"/>
                </w:tcPr>
                <w:p w14:paraId="6159E7F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512615A0">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w:t>
                  </w:r>
                  <w:r>
                    <w:rPr>
                      <w:rFonts w:ascii="Times New Roman" w:hAnsi="Times New Roman" w:cs="Times New Roman"/>
                      <w:spacing w:val="4"/>
                      <w:kern w:val="2"/>
                      <w:sz w:val="21"/>
                      <w:szCs w:val="21"/>
                      <w:lang w:eastAsia="zh-CN"/>
                    </w:rPr>
                    <w:t>2000</w:t>
                  </w:r>
                </w:p>
              </w:tc>
              <w:tc>
                <w:tcPr>
                  <w:tcW w:w="1424" w:type="pct"/>
                </w:tcPr>
                <w:p w14:paraId="3D187BDC">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w:t>
                  </w:r>
                  <w:r>
                    <w:rPr>
                      <w:rFonts w:ascii="Times New Roman" w:hAnsi="Times New Roman" w:cs="Times New Roman"/>
                      <w:spacing w:val="4"/>
                      <w:kern w:val="2"/>
                      <w:sz w:val="21"/>
                      <w:szCs w:val="21"/>
                      <w:lang w:eastAsia="zh-CN"/>
                    </w:rPr>
                    <w:t>6000</w:t>
                  </w:r>
                </w:p>
              </w:tc>
            </w:tr>
            <w:tr w14:paraId="318E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pct"/>
                  <w:vMerge w:val="continue"/>
                  <w:vAlign w:val="center"/>
                </w:tcPr>
                <w:p w14:paraId="56BB6249">
                  <w:pPr>
                    <w:autoSpaceDE/>
                    <w:autoSpaceDN/>
                    <w:jc w:val="center"/>
                    <w:rPr>
                      <w:rFonts w:ascii="Times New Roman" w:hAnsi="Times New Roman" w:cs="Times New Roman"/>
                      <w:spacing w:val="4"/>
                      <w:kern w:val="2"/>
                      <w:sz w:val="21"/>
                      <w:szCs w:val="21"/>
                      <w:lang w:eastAsia="zh-CN"/>
                    </w:rPr>
                  </w:pPr>
                </w:p>
              </w:tc>
              <w:tc>
                <w:tcPr>
                  <w:tcW w:w="731" w:type="pct"/>
                  <w:vAlign w:val="center"/>
                </w:tcPr>
                <w:p w14:paraId="603BD6DD">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凹型</w:t>
                  </w:r>
                </w:p>
              </w:tc>
              <w:tc>
                <w:tcPr>
                  <w:tcW w:w="487" w:type="pct"/>
                  <w:vAlign w:val="center"/>
                </w:tcPr>
                <w:p w14:paraId="72AEB632">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33909B2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8</w:t>
                  </w:r>
                  <w:r>
                    <w:rPr>
                      <w:rFonts w:ascii="Times New Roman" w:hAnsi="Times New Roman" w:cs="Times New Roman"/>
                      <w:spacing w:val="4"/>
                      <w:kern w:val="2"/>
                      <w:sz w:val="21"/>
                      <w:szCs w:val="21"/>
                      <w:lang w:eastAsia="zh-CN"/>
                    </w:rPr>
                    <w:t>000</w:t>
                  </w:r>
                </w:p>
              </w:tc>
              <w:tc>
                <w:tcPr>
                  <w:tcW w:w="1424" w:type="pct"/>
                </w:tcPr>
                <w:p w14:paraId="4D9D95F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w:t>
                  </w:r>
                  <w:r>
                    <w:rPr>
                      <w:rFonts w:ascii="Times New Roman" w:hAnsi="Times New Roman" w:cs="Times New Roman"/>
                      <w:spacing w:val="4"/>
                      <w:kern w:val="2"/>
                      <w:sz w:val="21"/>
                      <w:szCs w:val="21"/>
                      <w:lang w:eastAsia="zh-CN"/>
                    </w:rPr>
                    <w:t>0000</w:t>
                  </w:r>
                </w:p>
              </w:tc>
            </w:tr>
            <w:tr w14:paraId="4609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4BCA14F2">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竖曲线最小长度（一般值）</w:t>
                  </w:r>
                </w:p>
              </w:tc>
              <w:tc>
                <w:tcPr>
                  <w:tcW w:w="487" w:type="pct"/>
                  <w:vAlign w:val="center"/>
                </w:tcPr>
                <w:p w14:paraId="2292636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m</w:t>
                  </w:r>
                </w:p>
              </w:tc>
              <w:tc>
                <w:tcPr>
                  <w:tcW w:w="1462" w:type="pct"/>
                  <w:vAlign w:val="center"/>
                </w:tcPr>
                <w:p w14:paraId="64FC37F0">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w:t>
                  </w:r>
                  <w:r>
                    <w:rPr>
                      <w:rFonts w:ascii="Times New Roman" w:hAnsi="Times New Roman" w:cs="Times New Roman"/>
                      <w:spacing w:val="4"/>
                      <w:kern w:val="2"/>
                      <w:sz w:val="21"/>
                      <w:szCs w:val="21"/>
                      <w:lang w:eastAsia="zh-CN"/>
                    </w:rPr>
                    <w:t>70</w:t>
                  </w:r>
                </w:p>
              </w:tc>
              <w:tc>
                <w:tcPr>
                  <w:tcW w:w="1424" w:type="pct"/>
                </w:tcPr>
                <w:p w14:paraId="3AFAE401">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2</w:t>
                  </w:r>
                  <w:r>
                    <w:rPr>
                      <w:rFonts w:ascii="Times New Roman" w:hAnsi="Times New Roman" w:cs="Times New Roman"/>
                      <w:spacing w:val="4"/>
                      <w:kern w:val="2"/>
                      <w:sz w:val="21"/>
                      <w:szCs w:val="21"/>
                      <w:lang w:eastAsia="zh-CN"/>
                    </w:rPr>
                    <w:t>10</w:t>
                  </w:r>
                </w:p>
              </w:tc>
            </w:tr>
            <w:tr w14:paraId="2363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019D4663">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荷载等级</w:t>
                  </w:r>
                </w:p>
              </w:tc>
              <w:tc>
                <w:tcPr>
                  <w:tcW w:w="487" w:type="pct"/>
                  <w:vAlign w:val="center"/>
                </w:tcPr>
                <w:p w14:paraId="09A1F0A0">
                  <w:pPr>
                    <w:autoSpaceDE/>
                    <w:autoSpaceDN/>
                    <w:jc w:val="center"/>
                    <w:rPr>
                      <w:rFonts w:ascii="Times New Roman" w:hAnsi="Times New Roman" w:cs="Times New Roman"/>
                      <w:spacing w:val="4"/>
                      <w:kern w:val="2"/>
                      <w:sz w:val="21"/>
                      <w:szCs w:val="21"/>
                      <w:lang w:eastAsia="zh-CN"/>
                    </w:rPr>
                  </w:pPr>
                </w:p>
              </w:tc>
              <w:tc>
                <w:tcPr>
                  <w:tcW w:w="2886" w:type="pct"/>
                  <w:gridSpan w:val="2"/>
                  <w:vAlign w:val="center"/>
                </w:tcPr>
                <w:p w14:paraId="18F5A90D">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公路Ⅰ级</w:t>
                  </w:r>
                </w:p>
              </w:tc>
            </w:tr>
            <w:tr w14:paraId="7EE3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2AC9B897">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设计洪水频率</w:t>
                  </w:r>
                </w:p>
              </w:tc>
              <w:tc>
                <w:tcPr>
                  <w:tcW w:w="487" w:type="pct"/>
                  <w:vAlign w:val="center"/>
                </w:tcPr>
                <w:p w14:paraId="17BB5342">
                  <w:pPr>
                    <w:autoSpaceDE/>
                    <w:autoSpaceDN/>
                    <w:jc w:val="center"/>
                    <w:rPr>
                      <w:rFonts w:ascii="Times New Roman" w:hAnsi="Times New Roman" w:cs="Times New Roman"/>
                      <w:spacing w:val="4"/>
                      <w:kern w:val="2"/>
                      <w:sz w:val="21"/>
                      <w:szCs w:val="21"/>
                      <w:lang w:eastAsia="zh-CN"/>
                    </w:rPr>
                  </w:pPr>
                </w:p>
              </w:tc>
              <w:tc>
                <w:tcPr>
                  <w:tcW w:w="2886" w:type="pct"/>
                  <w:gridSpan w:val="2"/>
                  <w:vAlign w:val="center"/>
                </w:tcPr>
                <w:p w14:paraId="2BD3FED0">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1</w:t>
                  </w:r>
                  <w:r>
                    <w:rPr>
                      <w:rFonts w:ascii="Times New Roman" w:hAnsi="Times New Roman" w:cs="Times New Roman"/>
                      <w:spacing w:val="4"/>
                      <w:kern w:val="2"/>
                      <w:sz w:val="21"/>
                      <w:szCs w:val="21"/>
                      <w:lang w:eastAsia="zh-CN"/>
                    </w:rPr>
                    <w:t>/100</w:t>
                  </w:r>
                </w:p>
              </w:tc>
            </w:tr>
            <w:tr w14:paraId="3EB0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7D205F2F">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路面</w:t>
                  </w:r>
                  <w:r>
                    <w:rPr>
                      <w:rFonts w:ascii="Times New Roman" w:hAnsi="Times New Roman" w:cs="Times New Roman"/>
                      <w:spacing w:val="4"/>
                      <w:kern w:val="2"/>
                      <w:sz w:val="21"/>
                      <w:szCs w:val="21"/>
                      <w:lang w:eastAsia="zh-CN"/>
                    </w:rPr>
                    <w:t>面层类型</w:t>
                  </w:r>
                </w:p>
              </w:tc>
              <w:tc>
                <w:tcPr>
                  <w:tcW w:w="487" w:type="pct"/>
                  <w:vAlign w:val="center"/>
                </w:tcPr>
                <w:p w14:paraId="5DF07D55">
                  <w:pPr>
                    <w:autoSpaceDE/>
                    <w:autoSpaceDN/>
                    <w:jc w:val="center"/>
                    <w:rPr>
                      <w:rFonts w:ascii="Times New Roman" w:hAnsi="Times New Roman" w:cs="Times New Roman"/>
                      <w:spacing w:val="4"/>
                      <w:kern w:val="2"/>
                      <w:sz w:val="21"/>
                      <w:szCs w:val="21"/>
                      <w:lang w:eastAsia="zh-CN"/>
                    </w:rPr>
                  </w:pPr>
                </w:p>
              </w:tc>
              <w:tc>
                <w:tcPr>
                  <w:tcW w:w="2886" w:type="pct"/>
                  <w:gridSpan w:val="2"/>
                  <w:vAlign w:val="center"/>
                </w:tcPr>
                <w:p w14:paraId="52C73103">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沥青</w:t>
                  </w:r>
                  <w:r>
                    <w:rPr>
                      <w:rFonts w:ascii="Times New Roman" w:hAnsi="Times New Roman" w:cs="Times New Roman"/>
                      <w:spacing w:val="4"/>
                      <w:kern w:val="2"/>
                      <w:sz w:val="21"/>
                      <w:szCs w:val="21"/>
                      <w:lang w:eastAsia="zh-CN"/>
                    </w:rPr>
                    <w:t>混凝土</w:t>
                  </w:r>
                </w:p>
              </w:tc>
            </w:tr>
            <w:tr w14:paraId="43EA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pct"/>
                  <w:gridSpan w:val="2"/>
                  <w:vAlign w:val="center"/>
                </w:tcPr>
                <w:p w14:paraId="06947D7B">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交通</w:t>
                  </w:r>
                  <w:r>
                    <w:rPr>
                      <w:rFonts w:ascii="Times New Roman" w:hAnsi="Times New Roman" w:cs="Times New Roman"/>
                      <w:spacing w:val="4"/>
                      <w:kern w:val="2"/>
                      <w:sz w:val="21"/>
                      <w:szCs w:val="21"/>
                      <w:lang w:eastAsia="zh-CN"/>
                    </w:rPr>
                    <w:t>工程设施</w:t>
                  </w:r>
                </w:p>
              </w:tc>
              <w:tc>
                <w:tcPr>
                  <w:tcW w:w="487" w:type="pct"/>
                  <w:vAlign w:val="center"/>
                </w:tcPr>
                <w:p w14:paraId="099E7E20">
                  <w:pPr>
                    <w:autoSpaceDE/>
                    <w:autoSpaceDN/>
                    <w:jc w:val="center"/>
                    <w:rPr>
                      <w:rFonts w:ascii="Times New Roman" w:hAnsi="Times New Roman" w:cs="Times New Roman"/>
                      <w:spacing w:val="4"/>
                      <w:kern w:val="2"/>
                      <w:sz w:val="21"/>
                      <w:szCs w:val="21"/>
                      <w:lang w:eastAsia="zh-CN"/>
                    </w:rPr>
                  </w:pPr>
                </w:p>
              </w:tc>
              <w:tc>
                <w:tcPr>
                  <w:tcW w:w="2886" w:type="pct"/>
                  <w:gridSpan w:val="2"/>
                  <w:vAlign w:val="center"/>
                </w:tcPr>
                <w:p w14:paraId="1CC81C18">
                  <w:pPr>
                    <w:autoSpaceDE/>
                    <w:autoSpaceDN/>
                    <w:jc w:val="center"/>
                    <w:rPr>
                      <w:rFonts w:ascii="Times New Roman" w:hAnsi="Times New Roman" w:cs="Times New Roman"/>
                      <w:spacing w:val="4"/>
                      <w:kern w:val="2"/>
                      <w:sz w:val="21"/>
                      <w:szCs w:val="21"/>
                      <w:lang w:eastAsia="zh-CN"/>
                    </w:rPr>
                  </w:pPr>
                  <w:r>
                    <w:rPr>
                      <w:rFonts w:hint="eastAsia" w:ascii="Times New Roman" w:hAnsi="Times New Roman" w:cs="Times New Roman"/>
                      <w:spacing w:val="4"/>
                      <w:kern w:val="2"/>
                      <w:sz w:val="21"/>
                      <w:szCs w:val="21"/>
                      <w:lang w:eastAsia="zh-CN"/>
                    </w:rPr>
                    <w:t>一次</w:t>
                  </w:r>
                  <w:r>
                    <w:rPr>
                      <w:rFonts w:ascii="Times New Roman" w:hAnsi="Times New Roman" w:cs="Times New Roman"/>
                      <w:spacing w:val="4"/>
                      <w:kern w:val="2"/>
                      <w:sz w:val="21"/>
                      <w:szCs w:val="21"/>
                      <w:lang w:eastAsia="zh-CN"/>
                    </w:rPr>
                    <w:t>改</w:t>
                  </w:r>
                  <w:r>
                    <w:rPr>
                      <w:rFonts w:hint="eastAsia" w:ascii="Times New Roman" w:hAnsi="Times New Roman" w:cs="Times New Roman"/>
                      <w:spacing w:val="4"/>
                      <w:kern w:val="2"/>
                      <w:sz w:val="21"/>
                      <w:szCs w:val="21"/>
                      <w:lang w:eastAsia="zh-CN"/>
                    </w:rPr>
                    <w:t>建</w:t>
                  </w:r>
                  <w:r>
                    <w:rPr>
                      <w:rFonts w:ascii="Times New Roman" w:hAnsi="Times New Roman" w:cs="Times New Roman"/>
                      <w:spacing w:val="4"/>
                      <w:kern w:val="2"/>
                      <w:sz w:val="21"/>
                      <w:szCs w:val="21"/>
                      <w:lang w:eastAsia="zh-CN"/>
                    </w:rPr>
                    <w:t>完成</w:t>
                  </w:r>
                </w:p>
              </w:tc>
            </w:tr>
          </w:tbl>
          <w:p w14:paraId="150F07F8">
            <w:pPr>
              <w:autoSpaceDE/>
              <w:autoSpaceDN/>
              <w:jc w:val="center"/>
              <w:rPr>
                <w:rFonts w:ascii="Times New Roman" w:hAnsi="Times New Roman" w:cs="Times New Roman"/>
                <w:b/>
                <w:bCs/>
                <w:spacing w:val="4"/>
                <w:kern w:val="2"/>
                <w:sz w:val="21"/>
                <w:szCs w:val="21"/>
                <w:lang w:eastAsia="zh-CN"/>
              </w:rPr>
            </w:pPr>
          </w:p>
          <w:p w14:paraId="7CB16C3D">
            <w:pPr>
              <w:autoSpaceDE/>
              <w:autoSpaceDN/>
              <w:spacing w:line="360" w:lineRule="auto"/>
              <w:jc w:val="both"/>
              <w:rPr>
                <w:rFonts w:ascii="Times New Roman" w:hAnsi="Times New Roman" w:cs="Times New Roman"/>
                <w:b/>
                <w:bCs/>
                <w:spacing w:val="4"/>
                <w:kern w:val="2"/>
                <w:sz w:val="28"/>
                <w:szCs w:val="28"/>
                <w:lang w:eastAsia="zh-CN"/>
              </w:rPr>
            </w:pPr>
            <w:r>
              <w:rPr>
                <w:rFonts w:ascii="Times New Roman" w:hAnsi="Times New Roman" w:cs="Times New Roman"/>
                <w:b/>
                <w:bCs/>
                <w:spacing w:val="4"/>
                <w:kern w:val="2"/>
                <w:sz w:val="28"/>
                <w:szCs w:val="28"/>
                <w:lang w:eastAsia="zh-CN"/>
              </w:rPr>
              <w:t>3、</w:t>
            </w:r>
            <w:r>
              <w:rPr>
                <w:rFonts w:hint="eastAsia" w:ascii="Times New Roman" w:hAnsi="Times New Roman" w:cs="Times New Roman"/>
                <w:b/>
                <w:bCs/>
                <w:spacing w:val="4"/>
                <w:kern w:val="2"/>
                <w:sz w:val="28"/>
                <w:szCs w:val="28"/>
                <w:lang w:eastAsia="zh-CN"/>
              </w:rPr>
              <w:t>工程设计方案</w:t>
            </w:r>
          </w:p>
          <w:p w14:paraId="3D925460">
            <w:pPr>
              <w:autoSpaceDE/>
              <w:autoSpaceDN/>
              <w:spacing w:line="360" w:lineRule="auto"/>
              <w:ind w:firstLine="498" w:firstLineChars="200"/>
              <w:jc w:val="both"/>
              <w:rPr>
                <w:rFonts w:ascii="Times New Roman" w:hAnsi="Times New Roman" w:cs="Times New Roman"/>
                <w:b/>
                <w:bCs/>
                <w:spacing w:val="4"/>
                <w:kern w:val="2"/>
                <w:sz w:val="24"/>
                <w:szCs w:val="24"/>
                <w:lang w:eastAsia="zh-CN"/>
              </w:rPr>
            </w:pPr>
            <w:r>
              <w:rPr>
                <w:rFonts w:hint="eastAsia" w:ascii="Times New Roman" w:hAnsi="Times New Roman" w:cs="Times New Roman"/>
                <w:b/>
                <w:bCs/>
                <w:spacing w:val="4"/>
                <w:kern w:val="2"/>
                <w:sz w:val="24"/>
                <w:szCs w:val="24"/>
                <w:lang w:eastAsia="zh-CN"/>
              </w:rPr>
              <w:t>3</w:t>
            </w:r>
            <w:r>
              <w:rPr>
                <w:rFonts w:ascii="Times New Roman" w:hAnsi="Times New Roman" w:cs="Times New Roman"/>
                <w:b/>
                <w:bCs/>
                <w:spacing w:val="4"/>
                <w:kern w:val="2"/>
                <w:sz w:val="24"/>
                <w:szCs w:val="24"/>
                <w:lang w:eastAsia="zh-CN"/>
              </w:rPr>
              <w:t xml:space="preserve">.1 </w:t>
            </w:r>
            <w:r>
              <w:rPr>
                <w:rFonts w:hint="eastAsia" w:ascii="Times New Roman" w:hAnsi="Times New Roman" w:cs="Times New Roman"/>
                <w:b/>
                <w:bCs/>
                <w:spacing w:val="4"/>
                <w:kern w:val="2"/>
                <w:sz w:val="24"/>
                <w:szCs w:val="24"/>
                <w:lang w:eastAsia="zh-CN"/>
              </w:rPr>
              <w:t>道路工程</w:t>
            </w:r>
          </w:p>
          <w:p w14:paraId="31BBB63A">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（1）横断面设计</w:t>
            </w:r>
          </w:p>
          <w:p w14:paraId="280AEAAC">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图2.1横断</w:t>
            </w:r>
            <w:r>
              <w:rPr>
                <w:rFonts w:ascii="Times New Roman" w:hAnsi="Times New Roman" w:cs="Times New Roman"/>
                <w:spacing w:val="4"/>
                <w:kern w:val="2"/>
                <w:sz w:val="24"/>
                <w:szCs w:val="24"/>
                <w:lang w:eastAsia="zh-CN"/>
              </w:rPr>
              <w:t>面</w:t>
            </w:r>
            <w:r>
              <w:rPr>
                <w:rFonts w:hint="eastAsia" w:ascii="Times New Roman" w:hAnsi="Times New Roman" w:cs="Times New Roman"/>
                <w:spacing w:val="4"/>
                <w:kern w:val="2"/>
                <w:sz w:val="24"/>
                <w:szCs w:val="24"/>
                <w:lang w:eastAsia="zh-CN"/>
              </w:rPr>
              <w:t>适用</w:t>
            </w:r>
            <w:r>
              <w:rPr>
                <w:rFonts w:ascii="Times New Roman" w:hAnsi="Times New Roman" w:cs="Times New Roman"/>
                <w:spacing w:val="4"/>
                <w:kern w:val="2"/>
                <w:sz w:val="24"/>
                <w:szCs w:val="24"/>
                <w:lang w:eastAsia="zh-CN"/>
              </w:rPr>
              <w:t>路段：k37+060-k48+500段</w:t>
            </w: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k90+134-k126+200段</w:t>
            </w:r>
            <w:r>
              <w:rPr>
                <w:rFonts w:hint="eastAsia" w:ascii="Times New Roman" w:hAnsi="Times New Roman" w:cs="Times New Roman"/>
                <w:spacing w:val="4"/>
                <w:kern w:val="2"/>
                <w:sz w:val="24"/>
                <w:szCs w:val="24"/>
                <w:lang w:eastAsia="zh-CN"/>
              </w:rPr>
              <w:t>。设计速度</w:t>
            </w:r>
            <w:r>
              <w:rPr>
                <w:rFonts w:ascii="Times New Roman" w:hAnsi="Times New Roman" w:cs="Times New Roman"/>
                <w:spacing w:val="4"/>
                <w:kern w:val="2"/>
                <w:sz w:val="24"/>
                <w:szCs w:val="24"/>
                <w:lang w:eastAsia="zh-CN"/>
              </w:rPr>
              <w:t>100km/h，</w:t>
            </w:r>
            <w:r>
              <w:rPr>
                <w:rFonts w:hint="eastAsia" w:ascii="Times New Roman" w:hAnsi="Times New Roman" w:cs="Times New Roman"/>
                <w:spacing w:val="4"/>
                <w:kern w:val="2"/>
                <w:sz w:val="24"/>
                <w:szCs w:val="24"/>
                <w:lang w:eastAsia="zh-CN"/>
              </w:rPr>
              <w:t>整体式路基宽度为</w:t>
            </w:r>
            <w:r>
              <w:rPr>
                <w:rFonts w:ascii="Times New Roman" w:hAnsi="Times New Roman" w:cs="Times New Roman"/>
                <w:spacing w:val="4"/>
                <w:kern w:val="2"/>
                <w:sz w:val="24"/>
                <w:szCs w:val="24"/>
                <w:lang w:eastAsia="zh-CN"/>
              </w:rPr>
              <w:t>26.0m，横断面组成为：行车道宽2×(2×3.75)m，中间带宽度3.5m(含中央分隔带宽度2.0m和两侧路缘带各0.75m)，硬路肩宽2×3.0m(含路缘带0.5m)，土路肩宽0.75m。</w:t>
            </w:r>
          </w:p>
          <w:p w14:paraId="723A0F22">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图2.2横断面适用</w:t>
            </w:r>
            <w:r>
              <w:rPr>
                <w:rFonts w:ascii="Times New Roman" w:hAnsi="Times New Roman" w:cs="Times New Roman"/>
                <w:spacing w:val="4"/>
                <w:kern w:val="2"/>
                <w:sz w:val="24"/>
                <w:szCs w:val="24"/>
                <w:lang w:eastAsia="zh-CN"/>
              </w:rPr>
              <w:t>路段：k48+500-k90+134.4段</w:t>
            </w:r>
            <w:r>
              <w:rPr>
                <w:rFonts w:hint="eastAsia" w:ascii="Times New Roman" w:hAnsi="Times New Roman" w:cs="Times New Roman"/>
                <w:spacing w:val="4"/>
                <w:kern w:val="2"/>
                <w:sz w:val="24"/>
                <w:szCs w:val="24"/>
                <w:lang w:eastAsia="zh-CN"/>
              </w:rPr>
              <w:t>。设计速度</w:t>
            </w:r>
            <w:r>
              <w:rPr>
                <w:rFonts w:ascii="Times New Roman" w:hAnsi="Times New Roman" w:cs="Times New Roman"/>
                <w:spacing w:val="4"/>
                <w:kern w:val="2"/>
                <w:sz w:val="24"/>
                <w:szCs w:val="24"/>
                <w:lang w:eastAsia="zh-CN"/>
              </w:rPr>
              <w:t>100km/h，</w:t>
            </w:r>
            <w:r>
              <w:rPr>
                <w:rFonts w:hint="eastAsia" w:ascii="Times New Roman" w:hAnsi="Times New Roman" w:cs="Times New Roman"/>
                <w:spacing w:val="4"/>
                <w:kern w:val="2"/>
                <w:sz w:val="24"/>
                <w:szCs w:val="24"/>
                <w:lang w:eastAsia="zh-CN"/>
              </w:rPr>
              <w:t>采用分离式路基，分幅路基宽度为</w:t>
            </w:r>
            <w:r>
              <w:rPr>
                <w:rFonts w:ascii="Times New Roman" w:hAnsi="Times New Roman" w:cs="Times New Roman"/>
                <w:spacing w:val="4"/>
                <w:kern w:val="2"/>
                <w:sz w:val="24"/>
                <w:szCs w:val="24"/>
                <w:lang w:eastAsia="zh-CN"/>
              </w:rPr>
              <w:t>13.0m；横断面组成为：行</w:t>
            </w:r>
            <w:r>
              <w:rPr>
                <w:rFonts w:hint="eastAsia" w:ascii="Times New Roman" w:hAnsi="Times New Roman" w:cs="Times New Roman"/>
                <w:spacing w:val="4"/>
                <w:kern w:val="2"/>
                <w:sz w:val="24"/>
                <w:szCs w:val="24"/>
                <w:lang w:eastAsia="zh-CN"/>
              </w:rPr>
              <w:t>车道宽</w:t>
            </w:r>
            <w:r>
              <w:rPr>
                <w:rFonts w:ascii="Times New Roman" w:hAnsi="Times New Roman" w:cs="Times New Roman"/>
                <w:spacing w:val="4"/>
                <w:kern w:val="2"/>
                <w:sz w:val="24"/>
                <w:szCs w:val="24"/>
                <w:lang w:eastAsia="zh-CN"/>
              </w:rPr>
              <w:t>2×3.75m，左侧硬路肩宽1.0m，右侧硬路肩宽3.0m(含路缘带宽0.5m)，土路肩宽0.75m。</w:t>
            </w:r>
          </w:p>
          <w:p w14:paraId="71C8F61D">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7A252599">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32D04221">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65FD8AD7">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4BC48BB8">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1D43D1AA">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1A801ACA">
            <w:pPr>
              <w:autoSpaceDE/>
              <w:autoSpaceDN/>
              <w:spacing w:line="360" w:lineRule="auto"/>
              <w:jc w:val="center"/>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drawing>
                <wp:inline distT="0" distB="0" distL="0" distR="0">
                  <wp:extent cx="5534025" cy="25101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565388" cy="2524477"/>
                          </a:xfrm>
                          <a:prstGeom prst="rect">
                            <a:avLst/>
                          </a:prstGeom>
                        </pic:spPr>
                      </pic:pic>
                    </a:graphicData>
                  </a:graphic>
                </wp:inline>
              </w:drawing>
            </w:r>
          </w:p>
          <w:p w14:paraId="3F907D71">
            <w:pPr>
              <w:autoSpaceDE/>
              <w:autoSpaceDN/>
              <w:jc w:val="center"/>
              <w:rPr>
                <w:rFonts w:ascii="Times New Roman" w:hAnsi="Times New Roman" w:cs="Times New Roman"/>
                <w:b/>
                <w:spacing w:val="4"/>
                <w:kern w:val="2"/>
                <w:sz w:val="21"/>
                <w:szCs w:val="21"/>
                <w:lang w:eastAsia="zh-CN"/>
              </w:rPr>
            </w:pPr>
            <w:r>
              <w:rPr>
                <w:rFonts w:hint="eastAsia" w:ascii="Times New Roman" w:hAnsi="Times New Roman" w:cs="Times New Roman"/>
                <w:b/>
                <w:spacing w:val="4"/>
                <w:kern w:val="2"/>
                <w:sz w:val="21"/>
                <w:szCs w:val="21"/>
                <w:lang w:eastAsia="zh-CN"/>
              </w:rPr>
              <w:t>图2.1  路基</w:t>
            </w:r>
            <w:r>
              <w:rPr>
                <w:rFonts w:ascii="Times New Roman" w:hAnsi="Times New Roman" w:cs="Times New Roman"/>
                <w:b/>
                <w:spacing w:val="4"/>
                <w:kern w:val="2"/>
                <w:sz w:val="21"/>
                <w:szCs w:val="21"/>
                <w:lang w:eastAsia="zh-CN"/>
              </w:rPr>
              <w:t>标准横断面（</w:t>
            </w:r>
            <w:r>
              <w:rPr>
                <w:rFonts w:hint="eastAsia" w:ascii="Times New Roman" w:hAnsi="Times New Roman" w:cs="Times New Roman"/>
                <w:b/>
                <w:spacing w:val="4"/>
                <w:kern w:val="2"/>
                <w:sz w:val="21"/>
                <w:szCs w:val="21"/>
                <w:lang w:eastAsia="zh-CN"/>
              </w:rPr>
              <w:t>一</w:t>
            </w:r>
            <w:r>
              <w:rPr>
                <w:rFonts w:ascii="Times New Roman" w:hAnsi="Times New Roman" w:cs="Times New Roman"/>
                <w:b/>
                <w:spacing w:val="4"/>
                <w:kern w:val="2"/>
                <w:sz w:val="21"/>
                <w:szCs w:val="21"/>
                <w:lang w:eastAsia="zh-CN"/>
              </w:rPr>
              <w:t>）</w:t>
            </w:r>
          </w:p>
          <w:p w14:paraId="29B36B59">
            <w:pPr>
              <w:autoSpaceDE/>
              <w:autoSpaceDN/>
              <w:jc w:val="center"/>
              <w:rPr>
                <w:rFonts w:ascii="Times New Roman" w:hAnsi="Times New Roman" w:cs="Times New Roman"/>
                <w:b/>
                <w:spacing w:val="4"/>
                <w:kern w:val="2"/>
                <w:sz w:val="21"/>
                <w:szCs w:val="21"/>
                <w:lang w:eastAsia="zh-CN"/>
              </w:rPr>
            </w:pPr>
          </w:p>
          <w:p w14:paraId="3777747E">
            <w:pPr>
              <w:autoSpaceDE/>
              <w:autoSpaceDN/>
              <w:spacing w:line="360" w:lineRule="auto"/>
              <w:jc w:val="center"/>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drawing>
                <wp:inline distT="0" distB="0" distL="0" distR="0">
                  <wp:extent cx="5516245" cy="19392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64592" cy="1956681"/>
                          </a:xfrm>
                          <a:prstGeom prst="rect">
                            <a:avLst/>
                          </a:prstGeom>
                          <a:noFill/>
                        </pic:spPr>
                      </pic:pic>
                    </a:graphicData>
                  </a:graphic>
                </wp:inline>
              </w:drawing>
            </w:r>
          </w:p>
          <w:p w14:paraId="7CBCE42E">
            <w:pPr>
              <w:autoSpaceDE/>
              <w:autoSpaceDN/>
              <w:jc w:val="center"/>
              <w:rPr>
                <w:rFonts w:ascii="Times New Roman" w:hAnsi="Times New Roman" w:cs="Times New Roman"/>
                <w:b/>
                <w:spacing w:val="4"/>
                <w:kern w:val="2"/>
                <w:sz w:val="21"/>
                <w:szCs w:val="21"/>
                <w:lang w:eastAsia="zh-CN"/>
              </w:rPr>
            </w:pPr>
            <w:r>
              <w:rPr>
                <w:rFonts w:hint="eastAsia" w:ascii="Times New Roman" w:hAnsi="Times New Roman" w:cs="Times New Roman"/>
                <w:b/>
                <w:spacing w:val="4"/>
                <w:kern w:val="2"/>
                <w:sz w:val="21"/>
                <w:szCs w:val="21"/>
                <w:lang w:eastAsia="zh-CN"/>
              </w:rPr>
              <w:t>图2.</w:t>
            </w:r>
            <w:r>
              <w:rPr>
                <w:rFonts w:ascii="Times New Roman" w:hAnsi="Times New Roman" w:cs="Times New Roman"/>
                <w:b/>
                <w:spacing w:val="4"/>
                <w:kern w:val="2"/>
                <w:sz w:val="21"/>
                <w:szCs w:val="21"/>
                <w:lang w:eastAsia="zh-CN"/>
              </w:rPr>
              <w:t>2</w:t>
            </w:r>
            <w:r>
              <w:rPr>
                <w:rFonts w:hint="eastAsia" w:ascii="Times New Roman" w:hAnsi="Times New Roman" w:cs="Times New Roman"/>
                <w:b/>
                <w:spacing w:val="4"/>
                <w:kern w:val="2"/>
                <w:sz w:val="21"/>
                <w:szCs w:val="21"/>
                <w:lang w:eastAsia="zh-CN"/>
              </w:rPr>
              <w:t xml:space="preserve">  路基</w:t>
            </w:r>
            <w:r>
              <w:rPr>
                <w:rFonts w:ascii="Times New Roman" w:hAnsi="Times New Roman" w:cs="Times New Roman"/>
                <w:b/>
                <w:spacing w:val="4"/>
                <w:kern w:val="2"/>
                <w:sz w:val="21"/>
                <w:szCs w:val="21"/>
                <w:lang w:eastAsia="zh-CN"/>
              </w:rPr>
              <w:t>标准横断面（</w:t>
            </w:r>
            <w:r>
              <w:rPr>
                <w:rFonts w:hint="eastAsia" w:ascii="Times New Roman" w:hAnsi="Times New Roman" w:cs="Times New Roman"/>
                <w:b/>
                <w:spacing w:val="4"/>
                <w:kern w:val="2"/>
                <w:sz w:val="21"/>
                <w:szCs w:val="21"/>
                <w:lang w:eastAsia="zh-CN"/>
              </w:rPr>
              <w:t>二</w:t>
            </w:r>
            <w:r>
              <w:rPr>
                <w:rFonts w:ascii="Times New Roman" w:hAnsi="Times New Roman" w:cs="Times New Roman"/>
                <w:b/>
                <w:spacing w:val="4"/>
                <w:kern w:val="2"/>
                <w:sz w:val="21"/>
                <w:szCs w:val="21"/>
                <w:lang w:eastAsia="zh-CN"/>
              </w:rPr>
              <w:t>）</w:t>
            </w:r>
          </w:p>
          <w:p w14:paraId="48293DFB">
            <w:pPr>
              <w:autoSpaceDE/>
              <w:autoSpaceDN/>
              <w:spacing w:line="360" w:lineRule="auto"/>
              <w:jc w:val="center"/>
              <w:rPr>
                <w:rFonts w:ascii="Times New Roman" w:hAnsi="Times New Roman" w:cs="Times New Roman"/>
                <w:spacing w:val="4"/>
                <w:kern w:val="2"/>
                <w:sz w:val="24"/>
                <w:szCs w:val="24"/>
                <w:lang w:eastAsia="zh-CN"/>
              </w:rPr>
            </w:pPr>
          </w:p>
          <w:p w14:paraId="52E4518F">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2）</w:t>
            </w:r>
            <w:r>
              <w:rPr>
                <w:rFonts w:hint="eastAsia" w:ascii="Times New Roman" w:hAnsi="Times New Roman" w:cs="Times New Roman"/>
                <w:spacing w:val="4"/>
                <w:kern w:val="2"/>
                <w:sz w:val="24"/>
                <w:szCs w:val="24"/>
                <w:lang w:eastAsia="zh-CN"/>
              </w:rPr>
              <w:t>纵</w:t>
            </w:r>
            <w:r>
              <w:rPr>
                <w:rFonts w:ascii="Times New Roman" w:hAnsi="Times New Roman" w:cs="Times New Roman"/>
                <w:spacing w:val="4"/>
                <w:kern w:val="2"/>
                <w:sz w:val="24"/>
                <w:szCs w:val="24"/>
                <w:lang w:eastAsia="zh-CN"/>
              </w:rPr>
              <w:t>断面设计</w:t>
            </w:r>
          </w:p>
          <w:p w14:paraId="1C19C679">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①</w:t>
            </w:r>
            <w:r>
              <w:rPr>
                <w:rFonts w:hint="eastAsia" w:ascii="Times New Roman" w:hAnsi="Times New Roman" w:cs="Times New Roman"/>
                <w:spacing w:val="4"/>
                <w:kern w:val="2"/>
                <w:sz w:val="24"/>
                <w:szCs w:val="24"/>
                <w:lang w:eastAsia="zh-CN"/>
              </w:rPr>
              <w:t>新建路段</w:t>
            </w:r>
          </w:p>
          <w:p w14:paraId="23DFDC89">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重载方向（北向南）：采用5cm（</w:t>
            </w:r>
            <w:r>
              <w:rPr>
                <w:rFonts w:ascii="Times New Roman" w:hAnsi="Times New Roman" w:cs="Times New Roman"/>
                <w:spacing w:val="4"/>
                <w:kern w:val="2"/>
                <w:sz w:val="24"/>
                <w:szCs w:val="24"/>
                <w:lang w:eastAsia="zh-CN"/>
              </w:rPr>
              <w:t>AC-16</w:t>
            </w:r>
            <w:r>
              <w:rPr>
                <w:rFonts w:hint="eastAsia" w:ascii="Times New Roman" w:hAnsi="Times New Roman" w:cs="Times New Roman"/>
                <w:spacing w:val="4"/>
                <w:kern w:val="2"/>
                <w:sz w:val="24"/>
                <w:szCs w:val="24"/>
                <w:lang w:eastAsia="zh-CN"/>
              </w:rPr>
              <w:t>）中粒式沥青混凝土层+</w:t>
            </w:r>
            <w:r>
              <w:rPr>
                <w:rFonts w:ascii="Times New Roman" w:hAnsi="Times New Roman" w:cs="Times New Roman"/>
                <w:spacing w:val="4"/>
                <w:kern w:val="2"/>
                <w:sz w:val="24"/>
                <w:szCs w:val="24"/>
                <w:lang w:eastAsia="zh-CN"/>
              </w:rPr>
              <w:t>8</w:t>
            </w:r>
            <w:r>
              <w:rPr>
                <w:rFonts w:hint="eastAsia" w:ascii="Times New Roman" w:hAnsi="Times New Roman" w:cs="Times New Roman"/>
                <w:spacing w:val="4"/>
                <w:kern w:val="2"/>
                <w:sz w:val="24"/>
                <w:szCs w:val="24"/>
                <w:lang w:eastAsia="zh-CN"/>
              </w:rPr>
              <w:t>cm粗粒式沥青混凝土层+同步碎石封层+</w:t>
            </w:r>
            <w:r>
              <w:rPr>
                <w:rFonts w:ascii="Times New Roman" w:hAnsi="Times New Roman" w:cs="Times New Roman"/>
                <w:spacing w:val="4"/>
                <w:kern w:val="2"/>
                <w:sz w:val="24"/>
                <w:szCs w:val="24"/>
                <w:lang w:eastAsia="zh-CN"/>
              </w:rPr>
              <w:t>36</w:t>
            </w:r>
            <w:r>
              <w:rPr>
                <w:rFonts w:hint="eastAsia" w:ascii="Times New Roman" w:hAnsi="Times New Roman" w:cs="Times New Roman"/>
                <w:spacing w:val="4"/>
                <w:kern w:val="2"/>
                <w:sz w:val="24"/>
                <w:szCs w:val="24"/>
                <w:lang w:eastAsia="zh-CN"/>
              </w:rPr>
              <w:t>cm水泥稳定砂砾层+</w:t>
            </w:r>
            <w:r>
              <w:rPr>
                <w:rFonts w:ascii="Times New Roman" w:hAnsi="Times New Roman" w:cs="Times New Roman"/>
                <w:spacing w:val="4"/>
                <w:kern w:val="2"/>
                <w:sz w:val="24"/>
                <w:szCs w:val="24"/>
                <w:lang w:eastAsia="zh-CN"/>
              </w:rPr>
              <w:t>20</w:t>
            </w:r>
            <w:r>
              <w:rPr>
                <w:rFonts w:hint="eastAsia" w:ascii="Times New Roman" w:hAnsi="Times New Roman" w:cs="Times New Roman"/>
                <w:spacing w:val="4"/>
                <w:kern w:val="2"/>
                <w:sz w:val="24"/>
                <w:szCs w:val="24"/>
                <w:lang w:eastAsia="zh-CN"/>
              </w:rPr>
              <w:t>cm天然砂砾层。</w:t>
            </w:r>
          </w:p>
          <w:p w14:paraId="5E1C3FAC">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空载方向（南向北）：采用5cm（</w:t>
            </w:r>
            <w:r>
              <w:rPr>
                <w:rFonts w:ascii="Times New Roman" w:hAnsi="Times New Roman" w:cs="Times New Roman"/>
                <w:spacing w:val="4"/>
                <w:kern w:val="2"/>
                <w:sz w:val="24"/>
                <w:szCs w:val="24"/>
                <w:lang w:eastAsia="zh-CN"/>
              </w:rPr>
              <w:t>AC-16</w:t>
            </w:r>
            <w:r>
              <w:rPr>
                <w:rFonts w:hint="eastAsia" w:ascii="Times New Roman" w:hAnsi="Times New Roman" w:cs="Times New Roman"/>
                <w:spacing w:val="4"/>
                <w:kern w:val="2"/>
                <w:sz w:val="24"/>
                <w:szCs w:val="24"/>
                <w:lang w:eastAsia="zh-CN"/>
              </w:rPr>
              <w:t>）中粒式沥青混凝土层+</w:t>
            </w:r>
            <w:r>
              <w:rPr>
                <w:rFonts w:ascii="Times New Roman" w:hAnsi="Times New Roman" w:cs="Times New Roman"/>
                <w:spacing w:val="4"/>
                <w:kern w:val="2"/>
                <w:sz w:val="24"/>
                <w:szCs w:val="24"/>
                <w:lang w:eastAsia="zh-CN"/>
              </w:rPr>
              <w:t>8</w:t>
            </w:r>
            <w:r>
              <w:rPr>
                <w:rFonts w:hint="eastAsia" w:ascii="Times New Roman" w:hAnsi="Times New Roman" w:cs="Times New Roman"/>
                <w:spacing w:val="4"/>
                <w:kern w:val="2"/>
                <w:sz w:val="24"/>
                <w:szCs w:val="24"/>
                <w:lang w:eastAsia="zh-CN"/>
              </w:rPr>
              <w:t>cm粗粒式沥青混凝土层+同步碎石封层+</w:t>
            </w:r>
            <w:r>
              <w:rPr>
                <w:rFonts w:ascii="Times New Roman" w:hAnsi="Times New Roman" w:cs="Times New Roman"/>
                <w:spacing w:val="4"/>
                <w:kern w:val="2"/>
                <w:sz w:val="24"/>
                <w:szCs w:val="24"/>
                <w:lang w:eastAsia="zh-CN"/>
              </w:rPr>
              <w:t>34</w:t>
            </w:r>
            <w:r>
              <w:rPr>
                <w:rFonts w:hint="eastAsia" w:ascii="Times New Roman" w:hAnsi="Times New Roman" w:cs="Times New Roman"/>
                <w:spacing w:val="4"/>
                <w:kern w:val="2"/>
                <w:sz w:val="24"/>
                <w:szCs w:val="24"/>
                <w:lang w:eastAsia="zh-CN"/>
              </w:rPr>
              <w:t>cm水泥稳定砂砾层+</w:t>
            </w:r>
            <w:r>
              <w:rPr>
                <w:rFonts w:ascii="Times New Roman" w:hAnsi="Times New Roman" w:cs="Times New Roman"/>
                <w:spacing w:val="4"/>
                <w:kern w:val="2"/>
                <w:sz w:val="24"/>
                <w:szCs w:val="24"/>
                <w:lang w:eastAsia="zh-CN"/>
              </w:rPr>
              <w:t>20</w:t>
            </w:r>
            <w:r>
              <w:rPr>
                <w:rFonts w:hint="eastAsia" w:ascii="Times New Roman" w:hAnsi="Times New Roman" w:cs="Times New Roman"/>
                <w:spacing w:val="4"/>
                <w:kern w:val="2"/>
                <w:sz w:val="24"/>
                <w:szCs w:val="24"/>
                <w:lang w:eastAsia="zh-CN"/>
              </w:rPr>
              <w:t>cm天然砂砾层。</w:t>
            </w:r>
          </w:p>
          <w:p w14:paraId="7CC38365">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②</w:t>
            </w:r>
            <w:r>
              <w:rPr>
                <w:rFonts w:hint="eastAsia" w:ascii="Times New Roman" w:hAnsi="Times New Roman" w:cs="Times New Roman"/>
                <w:spacing w:val="4"/>
                <w:kern w:val="2"/>
                <w:sz w:val="24"/>
                <w:szCs w:val="24"/>
                <w:lang w:eastAsia="zh-CN"/>
              </w:rPr>
              <w:t>旧路加铺改造</w:t>
            </w:r>
          </w:p>
          <w:p w14:paraId="7394B8B1">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采用5cm（</w:t>
            </w:r>
            <w:r>
              <w:rPr>
                <w:rFonts w:ascii="Times New Roman" w:hAnsi="Times New Roman" w:cs="Times New Roman"/>
                <w:spacing w:val="4"/>
                <w:kern w:val="2"/>
                <w:sz w:val="24"/>
                <w:szCs w:val="24"/>
                <w:lang w:eastAsia="zh-CN"/>
              </w:rPr>
              <w:t>AC-16</w:t>
            </w:r>
            <w:r>
              <w:rPr>
                <w:rFonts w:hint="eastAsia" w:ascii="Times New Roman" w:hAnsi="Times New Roman" w:cs="Times New Roman"/>
                <w:spacing w:val="4"/>
                <w:kern w:val="2"/>
                <w:sz w:val="24"/>
                <w:szCs w:val="24"/>
                <w:lang w:eastAsia="zh-CN"/>
              </w:rPr>
              <w:t>）中粒式沥青混凝土层+</w:t>
            </w:r>
            <w:r>
              <w:rPr>
                <w:rFonts w:ascii="Times New Roman" w:hAnsi="Times New Roman" w:cs="Times New Roman"/>
                <w:spacing w:val="4"/>
                <w:kern w:val="2"/>
                <w:sz w:val="24"/>
                <w:szCs w:val="24"/>
                <w:lang w:eastAsia="zh-CN"/>
              </w:rPr>
              <w:t>8</w:t>
            </w:r>
            <w:r>
              <w:rPr>
                <w:rFonts w:hint="eastAsia" w:ascii="Times New Roman" w:hAnsi="Times New Roman" w:cs="Times New Roman"/>
                <w:spacing w:val="4"/>
                <w:kern w:val="2"/>
                <w:sz w:val="24"/>
                <w:szCs w:val="24"/>
                <w:lang w:eastAsia="zh-CN"/>
              </w:rPr>
              <w:t>cm粗粒式沥青混凝土层+同步碎石封层+（</w:t>
            </w:r>
            <w:r>
              <w:rPr>
                <w:rFonts w:ascii="Times New Roman" w:hAnsi="Times New Roman" w:cs="Times New Roman"/>
                <w:spacing w:val="4"/>
                <w:kern w:val="2"/>
                <w:sz w:val="24"/>
                <w:szCs w:val="24"/>
                <w:lang w:eastAsia="zh-CN"/>
              </w:rPr>
              <w:t>22</w:t>
            </w:r>
            <w:r>
              <w:rPr>
                <w:rFonts w:hint="eastAsia" w:ascii="Times New Roman" w:hAnsi="Times New Roman" w:cs="Times New Roman"/>
                <w:spacing w:val="4"/>
                <w:kern w:val="2"/>
                <w:sz w:val="24"/>
                <w:szCs w:val="24"/>
                <w:lang w:eastAsia="zh-CN"/>
              </w:rPr>
              <w:t>cm）水泥稳定砂砾基层。</w:t>
            </w:r>
          </w:p>
          <w:p w14:paraId="2B7E5A02">
            <w:pPr>
              <w:autoSpaceDE/>
              <w:autoSpaceDN/>
              <w:spacing w:line="360" w:lineRule="auto"/>
              <w:ind w:firstLine="498" w:firstLineChars="200"/>
              <w:jc w:val="both"/>
              <w:rPr>
                <w:rFonts w:ascii="Times New Roman" w:hAnsi="Times New Roman" w:cs="Times New Roman"/>
                <w:b/>
                <w:bCs/>
                <w:spacing w:val="4"/>
                <w:kern w:val="2"/>
                <w:sz w:val="24"/>
                <w:szCs w:val="24"/>
                <w:lang w:eastAsia="zh-CN"/>
              </w:rPr>
            </w:pPr>
            <w:r>
              <w:rPr>
                <w:rFonts w:hint="eastAsia" w:ascii="Times New Roman" w:hAnsi="Times New Roman" w:cs="Times New Roman"/>
                <w:b/>
                <w:bCs/>
                <w:spacing w:val="4"/>
                <w:kern w:val="2"/>
                <w:sz w:val="24"/>
                <w:szCs w:val="24"/>
                <w:lang w:eastAsia="zh-CN"/>
              </w:rPr>
              <w:t>3</w:t>
            </w:r>
            <w:r>
              <w:rPr>
                <w:rFonts w:ascii="Times New Roman" w:hAnsi="Times New Roman" w:cs="Times New Roman"/>
                <w:b/>
                <w:bCs/>
                <w:spacing w:val="4"/>
                <w:kern w:val="2"/>
                <w:sz w:val="24"/>
                <w:szCs w:val="24"/>
                <w:lang w:eastAsia="zh-CN"/>
              </w:rPr>
              <w:t xml:space="preserve">.2 </w:t>
            </w:r>
            <w:r>
              <w:rPr>
                <w:rFonts w:hint="eastAsia" w:ascii="Times New Roman" w:hAnsi="Times New Roman" w:cs="Times New Roman"/>
                <w:b/>
                <w:bCs/>
                <w:spacing w:val="4"/>
                <w:kern w:val="2"/>
                <w:sz w:val="24"/>
                <w:szCs w:val="24"/>
                <w:lang w:eastAsia="zh-CN"/>
              </w:rPr>
              <w:t>土石方情况</w:t>
            </w:r>
          </w:p>
          <w:p w14:paraId="294FD45F">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本工程挖方量</w:t>
            </w:r>
            <w:r>
              <w:rPr>
                <w:rFonts w:ascii="Times New Roman" w:hAnsi="Times New Roman" w:cs="Times New Roman"/>
                <w:spacing w:val="4"/>
                <w:kern w:val="2"/>
                <w:sz w:val="24"/>
                <w:szCs w:val="24"/>
                <w:lang w:eastAsia="zh-CN"/>
              </w:rPr>
              <w:t>1964568m</w:t>
            </w:r>
            <w:r>
              <w:rPr>
                <w:rFonts w:ascii="Times New Roman" w:hAnsi="Times New Roman" w:cs="Times New Roman"/>
                <w:spacing w:val="4"/>
                <w:kern w:val="2"/>
                <w:sz w:val="24"/>
                <w:szCs w:val="24"/>
                <w:vertAlign w:val="superscript"/>
                <w:lang w:eastAsia="zh-CN"/>
              </w:rPr>
              <w:t>3</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填方量</w:t>
            </w:r>
            <w:r>
              <w:rPr>
                <w:rFonts w:ascii="Times New Roman" w:hAnsi="Times New Roman" w:cs="Times New Roman"/>
                <w:spacing w:val="4"/>
                <w:kern w:val="2"/>
                <w:sz w:val="24"/>
                <w:szCs w:val="24"/>
                <w:lang w:eastAsia="zh-CN"/>
              </w:rPr>
              <w:t>2288519m</w:t>
            </w:r>
            <w:r>
              <w:rPr>
                <w:rFonts w:ascii="Times New Roman" w:hAnsi="Times New Roman" w:cs="Times New Roman"/>
                <w:spacing w:val="4"/>
                <w:kern w:val="2"/>
                <w:sz w:val="24"/>
                <w:szCs w:val="24"/>
                <w:vertAlign w:val="superscript"/>
                <w:lang w:eastAsia="zh-CN"/>
              </w:rPr>
              <w:t>3</w:t>
            </w:r>
            <w:r>
              <w:rPr>
                <w:rFonts w:ascii="Times New Roman" w:hAnsi="Times New Roman" w:cs="Times New Roman"/>
                <w:spacing w:val="4"/>
                <w:kern w:val="2"/>
                <w:sz w:val="24"/>
                <w:szCs w:val="24"/>
                <w:lang w:eastAsia="zh-CN"/>
              </w:rPr>
              <w:t>，借方量1159162m</w:t>
            </w:r>
            <w:r>
              <w:rPr>
                <w:rFonts w:ascii="Times New Roman" w:hAnsi="Times New Roman" w:cs="Times New Roman"/>
                <w:spacing w:val="4"/>
                <w:kern w:val="2"/>
                <w:sz w:val="24"/>
                <w:szCs w:val="24"/>
                <w:vertAlign w:val="superscript"/>
                <w:lang w:eastAsia="zh-CN"/>
              </w:rPr>
              <w:t>3</w:t>
            </w:r>
            <w:r>
              <w:rPr>
                <w:rFonts w:ascii="Times New Roman" w:hAnsi="Times New Roman" w:cs="Times New Roman"/>
                <w:spacing w:val="4"/>
                <w:kern w:val="2"/>
                <w:sz w:val="24"/>
                <w:szCs w:val="24"/>
                <w:lang w:eastAsia="zh-CN"/>
              </w:rPr>
              <w:t>，弃方量835211m</w:t>
            </w:r>
            <w:r>
              <w:rPr>
                <w:rFonts w:ascii="Times New Roman" w:hAnsi="Times New Roman" w:cs="Times New Roman"/>
                <w:spacing w:val="4"/>
                <w:kern w:val="2"/>
                <w:sz w:val="24"/>
                <w:szCs w:val="24"/>
                <w:vertAlign w:val="superscript"/>
                <w:lang w:eastAsia="zh-CN"/>
              </w:rPr>
              <w:t>3</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本项目土石方平衡情况见图</w:t>
            </w:r>
            <w:r>
              <w:rPr>
                <w:rFonts w:ascii="Times New Roman" w:hAnsi="Times New Roman" w:cs="Times New Roman"/>
                <w:spacing w:val="4"/>
                <w:kern w:val="2"/>
                <w:sz w:val="24"/>
                <w:szCs w:val="24"/>
                <w:lang w:eastAsia="zh-CN"/>
              </w:rPr>
              <w:t>2.3</w:t>
            </w:r>
            <w:r>
              <w:rPr>
                <w:rFonts w:hint="eastAsia" w:ascii="Times New Roman" w:hAnsi="Times New Roman" w:cs="Times New Roman"/>
                <w:spacing w:val="4"/>
                <w:kern w:val="2"/>
                <w:sz w:val="24"/>
                <w:szCs w:val="24"/>
                <w:lang w:eastAsia="zh-CN"/>
              </w:rPr>
              <w:t>。</w:t>
            </w:r>
          </w:p>
          <w:p w14:paraId="76930B96">
            <w:pPr>
              <w:autoSpaceDE/>
              <w:autoSpaceDN/>
              <w:spacing w:line="360" w:lineRule="auto"/>
              <w:jc w:val="center"/>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object>
                <v:shape id="_x0000_i1025" o:spt="75" type="#_x0000_t75" style="height:45pt;width:434.25pt;" o:ole="t" filled="f" o:preferrelative="t" stroked="f" coordsize="21600,21600">
                  <v:path/>
                  <v:fill on="f" focussize="0,0"/>
                  <v:stroke on="f" joinstyle="miter"/>
                  <v:imagedata r:id="rId12" o:title=""/>
                  <o:lock v:ext="edit" aspectratio="t"/>
                  <w10:wrap type="none"/>
                  <w10:anchorlock/>
                </v:shape>
                <o:OLEObject Type="Embed" ProgID="Visio.Drawing.15" ShapeID="_x0000_i1025" DrawAspect="Icon" ObjectID="_1468075725" r:id="rId11">
                  <o:LockedField>false</o:LockedField>
                </o:OLEObject>
              </w:object>
            </w:r>
          </w:p>
          <w:p w14:paraId="023079D9">
            <w:pPr>
              <w:autoSpaceDE/>
              <w:autoSpaceDN/>
              <w:jc w:val="center"/>
              <w:rPr>
                <w:rFonts w:ascii="Times New Roman" w:hAnsi="Times New Roman" w:cs="Times New Roman"/>
                <w:b/>
                <w:bCs/>
                <w:spacing w:val="4"/>
                <w:kern w:val="2"/>
                <w:sz w:val="21"/>
                <w:szCs w:val="21"/>
                <w:lang w:eastAsia="zh-CN"/>
              </w:rPr>
            </w:pPr>
            <w:r>
              <w:rPr>
                <w:rFonts w:ascii="Times New Roman" w:hAnsi="Times New Roman" w:cs="Times New Roman"/>
                <w:b/>
                <w:bCs/>
                <w:spacing w:val="4"/>
                <w:kern w:val="2"/>
                <w:sz w:val="21"/>
                <w:szCs w:val="21"/>
                <w:lang w:eastAsia="zh-CN"/>
              </w:rPr>
              <w:t>图2.3  项目土石方平衡图</w:t>
            </w:r>
          </w:p>
          <w:p w14:paraId="18BF3328">
            <w:pPr>
              <w:autoSpaceDE/>
              <w:autoSpaceDN/>
              <w:jc w:val="center"/>
              <w:rPr>
                <w:rFonts w:ascii="Times New Roman" w:hAnsi="Times New Roman" w:cs="Times New Roman"/>
                <w:spacing w:val="4"/>
                <w:kern w:val="2"/>
                <w:sz w:val="21"/>
                <w:szCs w:val="21"/>
                <w:lang w:eastAsia="zh-CN"/>
              </w:rPr>
            </w:pPr>
          </w:p>
          <w:p w14:paraId="7A1A3748">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本工程具体土石方量见表2</w:t>
            </w:r>
            <w:r>
              <w:rPr>
                <w:rFonts w:ascii="Times New Roman" w:hAnsi="Times New Roman" w:cs="Times New Roman"/>
                <w:spacing w:val="4"/>
                <w:kern w:val="2"/>
                <w:sz w:val="24"/>
                <w:szCs w:val="24"/>
                <w:lang w:eastAsia="zh-CN"/>
              </w:rPr>
              <w:t>.3</w:t>
            </w:r>
            <w:r>
              <w:rPr>
                <w:rFonts w:hint="eastAsia" w:ascii="Times New Roman" w:hAnsi="Times New Roman" w:cs="Times New Roman"/>
                <w:spacing w:val="4"/>
                <w:kern w:val="2"/>
                <w:sz w:val="24"/>
                <w:szCs w:val="24"/>
                <w:lang w:eastAsia="zh-CN"/>
              </w:rPr>
              <w:t>。</w:t>
            </w:r>
          </w:p>
          <w:p w14:paraId="5AC7CD60">
            <w:pPr>
              <w:autoSpaceDE/>
              <w:autoSpaceDN/>
              <w:jc w:val="center"/>
              <w:rPr>
                <w:rFonts w:ascii="Times New Roman" w:hAnsi="Times New Roman" w:cs="Times New Roman"/>
                <w:b/>
                <w:bCs/>
                <w:spacing w:val="4"/>
                <w:kern w:val="2"/>
                <w:sz w:val="21"/>
                <w:szCs w:val="21"/>
                <w:lang w:eastAsia="zh-CN"/>
              </w:rPr>
            </w:pPr>
            <w:r>
              <w:rPr>
                <w:rFonts w:hint="eastAsia" w:ascii="Times New Roman" w:hAnsi="Times New Roman" w:cs="Times New Roman"/>
                <w:b/>
                <w:bCs/>
                <w:spacing w:val="4"/>
                <w:kern w:val="2"/>
                <w:sz w:val="21"/>
                <w:szCs w:val="21"/>
                <w:lang w:eastAsia="zh-CN"/>
              </w:rPr>
              <w:t>表2</w:t>
            </w:r>
            <w:r>
              <w:rPr>
                <w:rFonts w:ascii="Times New Roman" w:hAnsi="Times New Roman" w:cs="Times New Roman"/>
                <w:b/>
                <w:bCs/>
                <w:spacing w:val="4"/>
                <w:kern w:val="2"/>
                <w:sz w:val="21"/>
                <w:szCs w:val="21"/>
                <w:lang w:eastAsia="zh-CN"/>
              </w:rPr>
              <w:t>.3  项目土石方</w:t>
            </w:r>
            <w:r>
              <w:rPr>
                <w:rFonts w:hint="eastAsia" w:ascii="Times New Roman" w:hAnsi="Times New Roman" w:cs="Times New Roman"/>
                <w:b/>
                <w:bCs/>
                <w:spacing w:val="4"/>
                <w:kern w:val="2"/>
                <w:sz w:val="21"/>
                <w:szCs w:val="21"/>
                <w:lang w:eastAsia="zh-CN"/>
              </w:rPr>
              <w:t xml:space="preserve">量一览表 </w:t>
            </w:r>
            <w:r>
              <w:rPr>
                <w:rFonts w:ascii="Times New Roman" w:hAnsi="Times New Roman" w:cs="Times New Roman"/>
                <w:b/>
                <w:bCs/>
                <w:spacing w:val="4"/>
                <w:kern w:val="2"/>
                <w:sz w:val="21"/>
                <w:szCs w:val="21"/>
                <w:lang w:eastAsia="zh-CN"/>
              </w:rPr>
              <w:t xml:space="preserve">   </w:t>
            </w:r>
            <w:r>
              <w:rPr>
                <w:rFonts w:hint="eastAsia" w:ascii="Times New Roman" w:hAnsi="Times New Roman" w:cs="Times New Roman"/>
                <w:b/>
                <w:bCs/>
                <w:spacing w:val="4"/>
                <w:kern w:val="2"/>
                <w:sz w:val="21"/>
                <w:szCs w:val="21"/>
                <w:lang w:eastAsia="zh-CN"/>
              </w:rPr>
              <w:t>单位：m³</w:t>
            </w:r>
          </w:p>
          <w:tbl>
            <w:tblPr>
              <w:tblStyle w:val="11"/>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8"/>
              <w:gridCol w:w="1558"/>
              <w:gridCol w:w="1556"/>
              <w:gridCol w:w="1556"/>
              <w:gridCol w:w="1558"/>
            </w:tblGrid>
            <w:tr w14:paraId="71F7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8050914">
                  <w:pPr>
                    <w:jc w:val="center"/>
                    <w:rPr>
                      <w:rFonts w:ascii="Times New Roman" w:hAnsi="Times New Roman" w:cs="Times New Roman"/>
                      <w:b/>
                      <w:bCs/>
                      <w:spacing w:val="4"/>
                      <w:sz w:val="21"/>
                      <w:szCs w:val="21"/>
                    </w:rPr>
                  </w:pPr>
                  <w:r>
                    <w:rPr>
                      <w:rFonts w:ascii="Times New Roman" w:hAnsi="Times New Roman" w:cs="Times New Roman"/>
                      <w:b/>
                      <w:bCs/>
                      <w:spacing w:val="4"/>
                      <w:sz w:val="21"/>
                      <w:szCs w:val="21"/>
                    </w:rPr>
                    <w:t>桩号</w:t>
                  </w:r>
                </w:p>
              </w:tc>
              <w:tc>
                <w:tcPr>
                  <w:tcW w:w="904" w:type="pct"/>
                  <w:tcBorders>
                    <w:top w:val="single" w:color="auto" w:sz="4" w:space="0"/>
                    <w:left w:val="single" w:color="auto" w:sz="4" w:space="0"/>
                    <w:bottom w:val="single" w:color="auto" w:sz="4" w:space="0"/>
                    <w:right w:val="single" w:color="auto" w:sz="4" w:space="0"/>
                  </w:tcBorders>
                  <w:vAlign w:val="center"/>
                </w:tcPr>
                <w:p w14:paraId="043A1D0F">
                  <w:pPr>
                    <w:jc w:val="center"/>
                    <w:rPr>
                      <w:rFonts w:ascii="Times New Roman" w:hAnsi="Times New Roman" w:cs="Times New Roman"/>
                      <w:b/>
                      <w:bCs/>
                      <w:spacing w:val="4"/>
                      <w:sz w:val="21"/>
                      <w:szCs w:val="21"/>
                    </w:rPr>
                  </w:pPr>
                  <w:r>
                    <w:rPr>
                      <w:rFonts w:ascii="Times New Roman" w:hAnsi="Times New Roman" w:cs="Times New Roman"/>
                      <w:b/>
                      <w:bCs/>
                      <w:spacing w:val="4"/>
                      <w:sz w:val="21"/>
                      <w:szCs w:val="21"/>
                    </w:rPr>
                    <w:t>挖方</w:t>
                  </w:r>
                </w:p>
              </w:tc>
              <w:tc>
                <w:tcPr>
                  <w:tcW w:w="903" w:type="pct"/>
                  <w:tcBorders>
                    <w:top w:val="single" w:color="auto" w:sz="4" w:space="0"/>
                    <w:left w:val="single" w:color="auto" w:sz="4" w:space="0"/>
                    <w:bottom w:val="single" w:color="auto" w:sz="4" w:space="0"/>
                    <w:right w:val="single" w:color="auto" w:sz="4" w:space="0"/>
                  </w:tcBorders>
                  <w:vAlign w:val="center"/>
                </w:tcPr>
                <w:p w14:paraId="4479854B">
                  <w:pPr>
                    <w:jc w:val="center"/>
                    <w:rPr>
                      <w:rFonts w:ascii="Times New Roman" w:hAnsi="Times New Roman" w:cs="Times New Roman"/>
                      <w:b/>
                      <w:bCs/>
                      <w:spacing w:val="4"/>
                      <w:sz w:val="21"/>
                      <w:szCs w:val="21"/>
                    </w:rPr>
                  </w:pPr>
                  <w:r>
                    <w:rPr>
                      <w:rFonts w:ascii="Times New Roman" w:hAnsi="Times New Roman" w:cs="Times New Roman"/>
                      <w:b/>
                      <w:bCs/>
                      <w:spacing w:val="4"/>
                      <w:sz w:val="21"/>
                      <w:szCs w:val="21"/>
                    </w:rPr>
                    <w:t>填方</w:t>
                  </w:r>
                </w:p>
              </w:tc>
              <w:tc>
                <w:tcPr>
                  <w:tcW w:w="903" w:type="pct"/>
                  <w:tcBorders>
                    <w:top w:val="single" w:color="auto" w:sz="4" w:space="0"/>
                    <w:left w:val="single" w:color="auto" w:sz="4" w:space="0"/>
                    <w:bottom w:val="single" w:color="auto" w:sz="4" w:space="0"/>
                    <w:right w:val="single" w:color="auto" w:sz="4" w:space="0"/>
                  </w:tcBorders>
                  <w:vAlign w:val="center"/>
                </w:tcPr>
                <w:p w14:paraId="04FB549C">
                  <w:pPr>
                    <w:jc w:val="center"/>
                    <w:rPr>
                      <w:rFonts w:ascii="Times New Roman" w:hAnsi="Times New Roman" w:cs="Times New Roman"/>
                      <w:b/>
                      <w:bCs/>
                      <w:spacing w:val="4"/>
                      <w:sz w:val="21"/>
                      <w:szCs w:val="21"/>
                    </w:rPr>
                  </w:pPr>
                  <w:r>
                    <w:rPr>
                      <w:rFonts w:ascii="Times New Roman" w:hAnsi="Times New Roman" w:cs="Times New Roman"/>
                      <w:b/>
                      <w:bCs/>
                      <w:spacing w:val="4"/>
                      <w:sz w:val="21"/>
                      <w:szCs w:val="21"/>
                    </w:rPr>
                    <w:t>借方</w:t>
                  </w:r>
                </w:p>
              </w:tc>
              <w:tc>
                <w:tcPr>
                  <w:tcW w:w="904" w:type="pct"/>
                  <w:tcBorders>
                    <w:top w:val="single" w:color="auto" w:sz="4" w:space="0"/>
                    <w:left w:val="single" w:color="auto" w:sz="4" w:space="0"/>
                    <w:bottom w:val="single" w:color="auto" w:sz="4" w:space="0"/>
                    <w:right w:val="single" w:color="auto" w:sz="4" w:space="0"/>
                  </w:tcBorders>
                  <w:vAlign w:val="center"/>
                </w:tcPr>
                <w:p w14:paraId="38E9874A">
                  <w:pPr>
                    <w:jc w:val="center"/>
                    <w:rPr>
                      <w:rFonts w:ascii="Times New Roman" w:hAnsi="Times New Roman" w:cs="Times New Roman"/>
                      <w:b/>
                      <w:bCs/>
                      <w:spacing w:val="4"/>
                      <w:sz w:val="21"/>
                      <w:szCs w:val="21"/>
                    </w:rPr>
                  </w:pPr>
                  <w:r>
                    <w:rPr>
                      <w:rFonts w:ascii="Times New Roman" w:hAnsi="Times New Roman" w:cs="Times New Roman"/>
                      <w:b/>
                      <w:bCs/>
                      <w:spacing w:val="4"/>
                      <w:sz w:val="21"/>
                      <w:szCs w:val="21"/>
                    </w:rPr>
                    <w:t>弃方</w:t>
                  </w:r>
                </w:p>
              </w:tc>
            </w:tr>
            <w:tr w14:paraId="4B46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5107FF4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k37+060~k38+000</w:t>
                  </w:r>
                </w:p>
              </w:tc>
              <w:tc>
                <w:tcPr>
                  <w:tcW w:w="904" w:type="pct"/>
                  <w:tcBorders>
                    <w:top w:val="single" w:color="auto" w:sz="4" w:space="0"/>
                    <w:left w:val="single" w:color="auto" w:sz="4" w:space="0"/>
                    <w:bottom w:val="single" w:color="auto" w:sz="4" w:space="0"/>
                    <w:right w:val="single" w:color="auto" w:sz="4" w:space="0"/>
                  </w:tcBorders>
                  <w:vAlign w:val="bottom"/>
                </w:tcPr>
                <w:p w14:paraId="3ADA66B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763.9 </w:t>
                  </w:r>
                </w:p>
              </w:tc>
              <w:tc>
                <w:tcPr>
                  <w:tcW w:w="903" w:type="pct"/>
                  <w:tcBorders>
                    <w:top w:val="single" w:color="auto" w:sz="4" w:space="0"/>
                    <w:left w:val="single" w:color="auto" w:sz="4" w:space="0"/>
                    <w:bottom w:val="single" w:color="auto" w:sz="4" w:space="0"/>
                    <w:right w:val="single" w:color="auto" w:sz="4" w:space="0"/>
                  </w:tcBorders>
                  <w:vAlign w:val="bottom"/>
                </w:tcPr>
                <w:p w14:paraId="67A385B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20493.9 </w:t>
                  </w:r>
                </w:p>
              </w:tc>
              <w:tc>
                <w:tcPr>
                  <w:tcW w:w="903" w:type="pct"/>
                  <w:tcBorders>
                    <w:top w:val="single" w:color="auto" w:sz="4" w:space="0"/>
                    <w:left w:val="single" w:color="auto" w:sz="4" w:space="0"/>
                    <w:bottom w:val="single" w:color="auto" w:sz="4" w:space="0"/>
                    <w:right w:val="single" w:color="auto" w:sz="4" w:space="0"/>
                  </w:tcBorders>
                  <w:vAlign w:val="bottom"/>
                </w:tcPr>
                <w:p w14:paraId="074CEA3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16212.8 </w:t>
                  </w:r>
                </w:p>
              </w:tc>
              <w:tc>
                <w:tcPr>
                  <w:tcW w:w="904" w:type="pct"/>
                  <w:tcBorders>
                    <w:top w:val="single" w:color="auto" w:sz="4" w:space="0"/>
                    <w:left w:val="single" w:color="auto" w:sz="4" w:space="0"/>
                    <w:bottom w:val="single" w:color="auto" w:sz="4" w:space="0"/>
                    <w:right w:val="single" w:color="auto" w:sz="4" w:space="0"/>
                  </w:tcBorders>
                  <w:vAlign w:val="bottom"/>
                </w:tcPr>
                <w:p w14:paraId="2CC2E13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610.3 </w:t>
                  </w:r>
                </w:p>
              </w:tc>
            </w:tr>
            <w:tr w14:paraId="30C7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6E38BC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k38+000~k39+000</w:t>
                  </w:r>
                </w:p>
              </w:tc>
              <w:tc>
                <w:tcPr>
                  <w:tcW w:w="904" w:type="pct"/>
                  <w:tcBorders>
                    <w:top w:val="single" w:color="auto" w:sz="4" w:space="0"/>
                    <w:left w:val="single" w:color="auto" w:sz="4" w:space="0"/>
                    <w:bottom w:val="single" w:color="auto" w:sz="4" w:space="0"/>
                    <w:right w:val="single" w:color="auto" w:sz="4" w:space="0"/>
                  </w:tcBorders>
                  <w:vAlign w:val="bottom"/>
                </w:tcPr>
                <w:p w14:paraId="4277784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2585.5 </w:t>
                  </w:r>
                </w:p>
              </w:tc>
              <w:tc>
                <w:tcPr>
                  <w:tcW w:w="903" w:type="pct"/>
                  <w:tcBorders>
                    <w:top w:val="single" w:color="auto" w:sz="4" w:space="0"/>
                    <w:left w:val="single" w:color="auto" w:sz="4" w:space="0"/>
                    <w:bottom w:val="single" w:color="auto" w:sz="4" w:space="0"/>
                    <w:right w:val="single" w:color="auto" w:sz="4" w:space="0"/>
                  </w:tcBorders>
                  <w:vAlign w:val="bottom"/>
                </w:tcPr>
                <w:p w14:paraId="7C4D8A0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16794.6 </w:t>
                  </w:r>
                </w:p>
              </w:tc>
              <w:tc>
                <w:tcPr>
                  <w:tcW w:w="903" w:type="pct"/>
                  <w:tcBorders>
                    <w:top w:val="single" w:color="auto" w:sz="4" w:space="0"/>
                    <w:left w:val="single" w:color="auto" w:sz="4" w:space="0"/>
                    <w:bottom w:val="single" w:color="auto" w:sz="4" w:space="0"/>
                    <w:right w:val="single" w:color="auto" w:sz="4" w:space="0"/>
                  </w:tcBorders>
                  <w:vAlign w:val="bottom"/>
                </w:tcPr>
                <w:p w14:paraId="45B58A7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13286.3 </w:t>
                  </w:r>
                </w:p>
              </w:tc>
              <w:tc>
                <w:tcPr>
                  <w:tcW w:w="904" w:type="pct"/>
                  <w:tcBorders>
                    <w:top w:val="single" w:color="auto" w:sz="4" w:space="0"/>
                    <w:left w:val="single" w:color="auto" w:sz="4" w:space="0"/>
                    <w:bottom w:val="single" w:color="auto" w:sz="4" w:space="0"/>
                    <w:right w:val="single" w:color="auto" w:sz="4" w:space="0"/>
                  </w:tcBorders>
                  <w:vAlign w:val="bottom"/>
                </w:tcPr>
                <w:p w14:paraId="608D88D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2065.5 </w:t>
                  </w:r>
                </w:p>
              </w:tc>
            </w:tr>
            <w:tr w14:paraId="4D0F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DCF3F6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k39+000~k40+000</w:t>
                  </w:r>
                </w:p>
              </w:tc>
              <w:tc>
                <w:tcPr>
                  <w:tcW w:w="904" w:type="pct"/>
                  <w:tcBorders>
                    <w:top w:val="single" w:color="auto" w:sz="4" w:space="0"/>
                    <w:left w:val="single" w:color="auto" w:sz="4" w:space="0"/>
                    <w:bottom w:val="single" w:color="auto" w:sz="4" w:space="0"/>
                    <w:right w:val="single" w:color="auto" w:sz="4" w:space="0"/>
                  </w:tcBorders>
                  <w:vAlign w:val="bottom"/>
                </w:tcPr>
                <w:p w14:paraId="42C05D7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3895.7 </w:t>
                  </w:r>
                </w:p>
              </w:tc>
              <w:tc>
                <w:tcPr>
                  <w:tcW w:w="903" w:type="pct"/>
                  <w:tcBorders>
                    <w:top w:val="single" w:color="auto" w:sz="4" w:space="0"/>
                    <w:left w:val="single" w:color="auto" w:sz="4" w:space="0"/>
                    <w:bottom w:val="single" w:color="auto" w:sz="4" w:space="0"/>
                    <w:right w:val="single" w:color="auto" w:sz="4" w:space="0"/>
                  </w:tcBorders>
                  <w:vAlign w:val="bottom"/>
                </w:tcPr>
                <w:p w14:paraId="68CF3CA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15415.3 </w:t>
                  </w:r>
                </w:p>
              </w:tc>
              <w:tc>
                <w:tcPr>
                  <w:tcW w:w="903" w:type="pct"/>
                  <w:tcBorders>
                    <w:top w:val="single" w:color="auto" w:sz="4" w:space="0"/>
                    <w:left w:val="single" w:color="auto" w:sz="4" w:space="0"/>
                    <w:bottom w:val="single" w:color="auto" w:sz="4" w:space="0"/>
                    <w:right w:val="single" w:color="auto" w:sz="4" w:space="0"/>
                  </w:tcBorders>
                  <w:vAlign w:val="bottom"/>
                </w:tcPr>
                <w:p w14:paraId="7157C8D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12195.1 </w:t>
                  </w:r>
                </w:p>
              </w:tc>
              <w:tc>
                <w:tcPr>
                  <w:tcW w:w="904" w:type="pct"/>
                  <w:tcBorders>
                    <w:top w:val="single" w:color="auto" w:sz="4" w:space="0"/>
                    <w:left w:val="single" w:color="auto" w:sz="4" w:space="0"/>
                    <w:bottom w:val="single" w:color="auto" w:sz="4" w:space="0"/>
                    <w:right w:val="single" w:color="auto" w:sz="4" w:space="0"/>
                  </w:tcBorders>
                  <w:vAlign w:val="bottom"/>
                </w:tcPr>
                <w:p w14:paraId="4FC17E1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3112.1 </w:t>
                  </w:r>
                </w:p>
              </w:tc>
            </w:tr>
            <w:tr w14:paraId="35D6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F15FB8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k40+000~k41+000</w:t>
                  </w:r>
                </w:p>
              </w:tc>
              <w:tc>
                <w:tcPr>
                  <w:tcW w:w="904" w:type="pct"/>
                  <w:tcBorders>
                    <w:top w:val="single" w:color="auto" w:sz="4" w:space="0"/>
                    <w:left w:val="single" w:color="auto" w:sz="4" w:space="0"/>
                    <w:bottom w:val="single" w:color="auto" w:sz="4" w:space="0"/>
                    <w:right w:val="single" w:color="auto" w:sz="4" w:space="0"/>
                  </w:tcBorders>
                  <w:vAlign w:val="bottom"/>
                </w:tcPr>
                <w:p w14:paraId="395E8A1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19668.3 </w:t>
                  </w:r>
                </w:p>
              </w:tc>
              <w:tc>
                <w:tcPr>
                  <w:tcW w:w="903" w:type="pct"/>
                  <w:tcBorders>
                    <w:top w:val="single" w:color="auto" w:sz="4" w:space="0"/>
                    <w:left w:val="single" w:color="auto" w:sz="4" w:space="0"/>
                    <w:bottom w:val="single" w:color="auto" w:sz="4" w:space="0"/>
                    <w:right w:val="single" w:color="auto" w:sz="4" w:space="0"/>
                  </w:tcBorders>
                  <w:vAlign w:val="bottom"/>
                </w:tcPr>
                <w:p w14:paraId="7AE3479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21690.9 </w:t>
                  </w:r>
                </w:p>
              </w:tc>
              <w:tc>
                <w:tcPr>
                  <w:tcW w:w="903" w:type="pct"/>
                  <w:tcBorders>
                    <w:top w:val="single" w:color="auto" w:sz="4" w:space="0"/>
                    <w:left w:val="single" w:color="auto" w:sz="4" w:space="0"/>
                    <w:bottom w:val="single" w:color="auto" w:sz="4" w:space="0"/>
                    <w:right w:val="single" w:color="auto" w:sz="4" w:space="0"/>
                  </w:tcBorders>
                  <w:vAlign w:val="bottom"/>
                </w:tcPr>
                <w:p w14:paraId="7C3DC25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17159.9 </w:t>
                  </w:r>
                </w:p>
              </w:tc>
              <w:tc>
                <w:tcPr>
                  <w:tcW w:w="904" w:type="pct"/>
                  <w:tcBorders>
                    <w:top w:val="single" w:color="auto" w:sz="4" w:space="0"/>
                    <w:left w:val="single" w:color="auto" w:sz="4" w:space="0"/>
                    <w:bottom w:val="single" w:color="auto" w:sz="4" w:space="0"/>
                    <w:right w:val="single" w:color="auto" w:sz="4" w:space="0"/>
                  </w:tcBorders>
                  <w:vAlign w:val="bottom"/>
                </w:tcPr>
                <w:p w14:paraId="6855923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15712.0 </w:t>
                  </w:r>
                </w:p>
              </w:tc>
            </w:tr>
            <w:tr w14:paraId="138C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A8C284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k41+000~k42+000</w:t>
                  </w:r>
                </w:p>
              </w:tc>
              <w:tc>
                <w:tcPr>
                  <w:tcW w:w="904" w:type="pct"/>
                  <w:tcBorders>
                    <w:top w:val="single" w:color="auto" w:sz="4" w:space="0"/>
                    <w:left w:val="single" w:color="auto" w:sz="4" w:space="0"/>
                    <w:bottom w:val="single" w:color="auto" w:sz="4" w:space="0"/>
                    <w:right w:val="single" w:color="auto" w:sz="4" w:space="0"/>
                  </w:tcBorders>
                  <w:vAlign w:val="bottom"/>
                </w:tcPr>
                <w:p w14:paraId="6DF2177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7810.7 </w:t>
                  </w:r>
                </w:p>
              </w:tc>
              <w:tc>
                <w:tcPr>
                  <w:tcW w:w="903" w:type="pct"/>
                  <w:tcBorders>
                    <w:top w:val="single" w:color="auto" w:sz="4" w:space="0"/>
                    <w:left w:val="single" w:color="auto" w:sz="4" w:space="0"/>
                    <w:bottom w:val="single" w:color="auto" w:sz="4" w:space="0"/>
                    <w:right w:val="single" w:color="auto" w:sz="4" w:space="0"/>
                  </w:tcBorders>
                  <w:vAlign w:val="bottom"/>
                </w:tcPr>
                <w:p w14:paraId="7B7B0AD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15625.9 </w:t>
                  </w:r>
                </w:p>
              </w:tc>
              <w:tc>
                <w:tcPr>
                  <w:tcW w:w="903" w:type="pct"/>
                  <w:tcBorders>
                    <w:top w:val="single" w:color="auto" w:sz="4" w:space="0"/>
                    <w:left w:val="single" w:color="auto" w:sz="4" w:space="0"/>
                    <w:bottom w:val="single" w:color="auto" w:sz="4" w:space="0"/>
                    <w:right w:val="single" w:color="auto" w:sz="4" w:space="0"/>
                  </w:tcBorders>
                  <w:vAlign w:val="bottom"/>
                </w:tcPr>
                <w:p w14:paraId="3A5AE4F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12361.8 </w:t>
                  </w:r>
                </w:p>
              </w:tc>
              <w:tc>
                <w:tcPr>
                  <w:tcW w:w="904" w:type="pct"/>
                  <w:tcBorders>
                    <w:top w:val="single" w:color="auto" w:sz="4" w:space="0"/>
                    <w:left w:val="single" w:color="auto" w:sz="4" w:space="0"/>
                    <w:bottom w:val="single" w:color="auto" w:sz="4" w:space="0"/>
                    <w:right w:val="single" w:color="auto" w:sz="4" w:space="0"/>
                  </w:tcBorders>
                  <w:vAlign w:val="bottom"/>
                </w:tcPr>
                <w:p w14:paraId="4C0FC1D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6239.5 </w:t>
                  </w:r>
                </w:p>
              </w:tc>
            </w:tr>
            <w:tr w14:paraId="4F75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FEFE92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k42+000~k43+000</w:t>
                  </w:r>
                </w:p>
              </w:tc>
              <w:tc>
                <w:tcPr>
                  <w:tcW w:w="904" w:type="pct"/>
                  <w:tcBorders>
                    <w:top w:val="single" w:color="auto" w:sz="4" w:space="0"/>
                    <w:left w:val="single" w:color="auto" w:sz="4" w:space="0"/>
                    <w:bottom w:val="single" w:color="auto" w:sz="4" w:space="0"/>
                    <w:right w:val="single" w:color="auto" w:sz="4" w:space="0"/>
                  </w:tcBorders>
                  <w:vAlign w:val="bottom"/>
                </w:tcPr>
                <w:p w14:paraId="51D1444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626.6 </w:t>
                  </w:r>
                </w:p>
              </w:tc>
              <w:tc>
                <w:tcPr>
                  <w:tcW w:w="903" w:type="pct"/>
                  <w:tcBorders>
                    <w:top w:val="single" w:color="auto" w:sz="4" w:space="0"/>
                    <w:left w:val="single" w:color="auto" w:sz="4" w:space="0"/>
                    <w:bottom w:val="single" w:color="auto" w:sz="4" w:space="0"/>
                    <w:right w:val="single" w:color="auto" w:sz="4" w:space="0"/>
                  </w:tcBorders>
                  <w:vAlign w:val="bottom"/>
                </w:tcPr>
                <w:p w14:paraId="64363FD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11569.4 </w:t>
                  </w:r>
                </w:p>
              </w:tc>
              <w:tc>
                <w:tcPr>
                  <w:tcW w:w="903" w:type="pct"/>
                  <w:tcBorders>
                    <w:top w:val="single" w:color="auto" w:sz="4" w:space="0"/>
                    <w:left w:val="single" w:color="auto" w:sz="4" w:space="0"/>
                    <w:bottom w:val="single" w:color="auto" w:sz="4" w:space="0"/>
                    <w:right w:val="single" w:color="auto" w:sz="4" w:space="0"/>
                  </w:tcBorders>
                  <w:vAlign w:val="bottom"/>
                </w:tcPr>
                <w:p w14:paraId="103B532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9152.6 </w:t>
                  </w:r>
                </w:p>
              </w:tc>
              <w:tc>
                <w:tcPr>
                  <w:tcW w:w="904" w:type="pct"/>
                  <w:tcBorders>
                    <w:top w:val="single" w:color="auto" w:sz="4" w:space="0"/>
                    <w:left w:val="single" w:color="auto" w:sz="4" w:space="0"/>
                    <w:bottom w:val="single" w:color="auto" w:sz="4" w:space="0"/>
                    <w:right w:val="single" w:color="auto" w:sz="4" w:space="0"/>
                  </w:tcBorders>
                  <w:vAlign w:val="bottom"/>
                </w:tcPr>
                <w:p w14:paraId="4EF2B0C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500.5 </w:t>
                  </w:r>
                </w:p>
              </w:tc>
            </w:tr>
            <w:tr w14:paraId="3917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993AE8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k43+000~k44+000</w:t>
                  </w:r>
                </w:p>
              </w:tc>
              <w:tc>
                <w:tcPr>
                  <w:tcW w:w="904" w:type="pct"/>
                  <w:tcBorders>
                    <w:top w:val="single" w:color="auto" w:sz="4" w:space="0"/>
                    <w:left w:val="single" w:color="auto" w:sz="4" w:space="0"/>
                    <w:bottom w:val="single" w:color="auto" w:sz="4" w:space="0"/>
                    <w:right w:val="single" w:color="auto" w:sz="4" w:space="0"/>
                  </w:tcBorders>
                  <w:vAlign w:val="bottom"/>
                </w:tcPr>
                <w:p w14:paraId="619C509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7305.8 </w:t>
                  </w:r>
                </w:p>
              </w:tc>
              <w:tc>
                <w:tcPr>
                  <w:tcW w:w="903" w:type="pct"/>
                  <w:tcBorders>
                    <w:top w:val="single" w:color="auto" w:sz="4" w:space="0"/>
                    <w:left w:val="single" w:color="auto" w:sz="4" w:space="0"/>
                    <w:bottom w:val="single" w:color="auto" w:sz="4" w:space="0"/>
                    <w:right w:val="single" w:color="auto" w:sz="4" w:space="0"/>
                  </w:tcBorders>
                  <w:vAlign w:val="bottom"/>
                </w:tcPr>
                <w:p w14:paraId="44CD2E0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15481.3 </w:t>
                  </w:r>
                </w:p>
              </w:tc>
              <w:tc>
                <w:tcPr>
                  <w:tcW w:w="903" w:type="pct"/>
                  <w:tcBorders>
                    <w:top w:val="single" w:color="auto" w:sz="4" w:space="0"/>
                    <w:left w:val="single" w:color="auto" w:sz="4" w:space="0"/>
                    <w:bottom w:val="single" w:color="auto" w:sz="4" w:space="0"/>
                    <w:right w:val="single" w:color="auto" w:sz="4" w:space="0"/>
                  </w:tcBorders>
                  <w:vAlign w:val="bottom"/>
                </w:tcPr>
                <w:p w14:paraId="0E6C066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12247.4 </w:t>
                  </w:r>
                </w:p>
              </w:tc>
              <w:tc>
                <w:tcPr>
                  <w:tcW w:w="904" w:type="pct"/>
                  <w:tcBorders>
                    <w:top w:val="single" w:color="auto" w:sz="4" w:space="0"/>
                    <w:left w:val="single" w:color="auto" w:sz="4" w:space="0"/>
                    <w:bottom w:val="single" w:color="auto" w:sz="4" w:space="0"/>
                    <w:right w:val="single" w:color="auto" w:sz="4" w:space="0"/>
                  </w:tcBorders>
                  <w:vAlign w:val="bottom"/>
                </w:tcPr>
                <w:p w14:paraId="613E964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5836.2 </w:t>
                  </w:r>
                </w:p>
              </w:tc>
            </w:tr>
            <w:tr w14:paraId="3136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809286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k44+000~k45+000</w:t>
                  </w:r>
                </w:p>
              </w:tc>
              <w:tc>
                <w:tcPr>
                  <w:tcW w:w="904" w:type="pct"/>
                  <w:tcBorders>
                    <w:top w:val="single" w:color="auto" w:sz="4" w:space="0"/>
                    <w:left w:val="single" w:color="auto" w:sz="4" w:space="0"/>
                    <w:bottom w:val="single" w:color="auto" w:sz="4" w:space="0"/>
                    <w:right w:val="single" w:color="auto" w:sz="4" w:space="0"/>
                  </w:tcBorders>
                  <w:vAlign w:val="bottom"/>
                </w:tcPr>
                <w:p w14:paraId="4260D3D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2217.4 </w:t>
                  </w:r>
                </w:p>
              </w:tc>
              <w:tc>
                <w:tcPr>
                  <w:tcW w:w="903" w:type="pct"/>
                  <w:tcBorders>
                    <w:top w:val="single" w:color="auto" w:sz="4" w:space="0"/>
                    <w:left w:val="single" w:color="auto" w:sz="4" w:space="0"/>
                    <w:bottom w:val="single" w:color="auto" w:sz="4" w:space="0"/>
                    <w:right w:val="single" w:color="auto" w:sz="4" w:space="0"/>
                  </w:tcBorders>
                  <w:vAlign w:val="bottom"/>
                </w:tcPr>
                <w:p w14:paraId="17AB845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18992.9 </w:t>
                  </w:r>
                </w:p>
              </w:tc>
              <w:tc>
                <w:tcPr>
                  <w:tcW w:w="903" w:type="pct"/>
                  <w:tcBorders>
                    <w:top w:val="single" w:color="auto" w:sz="4" w:space="0"/>
                    <w:left w:val="single" w:color="auto" w:sz="4" w:space="0"/>
                    <w:bottom w:val="single" w:color="auto" w:sz="4" w:space="0"/>
                    <w:right w:val="single" w:color="auto" w:sz="4" w:space="0"/>
                  </w:tcBorders>
                  <w:vAlign w:val="bottom"/>
                </w:tcPr>
                <w:p w14:paraId="2A01086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15025.4 </w:t>
                  </w:r>
                </w:p>
              </w:tc>
              <w:tc>
                <w:tcPr>
                  <w:tcW w:w="904" w:type="pct"/>
                  <w:tcBorders>
                    <w:top w:val="single" w:color="auto" w:sz="4" w:space="0"/>
                    <w:left w:val="single" w:color="auto" w:sz="4" w:space="0"/>
                    <w:bottom w:val="single" w:color="auto" w:sz="4" w:space="0"/>
                    <w:right w:val="single" w:color="auto" w:sz="4" w:space="0"/>
                  </w:tcBorders>
                  <w:vAlign w:val="bottom"/>
                </w:tcPr>
                <w:p w14:paraId="04AB0DA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1771.4 </w:t>
                  </w:r>
                </w:p>
              </w:tc>
            </w:tr>
            <w:tr w14:paraId="69AD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521153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k45+000~k46+000</w:t>
                  </w:r>
                </w:p>
              </w:tc>
              <w:tc>
                <w:tcPr>
                  <w:tcW w:w="904" w:type="pct"/>
                  <w:tcBorders>
                    <w:top w:val="single" w:color="auto" w:sz="4" w:space="0"/>
                    <w:left w:val="single" w:color="auto" w:sz="4" w:space="0"/>
                    <w:bottom w:val="single" w:color="auto" w:sz="4" w:space="0"/>
                    <w:right w:val="single" w:color="auto" w:sz="4" w:space="0"/>
                  </w:tcBorders>
                  <w:vAlign w:val="bottom"/>
                </w:tcPr>
                <w:p w14:paraId="01386CB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3355.6 </w:t>
                  </w:r>
                </w:p>
              </w:tc>
              <w:tc>
                <w:tcPr>
                  <w:tcW w:w="903" w:type="pct"/>
                  <w:tcBorders>
                    <w:top w:val="single" w:color="auto" w:sz="4" w:space="0"/>
                    <w:left w:val="single" w:color="auto" w:sz="4" w:space="0"/>
                    <w:bottom w:val="single" w:color="auto" w:sz="4" w:space="0"/>
                    <w:right w:val="single" w:color="auto" w:sz="4" w:space="0"/>
                  </w:tcBorders>
                  <w:vAlign w:val="bottom"/>
                </w:tcPr>
                <w:p w14:paraId="6CAFCB7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25472.9 </w:t>
                  </w:r>
                </w:p>
              </w:tc>
              <w:tc>
                <w:tcPr>
                  <w:tcW w:w="903" w:type="pct"/>
                  <w:tcBorders>
                    <w:top w:val="single" w:color="auto" w:sz="4" w:space="0"/>
                    <w:left w:val="single" w:color="auto" w:sz="4" w:space="0"/>
                    <w:bottom w:val="single" w:color="auto" w:sz="4" w:space="0"/>
                    <w:right w:val="single" w:color="auto" w:sz="4" w:space="0"/>
                  </w:tcBorders>
                  <w:vAlign w:val="bottom"/>
                </w:tcPr>
                <w:p w14:paraId="2F1CD73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20151.8 </w:t>
                  </w:r>
                </w:p>
              </w:tc>
              <w:tc>
                <w:tcPr>
                  <w:tcW w:w="904" w:type="pct"/>
                  <w:tcBorders>
                    <w:top w:val="single" w:color="auto" w:sz="4" w:space="0"/>
                    <w:left w:val="single" w:color="auto" w:sz="4" w:space="0"/>
                    <w:bottom w:val="single" w:color="auto" w:sz="4" w:space="0"/>
                    <w:right w:val="single" w:color="auto" w:sz="4" w:space="0"/>
                  </w:tcBorders>
                  <w:vAlign w:val="bottom"/>
                </w:tcPr>
                <w:p w14:paraId="007A2A1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2680.6 </w:t>
                  </w:r>
                </w:p>
              </w:tc>
            </w:tr>
            <w:tr w14:paraId="61C1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7DD7CF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k46+000~k47+000</w:t>
                  </w:r>
                </w:p>
              </w:tc>
              <w:tc>
                <w:tcPr>
                  <w:tcW w:w="904" w:type="pct"/>
                  <w:tcBorders>
                    <w:top w:val="single" w:color="auto" w:sz="4" w:space="0"/>
                    <w:left w:val="single" w:color="auto" w:sz="4" w:space="0"/>
                    <w:bottom w:val="single" w:color="auto" w:sz="4" w:space="0"/>
                    <w:right w:val="single" w:color="auto" w:sz="4" w:space="0"/>
                  </w:tcBorders>
                  <w:vAlign w:val="bottom"/>
                </w:tcPr>
                <w:p w14:paraId="470F324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4784.8 </w:t>
                  </w:r>
                </w:p>
              </w:tc>
              <w:tc>
                <w:tcPr>
                  <w:tcW w:w="903" w:type="pct"/>
                  <w:tcBorders>
                    <w:top w:val="single" w:color="auto" w:sz="4" w:space="0"/>
                    <w:left w:val="single" w:color="auto" w:sz="4" w:space="0"/>
                    <w:bottom w:val="single" w:color="auto" w:sz="4" w:space="0"/>
                    <w:right w:val="single" w:color="auto" w:sz="4" w:space="0"/>
                  </w:tcBorders>
                  <w:vAlign w:val="bottom"/>
                </w:tcPr>
                <w:p w14:paraId="2D09540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19166.3 </w:t>
                  </w:r>
                </w:p>
              </w:tc>
              <w:tc>
                <w:tcPr>
                  <w:tcW w:w="903" w:type="pct"/>
                  <w:tcBorders>
                    <w:top w:val="single" w:color="auto" w:sz="4" w:space="0"/>
                    <w:left w:val="single" w:color="auto" w:sz="4" w:space="0"/>
                    <w:bottom w:val="single" w:color="auto" w:sz="4" w:space="0"/>
                    <w:right w:val="single" w:color="auto" w:sz="4" w:space="0"/>
                  </w:tcBorders>
                  <w:vAlign w:val="bottom"/>
                </w:tcPr>
                <w:p w14:paraId="59E9F9F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15162.6 </w:t>
                  </w:r>
                </w:p>
              </w:tc>
              <w:tc>
                <w:tcPr>
                  <w:tcW w:w="904" w:type="pct"/>
                  <w:tcBorders>
                    <w:top w:val="single" w:color="auto" w:sz="4" w:space="0"/>
                    <w:left w:val="single" w:color="auto" w:sz="4" w:space="0"/>
                    <w:bottom w:val="single" w:color="auto" w:sz="4" w:space="0"/>
                    <w:right w:val="single" w:color="auto" w:sz="4" w:space="0"/>
                  </w:tcBorders>
                  <w:vAlign w:val="bottom"/>
                </w:tcPr>
                <w:p w14:paraId="00268B7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3822.3 </w:t>
                  </w:r>
                </w:p>
              </w:tc>
            </w:tr>
            <w:tr w14:paraId="1594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8C7240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k47+000~k48+000</w:t>
                  </w:r>
                </w:p>
              </w:tc>
              <w:tc>
                <w:tcPr>
                  <w:tcW w:w="904" w:type="pct"/>
                  <w:tcBorders>
                    <w:top w:val="single" w:color="auto" w:sz="4" w:space="0"/>
                    <w:left w:val="single" w:color="auto" w:sz="4" w:space="0"/>
                    <w:bottom w:val="single" w:color="auto" w:sz="4" w:space="0"/>
                    <w:right w:val="single" w:color="auto" w:sz="4" w:space="0"/>
                  </w:tcBorders>
                  <w:vAlign w:val="bottom"/>
                </w:tcPr>
                <w:p w14:paraId="3ABD8C1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1230.1 </w:t>
                  </w:r>
                </w:p>
              </w:tc>
              <w:tc>
                <w:tcPr>
                  <w:tcW w:w="903" w:type="pct"/>
                  <w:tcBorders>
                    <w:top w:val="single" w:color="auto" w:sz="4" w:space="0"/>
                    <w:left w:val="single" w:color="auto" w:sz="4" w:space="0"/>
                    <w:bottom w:val="single" w:color="auto" w:sz="4" w:space="0"/>
                    <w:right w:val="single" w:color="auto" w:sz="4" w:space="0"/>
                  </w:tcBorders>
                  <w:vAlign w:val="bottom"/>
                </w:tcPr>
                <w:p w14:paraId="14B411A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13011.7 </w:t>
                  </w:r>
                </w:p>
              </w:tc>
              <w:tc>
                <w:tcPr>
                  <w:tcW w:w="903" w:type="pct"/>
                  <w:tcBorders>
                    <w:top w:val="single" w:color="auto" w:sz="4" w:space="0"/>
                    <w:left w:val="single" w:color="auto" w:sz="4" w:space="0"/>
                    <w:bottom w:val="single" w:color="auto" w:sz="4" w:space="0"/>
                    <w:right w:val="single" w:color="auto" w:sz="4" w:space="0"/>
                  </w:tcBorders>
                  <w:vAlign w:val="bottom"/>
                </w:tcPr>
                <w:p w14:paraId="5B159EC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10293.6 </w:t>
                  </w:r>
                </w:p>
              </w:tc>
              <w:tc>
                <w:tcPr>
                  <w:tcW w:w="904" w:type="pct"/>
                  <w:tcBorders>
                    <w:top w:val="single" w:color="auto" w:sz="4" w:space="0"/>
                    <w:left w:val="single" w:color="auto" w:sz="4" w:space="0"/>
                    <w:bottom w:val="single" w:color="auto" w:sz="4" w:space="0"/>
                    <w:right w:val="single" w:color="auto" w:sz="4" w:space="0"/>
                  </w:tcBorders>
                  <w:vAlign w:val="bottom"/>
                </w:tcPr>
                <w:p w14:paraId="6778850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982.7 </w:t>
                  </w:r>
                </w:p>
              </w:tc>
            </w:tr>
            <w:tr w14:paraId="1A2A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7B8037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k48+000~k49+000</w:t>
                  </w:r>
                </w:p>
              </w:tc>
              <w:tc>
                <w:tcPr>
                  <w:tcW w:w="904" w:type="pct"/>
                  <w:tcBorders>
                    <w:top w:val="single" w:color="auto" w:sz="4" w:space="0"/>
                    <w:left w:val="single" w:color="auto" w:sz="4" w:space="0"/>
                    <w:bottom w:val="single" w:color="auto" w:sz="4" w:space="0"/>
                    <w:right w:val="single" w:color="auto" w:sz="4" w:space="0"/>
                  </w:tcBorders>
                  <w:vAlign w:val="bottom"/>
                </w:tcPr>
                <w:p w14:paraId="3969387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761.4 </w:t>
                  </w:r>
                </w:p>
              </w:tc>
              <w:tc>
                <w:tcPr>
                  <w:tcW w:w="903" w:type="pct"/>
                  <w:tcBorders>
                    <w:top w:val="single" w:color="auto" w:sz="4" w:space="0"/>
                    <w:left w:val="single" w:color="auto" w:sz="4" w:space="0"/>
                    <w:bottom w:val="single" w:color="auto" w:sz="4" w:space="0"/>
                    <w:right w:val="single" w:color="auto" w:sz="4" w:space="0"/>
                  </w:tcBorders>
                  <w:vAlign w:val="bottom"/>
                </w:tcPr>
                <w:p w14:paraId="14A7A6A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14491.1 </w:t>
                  </w:r>
                </w:p>
              </w:tc>
              <w:tc>
                <w:tcPr>
                  <w:tcW w:w="903" w:type="pct"/>
                  <w:tcBorders>
                    <w:top w:val="single" w:color="auto" w:sz="4" w:space="0"/>
                    <w:left w:val="single" w:color="auto" w:sz="4" w:space="0"/>
                    <w:bottom w:val="single" w:color="auto" w:sz="4" w:space="0"/>
                    <w:right w:val="single" w:color="auto" w:sz="4" w:space="0"/>
                  </w:tcBorders>
                  <w:vAlign w:val="bottom"/>
                </w:tcPr>
                <w:p w14:paraId="7EB095A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11464.1 </w:t>
                  </w:r>
                </w:p>
              </w:tc>
              <w:tc>
                <w:tcPr>
                  <w:tcW w:w="904" w:type="pct"/>
                  <w:tcBorders>
                    <w:top w:val="single" w:color="auto" w:sz="4" w:space="0"/>
                    <w:left w:val="single" w:color="auto" w:sz="4" w:space="0"/>
                    <w:bottom w:val="single" w:color="auto" w:sz="4" w:space="0"/>
                    <w:right w:val="single" w:color="auto" w:sz="4" w:space="0"/>
                  </w:tcBorders>
                  <w:vAlign w:val="bottom"/>
                </w:tcPr>
                <w:p w14:paraId="576A0AB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608.2 </w:t>
                  </w:r>
                </w:p>
              </w:tc>
            </w:tr>
            <w:tr w14:paraId="55CD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105563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k49+000~k50+000</w:t>
                  </w:r>
                </w:p>
              </w:tc>
              <w:tc>
                <w:tcPr>
                  <w:tcW w:w="904" w:type="pct"/>
                  <w:tcBorders>
                    <w:top w:val="single" w:color="auto" w:sz="4" w:space="0"/>
                    <w:left w:val="single" w:color="auto" w:sz="4" w:space="0"/>
                    <w:bottom w:val="single" w:color="auto" w:sz="4" w:space="0"/>
                    <w:right w:val="single" w:color="auto" w:sz="4" w:space="0"/>
                  </w:tcBorders>
                  <w:vAlign w:val="bottom"/>
                </w:tcPr>
                <w:p w14:paraId="24CA2FD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2130.7 </w:t>
                  </w:r>
                </w:p>
              </w:tc>
              <w:tc>
                <w:tcPr>
                  <w:tcW w:w="903" w:type="pct"/>
                  <w:tcBorders>
                    <w:top w:val="single" w:color="auto" w:sz="4" w:space="0"/>
                    <w:left w:val="single" w:color="auto" w:sz="4" w:space="0"/>
                    <w:bottom w:val="single" w:color="auto" w:sz="4" w:space="0"/>
                    <w:right w:val="single" w:color="auto" w:sz="4" w:space="0"/>
                  </w:tcBorders>
                  <w:vAlign w:val="bottom"/>
                </w:tcPr>
                <w:p w14:paraId="7B9AF29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13339.0 </w:t>
                  </w:r>
                </w:p>
              </w:tc>
              <w:tc>
                <w:tcPr>
                  <w:tcW w:w="903" w:type="pct"/>
                  <w:tcBorders>
                    <w:top w:val="single" w:color="auto" w:sz="4" w:space="0"/>
                    <w:left w:val="single" w:color="auto" w:sz="4" w:space="0"/>
                    <w:bottom w:val="single" w:color="auto" w:sz="4" w:space="0"/>
                    <w:right w:val="single" w:color="auto" w:sz="4" w:space="0"/>
                  </w:tcBorders>
                  <w:vAlign w:val="bottom"/>
                </w:tcPr>
                <w:p w14:paraId="025AA69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10552.5 </w:t>
                  </w:r>
                </w:p>
              </w:tc>
              <w:tc>
                <w:tcPr>
                  <w:tcW w:w="904" w:type="pct"/>
                  <w:tcBorders>
                    <w:top w:val="single" w:color="auto" w:sz="4" w:space="0"/>
                    <w:left w:val="single" w:color="auto" w:sz="4" w:space="0"/>
                    <w:bottom w:val="single" w:color="auto" w:sz="4" w:space="0"/>
                    <w:right w:val="single" w:color="auto" w:sz="4" w:space="0"/>
                  </w:tcBorders>
                  <w:vAlign w:val="bottom"/>
                </w:tcPr>
                <w:p w14:paraId="6AB5A6D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1702.1 </w:t>
                  </w:r>
                </w:p>
              </w:tc>
            </w:tr>
            <w:tr w14:paraId="59BD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5635AB0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k50+000~k51+000</w:t>
                  </w:r>
                </w:p>
              </w:tc>
              <w:tc>
                <w:tcPr>
                  <w:tcW w:w="904" w:type="pct"/>
                  <w:tcBorders>
                    <w:top w:val="single" w:color="auto" w:sz="4" w:space="0"/>
                    <w:left w:val="single" w:color="auto" w:sz="4" w:space="0"/>
                    <w:bottom w:val="single" w:color="auto" w:sz="4" w:space="0"/>
                    <w:right w:val="single" w:color="auto" w:sz="4" w:space="0"/>
                  </w:tcBorders>
                  <w:vAlign w:val="bottom"/>
                </w:tcPr>
                <w:p w14:paraId="63F013B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2643.7 </w:t>
                  </w:r>
                </w:p>
              </w:tc>
              <w:tc>
                <w:tcPr>
                  <w:tcW w:w="903" w:type="pct"/>
                  <w:tcBorders>
                    <w:top w:val="single" w:color="auto" w:sz="4" w:space="0"/>
                    <w:left w:val="single" w:color="auto" w:sz="4" w:space="0"/>
                    <w:bottom w:val="single" w:color="auto" w:sz="4" w:space="0"/>
                    <w:right w:val="single" w:color="auto" w:sz="4" w:space="0"/>
                  </w:tcBorders>
                  <w:vAlign w:val="bottom"/>
                </w:tcPr>
                <w:p w14:paraId="0C317FA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11372.7 </w:t>
                  </w:r>
                </w:p>
              </w:tc>
              <w:tc>
                <w:tcPr>
                  <w:tcW w:w="903" w:type="pct"/>
                  <w:tcBorders>
                    <w:top w:val="single" w:color="auto" w:sz="4" w:space="0"/>
                    <w:left w:val="single" w:color="auto" w:sz="4" w:space="0"/>
                    <w:bottom w:val="single" w:color="auto" w:sz="4" w:space="0"/>
                    <w:right w:val="single" w:color="auto" w:sz="4" w:space="0"/>
                  </w:tcBorders>
                  <w:vAlign w:val="bottom"/>
                </w:tcPr>
                <w:p w14:paraId="61FB865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8997.0 </w:t>
                  </w:r>
                </w:p>
              </w:tc>
              <w:tc>
                <w:tcPr>
                  <w:tcW w:w="904" w:type="pct"/>
                  <w:tcBorders>
                    <w:top w:val="single" w:color="auto" w:sz="4" w:space="0"/>
                    <w:left w:val="single" w:color="auto" w:sz="4" w:space="0"/>
                    <w:bottom w:val="single" w:color="auto" w:sz="4" w:space="0"/>
                    <w:right w:val="single" w:color="auto" w:sz="4" w:space="0"/>
                  </w:tcBorders>
                  <w:vAlign w:val="bottom"/>
                </w:tcPr>
                <w:p w14:paraId="095D421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2111.9 </w:t>
                  </w:r>
                </w:p>
              </w:tc>
            </w:tr>
            <w:tr w14:paraId="77A6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5572DF2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k51+000~k52+000</w:t>
                  </w:r>
                </w:p>
              </w:tc>
              <w:tc>
                <w:tcPr>
                  <w:tcW w:w="904" w:type="pct"/>
                  <w:tcBorders>
                    <w:top w:val="single" w:color="auto" w:sz="4" w:space="0"/>
                    <w:left w:val="single" w:color="auto" w:sz="4" w:space="0"/>
                    <w:bottom w:val="single" w:color="auto" w:sz="4" w:space="0"/>
                    <w:right w:val="single" w:color="auto" w:sz="4" w:space="0"/>
                  </w:tcBorders>
                  <w:vAlign w:val="bottom"/>
                </w:tcPr>
                <w:p w14:paraId="32E85C1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2984.4 </w:t>
                  </w:r>
                </w:p>
              </w:tc>
              <w:tc>
                <w:tcPr>
                  <w:tcW w:w="903" w:type="pct"/>
                  <w:tcBorders>
                    <w:top w:val="single" w:color="auto" w:sz="4" w:space="0"/>
                    <w:left w:val="single" w:color="auto" w:sz="4" w:space="0"/>
                    <w:bottom w:val="single" w:color="auto" w:sz="4" w:space="0"/>
                    <w:right w:val="single" w:color="auto" w:sz="4" w:space="0"/>
                  </w:tcBorders>
                  <w:vAlign w:val="bottom"/>
                </w:tcPr>
                <w:p w14:paraId="1721FF0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10557.3 </w:t>
                  </w:r>
                </w:p>
              </w:tc>
              <w:tc>
                <w:tcPr>
                  <w:tcW w:w="903" w:type="pct"/>
                  <w:tcBorders>
                    <w:top w:val="single" w:color="auto" w:sz="4" w:space="0"/>
                    <w:left w:val="single" w:color="auto" w:sz="4" w:space="0"/>
                    <w:bottom w:val="single" w:color="auto" w:sz="4" w:space="0"/>
                    <w:right w:val="single" w:color="auto" w:sz="4" w:space="0"/>
                  </w:tcBorders>
                  <w:vAlign w:val="bottom"/>
                </w:tcPr>
                <w:p w14:paraId="0E408DA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8351.9 </w:t>
                  </w:r>
                </w:p>
              </w:tc>
              <w:tc>
                <w:tcPr>
                  <w:tcW w:w="904" w:type="pct"/>
                  <w:tcBorders>
                    <w:top w:val="single" w:color="auto" w:sz="4" w:space="0"/>
                    <w:left w:val="single" w:color="auto" w:sz="4" w:space="0"/>
                    <w:bottom w:val="single" w:color="auto" w:sz="4" w:space="0"/>
                    <w:right w:val="single" w:color="auto" w:sz="4" w:space="0"/>
                  </w:tcBorders>
                  <w:vAlign w:val="bottom"/>
                </w:tcPr>
                <w:p w14:paraId="5D85F8C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2384.0 </w:t>
                  </w:r>
                </w:p>
              </w:tc>
            </w:tr>
            <w:tr w14:paraId="0EF6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5AF2D13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k52+000~k53+000</w:t>
                  </w:r>
                </w:p>
              </w:tc>
              <w:tc>
                <w:tcPr>
                  <w:tcW w:w="904" w:type="pct"/>
                  <w:tcBorders>
                    <w:top w:val="single" w:color="auto" w:sz="4" w:space="0"/>
                    <w:left w:val="single" w:color="auto" w:sz="4" w:space="0"/>
                    <w:bottom w:val="single" w:color="auto" w:sz="4" w:space="0"/>
                    <w:right w:val="single" w:color="auto" w:sz="4" w:space="0"/>
                  </w:tcBorders>
                  <w:vAlign w:val="bottom"/>
                </w:tcPr>
                <w:p w14:paraId="30512DE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1353.1 </w:t>
                  </w:r>
                </w:p>
              </w:tc>
              <w:tc>
                <w:tcPr>
                  <w:tcW w:w="903" w:type="pct"/>
                  <w:tcBorders>
                    <w:top w:val="single" w:color="auto" w:sz="4" w:space="0"/>
                    <w:left w:val="single" w:color="auto" w:sz="4" w:space="0"/>
                    <w:bottom w:val="single" w:color="auto" w:sz="4" w:space="0"/>
                    <w:right w:val="single" w:color="auto" w:sz="4" w:space="0"/>
                  </w:tcBorders>
                  <w:vAlign w:val="bottom"/>
                </w:tcPr>
                <w:p w14:paraId="3559F71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16768.7 </w:t>
                  </w:r>
                </w:p>
              </w:tc>
              <w:tc>
                <w:tcPr>
                  <w:tcW w:w="903" w:type="pct"/>
                  <w:tcBorders>
                    <w:top w:val="single" w:color="auto" w:sz="4" w:space="0"/>
                    <w:left w:val="single" w:color="auto" w:sz="4" w:space="0"/>
                    <w:bottom w:val="single" w:color="auto" w:sz="4" w:space="0"/>
                    <w:right w:val="single" w:color="auto" w:sz="4" w:space="0"/>
                  </w:tcBorders>
                  <w:vAlign w:val="bottom"/>
                </w:tcPr>
                <w:p w14:paraId="57690BD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13265.8 </w:t>
                  </w:r>
                </w:p>
              </w:tc>
              <w:tc>
                <w:tcPr>
                  <w:tcW w:w="904" w:type="pct"/>
                  <w:tcBorders>
                    <w:top w:val="single" w:color="auto" w:sz="4" w:space="0"/>
                    <w:left w:val="single" w:color="auto" w:sz="4" w:space="0"/>
                    <w:bottom w:val="single" w:color="auto" w:sz="4" w:space="0"/>
                    <w:right w:val="single" w:color="auto" w:sz="4" w:space="0"/>
                  </w:tcBorders>
                  <w:vAlign w:val="bottom"/>
                </w:tcPr>
                <w:p w14:paraId="73F812D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1080.9 </w:t>
                  </w:r>
                </w:p>
              </w:tc>
            </w:tr>
            <w:tr w14:paraId="4272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B8ADC3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k53+000~k54+000</w:t>
                  </w:r>
                </w:p>
              </w:tc>
              <w:tc>
                <w:tcPr>
                  <w:tcW w:w="904" w:type="pct"/>
                  <w:tcBorders>
                    <w:top w:val="single" w:color="auto" w:sz="4" w:space="0"/>
                    <w:left w:val="single" w:color="auto" w:sz="4" w:space="0"/>
                    <w:bottom w:val="single" w:color="auto" w:sz="4" w:space="0"/>
                    <w:right w:val="single" w:color="auto" w:sz="4" w:space="0"/>
                  </w:tcBorders>
                  <w:vAlign w:val="bottom"/>
                </w:tcPr>
                <w:p w14:paraId="092F554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1021.7 </w:t>
                  </w:r>
                </w:p>
              </w:tc>
              <w:tc>
                <w:tcPr>
                  <w:tcW w:w="903" w:type="pct"/>
                  <w:tcBorders>
                    <w:top w:val="single" w:color="auto" w:sz="4" w:space="0"/>
                    <w:left w:val="single" w:color="auto" w:sz="4" w:space="0"/>
                    <w:bottom w:val="single" w:color="auto" w:sz="4" w:space="0"/>
                    <w:right w:val="single" w:color="auto" w:sz="4" w:space="0"/>
                  </w:tcBorders>
                  <w:vAlign w:val="bottom"/>
                </w:tcPr>
                <w:p w14:paraId="77E6F46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23202.6 </w:t>
                  </w:r>
                </w:p>
              </w:tc>
              <w:tc>
                <w:tcPr>
                  <w:tcW w:w="903" w:type="pct"/>
                  <w:tcBorders>
                    <w:top w:val="single" w:color="auto" w:sz="4" w:space="0"/>
                    <w:left w:val="single" w:color="auto" w:sz="4" w:space="0"/>
                    <w:bottom w:val="single" w:color="auto" w:sz="4" w:space="0"/>
                    <w:right w:val="single" w:color="auto" w:sz="4" w:space="0"/>
                  </w:tcBorders>
                  <w:vAlign w:val="bottom"/>
                </w:tcPr>
                <w:p w14:paraId="723A35E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18355.7 </w:t>
                  </w:r>
                </w:p>
              </w:tc>
              <w:tc>
                <w:tcPr>
                  <w:tcW w:w="904" w:type="pct"/>
                  <w:tcBorders>
                    <w:top w:val="single" w:color="auto" w:sz="4" w:space="0"/>
                    <w:left w:val="single" w:color="auto" w:sz="4" w:space="0"/>
                    <w:bottom w:val="single" w:color="auto" w:sz="4" w:space="0"/>
                    <w:right w:val="single" w:color="auto" w:sz="4" w:space="0"/>
                  </w:tcBorders>
                  <w:vAlign w:val="bottom"/>
                </w:tcPr>
                <w:p w14:paraId="3E32EB1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816.2 </w:t>
                  </w:r>
                </w:p>
              </w:tc>
            </w:tr>
            <w:tr w14:paraId="1257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9A5AD9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k54+000~k55+000</w:t>
                  </w:r>
                </w:p>
              </w:tc>
              <w:tc>
                <w:tcPr>
                  <w:tcW w:w="904" w:type="pct"/>
                  <w:tcBorders>
                    <w:top w:val="single" w:color="auto" w:sz="4" w:space="0"/>
                    <w:left w:val="single" w:color="auto" w:sz="4" w:space="0"/>
                    <w:bottom w:val="single" w:color="auto" w:sz="4" w:space="0"/>
                    <w:right w:val="single" w:color="auto" w:sz="4" w:space="0"/>
                  </w:tcBorders>
                  <w:vAlign w:val="bottom"/>
                </w:tcPr>
                <w:p w14:paraId="2401598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1890.9 </w:t>
                  </w:r>
                </w:p>
              </w:tc>
              <w:tc>
                <w:tcPr>
                  <w:tcW w:w="903" w:type="pct"/>
                  <w:tcBorders>
                    <w:top w:val="single" w:color="auto" w:sz="4" w:space="0"/>
                    <w:left w:val="single" w:color="auto" w:sz="4" w:space="0"/>
                    <w:bottom w:val="single" w:color="auto" w:sz="4" w:space="0"/>
                    <w:right w:val="single" w:color="auto" w:sz="4" w:space="0"/>
                  </w:tcBorders>
                  <w:vAlign w:val="bottom"/>
                </w:tcPr>
                <w:p w14:paraId="62D4DB3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11217.5 </w:t>
                  </w:r>
                </w:p>
              </w:tc>
              <w:tc>
                <w:tcPr>
                  <w:tcW w:w="903" w:type="pct"/>
                  <w:tcBorders>
                    <w:top w:val="single" w:color="auto" w:sz="4" w:space="0"/>
                    <w:left w:val="single" w:color="auto" w:sz="4" w:space="0"/>
                    <w:bottom w:val="single" w:color="auto" w:sz="4" w:space="0"/>
                    <w:right w:val="single" w:color="auto" w:sz="4" w:space="0"/>
                  </w:tcBorders>
                  <w:vAlign w:val="bottom"/>
                </w:tcPr>
                <w:p w14:paraId="1AEBF11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8874.3 </w:t>
                  </w:r>
                </w:p>
              </w:tc>
              <w:tc>
                <w:tcPr>
                  <w:tcW w:w="904" w:type="pct"/>
                  <w:tcBorders>
                    <w:top w:val="single" w:color="auto" w:sz="4" w:space="0"/>
                    <w:left w:val="single" w:color="auto" w:sz="4" w:space="0"/>
                    <w:bottom w:val="single" w:color="auto" w:sz="4" w:space="0"/>
                    <w:right w:val="single" w:color="auto" w:sz="4" w:space="0"/>
                  </w:tcBorders>
                  <w:vAlign w:val="bottom"/>
                </w:tcPr>
                <w:p w14:paraId="688D5DE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1510.5 </w:t>
                  </w:r>
                </w:p>
              </w:tc>
            </w:tr>
            <w:tr w14:paraId="44F8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50318B7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k55+000~k56+000</w:t>
                  </w:r>
                </w:p>
              </w:tc>
              <w:tc>
                <w:tcPr>
                  <w:tcW w:w="904" w:type="pct"/>
                  <w:tcBorders>
                    <w:top w:val="single" w:color="auto" w:sz="4" w:space="0"/>
                    <w:left w:val="single" w:color="auto" w:sz="4" w:space="0"/>
                    <w:bottom w:val="single" w:color="auto" w:sz="4" w:space="0"/>
                    <w:right w:val="single" w:color="auto" w:sz="4" w:space="0"/>
                  </w:tcBorders>
                  <w:vAlign w:val="bottom"/>
                </w:tcPr>
                <w:p w14:paraId="17C160A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3099.5 </w:t>
                  </w:r>
                </w:p>
              </w:tc>
              <w:tc>
                <w:tcPr>
                  <w:tcW w:w="903" w:type="pct"/>
                  <w:tcBorders>
                    <w:top w:val="single" w:color="auto" w:sz="4" w:space="0"/>
                    <w:left w:val="single" w:color="auto" w:sz="4" w:space="0"/>
                    <w:bottom w:val="single" w:color="auto" w:sz="4" w:space="0"/>
                    <w:right w:val="single" w:color="auto" w:sz="4" w:space="0"/>
                  </w:tcBorders>
                  <w:vAlign w:val="bottom"/>
                </w:tcPr>
                <w:p w14:paraId="70A6A90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6320.1 </w:t>
                  </w:r>
                </w:p>
              </w:tc>
              <w:tc>
                <w:tcPr>
                  <w:tcW w:w="903" w:type="pct"/>
                  <w:tcBorders>
                    <w:top w:val="single" w:color="auto" w:sz="4" w:space="0"/>
                    <w:left w:val="single" w:color="auto" w:sz="4" w:space="0"/>
                    <w:bottom w:val="single" w:color="auto" w:sz="4" w:space="0"/>
                    <w:right w:val="single" w:color="auto" w:sz="4" w:space="0"/>
                  </w:tcBorders>
                  <w:vAlign w:val="bottom"/>
                </w:tcPr>
                <w:p w14:paraId="44AE9B9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4999.9 </w:t>
                  </w:r>
                </w:p>
              </w:tc>
              <w:tc>
                <w:tcPr>
                  <w:tcW w:w="904" w:type="pct"/>
                  <w:tcBorders>
                    <w:top w:val="single" w:color="auto" w:sz="4" w:space="0"/>
                    <w:left w:val="single" w:color="auto" w:sz="4" w:space="0"/>
                    <w:bottom w:val="single" w:color="auto" w:sz="4" w:space="0"/>
                    <w:right w:val="single" w:color="auto" w:sz="4" w:space="0"/>
                  </w:tcBorders>
                  <w:vAlign w:val="bottom"/>
                </w:tcPr>
                <w:p w14:paraId="79942FB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2476.0 </w:t>
                  </w:r>
                </w:p>
              </w:tc>
            </w:tr>
            <w:tr w14:paraId="22B3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F33B2B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k56+000~k57+000</w:t>
                  </w:r>
                </w:p>
              </w:tc>
              <w:tc>
                <w:tcPr>
                  <w:tcW w:w="904" w:type="pct"/>
                  <w:tcBorders>
                    <w:top w:val="single" w:color="auto" w:sz="4" w:space="0"/>
                    <w:left w:val="single" w:color="auto" w:sz="4" w:space="0"/>
                    <w:bottom w:val="single" w:color="auto" w:sz="4" w:space="0"/>
                    <w:right w:val="single" w:color="auto" w:sz="4" w:space="0"/>
                  </w:tcBorders>
                  <w:vAlign w:val="bottom"/>
                </w:tcPr>
                <w:p w14:paraId="4D5BF03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3938.0 </w:t>
                  </w:r>
                </w:p>
              </w:tc>
              <w:tc>
                <w:tcPr>
                  <w:tcW w:w="903" w:type="pct"/>
                  <w:tcBorders>
                    <w:top w:val="single" w:color="auto" w:sz="4" w:space="0"/>
                    <w:left w:val="single" w:color="auto" w:sz="4" w:space="0"/>
                    <w:bottom w:val="single" w:color="auto" w:sz="4" w:space="0"/>
                    <w:right w:val="single" w:color="auto" w:sz="4" w:space="0"/>
                  </w:tcBorders>
                  <w:vAlign w:val="bottom"/>
                </w:tcPr>
                <w:p w14:paraId="5B1C6B9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15415.8 </w:t>
                  </w:r>
                </w:p>
              </w:tc>
              <w:tc>
                <w:tcPr>
                  <w:tcW w:w="903" w:type="pct"/>
                  <w:tcBorders>
                    <w:top w:val="single" w:color="auto" w:sz="4" w:space="0"/>
                    <w:left w:val="single" w:color="auto" w:sz="4" w:space="0"/>
                    <w:bottom w:val="single" w:color="auto" w:sz="4" w:space="0"/>
                    <w:right w:val="single" w:color="auto" w:sz="4" w:space="0"/>
                  </w:tcBorders>
                  <w:vAlign w:val="bottom"/>
                </w:tcPr>
                <w:p w14:paraId="6C585D5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12195.5 </w:t>
                  </w:r>
                </w:p>
              </w:tc>
              <w:tc>
                <w:tcPr>
                  <w:tcW w:w="904" w:type="pct"/>
                  <w:tcBorders>
                    <w:top w:val="single" w:color="auto" w:sz="4" w:space="0"/>
                    <w:left w:val="single" w:color="auto" w:sz="4" w:space="0"/>
                    <w:bottom w:val="single" w:color="auto" w:sz="4" w:space="0"/>
                    <w:right w:val="single" w:color="auto" w:sz="4" w:space="0"/>
                  </w:tcBorders>
                  <w:vAlign w:val="bottom"/>
                </w:tcPr>
                <w:p w14:paraId="1502AD0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3145.8 </w:t>
                  </w:r>
                </w:p>
              </w:tc>
            </w:tr>
            <w:tr w14:paraId="7F08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14E45E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k57+000~k58+000</w:t>
                  </w:r>
                </w:p>
              </w:tc>
              <w:tc>
                <w:tcPr>
                  <w:tcW w:w="904" w:type="pct"/>
                  <w:tcBorders>
                    <w:top w:val="single" w:color="auto" w:sz="4" w:space="0"/>
                    <w:left w:val="single" w:color="auto" w:sz="4" w:space="0"/>
                    <w:bottom w:val="single" w:color="auto" w:sz="4" w:space="0"/>
                    <w:right w:val="single" w:color="auto" w:sz="4" w:space="0"/>
                  </w:tcBorders>
                  <w:vAlign w:val="bottom"/>
                </w:tcPr>
                <w:p w14:paraId="12DBC9F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234.2 </w:t>
                  </w:r>
                </w:p>
              </w:tc>
              <w:tc>
                <w:tcPr>
                  <w:tcW w:w="903" w:type="pct"/>
                  <w:tcBorders>
                    <w:top w:val="single" w:color="auto" w:sz="4" w:space="0"/>
                    <w:left w:val="single" w:color="auto" w:sz="4" w:space="0"/>
                    <w:bottom w:val="single" w:color="auto" w:sz="4" w:space="0"/>
                    <w:right w:val="single" w:color="auto" w:sz="4" w:space="0"/>
                  </w:tcBorders>
                  <w:vAlign w:val="bottom"/>
                </w:tcPr>
                <w:p w14:paraId="14E0D56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26222.1 </w:t>
                  </w:r>
                </w:p>
              </w:tc>
              <w:tc>
                <w:tcPr>
                  <w:tcW w:w="903" w:type="pct"/>
                  <w:tcBorders>
                    <w:top w:val="single" w:color="auto" w:sz="4" w:space="0"/>
                    <w:left w:val="single" w:color="auto" w:sz="4" w:space="0"/>
                    <w:bottom w:val="single" w:color="auto" w:sz="4" w:space="0"/>
                    <w:right w:val="single" w:color="auto" w:sz="4" w:space="0"/>
                  </w:tcBorders>
                  <w:vAlign w:val="bottom"/>
                </w:tcPr>
                <w:p w14:paraId="1068099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20744.5 </w:t>
                  </w:r>
                </w:p>
              </w:tc>
              <w:tc>
                <w:tcPr>
                  <w:tcW w:w="904" w:type="pct"/>
                  <w:tcBorders>
                    <w:top w:val="single" w:color="auto" w:sz="4" w:space="0"/>
                    <w:left w:val="single" w:color="auto" w:sz="4" w:space="0"/>
                    <w:bottom w:val="single" w:color="auto" w:sz="4" w:space="0"/>
                    <w:right w:val="single" w:color="auto" w:sz="4" w:space="0"/>
                  </w:tcBorders>
                  <w:vAlign w:val="bottom"/>
                </w:tcPr>
                <w:p w14:paraId="0243D32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187.1 </w:t>
                  </w:r>
                </w:p>
              </w:tc>
            </w:tr>
            <w:tr w14:paraId="703B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4CBA0C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k58+000~k59+000</w:t>
                  </w:r>
                </w:p>
              </w:tc>
              <w:tc>
                <w:tcPr>
                  <w:tcW w:w="904" w:type="pct"/>
                  <w:tcBorders>
                    <w:top w:val="single" w:color="auto" w:sz="4" w:space="0"/>
                    <w:left w:val="single" w:color="auto" w:sz="4" w:space="0"/>
                    <w:bottom w:val="single" w:color="auto" w:sz="4" w:space="0"/>
                    <w:right w:val="single" w:color="auto" w:sz="4" w:space="0"/>
                  </w:tcBorders>
                  <w:vAlign w:val="bottom"/>
                </w:tcPr>
                <w:p w14:paraId="42E5110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2186.4 </w:t>
                  </w:r>
                </w:p>
              </w:tc>
              <w:tc>
                <w:tcPr>
                  <w:tcW w:w="903" w:type="pct"/>
                  <w:tcBorders>
                    <w:top w:val="single" w:color="auto" w:sz="4" w:space="0"/>
                    <w:left w:val="single" w:color="auto" w:sz="4" w:space="0"/>
                    <w:bottom w:val="single" w:color="auto" w:sz="4" w:space="0"/>
                    <w:right w:val="single" w:color="auto" w:sz="4" w:space="0"/>
                  </w:tcBorders>
                  <w:vAlign w:val="bottom"/>
                </w:tcPr>
                <w:p w14:paraId="68CAD55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12470.7 </w:t>
                  </w:r>
                </w:p>
              </w:tc>
              <w:tc>
                <w:tcPr>
                  <w:tcW w:w="903" w:type="pct"/>
                  <w:tcBorders>
                    <w:top w:val="single" w:color="auto" w:sz="4" w:space="0"/>
                    <w:left w:val="single" w:color="auto" w:sz="4" w:space="0"/>
                    <w:bottom w:val="single" w:color="auto" w:sz="4" w:space="0"/>
                    <w:right w:val="single" w:color="auto" w:sz="4" w:space="0"/>
                  </w:tcBorders>
                  <w:vAlign w:val="bottom"/>
                </w:tcPr>
                <w:p w14:paraId="4867535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9865.7 </w:t>
                  </w:r>
                </w:p>
              </w:tc>
              <w:tc>
                <w:tcPr>
                  <w:tcW w:w="904" w:type="pct"/>
                  <w:tcBorders>
                    <w:top w:val="single" w:color="auto" w:sz="4" w:space="0"/>
                    <w:left w:val="single" w:color="auto" w:sz="4" w:space="0"/>
                    <w:bottom w:val="single" w:color="auto" w:sz="4" w:space="0"/>
                    <w:right w:val="single" w:color="auto" w:sz="4" w:space="0"/>
                  </w:tcBorders>
                  <w:vAlign w:val="bottom"/>
                </w:tcPr>
                <w:p w14:paraId="3EF5A15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1746.6 </w:t>
                  </w:r>
                </w:p>
              </w:tc>
            </w:tr>
            <w:tr w14:paraId="2939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FF2FA2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k59+000~k60+000</w:t>
                  </w:r>
                </w:p>
              </w:tc>
              <w:tc>
                <w:tcPr>
                  <w:tcW w:w="904" w:type="pct"/>
                  <w:tcBorders>
                    <w:top w:val="single" w:color="auto" w:sz="4" w:space="0"/>
                    <w:left w:val="single" w:color="auto" w:sz="4" w:space="0"/>
                    <w:bottom w:val="single" w:color="auto" w:sz="4" w:space="0"/>
                    <w:right w:val="single" w:color="auto" w:sz="4" w:space="0"/>
                  </w:tcBorders>
                  <w:vAlign w:val="bottom"/>
                </w:tcPr>
                <w:p w14:paraId="6774784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11535.2 </w:t>
                  </w:r>
                </w:p>
              </w:tc>
              <w:tc>
                <w:tcPr>
                  <w:tcW w:w="903" w:type="pct"/>
                  <w:tcBorders>
                    <w:top w:val="single" w:color="auto" w:sz="4" w:space="0"/>
                    <w:left w:val="single" w:color="auto" w:sz="4" w:space="0"/>
                    <w:bottom w:val="single" w:color="auto" w:sz="4" w:space="0"/>
                    <w:right w:val="single" w:color="auto" w:sz="4" w:space="0"/>
                  </w:tcBorders>
                  <w:vAlign w:val="bottom"/>
                </w:tcPr>
                <w:p w14:paraId="7A36ECC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9680.2 </w:t>
                  </w:r>
                </w:p>
              </w:tc>
              <w:tc>
                <w:tcPr>
                  <w:tcW w:w="903" w:type="pct"/>
                  <w:tcBorders>
                    <w:top w:val="single" w:color="auto" w:sz="4" w:space="0"/>
                    <w:left w:val="single" w:color="auto" w:sz="4" w:space="0"/>
                    <w:bottom w:val="single" w:color="auto" w:sz="4" w:space="0"/>
                    <w:right w:val="single" w:color="auto" w:sz="4" w:space="0"/>
                  </w:tcBorders>
                  <w:vAlign w:val="bottom"/>
                </w:tcPr>
                <w:p w14:paraId="2827200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2744.9 </w:t>
                  </w:r>
                </w:p>
              </w:tc>
              <w:tc>
                <w:tcPr>
                  <w:tcW w:w="904" w:type="pct"/>
                  <w:tcBorders>
                    <w:top w:val="single" w:color="auto" w:sz="4" w:space="0"/>
                    <w:left w:val="single" w:color="auto" w:sz="4" w:space="0"/>
                    <w:bottom w:val="single" w:color="auto" w:sz="4" w:space="0"/>
                    <w:right w:val="single" w:color="auto" w:sz="4" w:space="0"/>
                  </w:tcBorders>
                  <w:vAlign w:val="bottom"/>
                </w:tcPr>
                <w:p w14:paraId="0003B4B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1942.7 </w:t>
                  </w:r>
                </w:p>
              </w:tc>
            </w:tr>
            <w:tr w14:paraId="045E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81D0FB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k60+000~k61+000</w:t>
                  </w:r>
                </w:p>
              </w:tc>
              <w:tc>
                <w:tcPr>
                  <w:tcW w:w="904" w:type="pct"/>
                  <w:tcBorders>
                    <w:top w:val="single" w:color="auto" w:sz="4" w:space="0"/>
                    <w:left w:val="single" w:color="auto" w:sz="4" w:space="0"/>
                    <w:bottom w:val="single" w:color="auto" w:sz="4" w:space="0"/>
                    <w:right w:val="single" w:color="auto" w:sz="4" w:space="0"/>
                  </w:tcBorders>
                  <w:vAlign w:val="bottom"/>
                </w:tcPr>
                <w:p w14:paraId="2DF1E20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9032.6 </w:t>
                  </w:r>
                </w:p>
              </w:tc>
              <w:tc>
                <w:tcPr>
                  <w:tcW w:w="903" w:type="pct"/>
                  <w:tcBorders>
                    <w:top w:val="single" w:color="auto" w:sz="4" w:space="0"/>
                    <w:left w:val="single" w:color="auto" w:sz="4" w:space="0"/>
                    <w:bottom w:val="single" w:color="auto" w:sz="4" w:space="0"/>
                    <w:right w:val="single" w:color="auto" w:sz="4" w:space="0"/>
                  </w:tcBorders>
                  <w:vAlign w:val="bottom"/>
                </w:tcPr>
                <w:p w14:paraId="3377E06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12821.3 </w:t>
                  </w:r>
                </w:p>
              </w:tc>
              <w:tc>
                <w:tcPr>
                  <w:tcW w:w="903" w:type="pct"/>
                  <w:tcBorders>
                    <w:top w:val="single" w:color="auto" w:sz="4" w:space="0"/>
                    <w:left w:val="single" w:color="auto" w:sz="4" w:space="0"/>
                    <w:bottom w:val="single" w:color="auto" w:sz="4" w:space="0"/>
                    <w:right w:val="single" w:color="auto" w:sz="4" w:space="0"/>
                  </w:tcBorders>
                  <w:vAlign w:val="bottom"/>
                </w:tcPr>
                <w:p w14:paraId="18E8625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4633.6 </w:t>
                  </w:r>
                </w:p>
              </w:tc>
              <w:tc>
                <w:tcPr>
                  <w:tcW w:w="904" w:type="pct"/>
                  <w:tcBorders>
                    <w:top w:val="single" w:color="auto" w:sz="4" w:space="0"/>
                    <w:left w:val="single" w:color="auto" w:sz="4" w:space="0"/>
                    <w:bottom w:val="single" w:color="auto" w:sz="4" w:space="0"/>
                    <w:right w:val="single" w:color="auto" w:sz="4" w:space="0"/>
                  </w:tcBorders>
                  <w:vAlign w:val="bottom"/>
                </w:tcPr>
                <w:p w14:paraId="2611650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1443.1 </w:t>
                  </w:r>
                </w:p>
              </w:tc>
            </w:tr>
            <w:tr w14:paraId="6B4D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EB391F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k61+000~k62+000</w:t>
                  </w:r>
                </w:p>
              </w:tc>
              <w:tc>
                <w:tcPr>
                  <w:tcW w:w="904" w:type="pct"/>
                  <w:tcBorders>
                    <w:top w:val="single" w:color="auto" w:sz="4" w:space="0"/>
                    <w:left w:val="single" w:color="auto" w:sz="4" w:space="0"/>
                    <w:bottom w:val="single" w:color="auto" w:sz="4" w:space="0"/>
                    <w:right w:val="single" w:color="auto" w:sz="4" w:space="0"/>
                  </w:tcBorders>
                  <w:vAlign w:val="bottom"/>
                </w:tcPr>
                <w:p w14:paraId="09F3C4D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18354.7 </w:t>
                  </w:r>
                </w:p>
              </w:tc>
              <w:tc>
                <w:tcPr>
                  <w:tcW w:w="903" w:type="pct"/>
                  <w:tcBorders>
                    <w:top w:val="single" w:color="auto" w:sz="4" w:space="0"/>
                    <w:left w:val="single" w:color="auto" w:sz="4" w:space="0"/>
                    <w:bottom w:val="single" w:color="auto" w:sz="4" w:space="0"/>
                    <w:right w:val="single" w:color="auto" w:sz="4" w:space="0"/>
                  </w:tcBorders>
                  <w:vAlign w:val="bottom"/>
                </w:tcPr>
                <w:p w14:paraId="67D2C03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7233.8 </w:t>
                  </w:r>
                </w:p>
              </w:tc>
              <w:tc>
                <w:tcPr>
                  <w:tcW w:w="903" w:type="pct"/>
                  <w:tcBorders>
                    <w:top w:val="single" w:color="auto" w:sz="4" w:space="0"/>
                    <w:left w:val="single" w:color="auto" w:sz="4" w:space="0"/>
                    <w:bottom w:val="single" w:color="auto" w:sz="4" w:space="0"/>
                    <w:right w:val="single" w:color="auto" w:sz="4" w:space="0"/>
                  </w:tcBorders>
                  <w:vAlign w:val="bottom"/>
                </w:tcPr>
                <w:p w14:paraId="1B242D6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6.8 </w:t>
                  </w:r>
                </w:p>
              </w:tc>
              <w:tc>
                <w:tcPr>
                  <w:tcW w:w="904" w:type="pct"/>
                  <w:tcBorders>
                    <w:top w:val="single" w:color="auto" w:sz="4" w:space="0"/>
                    <w:left w:val="single" w:color="auto" w:sz="4" w:space="0"/>
                    <w:bottom w:val="single" w:color="auto" w:sz="4" w:space="0"/>
                    <w:right w:val="single" w:color="auto" w:sz="4" w:space="0"/>
                  </w:tcBorders>
                  <w:vAlign w:val="bottom"/>
                </w:tcPr>
                <w:p w14:paraId="55EFCB0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2932.5 </w:t>
                  </w:r>
                </w:p>
              </w:tc>
            </w:tr>
            <w:tr w14:paraId="3064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4B7159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k62+000~k63+000</w:t>
                  </w:r>
                </w:p>
              </w:tc>
              <w:tc>
                <w:tcPr>
                  <w:tcW w:w="904" w:type="pct"/>
                  <w:tcBorders>
                    <w:top w:val="single" w:color="auto" w:sz="4" w:space="0"/>
                    <w:left w:val="single" w:color="auto" w:sz="4" w:space="0"/>
                    <w:bottom w:val="single" w:color="auto" w:sz="4" w:space="0"/>
                    <w:right w:val="single" w:color="auto" w:sz="4" w:space="0"/>
                  </w:tcBorders>
                  <w:vAlign w:val="bottom"/>
                </w:tcPr>
                <w:p w14:paraId="4EC4EA3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6383.7 </w:t>
                  </w:r>
                </w:p>
              </w:tc>
              <w:tc>
                <w:tcPr>
                  <w:tcW w:w="903" w:type="pct"/>
                  <w:tcBorders>
                    <w:top w:val="single" w:color="auto" w:sz="4" w:space="0"/>
                    <w:left w:val="single" w:color="auto" w:sz="4" w:space="0"/>
                    <w:bottom w:val="single" w:color="auto" w:sz="4" w:space="0"/>
                    <w:right w:val="single" w:color="auto" w:sz="4" w:space="0"/>
                  </w:tcBorders>
                  <w:vAlign w:val="bottom"/>
                </w:tcPr>
                <w:p w14:paraId="735968E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24642.9 </w:t>
                  </w:r>
                </w:p>
              </w:tc>
              <w:tc>
                <w:tcPr>
                  <w:tcW w:w="903" w:type="pct"/>
                  <w:tcBorders>
                    <w:top w:val="single" w:color="auto" w:sz="4" w:space="0"/>
                    <w:left w:val="single" w:color="auto" w:sz="4" w:space="0"/>
                    <w:bottom w:val="single" w:color="auto" w:sz="4" w:space="0"/>
                    <w:right w:val="single" w:color="auto" w:sz="4" w:space="0"/>
                  </w:tcBorders>
                  <w:vAlign w:val="bottom"/>
                </w:tcPr>
                <w:p w14:paraId="481AB04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15466.8 </w:t>
                  </w:r>
                </w:p>
              </w:tc>
              <w:tc>
                <w:tcPr>
                  <w:tcW w:w="904" w:type="pct"/>
                  <w:tcBorders>
                    <w:top w:val="single" w:color="auto" w:sz="4" w:space="0"/>
                    <w:left w:val="single" w:color="auto" w:sz="4" w:space="0"/>
                    <w:bottom w:val="single" w:color="auto" w:sz="4" w:space="0"/>
                    <w:right w:val="single" w:color="auto" w:sz="4" w:space="0"/>
                  </w:tcBorders>
                  <w:vAlign w:val="bottom"/>
                </w:tcPr>
                <w:p w14:paraId="42EA44F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1019.9 </w:t>
                  </w:r>
                </w:p>
              </w:tc>
            </w:tr>
            <w:tr w14:paraId="3F2C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D6B04D6">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k63+000~k64+000</w:t>
                  </w:r>
                </w:p>
              </w:tc>
              <w:tc>
                <w:tcPr>
                  <w:tcW w:w="904" w:type="pct"/>
                  <w:tcBorders>
                    <w:top w:val="single" w:color="auto" w:sz="4" w:space="0"/>
                    <w:left w:val="single" w:color="auto" w:sz="4" w:space="0"/>
                    <w:bottom w:val="single" w:color="auto" w:sz="4" w:space="0"/>
                    <w:right w:val="single" w:color="auto" w:sz="4" w:space="0"/>
                  </w:tcBorders>
                  <w:vAlign w:val="bottom"/>
                </w:tcPr>
                <w:p w14:paraId="7DA5568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15846.0 </w:t>
                  </w:r>
                </w:p>
              </w:tc>
              <w:tc>
                <w:tcPr>
                  <w:tcW w:w="903" w:type="pct"/>
                  <w:tcBorders>
                    <w:top w:val="single" w:color="auto" w:sz="4" w:space="0"/>
                    <w:left w:val="single" w:color="auto" w:sz="4" w:space="0"/>
                    <w:bottom w:val="single" w:color="auto" w:sz="4" w:space="0"/>
                    <w:right w:val="single" w:color="auto" w:sz="4" w:space="0"/>
                  </w:tcBorders>
                  <w:vAlign w:val="bottom"/>
                </w:tcPr>
                <w:p w14:paraId="4AF4D87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14577.5 </w:t>
                  </w:r>
                </w:p>
              </w:tc>
              <w:tc>
                <w:tcPr>
                  <w:tcW w:w="903" w:type="pct"/>
                  <w:tcBorders>
                    <w:top w:val="single" w:color="auto" w:sz="4" w:space="0"/>
                    <w:left w:val="single" w:color="auto" w:sz="4" w:space="0"/>
                    <w:bottom w:val="single" w:color="auto" w:sz="4" w:space="0"/>
                    <w:right w:val="single" w:color="auto" w:sz="4" w:space="0"/>
                  </w:tcBorders>
                  <w:vAlign w:val="bottom"/>
                </w:tcPr>
                <w:p w14:paraId="2E208D2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4982.9 </w:t>
                  </w:r>
                </w:p>
              </w:tc>
              <w:tc>
                <w:tcPr>
                  <w:tcW w:w="904" w:type="pct"/>
                  <w:tcBorders>
                    <w:top w:val="single" w:color="auto" w:sz="4" w:space="0"/>
                    <w:left w:val="single" w:color="auto" w:sz="4" w:space="0"/>
                    <w:bottom w:val="single" w:color="auto" w:sz="4" w:space="0"/>
                    <w:right w:val="single" w:color="auto" w:sz="4" w:space="0"/>
                  </w:tcBorders>
                  <w:vAlign w:val="bottom"/>
                </w:tcPr>
                <w:p w14:paraId="31D478D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2531.7 </w:t>
                  </w:r>
                </w:p>
              </w:tc>
            </w:tr>
            <w:tr w14:paraId="33C1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8E38E78">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k64+000~k65+000</w:t>
                  </w:r>
                </w:p>
              </w:tc>
              <w:tc>
                <w:tcPr>
                  <w:tcW w:w="904" w:type="pct"/>
                  <w:tcBorders>
                    <w:top w:val="single" w:color="auto" w:sz="4" w:space="0"/>
                    <w:left w:val="single" w:color="auto" w:sz="4" w:space="0"/>
                    <w:bottom w:val="single" w:color="auto" w:sz="4" w:space="0"/>
                    <w:right w:val="single" w:color="auto" w:sz="4" w:space="0"/>
                  </w:tcBorders>
                  <w:vAlign w:val="bottom"/>
                </w:tcPr>
                <w:p w14:paraId="0CDD727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12495.9 </w:t>
                  </w:r>
                </w:p>
              </w:tc>
              <w:tc>
                <w:tcPr>
                  <w:tcW w:w="903" w:type="pct"/>
                  <w:tcBorders>
                    <w:top w:val="single" w:color="auto" w:sz="4" w:space="0"/>
                    <w:left w:val="single" w:color="auto" w:sz="4" w:space="0"/>
                    <w:bottom w:val="single" w:color="auto" w:sz="4" w:space="0"/>
                    <w:right w:val="single" w:color="auto" w:sz="4" w:space="0"/>
                  </w:tcBorders>
                  <w:vAlign w:val="bottom"/>
                </w:tcPr>
                <w:p w14:paraId="267D86D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28838.6 </w:t>
                  </w:r>
                </w:p>
              </w:tc>
              <w:tc>
                <w:tcPr>
                  <w:tcW w:w="903" w:type="pct"/>
                  <w:tcBorders>
                    <w:top w:val="single" w:color="auto" w:sz="4" w:space="0"/>
                    <w:left w:val="single" w:color="auto" w:sz="4" w:space="0"/>
                    <w:bottom w:val="single" w:color="auto" w:sz="4" w:space="0"/>
                    <w:right w:val="single" w:color="auto" w:sz="4" w:space="0"/>
                  </w:tcBorders>
                  <w:vAlign w:val="bottom"/>
                </w:tcPr>
                <w:p w14:paraId="38AABBC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16783.4 </w:t>
                  </w:r>
                </w:p>
              </w:tc>
              <w:tc>
                <w:tcPr>
                  <w:tcW w:w="904" w:type="pct"/>
                  <w:tcBorders>
                    <w:top w:val="single" w:color="auto" w:sz="4" w:space="0"/>
                    <w:left w:val="single" w:color="auto" w:sz="4" w:space="0"/>
                    <w:bottom w:val="single" w:color="auto" w:sz="4" w:space="0"/>
                    <w:right w:val="single" w:color="auto" w:sz="4" w:space="0"/>
                  </w:tcBorders>
                  <w:vAlign w:val="bottom"/>
                </w:tcPr>
                <w:p w14:paraId="08F17FD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2077.0 </w:t>
                  </w:r>
                </w:p>
              </w:tc>
            </w:tr>
            <w:tr w14:paraId="5831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B3C7FF9">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k65+000~k66+000</w:t>
                  </w:r>
                </w:p>
              </w:tc>
              <w:tc>
                <w:tcPr>
                  <w:tcW w:w="904" w:type="pct"/>
                  <w:tcBorders>
                    <w:top w:val="single" w:color="auto" w:sz="4" w:space="0"/>
                    <w:left w:val="single" w:color="auto" w:sz="4" w:space="0"/>
                    <w:bottom w:val="single" w:color="auto" w:sz="4" w:space="0"/>
                    <w:right w:val="single" w:color="auto" w:sz="4" w:space="0"/>
                  </w:tcBorders>
                  <w:vAlign w:val="bottom"/>
                </w:tcPr>
                <w:p w14:paraId="4B06449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7625.4 </w:t>
                  </w:r>
                </w:p>
              </w:tc>
              <w:tc>
                <w:tcPr>
                  <w:tcW w:w="903" w:type="pct"/>
                  <w:tcBorders>
                    <w:top w:val="single" w:color="auto" w:sz="4" w:space="0"/>
                    <w:left w:val="single" w:color="auto" w:sz="4" w:space="0"/>
                    <w:bottom w:val="single" w:color="auto" w:sz="4" w:space="0"/>
                    <w:right w:val="single" w:color="auto" w:sz="4" w:space="0"/>
                  </w:tcBorders>
                  <w:vAlign w:val="bottom"/>
                </w:tcPr>
                <w:p w14:paraId="4A82BD4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21204.6 </w:t>
                  </w:r>
                </w:p>
              </w:tc>
              <w:tc>
                <w:tcPr>
                  <w:tcW w:w="903" w:type="pct"/>
                  <w:tcBorders>
                    <w:top w:val="single" w:color="auto" w:sz="4" w:space="0"/>
                    <w:left w:val="single" w:color="auto" w:sz="4" w:space="0"/>
                    <w:bottom w:val="single" w:color="auto" w:sz="4" w:space="0"/>
                    <w:right w:val="single" w:color="auto" w:sz="4" w:space="0"/>
                  </w:tcBorders>
                  <w:vAlign w:val="bottom"/>
                </w:tcPr>
                <w:p w14:paraId="14A45E3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13482.6 </w:t>
                  </w:r>
                </w:p>
              </w:tc>
              <w:tc>
                <w:tcPr>
                  <w:tcW w:w="904" w:type="pct"/>
                  <w:tcBorders>
                    <w:top w:val="single" w:color="auto" w:sz="4" w:space="0"/>
                    <w:left w:val="single" w:color="auto" w:sz="4" w:space="0"/>
                    <w:bottom w:val="single" w:color="auto" w:sz="4" w:space="0"/>
                    <w:right w:val="single" w:color="auto" w:sz="4" w:space="0"/>
                  </w:tcBorders>
                  <w:vAlign w:val="bottom"/>
                </w:tcPr>
                <w:p w14:paraId="00BFC69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1218.3 </w:t>
                  </w:r>
                </w:p>
              </w:tc>
            </w:tr>
            <w:tr w14:paraId="102D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A470337">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k66+000~k67+000</w:t>
                  </w:r>
                </w:p>
              </w:tc>
              <w:tc>
                <w:tcPr>
                  <w:tcW w:w="904" w:type="pct"/>
                  <w:tcBorders>
                    <w:top w:val="single" w:color="auto" w:sz="4" w:space="0"/>
                    <w:left w:val="single" w:color="auto" w:sz="4" w:space="0"/>
                    <w:bottom w:val="single" w:color="auto" w:sz="4" w:space="0"/>
                    <w:right w:val="single" w:color="auto" w:sz="4" w:space="0"/>
                  </w:tcBorders>
                  <w:vAlign w:val="bottom"/>
                </w:tcPr>
                <w:p w14:paraId="11534E3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1427.1 </w:t>
                  </w:r>
                </w:p>
              </w:tc>
              <w:tc>
                <w:tcPr>
                  <w:tcW w:w="903" w:type="pct"/>
                  <w:tcBorders>
                    <w:top w:val="single" w:color="auto" w:sz="4" w:space="0"/>
                    <w:left w:val="single" w:color="auto" w:sz="4" w:space="0"/>
                    <w:bottom w:val="single" w:color="auto" w:sz="4" w:space="0"/>
                    <w:right w:val="single" w:color="auto" w:sz="4" w:space="0"/>
                  </w:tcBorders>
                  <w:vAlign w:val="bottom"/>
                </w:tcPr>
                <w:p w14:paraId="43EC69E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25725.1 </w:t>
                  </w:r>
                </w:p>
              </w:tc>
              <w:tc>
                <w:tcPr>
                  <w:tcW w:w="903" w:type="pct"/>
                  <w:tcBorders>
                    <w:top w:val="single" w:color="auto" w:sz="4" w:space="0"/>
                    <w:left w:val="single" w:color="auto" w:sz="4" w:space="0"/>
                    <w:bottom w:val="single" w:color="auto" w:sz="4" w:space="0"/>
                    <w:right w:val="single" w:color="auto" w:sz="4" w:space="0"/>
                  </w:tcBorders>
                  <w:vAlign w:val="bottom"/>
                </w:tcPr>
                <w:p w14:paraId="5FA869A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19059.5 </w:t>
                  </w:r>
                </w:p>
              </w:tc>
              <w:tc>
                <w:tcPr>
                  <w:tcW w:w="904" w:type="pct"/>
                  <w:tcBorders>
                    <w:top w:val="single" w:color="auto" w:sz="4" w:space="0"/>
                    <w:left w:val="single" w:color="auto" w:sz="4" w:space="0"/>
                    <w:bottom w:val="single" w:color="auto" w:sz="4" w:space="0"/>
                    <w:right w:val="single" w:color="auto" w:sz="4" w:space="0"/>
                  </w:tcBorders>
                  <w:vAlign w:val="bottom"/>
                </w:tcPr>
                <w:p w14:paraId="5AEB4E7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228.0 </w:t>
                  </w:r>
                </w:p>
              </w:tc>
            </w:tr>
            <w:tr w14:paraId="48A5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F1DB5F5">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k67+000~k68+000</w:t>
                  </w:r>
                </w:p>
              </w:tc>
              <w:tc>
                <w:tcPr>
                  <w:tcW w:w="904" w:type="pct"/>
                  <w:tcBorders>
                    <w:top w:val="single" w:color="auto" w:sz="4" w:space="0"/>
                    <w:left w:val="single" w:color="auto" w:sz="4" w:space="0"/>
                    <w:bottom w:val="single" w:color="auto" w:sz="4" w:space="0"/>
                    <w:right w:val="single" w:color="auto" w:sz="4" w:space="0"/>
                  </w:tcBorders>
                  <w:vAlign w:val="bottom"/>
                </w:tcPr>
                <w:p w14:paraId="21DA414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24452.7 </w:t>
                  </w:r>
                </w:p>
              </w:tc>
              <w:tc>
                <w:tcPr>
                  <w:tcW w:w="903" w:type="pct"/>
                  <w:tcBorders>
                    <w:top w:val="single" w:color="auto" w:sz="4" w:space="0"/>
                    <w:left w:val="single" w:color="auto" w:sz="4" w:space="0"/>
                    <w:bottom w:val="single" w:color="auto" w:sz="4" w:space="0"/>
                    <w:right w:val="single" w:color="auto" w:sz="4" w:space="0"/>
                  </w:tcBorders>
                  <w:vAlign w:val="bottom"/>
                </w:tcPr>
                <w:p w14:paraId="4D0759B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21763.9 </w:t>
                  </w:r>
                </w:p>
              </w:tc>
              <w:tc>
                <w:tcPr>
                  <w:tcW w:w="903" w:type="pct"/>
                  <w:tcBorders>
                    <w:top w:val="single" w:color="auto" w:sz="4" w:space="0"/>
                    <w:left w:val="single" w:color="auto" w:sz="4" w:space="0"/>
                    <w:bottom w:val="single" w:color="auto" w:sz="4" w:space="0"/>
                    <w:right w:val="single" w:color="auto" w:sz="4" w:space="0"/>
                  </w:tcBorders>
                  <w:vAlign w:val="bottom"/>
                </w:tcPr>
                <w:p w14:paraId="2E09DDA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6671.3 </w:t>
                  </w:r>
                </w:p>
              </w:tc>
              <w:tc>
                <w:tcPr>
                  <w:tcW w:w="904" w:type="pct"/>
                  <w:tcBorders>
                    <w:top w:val="single" w:color="auto" w:sz="4" w:space="0"/>
                    <w:left w:val="single" w:color="auto" w:sz="4" w:space="0"/>
                    <w:bottom w:val="single" w:color="auto" w:sz="4" w:space="0"/>
                    <w:right w:val="single" w:color="auto" w:sz="4" w:space="0"/>
                  </w:tcBorders>
                  <w:vAlign w:val="bottom"/>
                </w:tcPr>
                <w:p w14:paraId="4B88580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3924.3 </w:t>
                  </w:r>
                </w:p>
              </w:tc>
            </w:tr>
            <w:tr w14:paraId="0BE0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11C97A7">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k68+000~k69+000</w:t>
                  </w:r>
                </w:p>
              </w:tc>
              <w:tc>
                <w:tcPr>
                  <w:tcW w:w="904" w:type="pct"/>
                  <w:tcBorders>
                    <w:top w:val="single" w:color="auto" w:sz="4" w:space="0"/>
                    <w:left w:val="single" w:color="auto" w:sz="4" w:space="0"/>
                    <w:bottom w:val="single" w:color="auto" w:sz="4" w:space="0"/>
                    <w:right w:val="single" w:color="auto" w:sz="4" w:space="0"/>
                  </w:tcBorders>
                  <w:vAlign w:val="bottom"/>
                </w:tcPr>
                <w:p w14:paraId="40F2A43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7750.9 </w:t>
                  </w:r>
                </w:p>
              </w:tc>
              <w:tc>
                <w:tcPr>
                  <w:tcW w:w="903" w:type="pct"/>
                  <w:tcBorders>
                    <w:top w:val="single" w:color="auto" w:sz="4" w:space="0"/>
                    <w:left w:val="single" w:color="auto" w:sz="4" w:space="0"/>
                    <w:bottom w:val="single" w:color="auto" w:sz="4" w:space="0"/>
                    <w:right w:val="single" w:color="auto" w:sz="4" w:space="0"/>
                  </w:tcBorders>
                  <w:vAlign w:val="bottom"/>
                </w:tcPr>
                <w:p w14:paraId="3792441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40174.9 </w:t>
                  </w:r>
                </w:p>
              </w:tc>
              <w:tc>
                <w:tcPr>
                  <w:tcW w:w="903" w:type="pct"/>
                  <w:tcBorders>
                    <w:top w:val="single" w:color="auto" w:sz="4" w:space="0"/>
                    <w:left w:val="single" w:color="auto" w:sz="4" w:space="0"/>
                    <w:bottom w:val="single" w:color="auto" w:sz="4" w:space="0"/>
                    <w:right w:val="single" w:color="auto" w:sz="4" w:space="0"/>
                  </w:tcBorders>
                  <w:vAlign w:val="bottom"/>
                </w:tcPr>
                <w:p w14:paraId="014C276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29561.2 </w:t>
                  </w:r>
                </w:p>
              </w:tc>
              <w:tc>
                <w:tcPr>
                  <w:tcW w:w="904" w:type="pct"/>
                  <w:tcBorders>
                    <w:top w:val="single" w:color="auto" w:sz="4" w:space="0"/>
                    <w:left w:val="single" w:color="auto" w:sz="4" w:space="0"/>
                    <w:bottom w:val="single" w:color="auto" w:sz="4" w:space="0"/>
                    <w:right w:val="single" w:color="auto" w:sz="4" w:space="0"/>
                  </w:tcBorders>
                  <w:vAlign w:val="bottom"/>
                </w:tcPr>
                <w:p w14:paraId="6190D24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2903.9 </w:t>
                  </w:r>
                </w:p>
              </w:tc>
            </w:tr>
            <w:tr w14:paraId="60A0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883B6F1">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k69+000~k70+000</w:t>
                  </w:r>
                </w:p>
              </w:tc>
              <w:tc>
                <w:tcPr>
                  <w:tcW w:w="904" w:type="pct"/>
                  <w:tcBorders>
                    <w:top w:val="single" w:color="auto" w:sz="4" w:space="0"/>
                    <w:left w:val="single" w:color="auto" w:sz="4" w:space="0"/>
                    <w:bottom w:val="single" w:color="auto" w:sz="4" w:space="0"/>
                    <w:right w:val="single" w:color="auto" w:sz="4" w:space="0"/>
                  </w:tcBorders>
                  <w:vAlign w:val="bottom"/>
                </w:tcPr>
                <w:p w14:paraId="300E0B9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1886.6 </w:t>
                  </w:r>
                </w:p>
              </w:tc>
              <w:tc>
                <w:tcPr>
                  <w:tcW w:w="903" w:type="pct"/>
                  <w:tcBorders>
                    <w:top w:val="single" w:color="auto" w:sz="4" w:space="0"/>
                    <w:left w:val="single" w:color="auto" w:sz="4" w:space="0"/>
                    <w:bottom w:val="single" w:color="auto" w:sz="4" w:space="0"/>
                    <w:right w:val="single" w:color="auto" w:sz="4" w:space="0"/>
                  </w:tcBorders>
                  <w:vAlign w:val="bottom"/>
                </w:tcPr>
                <w:p w14:paraId="25DEDFF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63836.9 </w:t>
                  </w:r>
                </w:p>
              </w:tc>
              <w:tc>
                <w:tcPr>
                  <w:tcW w:w="903" w:type="pct"/>
                  <w:tcBorders>
                    <w:top w:val="single" w:color="auto" w:sz="4" w:space="0"/>
                    <w:left w:val="single" w:color="auto" w:sz="4" w:space="0"/>
                    <w:bottom w:val="single" w:color="auto" w:sz="4" w:space="0"/>
                    <w:right w:val="single" w:color="auto" w:sz="4" w:space="0"/>
                  </w:tcBorders>
                  <w:vAlign w:val="bottom"/>
                </w:tcPr>
                <w:p w14:paraId="7241FCB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12129.3 </w:t>
                  </w:r>
                </w:p>
              </w:tc>
              <w:tc>
                <w:tcPr>
                  <w:tcW w:w="904" w:type="pct"/>
                  <w:tcBorders>
                    <w:top w:val="single" w:color="auto" w:sz="4" w:space="0"/>
                    <w:left w:val="single" w:color="auto" w:sz="4" w:space="0"/>
                    <w:bottom w:val="single" w:color="auto" w:sz="4" w:space="0"/>
                    <w:right w:val="single" w:color="auto" w:sz="4" w:space="0"/>
                  </w:tcBorders>
                  <w:vAlign w:val="bottom"/>
                </w:tcPr>
                <w:p w14:paraId="6888BBF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1501.3 </w:t>
                  </w:r>
                </w:p>
              </w:tc>
            </w:tr>
            <w:tr w14:paraId="0BE9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3C1D5B6">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k70+000~k71+000</w:t>
                  </w:r>
                </w:p>
              </w:tc>
              <w:tc>
                <w:tcPr>
                  <w:tcW w:w="904" w:type="pct"/>
                  <w:tcBorders>
                    <w:top w:val="single" w:color="auto" w:sz="4" w:space="0"/>
                    <w:left w:val="single" w:color="auto" w:sz="4" w:space="0"/>
                    <w:bottom w:val="single" w:color="auto" w:sz="4" w:space="0"/>
                    <w:right w:val="single" w:color="auto" w:sz="4" w:space="0"/>
                  </w:tcBorders>
                  <w:vAlign w:val="bottom"/>
                </w:tcPr>
                <w:p w14:paraId="0E3074A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29636.6 </w:t>
                  </w:r>
                </w:p>
              </w:tc>
              <w:tc>
                <w:tcPr>
                  <w:tcW w:w="903" w:type="pct"/>
                  <w:tcBorders>
                    <w:top w:val="single" w:color="auto" w:sz="4" w:space="0"/>
                    <w:left w:val="single" w:color="auto" w:sz="4" w:space="0"/>
                    <w:bottom w:val="single" w:color="auto" w:sz="4" w:space="0"/>
                    <w:right w:val="single" w:color="auto" w:sz="4" w:space="0"/>
                  </w:tcBorders>
                  <w:vAlign w:val="bottom"/>
                </w:tcPr>
                <w:p w14:paraId="73F89DE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19822.0 </w:t>
                  </w:r>
                </w:p>
              </w:tc>
              <w:tc>
                <w:tcPr>
                  <w:tcW w:w="903" w:type="pct"/>
                  <w:tcBorders>
                    <w:top w:val="single" w:color="auto" w:sz="4" w:space="0"/>
                    <w:left w:val="single" w:color="auto" w:sz="4" w:space="0"/>
                    <w:bottom w:val="single" w:color="auto" w:sz="4" w:space="0"/>
                    <w:right w:val="single" w:color="auto" w:sz="4" w:space="0"/>
                  </w:tcBorders>
                  <w:vAlign w:val="bottom"/>
                </w:tcPr>
                <w:p w14:paraId="23CDD82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15239.5 </w:t>
                  </w:r>
                </w:p>
              </w:tc>
              <w:tc>
                <w:tcPr>
                  <w:tcW w:w="904" w:type="pct"/>
                  <w:tcBorders>
                    <w:top w:val="single" w:color="auto" w:sz="4" w:space="0"/>
                    <w:left w:val="single" w:color="auto" w:sz="4" w:space="0"/>
                    <w:bottom w:val="single" w:color="auto" w:sz="4" w:space="0"/>
                    <w:right w:val="single" w:color="auto" w:sz="4" w:space="0"/>
                  </w:tcBorders>
                  <w:vAlign w:val="bottom"/>
                </w:tcPr>
                <w:p w14:paraId="2AEAC73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23021.1 </w:t>
                  </w:r>
                </w:p>
              </w:tc>
            </w:tr>
            <w:tr w14:paraId="1B93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740D10F">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k71+000~k72+000</w:t>
                  </w:r>
                </w:p>
              </w:tc>
              <w:tc>
                <w:tcPr>
                  <w:tcW w:w="904" w:type="pct"/>
                  <w:tcBorders>
                    <w:top w:val="single" w:color="auto" w:sz="4" w:space="0"/>
                    <w:left w:val="single" w:color="auto" w:sz="4" w:space="0"/>
                    <w:bottom w:val="single" w:color="auto" w:sz="4" w:space="0"/>
                    <w:right w:val="single" w:color="auto" w:sz="4" w:space="0"/>
                  </w:tcBorders>
                  <w:vAlign w:val="bottom"/>
                </w:tcPr>
                <w:p w14:paraId="5CA0E70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12574.7 </w:t>
                  </w:r>
                </w:p>
              </w:tc>
              <w:tc>
                <w:tcPr>
                  <w:tcW w:w="903" w:type="pct"/>
                  <w:tcBorders>
                    <w:top w:val="single" w:color="auto" w:sz="4" w:space="0"/>
                    <w:left w:val="single" w:color="auto" w:sz="4" w:space="0"/>
                    <w:bottom w:val="single" w:color="auto" w:sz="4" w:space="0"/>
                    <w:right w:val="single" w:color="auto" w:sz="4" w:space="0"/>
                  </w:tcBorders>
                  <w:vAlign w:val="bottom"/>
                </w:tcPr>
                <w:p w14:paraId="23CC6C7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12066.4 </w:t>
                  </w:r>
                </w:p>
              </w:tc>
              <w:tc>
                <w:tcPr>
                  <w:tcW w:w="903" w:type="pct"/>
                  <w:tcBorders>
                    <w:top w:val="single" w:color="auto" w:sz="4" w:space="0"/>
                    <w:left w:val="single" w:color="auto" w:sz="4" w:space="0"/>
                    <w:bottom w:val="single" w:color="auto" w:sz="4" w:space="0"/>
                    <w:right w:val="single" w:color="auto" w:sz="4" w:space="0"/>
                  </w:tcBorders>
                  <w:vAlign w:val="bottom"/>
                </w:tcPr>
                <w:p w14:paraId="746AA29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9485.4 </w:t>
                  </w:r>
                </w:p>
              </w:tc>
              <w:tc>
                <w:tcPr>
                  <w:tcW w:w="904" w:type="pct"/>
                  <w:tcBorders>
                    <w:top w:val="single" w:color="auto" w:sz="4" w:space="0"/>
                    <w:left w:val="single" w:color="auto" w:sz="4" w:space="0"/>
                    <w:bottom w:val="single" w:color="auto" w:sz="4" w:space="0"/>
                    <w:right w:val="single" w:color="auto" w:sz="4" w:space="0"/>
                  </w:tcBorders>
                  <w:vAlign w:val="bottom"/>
                </w:tcPr>
                <w:p w14:paraId="39EB867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10045.2 </w:t>
                  </w:r>
                </w:p>
              </w:tc>
            </w:tr>
            <w:tr w14:paraId="5E1D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0C90367">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k72+000~k73+000</w:t>
                  </w:r>
                </w:p>
              </w:tc>
              <w:tc>
                <w:tcPr>
                  <w:tcW w:w="904" w:type="pct"/>
                  <w:tcBorders>
                    <w:top w:val="single" w:color="auto" w:sz="4" w:space="0"/>
                    <w:left w:val="single" w:color="auto" w:sz="4" w:space="0"/>
                    <w:bottom w:val="single" w:color="auto" w:sz="4" w:space="0"/>
                    <w:right w:val="single" w:color="auto" w:sz="4" w:space="0"/>
                  </w:tcBorders>
                  <w:vAlign w:val="bottom"/>
                </w:tcPr>
                <w:p w14:paraId="3A942EF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13544.1 </w:t>
                  </w:r>
                </w:p>
              </w:tc>
              <w:tc>
                <w:tcPr>
                  <w:tcW w:w="903" w:type="pct"/>
                  <w:tcBorders>
                    <w:top w:val="single" w:color="auto" w:sz="4" w:space="0"/>
                    <w:left w:val="single" w:color="auto" w:sz="4" w:space="0"/>
                    <w:bottom w:val="single" w:color="auto" w:sz="4" w:space="0"/>
                    <w:right w:val="single" w:color="auto" w:sz="4" w:space="0"/>
                  </w:tcBorders>
                  <w:vAlign w:val="bottom"/>
                </w:tcPr>
                <w:p w14:paraId="61DA2AB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28695.5 </w:t>
                  </w:r>
                </w:p>
              </w:tc>
              <w:tc>
                <w:tcPr>
                  <w:tcW w:w="903" w:type="pct"/>
                  <w:tcBorders>
                    <w:top w:val="single" w:color="auto" w:sz="4" w:space="0"/>
                    <w:left w:val="single" w:color="auto" w:sz="4" w:space="0"/>
                    <w:bottom w:val="single" w:color="auto" w:sz="4" w:space="0"/>
                    <w:right w:val="single" w:color="auto" w:sz="4" w:space="0"/>
                  </w:tcBorders>
                  <w:vAlign w:val="bottom"/>
                </w:tcPr>
                <w:p w14:paraId="09A6BA1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22701.2 </w:t>
                  </w:r>
                </w:p>
              </w:tc>
              <w:tc>
                <w:tcPr>
                  <w:tcW w:w="904" w:type="pct"/>
                  <w:tcBorders>
                    <w:top w:val="single" w:color="auto" w:sz="4" w:space="0"/>
                    <w:left w:val="single" w:color="auto" w:sz="4" w:space="0"/>
                    <w:bottom w:val="single" w:color="auto" w:sz="4" w:space="0"/>
                    <w:right w:val="single" w:color="auto" w:sz="4" w:space="0"/>
                  </w:tcBorders>
                  <w:vAlign w:val="bottom"/>
                </w:tcPr>
                <w:p w14:paraId="5C3E53A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10819.6 </w:t>
                  </w:r>
                </w:p>
              </w:tc>
            </w:tr>
            <w:tr w14:paraId="5D9D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00980B2">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k73+000~k74+000</w:t>
                  </w:r>
                </w:p>
              </w:tc>
              <w:tc>
                <w:tcPr>
                  <w:tcW w:w="904" w:type="pct"/>
                  <w:tcBorders>
                    <w:top w:val="single" w:color="auto" w:sz="4" w:space="0"/>
                    <w:left w:val="single" w:color="auto" w:sz="4" w:space="0"/>
                    <w:bottom w:val="single" w:color="auto" w:sz="4" w:space="0"/>
                    <w:right w:val="single" w:color="auto" w:sz="4" w:space="0"/>
                  </w:tcBorders>
                  <w:vAlign w:val="bottom"/>
                </w:tcPr>
                <w:p w14:paraId="279AE08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5355.4 </w:t>
                  </w:r>
                </w:p>
              </w:tc>
              <w:tc>
                <w:tcPr>
                  <w:tcW w:w="903" w:type="pct"/>
                  <w:tcBorders>
                    <w:top w:val="single" w:color="auto" w:sz="4" w:space="0"/>
                    <w:left w:val="single" w:color="auto" w:sz="4" w:space="0"/>
                    <w:bottom w:val="single" w:color="auto" w:sz="4" w:space="0"/>
                    <w:right w:val="single" w:color="auto" w:sz="4" w:space="0"/>
                  </w:tcBorders>
                  <w:vAlign w:val="bottom"/>
                </w:tcPr>
                <w:p w14:paraId="7BA3F61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46419.1 </w:t>
                  </w:r>
                </w:p>
              </w:tc>
              <w:tc>
                <w:tcPr>
                  <w:tcW w:w="903" w:type="pct"/>
                  <w:tcBorders>
                    <w:top w:val="single" w:color="auto" w:sz="4" w:space="0"/>
                    <w:left w:val="single" w:color="auto" w:sz="4" w:space="0"/>
                    <w:bottom w:val="single" w:color="auto" w:sz="4" w:space="0"/>
                    <w:right w:val="single" w:color="auto" w:sz="4" w:space="0"/>
                  </w:tcBorders>
                  <w:vAlign w:val="bottom"/>
                </w:tcPr>
                <w:p w14:paraId="5C252E9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36722.4 </w:t>
                  </w:r>
                </w:p>
              </w:tc>
              <w:tc>
                <w:tcPr>
                  <w:tcW w:w="904" w:type="pct"/>
                  <w:tcBorders>
                    <w:top w:val="single" w:color="auto" w:sz="4" w:space="0"/>
                    <w:left w:val="single" w:color="auto" w:sz="4" w:space="0"/>
                    <w:bottom w:val="single" w:color="auto" w:sz="4" w:space="0"/>
                    <w:right w:val="single" w:color="auto" w:sz="4" w:space="0"/>
                  </w:tcBorders>
                  <w:vAlign w:val="bottom"/>
                </w:tcPr>
                <w:p w14:paraId="19794D7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4278.1 </w:t>
                  </w:r>
                </w:p>
              </w:tc>
            </w:tr>
            <w:tr w14:paraId="37B1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75C08A6">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k74+000~k75+000</w:t>
                  </w:r>
                </w:p>
              </w:tc>
              <w:tc>
                <w:tcPr>
                  <w:tcW w:w="904" w:type="pct"/>
                  <w:tcBorders>
                    <w:top w:val="single" w:color="auto" w:sz="4" w:space="0"/>
                    <w:left w:val="single" w:color="auto" w:sz="4" w:space="0"/>
                    <w:bottom w:val="single" w:color="auto" w:sz="4" w:space="0"/>
                    <w:right w:val="single" w:color="auto" w:sz="4" w:space="0"/>
                  </w:tcBorders>
                  <w:vAlign w:val="bottom"/>
                </w:tcPr>
                <w:p w14:paraId="70C48CF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8080.8 </w:t>
                  </w:r>
                </w:p>
              </w:tc>
              <w:tc>
                <w:tcPr>
                  <w:tcW w:w="903" w:type="pct"/>
                  <w:tcBorders>
                    <w:top w:val="single" w:color="auto" w:sz="4" w:space="0"/>
                    <w:left w:val="single" w:color="auto" w:sz="4" w:space="0"/>
                    <w:bottom w:val="single" w:color="auto" w:sz="4" w:space="0"/>
                    <w:right w:val="single" w:color="auto" w:sz="4" w:space="0"/>
                  </w:tcBorders>
                  <w:vAlign w:val="bottom"/>
                </w:tcPr>
                <w:p w14:paraId="3F5FBBB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32100.7 </w:t>
                  </w:r>
                </w:p>
              </w:tc>
              <w:tc>
                <w:tcPr>
                  <w:tcW w:w="903" w:type="pct"/>
                  <w:tcBorders>
                    <w:top w:val="single" w:color="auto" w:sz="4" w:space="0"/>
                    <w:left w:val="single" w:color="auto" w:sz="4" w:space="0"/>
                    <w:bottom w:val="single" w:color="auto" w:sz="4" w:space="0"/>
                    <w:right w:val="single" w:color="auto" w:sz="4" w:space="0"/>
                  </w:tcBorders>
                  <w:vAlign w:val="bottom"/>
                </w:tcPr>
                <w:p w14:paraId="56B11DF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25395.1 </w:t>
                  </w:r>
                </w:p>
              </w:tc>
              <w:tc>
                <w:tcPr>
                  <w:tcW w:w="904" w:type="pct"/>
                  <w:tcBorders>
                    <w:top w:val="single" w:color="auto" w:sz="4" w:space="0"/>
                    <w:left w:val="single" w:color="auto" w:sz="4" w:space="0"/>
                    <w:bottom w:val="single" w:color="auto" w:sz="4" w:space="0"/>
                    <w:right w:val="single" w:color="auto" w:sz="4" w:space="0"/>
                  </w:tcBorders>
                  <w:vAlign w:val="bottom"/>
                </w:tcPr>
                <w:p w14:paraId="63D684C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6455.3 </w:t>
                  </w:r>
                </w:p>
              </w:tc>
            </w:tr>
            <w:tr w14:paraId="3EC4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EDF96F0">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k75+000~k76+000</w:t>
                  </w:r>
                </w:p>
              </w:tc>
              <w:tc>
                <w:tcPr>
                  <w:tcW w:w="904" w:type="pct"/>
                  <w:tcBorders>
                    <w:top w:val="single" w:color="auto" w:sz="4" w:space="0"/>
                    <w:left w:val="single" w:color="auto" w:sz="4" w:space="0"/>
                    <w:bottom w:val="single" w:color="auto" w:sz="4" w:space="0"/>
                    <w:right w:val="single" w:color="auto" w:sz="4" w:space="0"/>
                  </w:tcBorders>
                  <w:vAlign w:val="bottom"/>
                </w:tcPr>
                <w:p w14:paraId="22AE598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11053.8 </w:t>
                  </w:r>
                </w:p>
              </w:tc>
              <w:tc>
                <w:tcPr>
                  <w:tcW w:w="903" w:type="pct"/>
                  <w:tcBorders>
                    <w:top w:val="single" w:color="auto" w:sz="4" w:space="0"/>
                    <w:left w:val="single" w:color="auto" w:sz="4" w:space="0"/>
                    <w:bottom w:val="single" w:color="auto" w:sz="4" w:space="0"/>
                    <w:right w:val="single" w:color="auto" w:sz="4" w:space="0"/>
                  </w:tcBorders>
                  <w:vAlign w:val="bottom"/>
                </w:tcPr>
                <w:p w14:paraId="15ACFF1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31336.1 </w:t>
                  </w:r>
                </w:p>
              </w:tc>
              <w:tc>
                <w:tcPr>
                  <w:tcW w:w="903" w:type="pct"/>
                  <w:tcBorders>
                    <w:top w:val="single" w:color="auto" w:sz="4" w:space="0"/>
                    <w:left w:val="single" w:color="auto" w:sz="4" w:space="0"/>
                    <w:bottom w:val="single" w:color="auto" w:sz="4" w:space="0"/>
                    <w:right w:val="single" w:color="auto" w:sz="4" w:space="0"/>
                  </w:tcBorders>
                  <w:vAlign w:val="bottom"/>
                </w:tcPr>
                <w:p w14:paraId="28C3AD1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23489.9 </w:t>
                  </w:r>
                </w:p>
              </w:tc>
              <w:tc>
                <w:tcPr>
                  <w:tcW w:w="904" w:type="pct"/>
                  <w:tcBorders>
                    <w:top w:val="single" w:color="auto" w:sz="4" w:space="0"/>
                    <w:left w:val="single" w:color="auto" w:sz="4" w:space="0"/>
                    <w:bottom w:val="single" w:color="auto" w:sz="4" w:space="0"/>
                    <w:right w:val="single" w:color="auto" w:sz="4" w:space="0"/>
                  </w:tcBorders>
                  <w:vAlign w:val="bottom"/>
                </w:tcPr>
                <w:p w14:paraId="75D31B1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3284.3 </w:t>
                  </w:r>
                </w:p>
              </w:tc>
            </w:tr>
            <w:tr w14:paraId="30C8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072D977">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k76+000~k77+000</w:t>
                  </w:r>
                </w:p>
              </w:tc>
              <w:tc>
                <w:tcPr>
                  <w:tcW w:w="904" w:type="pct"/>
                  <w:tcBorders>
                    <w:top w:val="single" w:color="auto" w:sz="4" w:space="0"/>
                    <w:left w:val="single" w:color="auto" w:sz="4" w:space="0"/>
                    <w:bottom w:val="single" w:color="auto" w:sz="4" w:space="0"/>
                    <w:right w:val="single" w:color="auto" w:sz="4" w:space="0"/>
                  </w:tcBorders>
                  <w:vAlign w:val="bottom"/>
                </w:tcPr>
                <w:p w14:paraId="210D656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14909.1 </w:t>
                  </w:r>
                </w:p>
              </w:tc>
              <w:tc>
                <w:tcPr>
                  <w:tcW w:w="903" w:type="pct"/>
                  <w:tcBorders>
                    <w:top w:val="single" w:color="auto" w:sz="4" w:space="0"/>
                    <w:left w:val="single" w:color="auto" w:sz="4" w:space="0"/>
                    <w:bottom w:val="single" w:color="auto" w:sz="4" w:space="0"/>
                    <w:right w:val="single" w:color="auto" w:sz="4" w:space="0"/>
                  </w:tcBorders>
                  <w:vAlign w:val="bottom"/>
                </w:tcPr>
                <w:p w14:paraId="19F8CD1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23213.9 </w:t>
                  </w:r>
                </w:p>
              </w:tc>
              <w:tc>
                <w:tcPr>
                  <w:tcW w:w="903" w:type="pct"/>
                  <w:tcBorders>
                    <w:top w:val="single" w:color="auto" w:sz="4" w:space="0"/>
                    <w:left w:val="single" w:color="auto" w:sz="4" w:space="0"/>
                    <w:bottom w:val="single" w:color="auto" w:sz="4" w:space="0"/>
                    <w:right w:val="single" w:color="auto" w:sz="4" w:space="0"/>
                  </w:tcBorders>
                  <w:vAlign w:val="bottom"/>
                </w:tcPr>
                <w:p w14:paraId="78E15BB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9510.1 </w:t>
                  </w:r>
                </w:p>
              </w:tc>
              <w:tc>
                <w:tcPr>
                  <w:tcW w:w="904" w:type="pct"/>
                  <w:tcBorders>
                    <w:top w:val="single" w:color="auto" w:sz="4" w:space="0"/>
                    <w:left w:val="single" w:color="auto" w:sz="4" w:space="0"/>
                    <w:bottom w:val="single" w:color="auto" w:sz="4" w:space="0"/>
                    <w:right w:val="single" w:color="auto" w:sz="4" w:space="0"/>
                  </w:tcBorders>
                  <w:vAlign w:val="bottom"/>
                </w:tcPr>
                <w:p w14:paraId="7888BD0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2425.5 </w:t>
                  </w:r>
                </w:p>
              </w:tc>
            </w:tr>
            <w:tr w14:paraId="2AAD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EBA6CE2">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k77+000~k78+000</w:t>
                  </w:r>
                </w:p>
              </w:tc>
              <w:tc>
                <w:tcPr>
                  <w:tcW w:w="904" w:type="pct"/>
                  <w:tcBorders>
                    <w:top w:val="single" w:color="auto" w:sz="4" w:space="0"/>
                    <w:left w:val="single" w:color="auto" w:sz="4" w:space="0"/>
                    <w:bottom w:val="single" w:color="auto" w:sz="4" w:space="0"/>
                    <w:right w:val="single" w:color="auto" w:sz="4" w:space="0"/>
                  </w:tcBorders>
                  <w:vAlign w:val="bottom"/>
                </w:tcPr>
                <w:p w14:paraId="20EFD89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15233.3 </w:t>
                  </w:r>
                </w:p>
              </w:tc>
              <w:tc>
                <w:tcPr>
                  <w:tcW w:w="903" w:type="pct"/>
                  <w:tcBorders>
                    <w:top w:val="single" w:color="auto" w:sz="4" w:space="0"/>
                    <w:left w:val="single" w:color="auto" w:sz="4" w:space="0"/>
                    <w:bottom w:val="single" w:color="auto" w:sz="4" w:space="0"/>
                    <w:right w:val="single" w:color="auto" w:sz="4" w:space="0"/>
                  </w:tcBorders>
                  <w:vAlign w:val="bottom"/>
                </w:tcPr>
                <w:p w14:paraId="2C55056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68320.7 </w:t>
                  </w:r>
                </w:p>
              </w:tc>
              <w:tc>
                <w:tcPr>
                  <w:tcW w:w="903" w:type="pct"/>
                  <w:tcBorders>
                    <w:top w:val="single" w:color="auto" w:sz="4" w:space="0"/>
                    <w:left w:val="single" w:color="auto" w:sz="4" w:space="0"/>
                    <w:bottom w:val="single" w:color="auto" w:sz="4" w:space="0"/>
                    <w:right w:val="single" w:color="auto" w:sz="4" w:space="0"/>
                  </w:tcBorders>
                  <w:vAlign w:val="bottom"/>
                </w:tcPr>
                <w:p w14:paraId="54BE080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47471.7 </w:t>
                  </w:r>
                </w:p>
              </w:tc>
              <w:tc>
                <w:tcPr>
                  <w:tcW w:w="904" w:type="pct"/>
                  <w:tcBorders>
                    <w:top w:val="single" w:color="auto" w:sz="4" w:space="0"/>
                    <w:left w:val="single" w:color="auto" w:sz="4" w:space="0"/>
                    <w:bottom w:val="single" w:color="auto" w:sz="4" w:space="0"/>
                    <w:right w:val="single" w:color="auto" w:sz="4" w:space="0"/>
                  </w:tcBorders>
                  <w:vAlign w:val="bottom"/>
                </w:tcPr>
                <w:p w14:paraId="1945ED4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2433.8 </w:t>
                  </w:r>
                </w:p>
              </w:tc>
            </w:tr>
            <w:tr w14:paraId="5D7E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57A66244">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k78+000~k79+000</w:t>
                  </w:r>
                </w:p>
              </w:tc>
              <w:tc>
                <w:tcPr>
                  <w:tcW w:w="904" w:type="pct"/>
                  <w:tcBorders>
                    <w:top w:val="single" w:color="auto" w:sz="4" w:space="0"/>
                    <w:left w:val="single" w:color="auto" w:sz="4" w:space="0"/>
                    <w:bottom w:val="single" w:color="auto" w:sz="4" w:space="0"/>
                    <w:right w:val="single" w:color="auto" w:sz="4" w:space="0"/>
                  </w:tcBorders>
                  <w:vAlign w:val="bottom"/>
                </w:tcPr>
                <w:p w14:paraId="2514B26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21639.2 </w:t>
                  </w:r>
                </w:p>
              </w:tc>
              <w:tc>
                <w:tcPr>
                  <w:tcW w:w="903" w:type="pct"/>
                  <w:tcBorders>
                    <w:top w:val="single" w:color="auto" w:sz="4" w:space="0"/>
                    <w:left w:val="single" w:color="auto" w:sz="4" w:space="0"/>
                    <w:bottom w:val="single" w:color="auto" w:sz="4" w:space="0"/>
                    <w:right w:val="single" w:color="auto" w:sz="4" w:space="0"/>
                  </w:tcBorders>
                  <w:vAlign w:val="bottom"/>
                </w:tcPr>
                <w:p w14:paraId="260D023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91373.7 </w:t>
                  </w:r>
                </w:p>
              </w:tc>
              <w:tc>
                <w:tcPr>
                  <w:tcW w:w="903" w:type="pct"/>
                  <w:tcBorders>
                    <w:top w:val="single" w:color="auto" w:sz="4" w:space="0"/>
                    <w:left w:val="single" w:color="auto" w:sz="4" w:space="0"/>
                    <w:bottom w:val="single" w:color="auto" w:sz="4" w:space="0"/>
                    <w:right w:val="single" w:color="auto" w:sz="4" w:space="0"/>
                  </w:tcBorders>
                  <w:vAlign w:val="bottom"/>
                </w:tcPr>
                <w:p w14:paraId="5C1BE2C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37023.9 </w:t>
                  </w:r>
                </w:p>
              </w:tc>
              <w:tc>
                <w:tcPr>
                  <w:tcW w:w="904" w:type="pct"/>
                  <w:tcBorders>
                    <w:top w:val="single" w:color="auto" w:sz="4" w:space="0"/>
                    <w:left w:val="single" w:color="auto" w:sz="4" w:space="0"/>
                    <w:bottom w:val="single" w:color="auto" w:sz="4" w:space="0"/>
                    <w:right w:val="single" w:color="auto" w:sz="4" w:space="0"/>
                  </w:tcBorders>
                  <w:vAlign w:val="bottom"/>
                </w:tcPr>
                <w:p w14:paraId="34D7FFD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3457.3 </w:t>
                  </w:r>
                </w:p>
              </w:tc>
            </w:tr>
            <w:tr w14:paraId="0DEE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DAEB761">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k79+000~k80+000</w:t>
                  </w:r>
                </w:p>
              </w:tc>
              <w:tc>
                <w:tcPr>
                  <w:tcW w:w="904" w:type="pct"/>
                  <w:tcBorders>
                    <w:top w:val="single" w:color="auto" w:sz="4" w:space="0"/>
                    <w:left w:val="single" w:color="auto" w:sz="4" w:space="0"/>
                    <w:bottom w:val="single" w:color="auto" w:sz="4" w:space="0"/>
                    <w:right w:val="single" w:color="auto" w:sz="4" w:space="0"/>
                  </w:tcBorders>
                  <w:vAlign w:val="bottom"/>
                </w:tcPr>
                <w:p w14:paraId="42BDE66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37429.6 </w:t>
                  </w:r>
                </w:p>
              </w:tc>
              <w:tc>
                <w:tcPr>
                  <w:tcW w:w="903" w:type="pct"/>
                  <w:tcBorders>
                    <w:top w:val="single" w:color="auto" w:sz="4" w:space="0"/>
                    <w:left w:val="single" w:color="auto" w:sz="4" w:space="0"/>
                    <w:bottom w:val="single" w:color="auto" w:sz="4" w:space="0"/>
                    <w:right w:val="single" w:color="auto" w:sz="4" w:space="0"/>
                  </w:tcBorders>
                  <w:vAlign w:val="bottom"/>
                </w:tcPr>
                <w:p w14:paraId="0A3C889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64590.8 </w:t>
                  </w:r>
                </w:p>
              </w:tc>
              <w:tc>
                <w:tcPr>
                  <w:tcW w:w="903" w:type="pct"/>
                  <w:tcBorders>
                    <w:top w:val="single" w:color="auto" w:sz="4" w:space="0"/>
                    <w:left w:val="single" w:color="auto" w:sz="4" w:space="0"/>
                    <w:bottom w:val="single" w:color="auto" w:sz="4" w:space="0"/>
                    <w:right w:val="single" w:color="auto" w:sz="4" w:space="0"/>
                  </w:tcBorders>
                  <w:vAlign w:val="bottom"/>
                </w:tcPr>
                <w:p w14:paraId="4F50987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1820.7 </w:t>
                  </w:r>
                </w:p>
              </w:tc>
              <w:tc>
                <w:tcPr>
                  <w:tcW w:w="904" w:type="pct"/>
                  <w:tcBorders>
                    <w:top w:val="single" w:color="auto" w:sz="4" w:space="0"/>
                    <w:left w:val="single" w:color="auto" w:sz="4" w:space="0"/>
                    <w:bottom w:val="single" w:color="auto" w:sz="4" w:space="0"/>
                    <w:right w:val="single" w:color="auto" w:sz="4" w:space="0"/>
                  </w:tcBorders>
                  <w:vAlign w:val="bottom"/>
                </w:tcPr>
                <w:p w14:paraId="61F4F87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5980.1 </w:t>
                  </w:r>
                </w:p>
              </w:tc>
            </w:tr>
            <w:tr w14:paraId="5243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0284024">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k80+000~k81+000</w:t>
                  </w:r>
                </w:p>
              </w:tc>
              <w:tc>
                <w:tcPr>
                  <w:tcW w:w="904" w:type="pct"/>
                  <w:tcBorders>
                    <w:top w:val="single" w:color="auto" w:sz="4" w:space="0"/>
                    <w:left w:val="single" w:color="auto" w:sz="4" w:space="0"/>
                    <w:bottom w:val="single" w:color="auto" w:sz="4" w:space="0"/>
                    <w:right w:val="single" w:color="auto" w:sz="4" w:space="0"/>
                  </w:tcBorders>
                  <w:vAlign w:val="bottom"/>
                </w:tcPr>
                <w:p w14:paraId="2331495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11525.4 </w:t>
                  </w:r>
                </w:p>
              </w:tc>
              <w:tc>
                <w:tcPr>
                  <w:tcW w:w="903" w:type="pct"/>
                  <w:tcBorders>
                    <w:top w:val="single" w:color="auto" w:sz="4" w:space="0"/>
                    <w:left w:val="single" w:color="auto" w:sz="4" w:space="0"/>
                    <w:bottom w:val="single" w:color="auto" w:sz="4" w:space="0"/>
                    <w:right w:val="single" w:color="auto" w:sz="4" w:space="0"/>
                  </w:tcBorders>
                  <w:vAlign w:val="bottom"/>
                </w:tcPr>
                <w:p w14:paraId="34D78B8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16655.8 </w:t>
                  </w:r>
                </w:p>
              </w:tc>
              <w:tc>
                <w:tcPr>
                  <w:tcW w:w="903" w:type="pct"/>
                  <w:tcBorders>
                    <w:top w:val="single" w:color="auto" w:sz="4" w:space="0"/>
                    <w:left w:val="single" w:color="auto" w:sz="4" w:space="0"/>
                    <w:bottom w:val="single" w:color="auto" w:sz="4" w:space="0"/>
                    <w:right w:val="single" w:color="auto" w:sz="4" w:space="0"/>
                  </w:tcBorders>
                  <w:vAlign w:val="bottom"/>
                </w:tcPr>
                <w:p w14:paraId="4C1000F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48.7 </w:t>
                  </w:r>
                </w:p>
              </w:tc>
              <w:tc>
                <w:tcPr>
                  <w:tcW w:w="904" w:type="pct"/>
                  <w:tcBorders>
                    <w:top w:val="single" w:color="auto" w:sz="4" w:space="0"/>
                    <w:left w:val="single" w:color="auto" w:sz="4" w:space="0"/>
                    <w:bottom w:val="single" w:color="auto" w:sz="4" w:space="0"/>
                    <w:right w:val="single" w:color="auto" w:sz="4" w:space="0"/>
                  </w:tcBorders>
                  <w:vAlign w:val="bottom"/>
                </w:tcPr>
                <w:p w14:paraId="1D01346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1841.4 </w:t>
                  </w:r>
                </w:p>
              </w:tc>
            </w:tr>
            <w:tr w14:paraId="6FCC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DBC5163">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k81+000~k82+000</w:t>
                  </w:r>
                </w:p>
              </w:tc>
              <w:tc>
                <w:tcPr>
                  <w:tcW w:w="904" w:type="pct"/>
                  <w:tcBorders>
                    <w:top w:val="single" w:color="auto" w:sz="4" w:space="0"/>
                    <w:left w:val="single" w:color="auto" w:sz="4" w:space="0"/>
                    <w:bottom w:val="single" w:color="auto" w:sz="4" w:space="0"/>
                    <w:right w:val="single" w:color="auto" w:sz="4" w:space="0"/>
                  </w:tcBorders>
                  <w:vAlign w:val="bottom"/>
                </w:tcPr>
                <w:p w14:paraId="3C8B359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20629.5 </w:t>
                  </w:r>
                </w:p>
              </w:tc>
              <w:tc>
                <w:tcPr>
                  <w:tcW w:w="903" w:type="pct"/>
                  <w:tcBorders>
                    <w:top w:val="single" w:color="auto" w:sz="4" w:space="0"/>
                    <w:left w:val="single" w:color="auto" w:sz="4" w:space="0"/>
                    <w:bottom w:val="single" w:color="auto" w:sz="4" w:space="0"/>
                    <w:right w:val="single" w:color="auto" w:sz="4" w:space="0"/>
                  </w:tcBorders>
                  <w:vAlign w:val="bottom"/>
                </w:tcPr>
                <w:p w14:paraId="439451D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23670.3 </w:t>
                  </w:r>
                </w:p>
              </w:tc>
              <w:tc>
                <w:tcPr>
                  <w:tcW w:w="903" w:type="pct"/>
                  <w:tcBorders>
                    <w:top w:val="single" w:color="auto" w:sz="4" w:space="0"/>
                    <w:left w:val="single" w:color="auto" w:sz="4" w:space="0"/>
                    <w:bottom w:val="single" w:color="auto" w:sz="4" w:space="0"/>
                    <w:right w:val="single" w:color="auto" w:sz="4" w:space="0"/>
                  </w:tcBorders>
                  <w:vAlign w:val="bottom"/>
                </w:tcPr>
                <w:p w14:paraId="2C14EA2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202.3 </w:t>
                  </w:r>
                </w:p>
              </w:tc>
              <w:tc>
                <w:tcPr>
                  <w:tcW w:w="904" w:type="pct"/>
                  <w:tcBorders>
                    <w:top w:val="single" w:color="auto" w:sz="4" w:space="0"/>
                    <w:left w:val="single" w:color="auto" w:sz="4" w:space="0"/>
                    <w:bottom w:val="single" w:color="auto" w:sz="4" w:space="0"/>
                    <w:right w:val="single" w:color="auto" w:sz="4" w:space="0"/>
                  </w:tcBorders>
                  <w:vAlign w:val="bottom"/>
                </w:tcPr>
                <w:p w14:paraId="3968428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3328.3 </w:t>
                  </w:r>
                </w:p>
              </w:tc>
            </w:tr>
            <w:tr w14:paraId="74A2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ECB187D">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k82+000~k83+000</w:t>
                  </w:r>
                </w:p>
              </w:tc>
              <w:tc>
                <w:tcPr>
                  <w:tcW w:w="904" w:type="pct"/>
                  <w:tcBorders>
                    <w:top w:val="single" w:color="auto" w:sz="4" w:space="0"/>
                    <w:left w:val="single" w:color="auto" w:sz="4" w:space="0"/>
                    <w:bottom w:val="single" w:color="auto" w:sz="4" w:space="0"/>
                    <w:right w:val="single" w:color="auto" w:sz="4" w:space="0"/>
                  </w:tcBorders>
                  <w:vAlign w:val="bottom"/>
                </w:tcPr>
                <w:p w14:paraId="7077316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44725.1 </w:t>
                  </w:r>
                </w:p>
              </w:tc>
              <w:tc>
                <w:tcPr>
                  <w:tcW w:w="903" w:type="pct"/>
                  <w:tcBorders>
                    <w:top w:val="single" w:color="auto" w:sz="4" w:space="0"/>
                    <w:left w:val="single" w:color="auto" w:sz="4" w:space="0"/>
                    <w:bottom w:val="single" w:color="auto" w:sz="4" w:space="0"/>
                    <w:right w:val="single" w:color="auto" w:sz="4" w:space="0"/>
                  </w:tcBorders>
                  <w:vAlign w:val="bottom"/>
                </w:tcPr>
                <w:p w14:paraId="27AE120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21137.9 </w:t>
                  </w:r>
                </w:p>
              </w:tc>
              <w:tc>
                <w:tcPr>
                  <w:tcW w:w="903" w:type="pct"/>
                  <w:tcBorders>
                    <w:top w:val="single" w:color="auto" w:sz="4" w:space="0"/>
                    <w:left w:val="single" w:color="auto" w:sz="4" w:space="0"/>
                    <w:bottom w:val="single" w:color="auto" w:sz="4" w:space="0"/>
                    <w:right w:val="single" w:color="auto" w:sz="4" w:space="0"/>
                  </w:tcBorders>
                  <w:vAlign w:val="bottom"/>
                </w:tcPr>
                <w:p w14:paraId="5BF694F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109.2 </w:t>
                  </w:r>
                </w:p>
              </w:tc>
              <w:tc>
                <w:tcPr>
                  <w:tcW w:w="904" w:type="pct"/>
                  <w:tcBorders>
                    <w:top w:val="single" w:color="auto" w:sz="4" w:space="0"/>
                    <w:left w:val="single" w:color="auto" w:sz="4" w:space="0"/>
                    <w:bottom w:val="single" w:color="auto" w:sz="4" w:space="0"/>
                    <w:right w:val="single" w:color="auto" w:sz="4" w:space="0"/>
                  </w:tcBorders>
                  <w:vAlign w:val="bottom"/>
                </w:tcPr>
                <w:p w14:paraId="1DBCF22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7145.7 </w:t>
                  </w:r>
                </w:p>
              </w:tc>
            </w:tr>
            <w:tr w14:paraId="708F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C08E077">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k83+000~k84+000</w:t>
                  </w:r>
                </w:p>
              </w:tc>
              <w:tc>
                <w:tcPr>
                  <w:tcW w:w="904" w:type="pct"/>
                  <w:tcBorders>
                    <w:top w:val="single" w:color="auto" w:sz="4" w:space="0"/>
                    <w:left w:val="single" w:color="auto" w:sz="4" w:space="0"/>
                    <w:bottom w:val="single" w:color="auto" w:sz="4" w:space="0"/>
                    <w:right w:val="single" w:color="auto" w:sz="4" w:space="0"/>
                  </w:tcBorders>
                  <w:vAlign w:val="bottom"/>
                </w:tcPr>
                <w:p w14:paraId="6B9808C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35077.5 </w:t>
                  </w:r>
                </w:p>
              </w:tc>
              <w:tc>
                <w:tcPr>
                  <w:tcW w:w="903" w:type="pct"/>
                  <w:tcBorders>
                    <w:top w:val="single" w:color="auto" w:sz="4" w:space="0"/>
                    <w:left w:val="single" w:color="auto" w:sz="4" w:space="0"/>
                    <w:bottom w:val="single" w:color="auto" w:sz="4" w:space="0"/>
                    <w:right w:val="single" w:color="auto" w:sz="4" w:space="0"/>
                  </w:tcBorders>
                  <w:vAlign w:val="bottom"/>
                </w:tcPr>
                <w:p w14:paraId="4295821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10518.9 </w:t>
                  </w:r>
                </w:p>
              </w:tc>
              <w:tc>
                <w:tcPr>
                  <w:tcW w:w="903" w:type="pct"/>
                  <w:tcBorders>
                    <w:top w:val="single" w:color="auto" w:sz="4" w:space="0"/>
                    <w:left w:val="single" w:color="auto" w:sz="4" w:space="0"/>
                    <w:bottom w:val="single" w:color="auto" w:sz="4" w:space="0"/>
                    <w:right w:val="single" w:color="auto" w:sz="4" w:space="0"/>
                  </w:tcBorders>
                  <w:vAlign w:val="bottom"/>
                </w:tcPr>
                <w:p w14:paraId="7CABED5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129.6 </w:t>
                  </w:r>
                </w:p>
              </w:tc>
              <w:tc>
                <w:tcPr>
                  <w:tcW w:w="904" w:type="pct"/>
                  <w:tcBorders>
                    <w:top w:val="single" w:color="auto" w:sz="4" w:space="0"/>
                    <w:left w:val="single" w:color="auto" w:sz="4" w:space="0"/>
                    <w:bottom w:val="single" w:color="auto" w:sz="4" w:space="0"/>
                    <w:right w:val="single" w:color="auto" w:sz="4" w:space="0"/>
                  </w:tcBorders>
                  <w:vAlign w:val="bottom"/>
                </w:tcPr>
                <w:p w14:paraId="6ABD05A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5604.3 </w:t>
                  </w:r>
                </w:p>
              </w:tc>
            </w:tr>
            <w:tr w14:paraId="58DB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97F8CAD">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k84+000~k85+000</w:t>
                  </w:r>
                </w:p>
              </w:tc>
              <w:tc>
                <w:tcPr>
                  <w:tcW w:w="904" w:type="pct"/>
                  <w:tcBorders>
                    <w:top w:val="single" w:color="auto" w:sz="4" w:space="0"/>
                    <w:left w:val="single" w:color="auto" w:sz="4" w:space="0"/>
                    <w:bottom w:val="single" w:color="auto" w:sz="4" w:space="0"/>
                    <w:right w:val="single" w:color="auto" w:sz="4" w:space="0"/>
                  </w:tcBorders>
                  <w:vAlign w:val="bottom"/>
                </w:tcPr>
                <w:p w14:paraId="6D4496B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50536.9 </w:t>
                  </w:r>
                </w:p>
              </w:tc>
              <w:tc>
                <w:tcPr>
                  <w:tcW w:w="903" w:type="pct"/>
                  <w:tcBorders>
                    <w:top w:val="single" w:color="auto" w:sz="4" w:space="0"/>
                    <w:left w:val="single" w:color="auto" w:sz="4" w:space="0"/>
                    <w:bottom w:val="single" w:color="auto" w:sz="4" w:space="0"/>
                    <w:right w:val="single" w:color="auto" w:sz="4" w:space="0"/>
                  </w:tcBorders>
                  <w:vAlign w:val="bottom"/>
                </w:tcPr>
                <w:p w14:paraId="7B56204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8895.7 </w:t>
                  </w:r>
                </w:p>
              </w:tc>
              <w:tc>
                <w:tcPr>
                  <w:tcW w:w="903" w:type="pct"/>
                  <w:tcBorders>
                    <w:top w:val="single" w:color="auto" w:sz="4" w:space="0"/>
                    <w:left w:val="single" w:color="auto" w:sz="4" w:space="0"/>
                    <w:bottom w:val="single" w:color="auto" w:sz="4" w:space="0"/>
                    <w:right w:val="single" w:color="auto" w:sz="4" w:space="0"/>
                  </w:tcBorders>
                  <w:vAlign w:val="bottom"/>
                </w:tcPr>
                <w:p w14:paraId="32220AB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50.4 </w:t>
                  </w:r>
                </w:p>
              </w:tc>
              <w:tc>
                <w:tcPr>
                  <w:tcW w:w="904" w:type="pct"/>
                  <w:tcBorders>
                    <w:top w:val="single" w:color="auto" w:sz="4" w:space="0"/>
                    <w:left w:val="single" w:color="auto" w:sz="4" w:space="0"/>
                    <w:bottom w:val="single" w:color="auto" w:sz="4" w:space="0"/>
                    <w:right w:val="single" w:color="auto" w:sz="4" w:space="0"/>
                  </w:tcBorders>
                  <w:vAlign w:val="bottom"/>
                </w:tcPr>
                <w:p w14:paraId="5F01886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8074.3 </w:t>
                  </w:r>
                </w:p>
              </w:tc>
            </w:tr>
            <w:tr w14:paraId="3868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5F50B35">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k85+000~k86+000</w:t>
                  </w:r>
                </w:p>
              </w:tc>
              <w:tc>
                <w:tcPr>
                  <w:tcW w:w="904" w:type="pct"/>
                  <w:tcBorders>
                    <w:top w:val="single" w:color="auto" w:sz="4" w:space="0"/>
                    <w:left w:val="single" w:color="auto" w:sz="4" w:space="0"/>
                    <w:bottom w:val="single" w:color="auto" w:sz="4" w:space="0"/>
                    <w:right w:val="single" w:color="auto" w:sz="4" w:space="0"/>
                  </w:tcBorders>
                  <w:vAlign w:val="bottom"/>
                </w:tcPr>
                <w:p w14:paraId="04BBD1A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30996.1 </w:t>
                  </w:r>
                </w:p>
              </w:tc>
              <w:tc>
                <w:tcPr>
                  <w:tcW w:w="903" w:type="pct"/>
                  <w:tcBorders>
                    <w:top w:val="single" w:color="auto" w:sz="4" w:space="0"/>
                    <w:left w:val="single" w:color="auto" w:sz="4" w:space="0"/>
                    <w:bottom w:val="single" w:color="auto" w:sz="4" w:space="0"/>
                    <w:right w:val="single" w:color="auto" w:sz="4" w:space="0"/>
                  </w:tcBorders>
                  <w:vAlign w:val="bottom"/>
                </w:tcPr>
                <w:p w14:paraId="34671F5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3694.3 </w:t>
                  </w:r>
                </w:p>
              </w:tc>
              <w:tc>
                <w:tcPr>
                  <w:tcW w:w="903" w:type="pct"/>
                  <w:tcBorders>
                    <w:top w:val="single" w:color="auto" w:sz="4" w:space="0"/>
                    <w:left w:val="single" w:color="auto" w:sz="4" w:space="0"/>
                    <w:bottom w:val="single" w:color="auto" w:sz="4" w:space="0"/>
                    <w:right w:val="single" w:color="auto" w:sz="4" w:space="0"/>
                  </w:tcBorders>
                  <w:vAlign w:val="bottom"/>
                </w:tcPr>
                <w:p w14:paraId="7329B8A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37.4 </w:t>
                  </w:r>
                </w:p>
              </w:tc>
              <w:tc>
                <w:tcPr>
                  <w:tcW w:w="904" w:type="pct"/>
                  <w:tcBorders>
                    <w:top w:val="single" w:color="auto" w:sz="4" w:space="0"/>
                    <w:left w:val="single" w:color="auto" w:sz="4" w:space="0"/>
                    <w:bottom w:val="single" w:color="auto" w:sz="4" w:space="0"/>
                    <w:right w:val="single" w:color="auto" w:sz="4" w:space="0"/>
                  </w:tcBorders>
                  <w:vAlign w:val="bottom"/>
                </w:tcPr>
                <w:p w14:paraId="229E928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4952.2 </w:t>
                  </w:r>
                </w:p>
              </w:tc>
            </w:tr>
            <w:tr w14:paraId="2714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C4AF2A5">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k86+000~k87+846</w:t>
                  </w:r>
                </w:p>
              </w:tc>
              <w:tc>
                <w:tcPr>
                  <w:tcW w:w="904" w:type="pct"/>
                  <w:tcBorders>
                    <w:top w:val="single" w:color="auto" w:sz="4" w:space="0"/>
                    <w:left w:val="single" w:color="auto" w:sz="4" w:space="0"/>
                    <w:bottom w:val="single" w:color="auto" w:sz="4" w:space="0"/>
                    <w:right w:val="single" w:color="auto" w:sz="4" w:space="0"/>
                  </w:tcBorders>
                  <w:vAlign w:val="bottom"/>
                </w:tcPr>
                <w:p w14:paraId="524B7E1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17898.9 </w:t>
                  </w:r>
                </w:p>
              </w:tc>
              <w:tc>
                <w:tcPr>
                  <w:tcW w:w="903" w:type="pct"/>
                  <w:tcBorders>
                    <w:top w:val="single" w:color="auto" w:sz="4" w:space="0"/>
                    <w:left w:val="single" w:color="auto" w:sz="4" w:space="0"/>
                    <w:bottom w:val="single" w:color="auto" w:sz="4" w:space="0"/>
                    <w:right w:val="single" w:color="auto" w:sz="4" w:space="0"/>
                  </w:tcBorders>
                  <w:vAlign w:val="bottom"/>
                </w:tcPr>
                <w:p w14:paraId="3530B2D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2417.9 </w:t>
                  </w:r>
                </w:p>
              </w:tc>
              <w:tc>
                <w:tcPr>
                  <w:tcW w:w="903" w:type="pct"/>
                  <w:tcBorders>
                    <w:top w:val="single" w:color="auto" w:sz="4" w:space="0"/>
                    <w:left w:val="single" w:color="auto" w:sz="4" w:space="0"/>
                    <w:bottom w:val="single" w:color="auto" w:sz="4" w:space="0"/>
                    <w:right w:val="single" w:color="auto" w:sz="4" w:space="0"/>
                  </w:tcBorders>
                  <w:vAlign w:val="bottom"/>
                </w:tcPr>
                <w:p w14:paraId="28489E7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7.0 </w:t>
                  </w:r>
                </w:p>
              </w:tc>
              <w:tc>
                <w:tcPr>
                  <w:tcW w:w="904" w:type="pct"/>
                  <w:tcBorders>
                    <w:top w:val="single" w:color="auto" w:sz="4" w:space="0"/>
                    <w:left w:val="single" w:color="auto" w:sz="4" w:space="0"/>
                    <w:bottom w:val="single" w:color="auto" w:sz="4" w:space="0"/>
                    <w:right w:val="single" w:color="auto" w:sz="4" w:space="0"/>
                  </w:tcBorders>
                  <w:vAlign w:val="bottom"/>
                </w:tcPr>
                <w:p w14:paraId="04F4315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2859.7 </w:t>
                  </w:r>
                </w:p>
              </w:tc>
            </w:tr>
            <w:tr w14:paraId="098E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52752C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k87+860~k88+000</w:t>
                  </w:r>
                </w:p>
              </w:tc>
              <w:tc>
                <w:tcPr>
                  <w:tcW w:w="904" w:type="pct"/>
                  <w:tcBorders>
                    <w:top w:val="single" w:color="auto" w:sz="4" w:space="0"/>
                    <w:left w:val="single" w:color="auto" w:sz="4" w:space="0"/>
                    <w:bottom w:val="single" w:color="auto" w:sz="4" w:space="0"/>
                    <w:right w:val="single" w:color="auto" w:sz="4" w:space="0"/>
                  </w:tcBorders>
                  <w:vAlign w:val="bottom"/>
                </w:tcPr>
                <w:p w14:paraId="309FD16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664.3 </w:t>
                  </w:r>
                </w:p>
              </w:tc>
              <w:tc>
                <w:tcPr>
                  <w:tcW w:w="903" w:type="pct"/>
                  <w:tcBorders>
                    <w:top w:val="single" w:color="auto" w:sz="4" w:space="0"/>
                    <w:left w:val="single" w:color="auto" w:sz="4" w:space="0"/>
                    <w:bottom w:val="single" w:color="auto" w:sz="4" w:space="0"/>
                    <w:right w:val="single" w:color="auto" w:sz="4" w:space="0"/>
                  </w:tcBorders>
                  <w:vAlign w:val="bottom"/>
                </w:tcPr>
                <w:p w14:paraId="7E30EA8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1807.6 </w:t>
                  </w:r>
                </w:p>
              </w:tc>
              <w:tc>
                <w:tcPr>
                  <w:tcW w:w="903" w:type="pct"/>
                  <w:tcBorders>
                    <w:top w:val="single" w:color="auto" w:sz="4" w:space="0"/>
                    <w:left w:val="single" w:color="auto" w:sz="4" w:space="0"/>
                    <w:bottom w:val="single" w:color="auto" w:sz="4" w:space="0"/>
                    <w:right w:val="single" w:color="auto" w:sz="4" w:space="0"/>
                  </w:tcBorders>
                  <w:vAlign w:val="bottom"/>
                </w:tcPr>
                <w:p w14:paraId="35A1366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1051.5 </w:t>
                  </w:r>
                </w:p>
              </w:tc>
              <w:tc>
                <w:tcPr>
                  <w:tcW w:w="904" w:type="pct"/>
                  <w:tcBorders>
                    <w:top w:val="single" w:color="auto" w:sz="4" w:space="0"/>
                    <w:left w:val="single" w:color="auto" w:sz="4" w:space="0"/>
                    <w:bottom w:val="single" w:color="auto" w:sz="4" w:space="0"/>
                    <w:right w:val="single" w:color="auto" w:sz="4" w:space="0"/>
                  </w:tcBorders>
                  <w:vAlign w:val="bottom"/>
                </w:tcPr>
                <w:p w14:paraId="04B0B15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134.7 </w:t>
                  </w:r>
                </w:p>
              </w:tc>
            </w:tr>
            <w:tr w14:paraId="6ABA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DAA086B">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k88+000~k89+000</w:t>
                  </w:r>
                </w:p>
              </w:tc>
              <w:tc>
                <w:tcPr>
                  <w:tcW w:w="904" w:type="pct"/>
                  <w:tcBorders>
                    <w:top w:val="single" w:color="auto" w:sz="4" w:space="0"/>
                    <w:left w:val="single" w:color="auto" w:sz="4" w:space="0"/>
                    <w:bottom w:val="single" w:color="auto" w:sz="4" w:space="0"/>
                    <w:right w:val="single" w:color="auto" w:sz="4" w:space="0"/>
                  </w:tcBorders>
                  <w:vAlign w:val="bottom"/>
                </w:tcPr>
                <w:p w14:paraId="0F11BDE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21949.0 </w:t>
                  </w:r>
                </w:p>
              </w:tc>
              <w:tc>
                <w:tcPr>
                  <w:tcW w:w="903" w:type="pct"/>
                  <w:tcBorders>
                    <w:top w:val="single" w:color="auto" w:sz="4" w:space="0"/>
                    <w:left w:val="single" w:color="auto" w:sz="4" w:space="0"/>
                    <w:bottom w:val="single" w:color="auto" w:sz="4" w:space="0"/>
                    <w:right w:val="single" w:color="auto" w:sz="4" w:space="0"/>
                  </w:tcBorders>
                  <w:vAlign w:val="bottom"/>
                </w:tcPr>
                <w:p w14:paraId="36AEEFE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29390.4 </w:t>
                  </w:r>
                </w:p>
              </w:tc>
              <w:tc>
                <w:tcPr>
                  <w:tcW w:w="903" w:type="pct"/>
                  <w:tcBorders>
                    <w:top w:val="single" w:color="auto" w:sz="4" w:space="0"/>
                    <w:left w:val="single" w:color="auto" w:sz="4" w:space="0"/>
                    <w:bottom w:val="single" w:color="auto" w:sz="4" w:space="0"/>
                    <w:right w:val="single" w:color="auto" w:sz="4" w:space="0"/>
                  </w:tcBorders>
                  <w:vAlign w:val="bottom"/>
                </w:tcPr>
                <w:p w14:paraId="7036587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10655.9 </w:t>
                  </w:r>
                </w:p>
              </w:tc>
              <w:tc>
                <w:tcPr>
                  <w:tcW w:w="904" w:type="pct"/>
                  <w:tcBorders>
                    <w:top w:val="single" w:color="auto" w:sz="4" w:space="0"/>
                    <w:left w:val="single" w:color="auto" w:sz="4" w:space="0"/>
                    <w:bottom w:val="single" w:color="auto" w:sz="4" w:space="0"/>
                    <w:right w:val="single" w:color="auto" w:sz="4" w:space="0"/>
                  </w:tcBorders>
                  <w:vAlign w:val="bottom"/>
                </w:tcPr>
                <w:p w14:paraId="6FECCE7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4461.5 </w:t>
                  </w:r>
                </w:p>
              </w:tc>
            </w:tr>
            <w:tr w14:paraId="3709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31A7672">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k89+000~k90+000</w:t>
                  </w:r>
                </w:p>
              </w:tc>
              <w:tc>
                <w:tcPr>
                  <w:tcW w:w="904" w:type="pct"/>
                  <w:tcBorders>
                    <w:top w:val="single" w:color="auto" w:sz="4" w:space="0"/>
                    <w:left w:val="single" w:color="auto" w:sz="4" w:space="0"/>
                    <w:bottom w:val="single" w:color="auto" w:sz="4" w:space="0"/>
                    <w:right w:val="single" w:color="auto" w:sz="4" w:space="0"/>
                  </w:tcBorders>
                  <w:vAlign w:val="bottom"/>
                </w:tcPr>
                <w:p w14:paraId="293EA35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44644.8 </w:t>
                  </w:r>
                </w:p>
              </w:tc>
              <w:tc>
                <w:tcPr>
                  <w:tcW w:w="903" w:type="pct"/>
                  <w:tcBorders>
                    <w:top w:val="single" w:color="auto" w:sz="4" w:space="0"/>
                    <w:left w:val="single" w:color="auto" w:sz="4" w:space="0"/>
                    <w:bottom w:val="single" w:color="auto" w:sz="4" w:space="0"/>
                    <w:right w:val="single" w:color="auto" w:sz="4" w:space="0"/>
                  </w:tcBorders>
                  <w:vAlign w:val="bottom"/>
                </w:tcPr>
                <w:p w14:paraId="630E309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19765.8 </w:t>
                  </w:r>
                </w:p>
              </w:tc>
              <w:tc>
                <w:tcPr>
                  <w:tcW w:w="903" w:type="pct"/>
                  <w:tcBorders>
                    <w:top w:val="single" w:color="auto" w:sz="4" w:space="0"/>
                    <w:left w:val="single" w:color="auto" w:sz="4" w:space="0"/>
                    <w:bottom w:val="single" w:color="auto" w:sz="4" w:space="0"/>
                    <w:right w:val="single" w:color="auto" w:sz="4" w:space="0"/>
                  </w:tcBorders>
                  <w:vAlign w:val="bottom"/>
                </w:tcPr>
                <w:p w14:paraId="326A900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6311.8 </w:t>
                  </w:r>
                </w:p>
              </w:tc>
              <w:tc>
                <w:tcPr>
                  <w:tcW w:w="904" w:type="pct"/>
                  <w:tcBorders>
                    <w:top w:val="single" w:color="auto" w:sz="4" w:space="0"/>
                    <w:left w:val="single" w:color="auto" w:sz="4" w:space="0"/>
                    <w:bottom w:val="single" w:color="auto" w:sz="4" w:space="0"/>
                    <w:right w:val="single" w:color="auto" w:sz="4" w:space="0"/>
                  </w:tcBorders>
                  <w:vAlign w:val="bottom"/>
                </w:tcPr>
                <w:p w14:paraId="3D245CD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12975.5 </w:t>
                  </w:r>
                </w:p>
              </w:tc>
            </w:tr>
            <w:tr w14:paraId="581A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BA1CBBC">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k90+000~k91+000</w:t>
                  </w:r>
                </w:p>
              </w:tc>
              <w:tc>
                <w:tcPr>
                  <w:tcW w:w="904" w:type="pct"/>
                  <w:tcBorders>
                    <w:top w:val="single" w:color="auto" w:sz="4" w:space="0"/>
                    <w:left w:val="single" w:color="auto" w:sz="4" w:space="0"/>
                    <w:bottom w:val="single" w:color="auto" w:sz="4" w:space="0"/>
                    <w:right w:val="single" w:color="auto" w:sz="4" w:space="0"/>
                  </w:tcBorders>
                  <w:vAlign w:val="bottom"/>
                </w:tcPr>
                <w:p w14:paraId="5911938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71702.7 </w:t>
                  </w:r>
                </w:p>
              </w:tc>
              <w:tc>
                <w:tcPr>
                  <w:tcW w:w="903" w:type="pct"/>
                  <w:tcBorders>
                    <w:top w:val="single" w:color="auto" w:sz="4" w:space="0"/>
                    <w:left w:val="single" w:color="auto" w:sz="4" w:space="0"/>
                    <w:bottom w:val="single" w:color="auto" w:sz="4" w:space="0"/>
                    <w:right w:val="single" w:color="auto" w:sz="4" w:space="0"/>
                  </w:tcBorders>
                  <w:vAlign w:val="bottom"/>
                </w:tcPr>
                <w:p w14:paraId="1255B70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34213.4 </w:t>
                  </w:r>
                </w:p>
              </w:tc>
              <w:tc>
                <w:tcPr>
                  <w:tcW w:w="903" w:type="pct"/>
                  <w:tcBorders>
                    <w:top w:val="single" w:color="auto" w:sz="4" w:space="0"/>
                    <w:left w:val="single" w:color="auto" w:sz="4" w:space="0"/>
                    <w:bottom w:val="single" w:color="auto" w:sz="4" w:space="0"/>
                    <w:right w:val="single" w:color="auto" w:sz="4" w:space="0"/>
                  </w:tcBorders>
                  <w:vAlign w:val="bottom"/>
                </w:tcPr>
                <w:p w14:paraId="7D5A58B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10032.3 </w:t>
                  </w:r>
                </w:p>
              </w:tc>
              <w:tc>
                <w:tcPr>
                  <w:tcW w:w="904" w:type="pct"/>
                  <w:tcBorders>
                    <w:top w:val="single" w:color="auto" w:sz="4" w:space="0"/>
                    <w:left w:val="single" w:color="auto" w:sz="4" w:space="0"/>
                    <w:bottom w:val="single" w:color="auto" w:sz="4" w:space="0"/>
                    <w:right w:val="single" w:color="auto" w:sz="4" w:space="0"/>
                  </w:tcBorders>
                  <w:vAlign w:val="bottom"/>
                </w:tcPr>
                <w:p w14:paraId="0E0B070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22609.6 </w:t>
                  </w:r>
                </w:p>
              </w:tc>
            </w:tr>
            <w:tr w14:paraId="6C36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7F3E617">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k91+000~k92+000</w:t>
                  </w:r>
                </w:p>
              </w:tc>
              <w:tc>
                <w:tcPr>
                  <w:tcW w:w="904" w:type="pct"/>
                  <w:tcBorders>
                    <w:top w:val="single" w:color="auto" w:sz="4" w:space="0"/>
                    <w:left w:val="single" w:color="auto" w:sz="4" w:space="0"/>
                    <w:bottom w:val="single" w:color="auto" w:sz="4" w:space="0"/>
                    <w:right w:val="single" w:color="auto" w:sz="4" w:space="0"/>
                  </w:tcBorders>
                  <w:vAlign w:val="bottom"/>
                </w:tcPr>
                <w:p w14:paraId="32CEA63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16836.7 </w:t>
                  </w:r>
                </w:p>
              </w:tc>
              <w:tc>
                <w:tcPr>
                  <w:tcW w:w="903" w:type="pct"/>
                  <w:tcBorders>
                    <w:top w:val="single" w:color="auto" w:sz="4" w:space="0"/>
                    <w:left w:val="single" w:color="auto" w:sz="4" w:space="0"/>
                    <w:bottom w:val="single" w:color="auto" w:sz="4" w:space="0"/>
                    <w:right w:val="single" w:color="auto" w:sz="4" w:space="0"/>
                  </w:tcBorders>
                  <w:vAlign w:val="bottom"/>
                </w:tcPr>
                <w:p w14:paraId="3CCA9B9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38506.2 </w:t>
                  </w:r>
                </w:p>
              </w:tc>
              <w:tc>
                <w:tcPr>
                  <w:tcW w:w="903" w:type="pct"/>
                  <w:tcBorders>
                    <w:top w:val="single" w:color="auto" w:sz="4" w:space="0"/>
                    <w:left w:val="single" w:color="auto" w:sz="4" w:space="0"/>
                    <w:bottom w:val="single" w:color="auto" w:sz="4" w:space="0"/>
                    <w:right w:val="single" w:color="auto" w:sz="4" w:space="0"/>
                  </w:tcBorders>
                  <w:vAlign w:val="bottom"/>
                </w:tcPr>
                <w:p w14:paraId="43BFB80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6202.0 </w:t>
                  </w:r>
                </w:p>
              </w:tc>
              <w:tc>
                <w:tcPr>
                  <w:tcW w:w="904" w:type="pct"/>
                  <w:tcBorders>
                    <w:top w:val="single" w:color="auto" w:sz="4" w:space="0"/>
                    <w:left w:val="single" w:color="auto" w:sz="4" w:space="0"/>
                    <w:bottom w:val="single" w:color="auto" w:sz="4" w:space="0"/>
                    <w:right w:val="single" w:color="auto" w:sz="4" w:space="0"/>
                  </w:tcBorders>
                  <w:vAlign w:val="bottom"/>
                </w:tcPr>
                <w:p w14:paraId="2D0321D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6200.9 </w:t>
                  </w:r>
                </w:p>
              </w:tc>
            </w:tr>
            <w:tr w14:paraId="1317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9DB4C3A">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k92+000~k93+000</w:t>
                  </w:r>
                </w:p>
              </w:tc>
              <w:tc>
                <w:tcPr>
                  <w:tcW w:w="904" w:type="pct"/>
                  <w:tcBorders>
                    <w:top w:val="single" w:color="auto" w:sz="4" w:space="0"/>
                    <w:left w:val="single" w:color="auto" w:sz="4" w:space="0"/>
                    <w:bottom w:val="single" w:color="auto" w:sz="4" w:space="0"/>
                    <w:right w:val="single" w:color="auto" w:sz="4" w:space="0"/>
                  </w:tcBorders>
                  <w:vAlign w:val="bottom"/>
                </w:tcPr>
                <w:p w14:paraId="3D080BF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27359.6 </w:t>
                  </w:r>
                </w:p>
              </w:tc>
              <w:tc>
                <w:tcPr>
                  <w:tcW w:w="903" w:type="pct"/>
                  <w:tcBorders>
                    <w:top w:val="single" w:color="auto" w:sz="4" w:space="0"/>
                    <w:left w:val="single" w:color="auto" w:sz="4" w:space="0"/>
                    <w:bottom w:val="single" w:color="auto" w:sz="4" w:space="0"/>
                    <w:right w:val="single" w:color="auto" w:sz="4" w:space="0"/>
                  </w:tcBorders>
                  <w:vAlign w:val="bottom"/>
                </w:tcPr>
                <w:p w14:paraId="78BEB8D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21586.1 </w:t>
                  </w:r>
                </w:p>
              </w:tc>
              <w:tc>
                <w:tcPr>
                  <w:tcW w:w="903" w:type="pct"/>
                  <w:tcBorders>
                    <w:top w:val="single" w:color="auto" w:sz="4" w:space="0"/>
                    <w:left w:val="single" w:color="auto" w:sz="4" w:space="0"/>
                    <w:bottom w:val="single" w:color="auto" w:sz="4" w:space="0"/>
                    <w:right w:val="single" w:color="auto" w:sz="4" w:space="0"/>
                  </w:tcBorders>
                  <w:vAlign w:val="bottom"/>
                </w:tcPr>
                <w:p w14:paraId="47C7362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8685.7 </w:t>
                  </w:r>
                </w:p>
              </w:tc>
              <w:tc>
                <w:tcPr>
                  <w:tcW w:w="904" w:type="pct"/>
                  <w:tcBorders>
                    <w:top w:val="single" w:color="auto" w:sz="4" w:space="0"/>
                    <w:left w:val="single" w:color="auto" w:sz="4" w:space="0"/>
                    <w:bottom w:val="single" w:color="auto" w:sz="4" w:space="0"/>
                    <w:right w:val="single" w:color="auto" w:sz="4" w:space="0"/>
                  </w:tcBorders>
                  <w:vAlign w:val="bottom"/>
                </w:tcPr>
                <w:p w14:paraId="40763D3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6434.8 </w:t>
                  </w:r>
                </w:p>
              </w:tc>
            </w:tr>
            <w:tr w14:paraId="761C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4516A49">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k93+000~k94+000</w:t>
                  </w:r>
                </w:p>
              </w:tc>
              <w:tc>
                <w:tcPr>
                  <w:tcW w:w="904" w:type="pct"/>
                  <w:tcBorders>
                    <w:top w:val="single" w:color="auto" w:sz="4" w:space="0"/>
                    <w:left w:val="single" w:color="auto" w:sz="4" w:space="0"/>
                    <w:bottom w:val="single" w:color="auto" w:sz="4" w:space="0"/>
                    <w:right w:val="single" w:color="auto" w:sz="4" w:space="0"/>
                  </w:tcBorders>
                  <w:vAlign w:val="bottom"/>
                </w:tcPr>
                <w:p w14:paraId="12673D9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33035.8 </w:t>
                  </w:r>
                </w:p>
              </w:tc>
              <w:tc>
                <w:tcPr>
                  <w:tcW w:w="903" w:type="pct"/>
                  <w:tcBorders>
                    <w:top w:val="single" w:color="auto" w:sz="4" w:space="0"/>
                    <w:left w:val="single" w:color="auto" w:sz="4" w:space="0"/>
                    <w:bottom w:val="single" w:color="auto" w:sz="4" w:space="0"/>
                    <w:right w:val="single" w:color="auto" w:sz="4" w:space="0"/>
                  </w:tcBorders>
                  <w:vAlign w:val="bottom"/>
                </w:tcPr>
                <w:p w14:paraId="1DB2F09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27487.2 </w:t>
                  </w:r>
                </w:p>
              </w:tc>
              <w:tc>
                <w:tcPr>
                  <w:tcW w:w="903" w:type="pct"/>
                  <w:tcBorders>
                    <w:top w:val="single" w:color="auto" w:sz="4" w:space="0"/>
                    <w:left w:val="single" w:color="auto" w:sz="4" w:space="0"/>
                    <w:bottom w:val="single" w:color="auto" w:sz="4" w:space="0"/>
                    <w:right w:val="single" w:color="auto" w:sz="4" w:space="0"/>
                  </w:tcBorders>
                  <w:vAlign w:val="bottom"/>
                </w:tcPr>
                <w:p w14:paraId="74C3F0A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13745.5 </w:t>
                  </w:r>
                </w:p>
              </w:tc>
              <w:tc>
                <w:tcPr>
                  <w:tcW w:w="904" w:type="pct"/>
                  <w:tcBorders>
                    <w:top w:val="single" w:color="auto" w:sz="4" w:space="0"/>
                    <w:left w:val="single" w:color="auto" w:sz="4" w:space="0"/>
                    <w:bottom w:val="single" w:color="auto" w:sz="4" w:space="0"/>
                    <w:right w:val="single" w:color="auto" w:sz="4" w:space="0"/>
                  </w:tcBorders>
                  <w:vAlign w:val="bottom"/>
                </w:tcPr>
                <w:p w14:paraId="1BF3E17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8095.4 </w:t>
                  </w:r>
                </w:p>
              </w:tc>
            </w:tr>
            <w:tr w14:paraId="6EEF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EEA997A">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k94+000~k95+000</w:t>
                  </w:r>
                </w:p>
              </w:tc>
              <w:tc>
                <w:tcPr>
                  <w:tcW w:w="904" w:type="pct"/>
                  <w:tcBorders>
                    <w:top w:val="single" w:color="auto" w:sz="4" w:space="0"/>
                    <w:left w:val="single" w:color="auto" w:sz="4" w:space="0"/>
                    <w:bottom w:val="single" w:color="auto" w:sz="4" w:space="0"/>
                    <w:right w:val="single" w:color="auto" w:sz="4" w:space="0"/>
                  </w:tcBorders>
                  <w:vAlign w:val="bottom"/>
                </w:tcPr>
                <w:p w14:paraId="190EC8D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24560.6 </w:t>
                  </w:r>
                </w:p>
              </w:tc>
              <w:tc>
                <w:tcPr>
                  <w:tcW w:w="903" w:type="pct"/>
                  <w:tcBorders>
                    <w:top w:val="single" w:color="auto" w:sz="4" w:space="0"/>
                    <w:left w:val="single" w:color="auto" w:sz="4" w:space="0"/>
                    <w:bottom w:val="single" w:color="auto" w:sz="4" w:space="0"/>
                    <w:right w:val="single" w:color="auto" w:sz="4" w:space="0"/>
                  </w:tcBorders>
                  <w:vAlign w:val="bottom"/>
                </w:tcPr>
                <w:p w14:paraId="673BD30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36943.7 </w:t>
                  </w:r>
                </w:p>
              </w:tc>
              <w:tc>
                <w:tcPr>
                  <w:tcW w:w="903" w:type="pct"/>
                  <w:tcBorders>
                    <w:top w:val="single" w:color="auto" w:sz="4" w:space="0"/>
                    <w:left w:val="single" w:color="auto" w:sz="4" w:space="0"/>
                    <w:bottom w:val="single" w:color="auto" w:sz="4" w:space="0"/>
                    <w:right w:val="single" w:color="auto" w:sz="4" w:space="0"/>
                  </w:tcBorders>
                  <w:vAlign w:val="bottom"/>
                </w:tcPr>
                <w:p w14:paraId="7D1C3F4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10952.6 </w:t>
                  </w:r>
                </w:p>
              </w:tc>
              <w:tc>
                <w:tcPr>
                  <w:tcW w:w="904" w:type="pct"/>
                  <w:tcBorders>
                    <w:top w:val="single" w:color="auto" w:sz="4" w:space="0"/>
                    <w:left w:val="single" w:color="auto" w:sz="4" w:space="0"/>
                    <w:bottom w:val="single" w:color="auto" w:sz="4" w:space="0"/>
                    <w:right w:val="single" w:color="auto" w:sz="4" w:space="0"/>
                  </w:tcBorders>
                  <w:vAlign w:val="bottom"/>
                </w:tcPr>
                <w:p w14:paraId="3FB3C74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7406.9 </w:t>
                  </w:r>
                </w:p>
              </w:tc>
            </w:tr>
            <w:tr w14:paraId="5B78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3A14FE3">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k95+000~k96+000</w:t>
                  </w:r>
                </w:p>
              </w:tc>
              <w:tc>
                <w:tcPr>
                  <w:tcW w:w="904" w:type="pct"/>
                  <w:tcBorders>
                    <w:top w:val="single" w:color="auto" w:sz="4" w:space="0"/>
                    <w:left w:val="single" w:color="auto" w:sz="4" w:space="0"/>
                    <w:bottom w:val="single" w:color="auto" w:sz="4" w:space="0"/>
                    <w:right w:val="single" w:color="auto" w:sz="4" w:space="0"/>
                  </w:tcBorders>
                  <w:vAlign w:val="bottom"/>
                </w:tcPr>
                <w:p w14:paraId="5E825FD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158434.0 </w:t>
                  </w:r>
                </w:p>
              </w:tc>
              <w:tc>
                <w:tcPr>
                  <w:tcW w:w="903" w:type="pct"/>
                  <w:tcBorders>
                    <w:top w:val="single" w:color="auto" w:sz="4" w:space="0"/>
                    <w:left w:val="single" w:color="auto" w:sz="4" w:space="0"/>
                    <w:bottom w:val="single" w:color="auto" w:sz="4" w:space="0"/>
                    <w:right w:val="single" w:color="auto" w:sz="4" w:space="0"/>
                  </w:tcBorders>
                  <w:vAlign w:val="bottom"/>
                </w:tcPr>
                <w:p w14:paraId="4AA4045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39412.1 </w:t>
                  </w:r>
                </w:p>
              </w:tc>
              <w:tc>
                <w:tcPr>
                  <w:tcW w:w="903" w:type="pct"/>
                  <w:tcBorders>
                    <w:top w:val="single" w:color="auto" w:sz="4" w:space="0"/>
                    <w:left w:val="single" w:color="auto" w:sz="4" w:space="0"/>
                    <w:bottom w:val="single" w:color="auto" w:sz="4" w:space="0"/>
                    <w:right w:val="single" w:color="auto" w:sz="4" w:space="0"/>
                  </w:tcBorders>
                  <w:vAlign w:val="bottom"/>
                </w:tcPr>
                <w:p w14:paraId="1148394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11748.6 </w:t>
                  </w:r>
                </w:p>
              </w:tc>
              <w:tc>
                <w:tcPr>
                  <w:tcW w:w="904" w:type="pct"/>
                  <w:tcBorders>
                    <w:top w:val="single" w:color="auto" w:sz="4" w:space="0"/>
                    <w:left w:val="single" w:color="auto" w:sz="4" w:space="0"/>
                    <w:bottom w:val="single" w:color="auto" w:sz="4" w:space="0"/>
                    <w:right w:val="single" w:color="auto" w:sz="4" w:space="0"/>
                  </w:tcBorders>
                  <w:vAlign w:val="bottom"/>
                </w:tcPr>
                <w:p w14:paraId="1ACA3C4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75886.3 </w:t>
                  </w:r>
                </w:p>
              </w:tc>
            </w:tr>
            <w:tr w14:paraId="080C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85143F7">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k96+000~k97+000</w:t>
                  </w:r>
                </w:p>
              </w:tc>
              <w:tc>
                <w:tcPr>
                  <w:tcW w:w="904" w:type="pct"/>
                  <w:tcBorders>
                    <w:top w:val="single" w:color="auto" w:sz="4" w:space="0"/>
                    <w:left w:val="single" w:color="auto" w:sz="4" w:space="0"/>
                    <w:bottom w:val="single" w:color="auto" w:sz="4" w:space="0"/>
                    <w:right w:val="single" w:color="auto" w:sz="4" w:space="0"/>
                  </w:tcBorders>
                  <w:vAlign w:val="bottom"/>
                </w:tcPr>
                <w:p w14:paraId="50A932E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151620.2 </w:t>
                  </w:r>
                </w:p>
              </w:tc>
              <w:tc>
                <w:tcPr>
                  <w:tcW w:w="903" w:type="pct"/>
                  <w:tcBorders>
                    <w:top w:val="single" w:color="auto" w:sz="4" w:space="0"/>
                    <w:left w:val="single" w:color="auto" w:sz="4" w:space="0"/>
                    <w:bottom w:val="single" w:color="auto" w:sz="4" w:space="0"/>
                    <w:right w:val="single" w:color="auto" w:sz="4" w:space="0"/>
                  </w:tcBorders>
                  <w:vAlign w:val="bottom"/>
                </w:tcPr>
                <w:p w14:paraId="0613598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38619.9 </w:t>
                  </w:r>
                </w:p>
              </w:tc>
              <w:tc>
                <w:tcPr>
                  <w:tcW w:w="903" w:type="pct"/>
                  <w:tcBorders>
                    <w:top w:val="single" w:color="auto" w:sz="4" w:space="0"/>
                    <w:left w:val="single" w:color="auto" w:sz="4" w:space="0"/>
                    <w:bottom w:val="single" w:color="auto" w:sz="4" w:space="0"/>
                    <w:right w:val="single" w:color="auto" w:sz="4" w:space="0"/>
                  </w:tcBorders>
                  <w:vAlign w:val="bottom"/>
                </w:tcPr>
                <w:p w14:paraId="2F5F83E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11603.5 </w:t>
                  </w:r>
                </w:p>
              </w:tc>
              <w:tc>
                <w:tcPr>
                  <w:tcW w:w="904" w:type="pct"/>
                  <w:tcBorders>
                    <w:top w:val="single" w:color="auto" w:sz="4" w:space="0"/>
                    <w:left w:val="single" w:color="auto" w:sz="4" w:space="0"/>
                    <w:bottom w:val="single" w:color="auto" w:sz="4" w:space="0"/>
                    <w:right w:val="single" w:color="auto" w:sz="4" w:space="0"/>
                  </w:tcBorders>
                  <w:vAlign w:val="bottom"/>
                </w:tcPr>
                <w:p w14:paraId="7E546DF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100287.8 </w:t>
                  </w:r>
                </w:p>
              </w:tc>
            </w:tr>
            <w:tr w14:paraId="0D9D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10F184D">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k97+000~k98+000</w:t>
                  </w:r>
                </w:p>
              </w:tc>
              <w:tc>
                <w:tcPr>
                  <w:tcW w:w="904" w:type="pct"/>
                  <w:tcBorders>
                    <w:top w:val="single" w:color="auto" w:sz="4" w:space="0"/>
                    <w:left w:val="single" w:color="auto" w:sz="4" w:space="0"/>
                    <w:bottom w:val="single" w:color="auto" w:sz="4" w:space="0"/>
                    <w:right w:val="single" w:color="auto" w:sz="4" w:space="0"/>
                  </w:tcBorders>
                  <w:vAlign w:val="bottom"/>
                </w:tcPr>
                <w:p w14:paraId="1B2426F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123799.3 </w:t>
                  </w:r>
                </w:p>
              </w:tc>
              <w:tc>
                <w:tcPr>
                  <w:tcW w:w="903" w:type="pct"/>
                  <w:tcBorders>
                    <w:top w:val="single" w:color="auto" w:sz="4" w:space="0"/>
                    <w:left w:val="single" w:color="auto" w:sz="4" w:space="0"/>
                    <w:bottom w:val="single" w:color="auto" w:sz="4" w:space="0"/>
                    <w:right w:val="single" w:color="auto" w:sz="4" w:space="0"/>
                  </w:tcBorders>
                  <w:vAlign w:val="bottom"/>
                </w:tcPr>
                <w:p w14:paraId="54F818F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22731.7 </w:t>
                  </w:r>
                </w:p>
              </w:tc>
              <w:tc>
                <w:tcPr>
                  <w:tcW w:w="903" w:type="pct"/>
                  <w:tcBorders>
                    <w:top w:val="single" w:color="auto" w:sz="4" w:space="0"/>
                    <w:left w:val="single" w:color="auto" w:sz="4" w:space="0"/>
                    <w:bottom w:val="single" w:color="auto" w:sz="4" w:space="0"/>
                    <w:right w:val="single" w:color="auto" w:sz="4" w:space="0"/>
                  </w:tcBorders>
                  <w:vAlign w:val="bottom"/>
                </w:tcPr>
                <w:p w14:paraId="4CE294E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6715.5 </w:t>
                  </w:r>
                </w:p>
              </w:tc>
              <w:tc>
                <w:tcPr>
                  <w:tcW w:w="904" w:type="pct"/>
                  <w:tcBorders>
                    <w:top w:val="single" w:color="auto" w:sz="4" w:space="0"/>
                    <w:left w:val="single" w:color="auto" w:sz="4" w:space="0"/>
                    <w:bottom w:val="single" w:color="auto" w:sz="4" w:space="0"/>
                    <w:right w:val="single" w:color="auto" w:sz="4" w:space="0"/>
                  </w:tcBorders>
                  <w:vAlign w:val="bottom"/>
                </w:tcPr>
                <w:p w14:paraId="2B76F4E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83051.9 </w:t>
                  </w:r>
                </w:p>
              </w:tc>
            </w:tr>
            <w:tr w14:paraId="3782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5D1B65A0">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k98+000~k99+000</w:t>
                  </w:r>
                </w:p>
              </w:tc>
              <w:tc>
                <w:tcPr>
                  <w:tcW w:w="904" w:type="pct"/>
                  <w:tcBorders>
                    <w:top w:val="single" w:color="auto" w:sz="4" w:space="0"/>
                    <w:left w:val="single" w:color="auto" w:sz="4" w:space="0"/>
                    <w:bottom w:val="single" w:color="auto" w:sz="4" w:space="0"/>
                    <w:right w:val="single" w:color="auto" w:sz="4" w:space="0"/>
                  </w:tcBorders>
                  <w:vAlign w:val="bottom"/>
                </w:tcPr>
                <w:p w14:paraId="7F169692">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110474.6 </w:t>
                  </w:r>
                </w:p>
              </w:tc>
              <w:tc>
                <w:tcPr>
                  <w:tcW w:w="903" w:type="pct"/>
                  <w:tcBorders>
                    <w:top w:val="single" w:color="auto" w:sz="4" w:space="0"/>
                    <w:left w:val="single" w:color="auto" w:sz="4" w:space="0"/>
                    <w:bottom w:val="single" w:color="auto" w:sz="4" w:space="0"/>
                    <w:right w:val="single" w:color="auto" w:sz="4" w:space="0"/>
                  </w:tcBorders>
                  <w:vAlign w:val="bottom"/>
                </w:tcPr>
                <w:p w14:paraId="209B4B0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32298.9 </w:t>
                  </w:r>
                </w:p>
              </w:tc>
              <w:tc>
                <w:tcPr>
                  <w:tcW w:w="903" w:type="pct"/>
                  <w:tcBorders>
                    <w:top w:val="single" w:color="auto" w:sz="4" w:space="0"/>
                    <w:left w:val="single" w:color="auto" w:sz="4" w:space="0"/>
                    <w:bottom w:val="single" w:color="auto" w:sz="4" w:space="0"/>
                    <w:right w:val="single" w:color="auto" w:sz="4" w:space="0"/>
                  </w:tcBorders>
                  <w:vAlign w:val="bottom"/>
                </w:tcPr>
                <w:p w14:paraId="0099823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8758.2 </w:t>
                  </w:r>
                </w:p>
              </w:tc>
              <w:tc>
                <w:tcPr>
                  <w:tcW w:w="904" w:type="pct"/>
                  <w:tcBorders>
                    <w:top w:val="single" w:color="auto" w:sz="4" w:space="0"/>
                    <w:left w:val="single" w:color="auto" w:sz="4" w:space="0"/>
                    <w:bottom w:val="single" w:color="auto" w:sz="4" w:space="0"/>
                    <w:right w:val="single" w:color="auto" w:sz="4" w:space="0"/>
                  </w:tcBorders>
                  <w:vAlign w:val="bottom"/>
                </w:tcPr>
                <w:p w14:paraId="1C244BF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66529.1 </w:t>
                  </w:r>
                </w:p>
              </w:tc>
            </w:tr>
            <w:tr w14:paraId="5B3E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EE83865">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k99+000~k100+000</w:t>
                  </w:r>
                </w:p>
              </w:tc>
              <w:tc>
                <w:tcPr>
                  <w:tcW w:w="904" w:type="pct"/>
                  <w:tcBorders>
                    <w:top w:val="single" w:color="auto" w:sz="4" w:space="0"/>
                    <w:left w:val="single" w:color="auto" w:sz="4" w:space="0"/>
                    <w:bottom w:val="single" w:color="auto" w:sz="4" w:space="0"/>
                    <w:right w:val="single" w:color="auto" w:sz="4" w:space="0"/>
                  </w:tcBorders>
                  <w:vAlign w:val="bottom"/>
                </w:tcPr>
                <w:p w14:paraId="4DC82C2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57291.4 </w:t>
                  </w:r>
                </w:p>
              </w:tc>
              <w:tc>
                <w:tcPr>
                  <w:tcW w:w="903" w:type="pct"/>
                  <w:tcBorders>
                    <w:top w:val="single" w:color="auto" w:sz="4" w:space="0"/>
                    <w:left w:val="single" w:color="auto" w:sz="4" w:space="0"/>
                    <w:bottom w:val="single" w:color="auto" w:sz="4" w:space="0"/>
                    <w:right w:val="single" w:color="auto" w:sz="4" w:space="0"/>
                  </w:tcBorders>
                  <w:vAlign w:val="bottom"/>
                </w:tcPr>
                <w:p w14:paraId="13525CC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29079.7 </w:t>
                  </w:r>
                </w:p>
              </w:tc>
              <w:tc>
                <w:tcPr>
                  <w:tcW w:w="903" w:type="pct"/>
                  <w:tcBorders>
                    <w:top w:val="single" w:color="auto" w:sz="4" w:space="0"/>
                    <w:left w:val="single" w:color="auto" w:sz="4" w:space="0"/>
                    <w:bottom w:val="single" w:color="auto" w:sz="4" w:space="0"/>
                    <w:right w:val="single" w:color="auto" w:sz="4" w:space="0"/>
                  </w:tcBorders>
                  <w:vAlign w:val="bottom"/>
                </w:tcPr>
                <w:p w14:paraId="59BE609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6334.2 </w:t>
                  </w:r>
                </w:p>
              </w:tc>
              <w:tc>
                <w:tcPr>
                  <w:tcW w:w="904" w:type="pct"/>
                  <w:tcBorders>
                    <w:top w:val="single" w:color="auto" w:sz="4" w:space="0"/>
                    <w:left w:val="single" w:color="auto" w:sz="4" w:space="0"/>
                    <w:bottom w:val="single" w:color="auto" w:sz="4" w:space="0"/>
                    <w:right w:val="single" w:color="auto" w:sz="4" w:space="0"/>
                  </w:tcBorders>
                  <w:vAlign w:val="bottom"/>
                </w:tcPr>
                <w:p w14:paraId="778C44F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26803.6 </w:t>
                  </w:r>
                </w:p>
              </w:tc>
            </w:tr>
            <w:tr w14:paraId="4BAE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B073858">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k100+000~k101+000</w:t>
                  </w:r>
                </w:p>
              </w:tc>
              <w:tc>
                <w:tcPr>
                  <w:tcW w:w="904" w:type="pct"/>
                  <w:tcBorders>
                    <w:top w:val="single" w:color="auto" w:sz="4" w:space="0"/>
                    <w:left w:val="single" w:color="auto" w:sz="4" w:space="0"/>
                    <w:bottom w:val="single" w:color="auto" w:sz="4" w:space="0"/>
                    <w:right w:val="single" w:color="auto" w:sz="4" w:space="0"/>
                  </w:tcBorders>
                  <w:vAlign w:val="bottom"/>
                </w:tcPr>
                <w:p w14:paraId="2F09364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48787.1 </w:t>
                  </w:r>
                </w:p>
              </w:tc>
              <w:tc>
                <w:tcPr>
                  <w:tcW w:w="903" w:type="pct"/>
                  <w:tcBorders>
                    <w:top w:val="single" w:color="auto" w:sz="4" w:space="0"/>
                    <w:left w:val="single" w:color="auto" w:sz="4" w:space="0"/>
                    <w:bottom w:val="single" w:color="auto" w:sz="4" w:space="0"/>
                    <w:right w:val="single" w:color="auto" w:sz="4" w:space="0"/>
                  </w:tcBorders>
                  <w:vAlign w:val="bottom"/>
                </w:tcPr>
                <w:p w14:paraId="0F73FF0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32355.8 </w:t>
                  </w:r>
                </w:p>
              </w:tc>
              <w:tc>
                <w:tcPr>
                  <w:tcW w:w="903" w:type="pct"/>
                  <w:tcBorders>
                    <w:top w:val="single" w:color="auto" w:sz="4" w:space="0"/>
                    <w:left w:val="single" w:color="auto" w:sz="4" w:space="0"/>
                    <w:bottom w:val="single" w:color="auto" w:sz="4" w:space="0"/>
                    <w:right w:val="single" w:color="auto" w:sz="4" w:space="0"/>
                  </w:tcBorders>
                  <w:vAlign w:val="bottom"/>
                </w:tcPr>
                <w:p w14:paraId="700AD8E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9080.0 </w:t>
                  </w:r>
                </w:p>
              </w:tc>
              <w:tc>
                <w:tcPr>
                  <w:tcW w:w="904" w:type="pct"/>
                  <w:tcBorders>
                    <w:top w:val="single" w:color="auto" w:sz="4" w:space="0"/>
                    <w:left w:val="single" w:color="auto" w:sz="4" w:space="0"/>
                    <w:bottom w:val="single" w:color="auto" w:sz="4" w:space="0"/>
                    <w:right w:val="single" w:color="auto" w:sz="4" w:space="0"/>
                  </w:tcBorders>
                  <w:vAlign w:val="bottom"/>
                </w:tcPr>
                <w:p w14:paraId="6B30D6D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15704.1 </w:t>
                  </w:r>
                </w:p>
              </w:tc>
            </w:tr>
            <w:tr w14:paraId="672D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67E8CF3">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k101+000~k102+000</w:t>
                  </w:r>
                </w:p>
              </w:tc>
              <w:tc>
                <w:tcPr>
                  <w:tcW w:w="904" w:type="pct"/>
                  <w:tcBorders>
                    <w:top w:val="single" w:color="auto" w:sz="4" w:space="0"/>
                    <w:left w:val="single" w:color="auto" w:sz="4" w:space="0"/>
                    <w:bottom w:val="single" w:color="auto" w:sz="4" w:space="0"/>
                    <w:right w:val="single" w:color="auto" w:sz="4" w:space="0"/>
                  </w:tcBorders>
                  <w:vAlign w:val="bottom"/>
                </w:tcPr>
                <w:p w14:paraId="3FF1F57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115178.9 </w:t>
                  </w:r>
                </w:p>
              </w:tc>
              <w:tc>
                <w:tcPr>
                  <w:tcW w:w="903" w:type="pct"/>
                  <w:tcBorders>
                    <w:top w:val="single" w:color="auto" w:sz="4" w:space="0"/>
                    <w:left w:val="single" w:color="auto" w:sz="4" w:space="0"/>
                    <w:bottom w:val="single" w:color="auto" w:sz="4" w:space="0"/>
                    <w:right w:val="single" w:color="auto" w:sz="4" w:space="0"/>
                  </w:tcBorders>
                  <w:vAlign w:val="bottom"/>
                </w:tcPr>
                <w:p w14:paraId="40635A2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41884.7 </w:t>
                  </w:r>
                </w:p>
              </w:tc>
              <w:tc>
                <w:tcPr>
                  <w:tcW w:w="903" w:type="pct"/>
                  <w:tcBorders>
                    <w:top w:val="single" w:color="auto" w:sz="4" w:space="0"/>
                    <w:left w:val="single" w:color="auto" w:sz="4" w:space="0"/>
                    <w:bottom w:val="single" w:color="auto" w:sz="4" w:space="0"/>
                    <w:right w:val="single" w:color="auto" w:sz="4" w:space="0"/>
                  </w:tcBorders>
                  <w:vAlign w:val="bottom"/>
                </w:tcPr>
                <w:p w14:paraId="3E868EA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13819.2 </w:t>
                  </w:r>
                </w:p>
              </w:tc>
              <w:tc>
                <w:tcPr>
                  <w:tcW w:w="904" w:type="pct"/>
                  <w:tcBorders>
                    <w:top w:val="single" w:color="auto" w:sz="4" w:space="0"/>
                    <w:left w:val="single" w:color="auto" w:sz="4" w:space="0"/>
                    <w:bottom w:val="single" w:color="auto" w:sz="4" w:space="0"/>
                    <w:right w:val="single" w:color="auto" w:sz="4" w:space="0"/>
                  </w:tcBorders>
                  <w:vAlign w:val="bottom"/>
                </w:tcPr>
                <w:p w14:paraId="4B1B08D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60804.7 </w:t>
                  </w:r>
                </w:p>
              </w:tc>
            </w:tr>
            <w:tr w14:paraId="4E1E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7330303">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k102+000~k103+000</w:t>
                  </w:r>
                </w:p>
              </w:tc>
              <w:tc>
                <w:tcPr>
                  <w:tcW w:w="904" w:type="pct"/>
                  <w:tcBorders>
                    <w:top w:val="single" w:color="auto" w:sz="4" w:space="0"/>
                    <w:left w:val="single" w:color="auto" w:sz="4" w:space="0"/>
                    <w:bottom w:val="single" w:color="auto" w:sz="4" w:space="0"/>
                    <w:right w:val="single" w:color="auto" w:sz="4" w:space="0"/>
                  </w:tcBorders>
                  <w:vAlign w:val="bottom"/>
                </w:tcPr>
                <w:p w14:paraId="2B07734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182030.8 </w:t>
                  </w:r>
                </w:p>
              </w:tc>
              <w:tc>
                <w:tcPr>
                  <w:tcW w:w="903" w:type="pct"/>
                  <w:tcBorders>
                    <w:top w:val="single" w:color="auto" w:sz="4" w:space="0"/>
                    <w:left w:val="single" w:color="auto" w:sz="4" w:space="0"/>
                    <w:bottom w:val="single" w:color="auto" w:sz="4" w:space="0"/>
                    <w:right w:val="single" w:color="auto" w:sz="4" w:space="0"/>
                  </w:tcBorders>
                  <w:vAlign w:val="bottom"/>
                </w:tcPr>
                <w:p w14:paraId="57DEB89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74389.8 </w:t>
                  </w:r>
                </w:p>
              </w:tc>
              <w:tc>
                <w:tcPr>
                  <w:tcW w:w="903" w:type="pct"/>
                  <w:tcBorders>
                    <w:top w:val="single" w:color="auto" w:sz="4" w:space="0"/>
                    <w:left w:val="single" w:color="auto" w:sz="4" w:space="0"/>
                    <w:bottom w:val="single" w:color="auto" w:sz="4" w:space="0"/>
                    <w:right w:val="single" w:color="auto" w:sz="4" w:space="0"/>
                  </w:tcBorders>
                  <w:vAlign w:val="bottom"/>
                </w:tcPr>
                <w:p w14:paraId="165D845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23492.4 </w:t>
                  </w:r>
                </w:p>
              </w:tc>
              <w:tc>
                <w:tcPr>
                  <w:tcW w:w="904" w:type="pct"/>
                  <w:tcBorders>
                    <w:top w:val="single" w:color="auto" w:sz="4" w:space="0"/>
                    <w:left w:val="single" w:color="auto" w:sz="4" w:space="0"/>
                    <w:bottom w:val="single" w:color="auto" w:sz="4" w:space="0"/>
                    <w:right w:val="single" w:color="auto" w:sz="4" w:space="0"/>
                  </w:tcBorders>
                  <w:vAlign w:val="bottom"/>
                </w:tcPr>
                <w:p w14:paraId="1CAA58D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102446.0 </w:t>
                  </w:r>
                </w:p>
              </w:tc>
            </w:tr>
            <w:tr w14:paraId="6BFF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43DD428">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k103+000~k104+355</w:t>
                  </w:r>
                </w:p>
              </w:tc>
              <w:tc>
                <w:tcPr>
                  <w:tcW w:w="904" w:type="pct"/>
                  <w:tcBorders>
                    <w:top w:val="single" w:color="auto" w:sz="4" w:space="0"/>
                    <w:left w:val="single" w:color="auto" w:sz="4" w:space="0"/>
                    <w:bottom w:val="single" w:color="auto" w:sz="4" w:space="0"/>
                    <w:right w:val="single" w:color="auto" w:sz="4" w:space="0"/>
                  </w:tcBorders>
                  <w:vAlign w:val="bottom"/>
                </w:tcPr>
                <w:p w14:paraId="03010A2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30910.6 </w:t>
                  </w:r>
                </w:p>
              </w:tc>
              <w:tc>
                <w:tcPr>
                  <w:tcW w:w="903" w:type="pct"/>
                  <w:tcBorders>
                    <w:top w:val="single" w:color="auto" w:sz="4" w:space="0"/>
                    <w:left w:val="single" w:color="auto" w:sz="4" w:space="0"/>
                    <w:bottom w:val="single" w:color="auto" w:sz="4" w:space="0"/>
                    <w:right w:val="single" w:color="auto" w:sz="4" w:space="0"/>
                  </w:tcBorders>
                  <w:vAlign w:val="bottom"/>
                </w:tcPr>
                <w:p w14:paraId="59EF4B5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4599.4 </w:t>
                  </w:r>
                </w:p>
              </w:tc>
              <w:tc>
                <w:tcPr>
                  <w:tcW w:w="903" w:type="pct"/>
                  <w:tcBorders>
                    <w:top w:val="single" w:color="auto" w:sz="4" w:space="0"/>
                    <w:left w:val="single" w:color="auto" w:sz="4" w:space="0"/>
                    <w:bottom w:val="single" w:color="auto" w:sz="4" w:space="0"/>
                    <w:right w:val="single" w:color="auto" w:sz="4" w:space="0"/>
                  </w:tcBorders>
                  <w:vAlign w:val="bottom"/>
                </w:tcPr>
                <w:p w14:paraId="4C29316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3608.2 </w:t>
                  </w:r>
                </w:p>
              </w:tc>
              <w:tc>
                <w:tcPr>
                  <w:tcW w:w="904" w:type="pct"/>
                  <w:tcBorders>
                    <w:top w:val="single" w:color="auto" w:sz="4" w:space="0"/>
                    <w:left w:val="single" w:color="auto" w:sz="4" w:space="0"/>
                    <w:bottom w:val="single" w:color="auto" w:sz="4" w:space="0"/>
                    <w:right w:val="single" w:color="auto" w:sz="4" w:space="0"/>
                  </w:tcBorders>
                  <w:vAlign w:val="bottom"/>
                </w:tcPr>
                <w:p w14:paraId="6359182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22910.7 </w:t>
                  </w:r>
                </w:p>
              </w:tc>
            </w:tr>
            <w:tr w14:paraId="12E6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65417F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k104+380~k105+000</w:t>
                  </w:r>
                </w:p>
              </w:tc>
              <w:tc>
                <w:tcPr>
                  <w:tcW w:w="904" w:type="pct"/>
                  <w:tcBorders>
                    <w:top w:val="single" w:color="auto" w:sz="4" w:space="0"/>
                    <w:left w:val="single" w:color="auto" w:sz="4" w:space="0"/>
                    <w:bottom w:val="single" w:color="auto" w:sz="4" w:space="0"/>
                    <w:right w:val="single" w:color="auto" w:sz="4" w:space="0"/>
                  </w:tcBorders>
                  <w:vAlign w:val="bottom"/>
                </w:tcPr>
                <w:p w14:paraId="2328101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15148.1 </w:t>
                  </w:r>
                </w:p>
              </w:tc>
              <w:tc>
                <w:tcPr>
                  <w:tcW w:w="903" w:type="pct"/>
                  <w:tcBorders>
                    <w:top w:val="single" w:color="auto" w:sz="4" w:space="0"/>
                    <w:left w:val="single" w:color="auto" w:sz="4" w:space="0"/>
                    <w:bottom w:val="single" w:color="auto" w:sz="4" w:space="0"/>
                    <w:right w:val="single" w:color="auto" w:sz="4" w:space="0"/>
                  </w:tcBorders>
                  <w:vAlign w:val="bottom"/>
                </w:tcPr>
                <w:p w14:paraId="52FED08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30351.2 </w:t>
                  </w:r>
                </w:p>
              </w:tc>
              <w:tc>
                <w:tcPr>
                  <w:tcW w:w="903" w:type="pct"/>
                  <w:tcBorders>
                    <w:top w:val="single" w:color="auto" w:sz="4" w:space="0"/>
                    <w:left w:val="single" w:color="auto" w:sz="4" w:space="0"/>
                    <w:bottom w:val="single" w:color="auto" w:sz="4" w:space="0"/>
                    <w:right w:val="single" w:color="auto" w:sz="4" w:space="0"/>
                  </w:tcBorders>
                  <w:vAlign w:val="bottom"/>
                </w:tcPr>
                <w:p w14:paraId="1493648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22410.3 </w:t>
                  </w:r>
                </w:p>
              </w:tc>
              <w:tc>
                <w:tcPr>
                  <w:tcW w:w="904" w:type="pct"/>
                  <w:tcBorders>
                    <w:top w:val="single" w:color="auto" w:sz="4" w:space="0"/>
                    <w:left w:val="single" w:color="auto" w:sz="4" w:space="0"/>
                    <w:bottom w:val="single" w:color="auto" w:sz="4" w:space="0"/>
                    <w:right w:val="single" w:color="auto" w:sz="4" w:space="0"/>
                  </w:tcBorders>
                  <w:vAlign w:val="bottom"/>
                </w:tcPr>
                <w:p w14:paraId="758538F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12101.0 </w:t>
                  </w:r>
                </w:p>
              </w:tc>
            </w:tr>
            <w:tr w14:paraId="029B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0AA6AC4">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k105+000~k106+000</w:t>
                  </w:r>
                </w:p>
              </w:tc>
              <w:tc>
                <w:tcPr>
                  <w:tcW w:w="904" w:type="pct"/>
                  <w:tcBorders>
                    <w:top w:val="single" w:color="auto" w:sz="4" w:space="0"/>
                    <w:left w:val="single" w:color="auto" w:sz="4" w:space="0"/>
                    <w:bottom w:val="single" w:color="auto" w:sz="4" w:space="0"/>
                    <w:right w:val="single" w:color="auto" w:sz="4" w:space="0"/>
                  </w:tcBorders>
                  <w:vAlign w:val="bottom"/>
                </w:tcPr>
                <w:p w14:paraId="64CEBAF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34236.9 </w:t>
                  </w:r>
                </w:p>
              </w:tc>
              <w:tc>
                <w:tcPr>
                  <w:tcW w:w="903" w:type="pct"/>
                  <w:tcBorders>
                    <w:top w:val="single" w:color="auto" w:sz="4" w:space="0"/>
                    <w:left w:val="single" w:color="auto" w:sz="4" w:space="0"/>
                    <w:bottom w:val="single" w:color="auto" w:sz="4" w:space="0"/>
                    <w:right w:val="single" w:color="auto" w:sz="4" w:space="0"/>
                  </w:tcBorders>
                  <w:vAlign w:val="bottom"/>
                </w:tcPr>
                <w:p w14:paraId="69E786C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41980.7 </w:t>
                  </w:r>
                </w:p>
              </w:tc>
              <w:tc>
                <w:tcPr>
                  <w:tcW w:w="903" w:type="pct"/>
                  <w:tcBorders>
                    <w:top w:val="single" w:color="auto" w:sz="4" w:space="0"/>
                    <w:left w:val="single" w:color="auto" w:sz="4" w:space="0"/>
                    <w:bottom w:val="single" w:color="auto" w:sz="4" w:space="0"/>
                    <w:right w:val="single" w:color="auto" w:sz="4" w:space="0"/>
                  </w:tcBorders>
                  <w:vAlign w:val="bottom"/>
                </w:tcPr>
                <w:p w14:paraId="722B1D9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30997.2 </w:t>
                  </w:r>
                </w:p>
              </w:tc>
              <w:tc>
                <w:tcPr>
                  <w:tcW w:w="904" w:type="pct"/>
                  <w:tcBorders>
                    <w:top w:val="single" w:color="auto" w:sz="4" w:space="0"/>
                    <w:left w:val="single" w:color="auto" w:sz="4" w:space="0"/>
                    <w:bottom w:val="single" w:color="auto" w:sz="4" w:space="0"/>
                    <w:right w:val="single" w:color="auto" w:sz="4" w:space="0"/>
                  </w:tcBorders>
                  <w:vAlign w:val="bottom"/>
                </w:tcPr>
                <w:p w14:paraId="7B1C2A9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27350.1 </w:t>
                  </w:r>
                </w:p>
              </w:tc>
            </w:tr>
            <w:tr w14:paraId="6D4D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631CF3B">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k106+000~k107+000</w:t>
                  </w:r>
                </w:p>
              </w:tc>
              <w:tc>
                <w:tcPr>
                  <w:tcW w:w="904" w:type="pct"/>
                  <w:tcBorders>
                    <w:top w:val="single" w:color="auto" w:sz="4" w:space="0"/>
                    <w:left w:val="single" w:color="auto" w:sz="4" w:space="0"/>
                    <w:bottom w:val="single" w:color="auto" w:sz="4" w:space="0"/>
                    <w:right w:val="single" w:color="auto" w:sz="4" w:space="0"/>
                  </w:tcBorders>
                  <w:vAlign w:val="bottom"/>
                </w:tcPr>
                <w:p w14:paraId="5FE7C5E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5824.1 </w:t>
                  </w:r>
                </w:p>
              </w:tc>
              <w:tc>
                <w:tcPr>
                  <w:tcW w:w="903" w:type="pct"/>
                  <w:tcBorders>
                    <w:top w:val="single" w:color="auto" w:sz="4" w:space="0"/>
                    <w:left w:val="single" w:color="auto" w:sz="4" w:space="0"/>
                    <w:bottom w:val="single" w:color="auto" w:sz="4" w:space="0"/>
                    <w:right w:val="single" w:color="auto" w:sz="4" w:space="0"/>
                  </w:tcBorders>
                  <w:vAlign w:val="bottom"/>
                </w:tcPr>
                <w:p w14:paraId="59A10E7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51848.1 </w:t>
                  </w:r>
                </w:p>
              </w:tc>
              <w:tc>
                <w:tcPr>
                  <w:tcW w:w="903" w:type="pct"/>
                  <w:tcBorders>
                    <w:top w:val="single" w:color="auto" w:sz="4" w:space="0"/>
                    <w:left w:val="single" w:color="auto" w:sz="4" w:space="0"/>
                    <w:bottom w:val="single" w:color="auto" w:sz="4" w:space="0"/>
                    <w:right w:val="single" w:color="auto" w:sz="4" w:space="0"/>
                  </w:tcBorders>
                  <w:vAlign w:val="bottom"/>
                </w:tcPr>
                <w:p w14:paraId="12B5686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16796.4 </w:t>
                  </w:r>
                </w:p>
              </w:tc>
              <w:tc>
                <w:tcPr>
                  <w:tcW w:w="904" w:type="pct"/>
                  <w:tcBorders>
                    <w:top w:val="single" w:color="auto" w:sz="4" w:space="0"/>
                    <w:left w:val="single" w:color="auto" w:sz="4" w:space="0"/>
                    <w:bottom w:val="single" w:color="auto" w:sz="4" w:space="0"/>
                    <w:right w:val="single" w:color="auto" w:sz="4" w:space="0"/>
                  </w:tcBorders>
                  <w:vAlign w:val="bottom"/>
                </w:tcPr>
                <w:p w14:paraId="54737B4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4752.1 </w:t>
                  </w:r>
                </w:p>
              </w:tc>
            </w:tr>
            <w:tr w14:paraId="3CE8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95C1EFB">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k107+000~k108+000</w:t>
                  </w:r>
                </w:p>
              </w:tc>
              <w:tc>
                <w:tcPr>
                  <w:tcW w:w="904" w:type="pct"/>
                  <w:tcBorders>
                    <w:top w:val="single" w:color="auto" w:sz="4" w:space="0"/>
                    <w:left w:val="single" w:color="auto" w:sz="4" w:space="0"/>
                    <w:bottom w:val="single" w:color="auto" w:sz="4" w:space="0"/>
                    <w:right w:val="single" w:color="auto" w:sz="4" w:space="0"/>
                  </w:tcBorders>
                  <w:vAlign w:val="bottom"/>
                </w:tcPr>
                <w:p w14:paraId="6E1D70C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5243.7 </w:t>
                  </w:r>
                </w:p>
              </w:tc>
              <w:tc>
                <w:tcPr>
                  <w:tcW w:w="903" w:type="pct"/>
                  <w:tcBorders>
                    <w:top w:val="single" w:color="auto" w:sz="4" w:space="0"/>
                    <w:left w:val="single" w:color="auto" w:sz="4" w:space="0"/>
                    <w:bottom w:val="single" w:color="auto" w:sz="4" w:space="0"/>
                    <w:right w:val="single" w:color="auto" w:sz="4" w:space="0"/>
                  </w:tcBorders>
                  <w:vAlign w:val="bottom"/>
                </w:tcPr>
                <w:p w14:paraId="7A7D5EB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16290.3 </w:t>
                  </w:r>
                </w:p>
              </w:tc>
              <w:tc>
                <w:tcPr>
                  <w:tcW w:w="903" w:type="pct"/>
                  <w:tcBorders>
                    <w:top w:val="single" w:color="auto" w:sz="4" w:space="0"/>
                    <w:left w:val="single" w:color="auto" w:sz="4" w:space="0"/>
                    <w:bottom w:val="single" w:color="auto" w:sz="4" w:space="0"/>
                    <w:right w:val="single" w:color="auto" w:sz="4" w:space="0"/>
                  </w:tcBorders>
                  <w:vAlign w:val="bottom"/>
                </w:tcPr>
                <w:p w14:paraId="36A737D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12028.2 </w:t>
                  </w:r>
                </w:p>
              </w:tc>
              <w:tc>
                <w:tcPr>
                  <w:tcW w:w="904" w:type="pct"/>
                  <w:tcBorders>
                    <w:top w:val="single" w:color="auto" w:sz="4" w:space="0"/>
                    <w:left w:val="single" w:color="auto" w:sz="4" w:space="0"/>
                    <w:bottom w:val="single" w:color="auto" w:sz="4" w:space="0"/>
                    <w:right w:val="single" w:color="auto" w:sz="4" w:space="0"/>
                  </w:tcBorders>
                  <w:vAlign w:val="bottom"/>
                </w:tcPr>
                <w:p w14:paraId="4817321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4188.9 </w:t>
                  </w:r>
                </w:p>
              </w:tc>
            </w:tr>
            <w:tr w14:paraId="5448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D438528">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k108+000~k109+000</w:t>
                  </w:r>
                </w:p>
              </w:tc>
              <w:tc>
                <w:tcPr>
                  <w:tcW w:w="904" w:type="pct"/>
                  <w:tcBorders>
                    <w:top w:val="single" w:color="auto" w:sz="4" w:space="0"/>
                    <w:left w:val="single" w:color="auto" w:sz="4" w:space="0"/>
                    <w:bottom w:val="single" w:color="auto" w:sz="4" w:space="0"/>
                    <w:right w:val="single" w:color="auto" w:sz="4" w:space="0"/>
                  </w:tcBorders>
                  <w:vAlign w:val="bottom"/>
                </w:tcPr>
                <w:p w14:paraId="6258258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5740.5 </w:t>
                  </w:r>
                </w:p>
              </w:tc>
              <w:tc>
                <w:tcPr>
                  <w:tcW w:w="903" w:type="pct"/>
                  <w:tcBorders>
                    <w:top w:val="single" w:color="auto" w:sz="4" w:space="0"/>
                    <w:left w:val="single" w:color="auto" w:sz="4" w:space="0"/>
                    <w:bottom w:val="single" w:color="auto" w:sz="4" w:space="0"/>
                    <w:right w:val="single" w:color="auto" w:sz="4" w:space="0"/>
                  </w:tcBorders>
                  <w:vAlign w:val="bottom"/>
                </w:tcPr>
                <w:p w14:paraId="6AA559C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15241.2 </w:t>
                  </w:r>
                </w:p>
              </w:tc>
              <w:tc>
                <w:tcPr>
                  <w:tcW w:w="903" w:type="pct"/>
                  <w:tcBorders>
                    <w:top w:val="single" w:color="auto" w:sz="4" w:space="0"/>
                    <w:left w:val="single" w:color="auto" w:sz="4" w:space="0"/>
                    <w:bottom w:val="single" w:color="auto" w:sz="4" w:space="0"/>
                    <w:right w:val="single" w:color="auto" w:sz="4" w:space="0"/>
                  </w:tcBorders>
                  <w:vAlign w:val="bottom"/>
                </w:tcPr>
                <w:p w14:paraId="6472130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11253.6 </w:t>
                  </w:r>
                </w:p>
              </w:tc>
              <w:tc>
                <w:tcPr>
                  <w:tcW w:w="904" w:type="pct"/>
                  <w:tcBorders>
                    <w:top w:val="single" w:color="auto" w:sz="4" w:space="0"/>
                    <w:left w:val="single" w:color="auto" w:sz="4" w:space="0"/>
                    <w:bottom w:val="single" w:color="auto" w:sz="4" w:space="0"/>
                    <w:right w:val="single" w:color="auto" w:sz="4" w:space="0"/>
                  </w:tcBorders>
                  <w:vAlign w:val="bottom"/>
                </w:tcPr>
                <w:p w14:paraId="0751481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4585.8 </w:t>
                  </w:r>
                </w:p>
              </w:tc>
            </w:tr>
            <w:tr w14:paraId="12D7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88EB1B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k109+000~k110+000</w:t>
                  </w:r>
                </w:p>
              </w:tc>
              <w:tc>
                <w:tcPr>
                  <w:tcW w:w="904" w:type="pct"/>
                  <w:tcBorders>
                    <w:top w:val="single" w:color="auto" w:sz="4" w:space="0"/>
                    <w:left w:val="single" w:color="auto" w:sz="4" w:space="0"/>
                    <w:bottom w:val="single" w:color="auto" w:sz="4" w:space="0"/>
                    <w:right w:val="single" w:color="auto" w:sz="4" w:space="0"/>
                  </w:tcBorders>
                  <w:vAlign w:val="bottom"/>
                </w:tcPr>
                <w:p w14:paraId="1544FAA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5059.0 </w:t>
                  </w:r>
                </w:p>
              </w:tc>
              <w:tc>
                <w:tcPr>
                  <w:tcW w:w="903" w:type="pct"/>
                  <w:tcBorders>
                    <w:top w:val="single" w:color="auto" w:sz="4" w:space="0"/>
                    <w:left w:val="single" w:color="auto" w:sz="4" w:space="0"/>
                    <w:bottom w:val="single" w:color="auto" w:sz="4" w:space="0"/>
                    <w:right w:val="single" w:color="auto" w:sz="4" w:space="0"/>
                  </w:tcBorders>
                  <w:vAlign w:val="bottom"/>
                </w:tcPr>
                <w:p w14:paraId="1250704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25244.3 </w:t>
                  </w:r>
                </w:p>
              </w:tc>
              <w:tc>
                <w:tcPr>
                  <w:tcW w:w="903" w:type="pct"/>
                  <w:tcBorders>
                    <w:top w:val="single" w:color="auto" w:sz="4" w:space="0"/>
                    <w:left w:val="single" w:color="auto" w:sz="4" w:space="0"/>
                    <w:bottom w:val="single" w:color="auto" w:sz="4" w:space="0"/>
                    <w:right w:val="single" w:color="auto" w:sz="4" w:space="0"/>
                  </w:tcBorders>
                  <w:vAlign w:val="bottom"/>
                </w:tcPr>
                <w:p w14:paraId="32EFE93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18639.6 </w:t>
                  </w:r>
                </w:p>
              </w:tc>
              <w:tc>
                <w:tcPr>
                  <w:tcW w:w="904" w:type="pct"/>
                  <w:tcBorders>
                    <w:top w:val="single" w:color="auto" w:sz="4" w:space="0"/>
                    <w:left w:val="single" w:color="auto" w:sz="4" w:space="0"/>
                    <w:bottom w:val="single" w:color="auto" w:sz="4" w:space="0"/>
                    <w:right w:val="single" w:color="auto" w:sz="4" w:space="0"/>
                  </w:tcBorders>
                  <w:vAlign w:val="bottom"/>
                </w:tcPr>
                <w:p w14:paraId="38D3079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4041.4 </w:t>
                  </w:r>
                </w:p>
              </w:tc>
            </w:tr>
            <w:tr w14:paraId="359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9E0A6A3">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k110+000~k111+000</w:t>
                  </w:r>
                </w:p>
              </w:tc>
              <w:tc>
                <w:tcPr>
                  <w:tcW w:w="904" w:type="pct"/>
                  <w:tcBorders>
                    <w:top w:val="single" w:color="auto" w:sz="4" w:space="0"/>
                    <w:left w:val="single" w:color="auto" w:sz="4" w:space="0"/>
                    <w:bottom w:val="single" w:color="auto" w:sz="4" w:space="0"/>
                    <w:right w:val="single" w:color="auto" w:sz="4" w:space="0"/>
                  </w:tcBorders>
                  <w:vAlign w:val="bottom"/>
                </w:tcPr>
                <w:p w14:paraId="6A65A60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2599.3 </w:t>
                  </w:r>
                </w:p>
              </w:tc>
              <w:tc>
                <w:tcPr>
                  <w:tcW w:w="903" w:type="pct"/>
                  <w:tcBorders>
                    <w:top w:val="single" w:color="auto" w:sz="4" w:space="0"/>
                    <w:left w:val="single" w:color="auto" w:sz="4" w:space="0"/>
                    <w:bottom w:val="single" w:color="auto" w:sz="4" w:space="0"/>
                    <w:right w:val="single" w:color="auto" w:sz="4" w:space="0"/>
                  </w:tcBorders>
                  <w:vAlign w:val="bottom"/>
                </w:tcPr>
                <w:p w14:paraId="58A08E6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32111.3 </w:t>
                  </w:r>
                </w:p>
              </w:tc>
              <w:tc>
                <w:tcPr>
                  <w:tcW w:w="903" w:type="pct"/>
                  <w:tcBorders>
                    <w:top w:val="single" w:color="auto" w:sz="4" w:space="0"/>
                    <w:left w:val="single" w:color="auto" w:sz="4" w:space="0"/>
                    <w:bottom w:val="single" w:color="auto" w:sz="4" w:space="0"/>
                    <w:right w:val="single" w:color="auto" w:sz="4" w:space="0"/>
                  </w:tcBorders>
                  <w:vAlign w:val="bottom"/>
                </w:tcPr>
                <w:p w14:paraId="2283D00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23709.9 </w:t>
                  </w:r>
                </w:p>
              </w:tc>
              <w:tc>
                <w:tcPr>
                  <w:tcW w:w="904" w:type="pct"/>
                  <w:tcBorders>
                    <w:top w:val="single" w:color="auto" w:sz="4" w:space="0"/>
                    <w:left w:val="single" w:color="auto" w:sz="4" w:space="0"/>
                    <w:bottom w:val="single" w:color="auto" w:sz="4" w:space="0"/>
                    <w:right w:val="single" w:color="auto" w:sz="4" w:space="0"/>
                  </w:tcBorders>
                  <w:vAlign w:val="bottom"/>
                </w:tcPr>
                <w:p w14:paraId="35D132E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2076.5 </w:t>
                  </w:r>
                </w:p>
              </w:tc>
            </w:tr>
            <w:tr w14:paraId="31A1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70E8EBB">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k111+000~k112+000</w:t>
                  </w:r>
                </w:p>
              </w:tc>
              <w:tc>
                <w:tcPr>
                  <w:tcW w:w="904" w:type="pct"/>
                  <w:tcBorders>
                    <w:top w:val="single" w:color="auto" w:sz="4" w:space="0"/>
                    <w:left w:val="single" w:color="auto" w:sz="4" w:space="0"/>
                    <w:bottom w:val="single" w:color="auto" w:sz="4" w:space="0"/>
                    <w:right w:val="single" w:color="auto" w:sz="4" w:space="0"/>
                  </w:tcBorders>
                  <w:vAlign w:val="bottom"/>
                </w:tcPr>
                <w:p w14:paraId="548659A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2509.5 </w:t>
                  </w:r>
                </w:p>
              </w:tc>
              <w:tc>
                <w:tcPr>
                  <w:tcW w:w="903" w:type="pct"/>
                  <w:tcBorders>
                    <w:top w:val="single" w:color="auto" w:sz="4" w:space="0"/>
                    <w:left w:val="single" w:color="auto" w:sz="4" w:space="0"/>
                    <w:bottom w:val="single" w:color="auto" w:sz="4" w:space="0"/>
                    <w:right w:val="single" w:color="auto" w:sz="4" w:space="0"/>
                  </w:tcBorders>
                  <w:vAlign w:val="bottom"/>
                </w:tcPr>
                <w:p w14:paraId="412B0F1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22597.7 </w:t>
                  </w:r>
                </w:p>
              </w:tc>
              <w:tc>
                <w:tcPr>
                  <w:tcW w:w="903" w:type="pct"/>
                  <w:tcBorders>
                    <w:top w:val="single" w:color="auto" w:sz="4" w:space="0"/>
                    <w:left w:val="single" w:color="auto" w:sz="4" w:space="0"/>
                    <w:bottom w:val="single" w:color="auto" w:sz="4" w:space="0"/>
                    <w:right w:val="single" w:color="auto" w:sz="4" w:space="0"/>
                  </w:tcBorders>
                  <w:vAlign w:val="bottom"/>
                </w:tcPr>
                <w:p w14:paraId="2BEF165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16685.4 </w:t>
                  </w:r>
                </w:p>
              </w:tc>
              <w:tc>
                <w:tcPr>
                  <w:tcW w:w="904" w:type="pct"/>
                  <w:tcBorders>
                    <w:top w:val="single" w:color="auto" w:sz="4" w:space="0"/>
                    <w:left w:val="single" w:color="auto" w:sz="4" w:space="0"/>
                    <w:bottom w:val="single" w:color="auto" w:sz="4" w:space="0"/>
                    <w:right w:val="single" w:color="auto" w:sz="4" w:space="0"/>
                  </w:tcBorders>
                  <w:vAlign w:val="bottom"/>
                </w:tcPr>
                <w:p w14:paraId="0E38BC6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2004.7 </w:t>
                  </w:r>
                </w:p>
              </w:tc>
            </w:tr>
            <w:tr w14:paraId="34ED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11C6365">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k112+000~k113+000</w:t>
                  </w:r>
                </w:p>
              </w:tc>
              <w:tc>
                <w:tcPr>
                  <w:tcW w:w="904" w:type="pct"/>
                  <w:tcBorders>
                    <w:top w:val="single" w:color="auto" w:sz="4" w:space="0"/>
                    <w:left w:val="single" w:color="auto" w:sz="4" w:space="0"/>
                    <w:bottom w:val="single" w:color="auto" w:sz="4" w:space="0"/>
                    <w:right w:val="single" w:color="auto" w:sz="4" w:space="0"/>
                  </w:tcBorders>
                  <w:vAlign w:val="bottom"/>
                </w:tcPr>
                <w:p w14:paraId="591DEEA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3518.4 </w:t>
                  </w:r>
                </w:p>
              </w:tc>
              <w:tc>
                <w:tcPr>
                  <w:tcW w:w="903" w:type="pct"/>
                  <w:tcBorders>
                    <w:top w:val="single" w:color="auto" w:sz="4" w:space="0"/>
                    <w:left w:val="single" w:color="auto" w:sz="4" w:space="0"/>
                    <w:bottom w:val="single" w:color="auto" w:sz="4" w:space="0"/>
                    <w:right w:val="single" w:color="auto" w:sz="4" w:space="0"/>
                  </w:tcBorders>
                  <w:vAlign w:val="bottom"/>
                </w:tcPr>
                <w:p w14:paraId="6C59A27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22583.9 </w:t>
                  </w:r>
                </w:p>
              </w:tc>
              <w:tc>
                <w:tcPr>
                  <w:tcW w:w="903" w:type="pct"/>
                  <w:tcBorders>
                    <w:top w:val="single" w:color="auto" w:sz="4" w:space="0"/>
                    <w:left w:val="single" w:color="auto" w:sz="4" w:space="0"/>
                    <w:bottom w:val="single" w:color="auto" w:sz="4" w:space="0"/>
                    <w:right w:val="single" w:color="auto" w:sz="4" w:space="0"/>
                  </w:tcBorders>
                  <w:vAlign w:val="bottom"/>
                </w:tcPr>
                <w:p w14:paraId="45BB47C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16675.2 </w:t>
                  </w:r>
                </w:p>
              </w:tc>
              <w:tc>
                <w:tcPr>
                  <w:tcW w:w="904" w:type="pct"/>
                  <w:tcBorders>
                    <w:top w:val="single" w:color="auto" w:sz="4" w:space="0"/>
                    <w:left w:val="single" w:color="auto" w:sz="4" w:space="0"/>
                    <w:bottom w:val="single" w:color="auto" w:sz="4" w:space="0"/>
                    <w:right w:val="single" w:color="auto" w:sz="4" w:space="0"/>
                  </w:tcBorders>
                  <w:vAlign w:val="bottom"/>
                </w:tcPr>
                <w:p w14:paraId="3CBCE01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2812.7 </w:t>
                  </w:r>
                </w:p>
              </w:tc>
            </w:tr>
            <w:tr w14:paraId="34CC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09674CFF">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k113+000~k114+000</w:t>
                  </w:r>
                </w:p>
              </w:tc>
              <w:tc>
                <w:tcPr>
                  <w:tcW w:w="904" w:type="pct"/>
                  <w:tcBorders>
                    <w:top w:val="single" w:color="auto" w:sz="4" w:space="0"/>
                    <w:left w:val="single" w:color="auto" w:sz="4" w:space="0"/>
                    <w:bottom w:val="single" w:color="auto" w:sz="4" w:space="0"/>
                    <w:right w:val="single" w:color="auto" w:sz="4" w:space="0"/>
                  </w:tcBorders>
                  <w:vAlign w:val="bottom"/>
                </w:tcPr>
                <w:p w14:paraId="5B01867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3639.1 </w:t>
                  </w:r>
                </w:p>
              </w:tc>
              <w:tc>
                <w:tcPr>
                  <w:tcW w:w="903" w:type="pct"/>
                  <w:tcBorders>
                    <w:top w:val="single" w:color="auto" w:sz="4" w:space="0"/>
                    <w:left w:val="single" w:color="auto" w:sz="4" w:space="0"/>
                    <w:bottom w:val="single" w:color="auto" w:sz="4" w:space="0"/>
                    <w:right w:val="single" w:color="auto" w:sz="4" w:space="0"/>
                  </w:tcBorders>
                  <w:vAlign w:val="bottom"/>
                </w:tcPr>
                <w:p w14:paraId="6491378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21232.7 </w:t>
                  </w:r>
                </w:p>
              </w:tc>
              <w:tc>
                <w:tcPr>
                  <w:tcW w:w="903" w:type="pct"/>
                  <w:tcBorders>
                    <w:top w:val="single" w:color="auto" w:sz="4" w:space="0"/>
                    <w:left w:val="single" w:color="auto" w:sz="4" w:space="0"/>
                    <w:bottom w:val="single" w:color="auto" w:sz="4" w:space="0"/>
                    <w:right w:val="single" w:color="auto" w:sz="4" w:space="0"/>
                  </w:tcBorders>
                  <w:vAlign w:val="bottom"/>
                </w:tcPr>
                <w:p w14:paraId="320D541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15677.5 </w:t>
                  </w:r>
                </w:p>
              </w:tc>
              <w:tc>
                <w:tcPr>
                  <w:tcW w:w="904" w:type="pct"/>
                  <w:tcBorders>
                    <w:top w:val="single" w:color="auto" w:sz="4" w:space="0"/>
                    <w:left w:val="single" w:color="auto" w:sz="4" w:space="0"/>
                    <w:bottom w:val="single" w:color="auto" w:sz="4" w:space="0"/>
                    <w:right w:val="single" w:color="auto" w:sz="4" w:space="0"/>
                  </w:tcBorders>
                  <w:vAlign w:val="bottom"/>
                </w:tcPr>
                <w:p w14:paraId="4460132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2907.1 </w:t>
                  </w:r>
                </w:p>
              </w:tc>
            </w:tr>
            <w:tr w14:paraId="3112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AF7B863">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k114+000~k115+000</w:t>
                  </w:r>
                </w:p>
              </w:tc>
              <w:tc>
                <w:tcPr>
                  <w:tcW w:w="904" w:type="pct"/>
                  <w:tcBorders>
                    <w:top w:val="single" w:color="auto" w:sz="4" w:space="0"/>
                    <w:left w:val="single" w:color="auto" w:sz="4" w:space="0"/>
                    <w:bottom w:val="single" w:color="auto" w:sz="4" w:space="0"/>
                    <w:right w:val="single" w:color="auto" w:sz="4" w:space="0"/>
                  </w:tcBorders>
                  <w:vAlign w:val="bottom"/>
                </w:tcPr>
                <w:p w14:paraId="7C6971D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3073.4 </w:t>
                  </w:r>
                </w:p>
              </w:tc>
              <w:tc>
                <w:tcPr>
                  <w:tcW w:w="903" w:type="pct"/>
                  <w:tcBorders>
                    <w:top w:val="single" w:color="auto" w:sz="4" w:space="0"/>
                    <w:left w:val="single" w:color="auto" w:sz="4" w:space="0"/>
                    <w:bottom w:val="single" w:color="auto" w:sz="4" w:space="0"/>
                    <w:right w:val="single" w:color="auto" w:sz="4" w:space="0"/>
                  </w:tcBorders>
                  <w:vAlign w:val="bottom"/>
                </w:tcPr>
                <w:p w14:paraId="7441816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22627.8 </w:t>
                  </w:r>
                </w:p>
              </w:tc>
              <w:tc>
                <w:tcPr>
                  <w:tcW w:w="903" w:type="pct"/>
                  <w:tcBorders>
                    <w:top w:val="single" w:color="auto" w:sz="4" w:space="0"/>
                    <w:left w:val="single" w:color="auto" w:sz="4" w:space="0"/>
                    <w:bottom w:val="single" w:color="auto" w:sz="4" w:space="0"/>
                    <w:right w:val="single" w:color="auto" w:sz="4" w:space="0"/>
                  </w:tcBorders>
                  <w:vAlign w:val="bottom"/>
                </w:tcPr>
                <w:p w14:paraId="100E11B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16707.6 </w:t>
                  </w:r>
                </w:p>
              </w:tc>
              <w:tc>
                <w:tcPr>
                  <w:tcW w:w="904" w:type="pct"/>
                  <w:tcBorders>
                    <w:top w:val="single" w:color="auto" w:sz="4" w:space="0"/>
                    <w:left w:val="single" w:color="auto" w:sz="4" w:space="0"/>
                    <w:bottom w:val="single" w:color="auto" w:sz="4" w:space="0"/>
                    <w:right w:val="single" w:color="auto" w:sz="4" w:space="0"/>
                  </w:tcBorders>
                  <w:vAlign w:val="bottom"/>
                </w:tcPr>
                <w:p w14:paraId="06CAE72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2455.1 </w:t>
                  </w:r>
                </w:p>
              </w:tc>
            </w:tr>
            <w:tr w14:paraId="6812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B561D39">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k115+000~k116+000</w:t>
                  </w:r>
                </w:p>
              </w:tc>
              <w:tc>
                <w:tcPr>
                  <w:tcW w:w="904" w:type="pct"/>
                  <w:tcBorders>
                    <w:top w:val="single" w:color="auto" w:sz="4" w:space="0"/>
                    <w:left w:val="single" w:color="auto" w:sz="4" w:space="0"/>
                    <w:bottom w:val="single" w:color="auto" w:sz="4" w:space="0"/>
                    <w:right w:val="single" w:color="auto" w:sz="4" w:space="0"/>
                  </w:tcBorders>
                  <w:vAlign w:val="bottom"/>
                </w:tcPr>
                <w:p w14:paraId="71ABE5A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3007.0 </w:t>
                  </w:r>
                </w:p>
              </w:tc>
              <w:tc>
                <w:tcPr>
                  <w:tcW w:w="903" w:type="pct"/>
                  <w:tcBorders>
                    <w:top w:val="single" w:color="auto" w:sz="4" w:space="0"/>
                    <w:left w:val="single" w:color="auto" w:sz="4" w:space="0"/>
                    <w:bottom w:val="single" w:color="auto" w:sz="4" w:space="0"/>
                    <w:right w:val="single" w:color="auto" w:sz="4" w:space="0"/>
                  </w:tcBorders>
                  <w:vAlign w:val="bottom"/>
                </w:tcPr>
                <w:p w14:paraId="6A97131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24510.6 </w:t>
                  </w:r>
                </w:p>
              </w:tc>
              <w:tc>
                <w:tcPr>
                  <w:tcW w:w="903" w:type="pct"/>
                  <w:tcBorders>
                    <w:top w:val="single" w:color="auto" w:sz="4" w:space="0"/>
                    <w:left w:val="single" w:color="auto" w:sz="4" w:space="0"/>
                    <w:bottom w:val="single" w:color="auto" w:sz="4" w:space="0"/>
                    <w:right w:val="single" w:color="auto" w:sz="4" w:space="0"/>
                  </w:tcBorders>
                  <w:vAlign w:val="bottom"/>
                </w:tcPr>
                <w:p w14:paraId="40C4FD5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18097.8 </w:t>
                  </w:r>
                </w:p>
              </w:tc>
              <w:tc>
                <w:tcPr>
                  <w:tcW w:w="904" w:type="pct"/>
                  <w:tcBorders>
                    <w:top w:val="single" w:color="auto" w:sz="4" w:space="0"/>
                    <w:left w:val="single" w:color="auto" w:sz="4" w:space="0"/>
                    <w:bottom w:val="single" w:color="auto" w:sz="4" w:space="0"/>
                    <w:right w:val="single" w:color="auto" w:sz="4" w:space="0"/>
                  </w:tcBorders>
                  <w:vAlign w:val="bottom"/>
                </w:tcPr>
                <w:p w14:paraId="603839E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2402.1 </w:t>
                  </w:r>
                </w:p>
              </w:tc>
            </w:tr>
            <w:tr w14:paraId="5213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2E7C8EA4">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k116+000~k117+000</w:t>
                  </w:r>
                </w:p>
              </w:tc>
              <w:tc>
                <w:tcPr>
                  <w:tcW w:w="904" w:type="pct"/>
                  <w:tcBorders>
                    <w:top w:val="single" w:color="auto" w:sz="4" w:space="0"/>
                    <w:left w:val="single" w:color="auto" w:sz="4" w:space="0"/>
                    <w:bottom w:val="single" w:color="auto" w:sz="4" w:space="0"/>
                    <w:right w:val="single" w:color="auto" w:sz="4" w:space="0"/>
                  </w:tcBorders>
                  <w:vAlign w:val="bottom"/>
                </w:tcPr>
                <w:p w14:paraId="7B79021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3049.1 </w:t>
                  </w:r>
                </w:p>
              </w:tc>
              <w:tc>
                <w:tcPr>
                  <w:tcW w:w="903" w:type="pct"/>
                  <w:tcBorders>
                    <w:top w:val="single" w:color="auto" w:sz="4" w:space="0"/>
                    <w:left w:val="single" w:color="auto" w:sz="4" w:space="0"/>
                    <w:bottom w:val="single" w:color="auto" w:sz="4" w:space="0"/>
                    <w:right w:val="single" w:color="auto" w:sz="4" w:space="0"/>
                  </w:tcBorders>
                  <w:vAlign w:val="bottom"/>
                </w:tcPr>
                <w:p w14:paraId="6C5133D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29717.6 </w:t>
                  </w:r>
                </w:p>
              </w:tc>
              <w:tc>
                <w:tcPr>
                  <w:tcW w:w="903" w:type="pct"/>
                  <w:tcBorders>
                    <w:top w:val="single" w:color="auto" w:sz="4" w:space="0"/>
                    <w:left w:val="single" w:color="auto" w:sz="4" w:space="0"/>
                    <w:bottom w:val="single" w:color="auto" w:sz="4" w:space="0"/>
                    <w:right w:val="single" w:color="auto" w:sz="4" w:space="0"/>
                  </w:tcBorders>
                  <w:vAlign w:val="bottom"/>
                </w:tcPr>
                <w:p w14:paraId="023FC8D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22008.9 </w:t>
                  </w:r>
                </w:p>
              </w:tc>
              <w:tc>
                <w:tcPr>
                  <w:tcW w:w="904" w:type="pct"/>
                  <w:tcBorders>
                    <w:top w:val="single" w:color="auto" w:sz="4" w:space="0"/>
                    <w:left w:val="single" w:color="auto" w:sz="4" w:space="0"/>
                    <w:bottom w:val="single" w:color="auto" w:sz="4" w:space="0"/>
                    <w:right w:val="single" w:color="auto" w:sz="4" w:space="0"/>
                  </w:tcBorders>
                  <w:vAlign w:val="bottom"/>
                </w:tcPr>
                <w:p w14:paraId="6409411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2435.7 </w:t>
                  </w:r>
                </w:p>
              </w:tc>
            </w:tr>
            <w:tr w14:paraId="1CAE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86" w:type="pct"/>
                  <w:tcBorders>
                    <w:top w:val="single" w:color="auto" w:sz="4" w:space="0"/>
                    <w:left w:val="single" w:color="auto" w:sz="4" w:space="0"/>
                    <w:bottom w:val="single" w:color="auto" w:sz="4" w:space="0"/>
                    <w:right w:val="single" w:color="auto" w:sz="4" w:space="0"/>
                  </w:tcBorders>
                  <w:vAlign w:val="center"/>
                </w:tcPr>
                <w:p w14:paraId="5FB67FA4">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k117+000~k118+000</w:t>
                  </w:r>
                </w:p>
              </w:tc>
              <w:tc>
                <w:tcPr>
                  <w:tcW w:w="904" w:type="pct"/>
                  <w:tcBorders>
                    <w:top w:val="single" w:color="auto" w:sz="4" w:space="0"/>
                    <w:left w:val="single" w:color="auto" w:sz="4" w:space="0"/>
                    <w:bottom w:val="single" w:color="auto" w:sz="4" w:space="0"/>
                    <w:right w:val="single" w:color="auto" w:sz="4" w:space="0"/>
                  </w:tcBorders>
                  <w:vAlign w:val="bottom"/>
                </w:tcPr>
                <w:p w14:paraId="774B936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8720.3 </w:t>
                  </w:r>
                </w:p>
              </w:tc>
              <w:tc>
                <w:tcPr>
                  <w:tcW w:w="903" w:type="pct"/>
                  <w:tcBorders>
                    <w:top w:val="single" w:color="auto" w:sz="4" w:space="0"/>
                    <w:left w:val="single" w:color="auto" w:sz="4" w:space="0"/>
                    <w:bottom w:val="single" w:color="auto" w:sz="4" w:space="0"/>
                    <w:right w:val="single" w:color="auto" w:sz="4" w:space="0"/>
                  </w:tcBorders>
                  <w:vAlign w:val="bottom"/>
                </w:tcPr>
                <w:p w14:paraId="2963255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19853.4 </w:t>
                  </w:r>
                </w:p>
              </w:tc>
              <w:tc>
                <w:tcPr>
                  <w:tcW w:w="903" w:type="pct"/>
                  <w:tcBorders>
                    <w:top w:val="single" w:color="auto" w:sz="4" w:space="0"/>
                    <w:left w:val="single" w:color="auto" w:sz="4" w:space="0"/>
                    <w:bottom w:val="single" w:color="auto" w:sz="4" w:space="0"/>
                    <w:right w:val="single" w:color="auto" w:sz="4" w:space="0"/>
                  </w:tcBorders>
                  <w:vAlign w:val="bottom"/>
                </w:tcPr>
                <w:p w14:paraId="5B9D7BA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14659.1 </w:t>
                  </w:r>
                </w:p>
              </w:tc>
              <w:tc>
                <w:tcPr>
                  <w:tcW w:w="904" w:type="pct"/>
                  <w:tcBorders>
                    <w:top w:val="single" w:color="auto" w:sz="4" w:space="0"/>
                    <w:left w:val="single" w:color="auto" w:sz="4" w:space="0"/>
                    <w:bottom w:val="single" w:color="auto" w:sz="4" w:space="0"/>
                    <w:right w:val="single" w:color="auto" w:sz="4" w:space="0"/>
                  </w:tcBorders>
                  <w:vAlign w:val="bottom"/>
                </w:tcPr>
                <w:p w14:paraId="439DED8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6966.2 </w:t>
                  </w:r>
                </w:p>
              </w:tc>
            </w:tr>
            <w:tr w14:paraId="154B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6AC50B9">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k118+000~k119+000</w:t>
                  </w:r>
                </w:p>
              </w:tc>
              <w:tc>
                <w:tcPr>
                  <w:tcW w:w="904" w:type="pct"/>
                  <w:tcBorders>
                    <w:top w:val="single" w:color="auto" w:sz="4" w:space="0"/>
                    <w:left w:val="single" w:color="auto" w:sz="4" w:space="0"/>
                    <w:bottom w:val="single" w:color="auto" w:sz="4" w:space="0"/>
                    <w:right w:val="single" w:color="auto" w:sz="4" w:space="0"/>
                  </w:tcBorders>
                  <w:vAlign w:val="bottom"/>
                </w:tcPr>
                <w:p w14:paraId="4BA1C79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11195.8 </w:t>
                  </w:r>
                </w:p>
              </w:tc>
              <w:tc>
                <w:tcPr>
                  <w:tcW w:w="903" w:type="pct"/>
                  <w:tcBorders>
                    <w:top w:val="single" w:color="auto" w:sz="4" w:space="0"/>
                    <w:left w:val="single" w:color="auto" w:sz="4" w:space="0"/>
                    <w:bottom w:val="single" w:color="auto" w:sz="4" w:space="0"/>
                    <w:right w:val="single" w:color="auto" w:sz="4" w:space="0"/>
                  </w:tcBorders>
                  <w:vAlign w:val="bottom"/>
                </w:tcPr>
                <w:p w14:paraId="187395F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15492.8 </w:t>
                  </w:r>
                </w:p>
              </w:tc>
              <w:tc>
                <w:tcPr>
                  <w:tcW w:w="903" w:type="pct"/>
                  <w:tcBorders>
                    <w:top w:val="single" w:color="auto" w:sz="4" w:space="0"/>
                    <w:left w:val="single" w:color="auto" w:sz="4" w:space="0"/>
                    <w:bottom w:val="single" w:color="auto" w:sz="4" w:space="0"/>
                    <w:right w:val="single" w:color="auto" w:sz="4" w:space="0"/>
                  </w:tcBorders>
                  <w:vAlign w:val="bottom"/>
                </w:tcPr>
                <w:p w14:paraId="254E27D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11660.9 </w:t>
                  </w:r>
                </w:p>
              </w:tc>
              <w:tc>
                <w:tcPr>
                  <w:tcW w:w="904" w:type="pct"/>
                  <w:tcBorders>
                    <w:top w:val="single" w:color="auto" w:sz="4" w:space="0"/>
                    <w:left w:val="single" w:color="auto" w:sz="4" w:space="0"/>
                    <w:bottom w:val="single" w:color="auto" w:sz="4" w:space="0"/>
                    <w:right w:val="single" w:color="auto" w:sz="4" w:space="0"/>
                  </w:tcBorders>
                  <w:vAlign w:val="bottom"/>
                </w:tcPr>
                <w:p w14:paraId="425A17A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8943.7 </w:t>
                  </w:r>
                </w:p>
              </w:tc>
            </w:tr>
            <w:tr w14:paraId="172F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D7518D3">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k119+000~k120+000</w:t>
                  </w:r>
                </w:p>
              </w:tc>
              <w:tc>
                <w:tcPr>
                  <w:tcW w:w="904" w:type="pct"/>
                  <w:tcBorders>
                    <w:top w:val="single" w:color="auto" w:sz="4" w:space="0"/>
                    <w:left w:val="single" w:color="auto" w:sz="4" w:space="0"/>
                    <w:bottom w:val="single" w:color="auto" w:sz="4" w:space="0"/>
                    <w:right w:val="single" w:color="auto" w:sz="4" w:space="0"/>
                  </w:tcBorders>
                  <w:vAlign w:val="bottom"/>
                </w:tcPr>
                <w:p w14:paraId="104642B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12937.1 </w:t>
                  </w:r>
                </w:p>
              </w:tc>
              <w:tc>
                <w:tcPr>
                  <w:tcW w:w="903" w:type="pct"/>
                  <w:tcBorders>
                    <w:top w:val="single" w:color="auto" w:sz="4" w:space="0"/>
                    <w:left w:val="single" w:color="auto" w:sz="4" w:space="0"/>
                    <w:bottom w:val="single" w:color="auto" w:sz="4" w:space="0"/>
                    <w:right w:val="single" w:color="auto" w:sz="4" w:space="0"/>
                  </w:tcBorders>
                  <w:vAlign w:val="bottom"/>
                </w:tcPr>
                <w:p w14:paraId="7279A42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17947.4 </w:t>
                  </w:r>
                </w:p>
              </w:tc>
              <w:tc>
                <w:tcPr>
                  <w:tcW w:w="903" w:type="pct"/>
                  <w:tcBorders>
                    <w:top w:val="single" w:color="auto" w:sz="4" w:space="0"/>
                    <w:left w:val="single" w:color="auto" w:sz="4" w:space="0"/>
                    <w:bottom w:val="single" w:color="auto" w:sz="4" w:space="0"/>
                    <w:right w:val="single" w:color="auto" w:sz="4" w:space="0"/>
                  </w:tcBorders>
                  <w:vAlign w:val="bottom"/>
                </w:tcPr>
                <w:p w14:paraId="3F9BE8F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13251.8 </w:t>
                  </w:r>
                </w:p>
              </w:tc>
              <w:tc>
                <w:tcPr>
                  <w:tcW w:w="904" w:type="pct"/>
                  <w:tcBorders>
                    <w:top w:val="single" w:color="auto" w:sz="4" w:space="0"/>
                    <w:left w:val="single" w:color="auto" w:sz="4" w:space="0"/>
                    <w:bottom w:val="single" w:color="auto" w:sz="4" w:space="0"/>
                    <w:right w:val="single" w:color="auto" w:sz="4" w:space="0"/>
                  </w:tcBorders>
                  <w:vAlign w:val="bottom"/>
                </w:tcPr>
                <w:p w14:paraId="5B45934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10334.8 </w:t>
                  </w:r>
                </w:p>
              </w:tc>
            </w:tr>
            <w:tr w14:paraId="19D9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10776671">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k120+000~k121+000</w:t>
                  </w:r>
                </w:p>
              </w:tc>
              <w:tc>
                <w:tcPr>
                  <w:tcW w:w="904" w:type="pct"/>
                  <w:tcBorders>
                    <w:top w:val="single" w:color="auto" w:sz="4" w:space="0"/>
                    <w:left w:val="single" w:color="auto" w:sz="4" w:space="0"/>
                    <w:bottom w:val="single" w:color="auto" w:sz="4" w:space="0"/>
                    <w:right w:val="single" w:color="auto" w:sz="4" w:space="0"/>
                  </w:tcBorders>
                  <w:vAlign w:val="bottom"/>
                </w:tcPr>
                <w:p w14:paraId="4FA1B04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13044.6 </w:t>
                  </w:r>
                </w:p>
              </w:tc>
              <w:tc>
                <w:tcPr>
                  <w:tcW w:w="903" w:type="pct"/>
                  <w:tcBorders>
                    <w:top w:val="single" w:color="auto" w:sz="4" w:space="0"/>
                    <w:left w:val="single" w:color="auto" w:sz="4" w:space="0"/>
                    <w:bottom w:val="single" w:color="auto" w:sz="4" w:space="0"/>
                    <w:right w:val="single" w:color="auto" w:sz="4" w:space="0"/>
                  </w:tcBorders>
                  <w:vAlign w:val="bottom"/>
                </w:tcPr>
                <w:p w14:paraId="08F55D1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16055.0 </w:t>
                  </w:r>
                </w:p>
              </w:tc>
              <w:tc>
                <w:tcPr>
                  <w:tcW w:w="903" w:type="pct"/>
                  <w:tcBorders>
                    <w:top w:val="single" w:color="auto" w:sz="4" w:space="0"/>
                    <w:left w:val="single" w:color="auto" w:sz="4" w:space="0"/>
                    <w:bottom w:val="single" w:color="auto" w:sz="4" w:space="0"/>
                    <w:right w:val="single" w:color="auto" w:sz="4" w:space="0"/>
                  </w:tcBorders>
                  <w:vAlign w:val="bottom"/>
                </w:tcPr>
                <w:p w14:paraId="4801943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11854.5 </w:t>
                  </w:r>
                </w:p>
              </w:tc>
              <w:tc>
                <w:tcPr>
                  <w:tcW w:w="904" w:type="pct"/>
                  <w:tcBorders>
                    <w:top w:val="single" w:color="auto" w:sz="4" w:space="0"/>
                    <w:left w:val="single" w:color="auto" w:sz="4" w:space="0"/>
                    <w:bottom w:val="single" w:color="auto" w:sz="4" w:space="0"/>
                    <w:right w:val="single" w:color="auto" w:sz="4" w:space="0"/>
                  </w:tcBorders>
                  <w:vAlign w:val="bottom"/>
                </w:tcPr>
                <w:p w14:paraId="7F9F35A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10420.6 </w:t>
                  </w:r>
                </w:p>
              </w:tc>
            </w:tr>
            <w:tr w14:paraId="5C12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D3EBD44">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k121+000~k122+000</w:t>
                  </w:r>
                </w:p>
              </w:tc>
              <w:tc>
                <w:tcPr>
                  <w:tcW w:w="904" w:type="pct"/>
                  <w:tcBorders>
                    <w:top w:val="single" w:color="auto" w:sz="4" w:space="0"/>
                    <w:left w:val="single" w:color="auto" w:sz="4" w:space="0"/>
                    <w:bottom w:val="single" w:color="auto" w:sz="4" w:space="0"/>
                    <w:right w:val="single" w:color="auto" w:sz="4" w:space="0"/>
                  </w:tcBorders>
                  <w:vAlign w:val="bottom"/>
                </w:tcPr>
                <w:p w14:paraId="2AEFB4F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7041.3 </w:t>
                  </w:r>
                </w:p>
              </w:tc>
              <w:tc>
                <w:tcPr>
                  <w:tcW w:w="903" w:type="pct"/>
                  <w:tcBorders>
                    <w:top w:val="single" w:color="auto" w:sz="4" w:space="0"/>
                    <w:left w:val="single" w:color="auto" w:sz="4" w:space="0"/>
                    <w:bottom w:val="single" w:color="auto" w:sz="4" w:space="0"/>
                    <w:right w:val="single" w:color="auto" w:sz="4" w:space="0"/>
                  </w:tcBorders>
                  <w:vAlign w:val="bottom"/>
                </w:tcPr>
                <w:p w14:paraId="48FE4AB6">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24921.0 </w:t>
                  </w:r>
                </w:p>
              </w:tc>
              <w:tc>
                <w:tcPr>
                  <w:tcW w:w="903" w:type="pct"/>
                  <w:tcBorders>
                    <w:top w:val="single" w:color="auto" w:sz="4" w:space="0"/>
                    <w:left w:val="single" w:color="auto" w:sz="4" w:space="0"/>
                    <w:bottom w:val="single" w:color="auto" w:sz="4" w:space="0"/>
                    <w:right w:val="single" w:color="auto" w:sz="4" w:space="0"/>
                  </w:tcBorders>
                  <w:vAlign w:val="bottom"/>
                </w:tcPr>
                <w:p w14:paraId="5E84FFE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18406.8 </w:t>
                  </w:r>
                </w:p>
              </w:tc>
              <w:tc>
                <w:tcPr>
                  <w:tcW w:w="904" w:type="pct"/>
                  <w:tcBorders>
                    <w:top w:val="single" w:color="auto" w:sz="4" w:space="0"/>
                    <w:left w:val="single" w:color="auto" w:sz="4" w:space="0"/>
                    <w:bottom w:val="single" w:color="auto" w:sz="4" w:space="0"/>
                    <w:right w:val="single" w:color="auto" w:sz="4" w:space="0"/>
                  </w:tcBorders>
                  <w:vAlign w:val="bottom"/>
                </w:tcPr>
                <w:p w14:paraId="2F5B492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5624.9 </w:t>
                  </w:r>
                </w:p>
              </w:tc>
            </w:tr>
            <w:tr w14:paraId="60BE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583037E9">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k122+000~k123+000</w:t>
                  </w:r>
                </w:p>
              </w:tc>
              <w:tc>
                <w:tcPr>
                  <w:tcW w:w="904" w:type="pct"/>
                  <w:tcBorders>
                    <w:top w:val="single" w:color="auto" w:sz="4" w:space="0"/>
                    <w:left w:val="single" w:color="auto" w:sz="4" w:space="0"/>
                    <w:bottom w:val="single" w:color="auto" w:sz="4" w:space="0"/>
                    <w:right w:val="single" w:color="auto" w:sz="4" w:space="0"/>
                  </w:tcBorders>
                  <w:vAlign w:val="bottom"/>
                </w:tcPr>
                <w:p w14:paraId="4CDDC3C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6947.2 </w:t>
                  </w:r>
                </w:p>
              </w:tc>
              <w:tc>
                <w:tcPr>
                  <w:tcW w:w="903" w:type="pct"/>
                  <w:tcBorders>
                    <w:top w:val="single" w:color="auto" w:sz="4" w:space="0"/>
                    <w:left w:val="single" w:color="auto" w:sz="4" w:space="0"/>
                    <w:bottom w:val="single" w:color="auto" w:sz="4" w:space="0"/>
                    <w:right w:val="single" w:color="auto" w:sz="4" w:space="0"/>
                  </w:tcBorders>
                  <w:vAlign w:val="bottom"/>
                </w:tcPr>
                <w:p w14:paraId="72ABA25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30031.0 </w:t>
                  </w:r>
                </w:p>
              </w:tc>
              <w:tc>
                <w:tcPr>
                  <w:tcW w:w="903" w:type="pct"/>
                  <w:tcBorders>
                    <w:top w:val="single" w:color="auto" w:sz="4" w:space="0"/>
                    <w:left w:val="single" w:color="auto" w:sz="4" w:space="0"/>
                    <w:bottom w:val="single" w:color="auto" w:sz="4" w:space="0"/>
                    <w:right w:val="single" w:color="auto" w:sz="4" w:space="0"/>
                  </w:tcBorders>
                  <w:vAlign w:val="bottom"/>
                </w:tcPr>
                <w:p w14:paraId="3D80050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22173.9 </w:t>
                  </w:r>
                </w:p>
              </w:tc>
              <w:tc>
                <w:tcPr>
                  <w:tcW w:w="904" w:type="pct"/>
                  <w:tcBorders>
                    <w:top w:val="single" w:color="auto" w:sz="4" w:space="0"/>
                    <w:left w:val="single" w:color="auto" w:sz="4" w:space="0"/>
                    <w:bottom w:val="single" w:color="auto" w:sz="4" w:space="0"/>
                    <w:right w:val="single" w:color="auto" w:sz="4" w:space="0"/>
                  </w:tcBorders>
                  <w:vAlign w:val="bottom"/>
                </w:tcPr>
                <w:p w14:paraId="734CB4B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5549.7 </w:t>
                  </w:r>
                </w:p>
              </w:tc>
            </w:tr>
            <w:tr w14:paraId="1DEC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CDF0465">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k123+000~k124+000</w:t>
                  </w:r>
                </w:p>
              </w:tc>
              <w:tc>
                <w:tcPr>
                  <w:tcW w:w="904" w:type="pct"/>
                  <w:tcBorders>
                    <w:top w:val="single" w:color="auto" w:sz="4" w:space="0"/>
                    <w:left w:val="single" w:color="auto" w:sz="4" w:space="0"/>
                    <w:bottom w:val="single" w:color="auto" w:sz="4" w:space="0"/>
                    <w:right w:val="single" w:color="auto" w:sz="4" w:space="0"/>
                  </w:tcBorders>
                  <w:vAlign w:val="bottom"/>
                </w:tcPr>
                <w:p w14:paraId="12B8A44F">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6395.4 </w:t>
                  </w:r>
                </w:p>
              </w:tc>
              <w:tc>
                <w:tcPr>
                  <w:tcW w:w="903" w:type="pct"/>
                  <w:tcBorders>
                    <w:top w:val="single" w:color="auto" w:sz="4" w:space="0"/>
                    <w:left w:val="single" w:color="auto" w:sz="4" w:space="0"/>
                    <w:bottom w:val="single" w:color="auto" w:sz="4" w:space="0"/>
                    <w:right w:val="single" w:color="auto" w:sz="4" w:space="0"/>
                  </w:tcBorders>
                  <w:vAlign w:val="bottom"/>
                </w:tcPr>
                <w:p w14:paraId="508429D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22566.8 </w:t>
                  </w:r>
                </w:p>
              </w:tc>
              <w:tc>
                <w:tcPr>
                  <w:tcW w:w="903" w:type="pct"/>
                  <w:tcBorders>
                    <w:top w:val="single" w:color="auto" w:sz="4" w:space="0"/>
                    <w:left w:val="single" w:color="auto" w:sz="4" w:space="0"/>
                    <w:bottom w:val="single" w:color="auto" w:sz="4" w:space="0"/>
                    <w:right w:val="single" w:color="auto" w:sz="4" w:space="0"/>
                  </w:tcBorders>
                  <w:vAlign w:val="bottom"/>
                </w:tcPr>
                <w:p w14:paraId="7946E1D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16662.6 </w:t>
                  </w:r>
                </w:p>
              </w:tc>
              <w:tc>
                <w:tcPr>
                  <w:tcW w:w="904" w:type="pct"/>
                  <w:tcBorders>
                    <w:top w:val="single" w:color="auto" w:sz="4" w:space="0"/>
                    <w:left w:val="single" w:color="auto" w:sz="4" w:space="0"/>
                    <w:bottom w:val="single" w:color="auto" w:sz="4" w:space="0"/>
                    <w:right w:val="single" w:color="auto" w:sz="4" w:space="0"/>
                  </w:tcBorders>
                  <w:vAlign w:val="bottom"/>
                </w:tcPr>
                <w:p w14:paraId="2F52FE27">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5108.9 </w:t>
                  </w:r>
                </w:p>
              </w:tc>
            </w:tr>
            <w:tr w14:paraId="3843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86" w:type="pct"/>
                  <w:tcBorders>
                    <w:top w:val="single" w:color="auto" w:sz="4" w:space="0"/>
                    <w:left w:val="single" w:color="auto" w:sz="4" w:space="0"/>
                    <w:bottom w:val="single" w:color="auto" w:sz="4" w:space="0"/>
                    <w:right w:val="single" w:color="auto" w:sz="4" w:space="0"/>
                  </w:tcBorders>
                  <w:vAlign w:val="center"/>
                </w:tcPr>
                <w:p w14:paraId="227B29DF">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k124+000~k125+000</w:t>
                  </w:r>
                </w:p>
              </w:tc>
              <w:tc>
                <w:tcPr>
                  <w:tcW w:w="904" w:type="pct"/>
                  <w:tcBorders>
                    <w:top w:val="single" w:color="auto" w:sz="4" w:space="0"/>
                    <w:left w:val="single" w:color="auto" w:sz="4" w:space="0"/>
                    <w:bottom w:val="single" w:color="auto" w:sz="4" w:space="0"/>
                    <w:right w:val="single" w:color="auto" w:sz="4" w:space="0"/>
                  </w:tcBorders>
                  <w:vAlign w:val="bottom"/>
                </w:tcPr>
                <w:p w14:paraId="6A021FF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3346.2 </w:t>
                  </w:r>
                </w:p>
              </w:tc>
              <w:tc>
                <w:tcPr>
                  <w:tcW w:w="903" w:type="pct"/>
                  <w:tcBorders>
                    <w:top w:val="single" w:color="auto" w:sz="4" w:space="0"/>
                    <w:left w:val="single" w:color="auto" w:sz="4" w:space="0"/>
                    <w:bottom w:val="single" w:color="auto" w:sz="4" w:space="0"/>
                    <w:right w:val="single" w:color="auto" w:sz="4" w:space="0"/>
                  </w:tcBorders>
                  <w:vAlign w:val="bottom"/>
                </w:tcPr>
                <w:p w14:paraId="6E90F2F0">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32396.4 </w:t>
                  </w:r>
                </w:p>
              </w:tc>
              <w:tc>
                <w:tcPr>
                  <w:tcW w:w="903" w:type="pct"/>
                  <w:tcBorders>
                    <w:top w:val="single" w:color="auto" w:sz="4" w:space="0"/>
                    <w:left w:val="single" w:color="auto" w:sz="4" w:space="0"/>
                    <w:bottom w:val="single" w:color="auto" w:sz="4" w:space="0"/>
                    <w:right w:val="single" w:color="auto" w:sz="4" w:space="0"/>
                  </w:tcBorders>
                  <w:vAlign w:val="bottom"/>
                </w:tcPr>
                <w:p w14:paraId="49C4C178">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23920.8 </w:t>
                  </w:r>
                </w:p>
              </w:tc>
              <w:tc>
                <w:tcPr>
                  <w:tcW w:w="904" w:type="pct"/>
                  <w:tcBorders>
                    <w:top w:val="single" w:color="auto" w:sz="4" w:space="0"/>
                    <w:left w:val="single" w:color="auto" w:sz="4" w:space="0"/>
                    <w:bottom w:val="single" w:color="auto" w:sz="4" w:space="0"/>
                    <w:right w:val="single" w:color="auto" w:sz="4" w:space="0"/>
                  </w:tcBorders>
                  <w:vAlign w:val="bottom"/>
                </w:tcPr>
                <w:p w14:paraId="1C3F022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2673.1 </w:t>
                  </w:r>
                </w:p>
              </w:tc>
            </w:tr>
            <w:tr w14:paraId="2FDE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7DD0B610">
                  <w:pPr>
                    <w:jc w:val="center"/>
                    <w:rPr>
                      <w:rFonts w:ascii="Times New Roman" w:hAnsi="Times New Roman" w:cs="Times New Roman"/>
                      <w:b/>
                      <w:bCs/>
                      <w:spacing w:val="4"/>
                      <w:sz w:val="21"/>
                      <w:szCs w:val="21"/>
                    </w:rPr>
                  </w:pPr>
                  <w:r>
                    <w:rPr>
                      <w:rFonts w:ascii="Times New Roman" w:hAnsi="Times New Roman" w:cs="Times New Roman"/>
                      <w:bCs/>
                      <w:spacing w:val="4"/>
                      <w:sz w:val="21"/>
                      <w:szCs w:val="21"/>
                    </w:rPr>
                    <w:t>k125+000~k126+000</w:t>
                  </w:r>
                </w:p>
              </w:tc>
              <w:tc>
                <w:tcPr>
                  <w:tcW w:w="904" w:type="pct"/>
                  <w:tcBorders>
                    <w:top w:val="single" w:color="auto" w:sz="4" w:space="0"/>
                    <w:left w:val="single" w:color="auto" w:sz="4" w:space="0"/>
                    <w:bottom w:val="single" w:color="auto" w:sz="4" w:space="0"/>
                    <w:right w:val="single" w:color="auto" w:sz="4" w:space="0"/>
                  </w:tcBorders>
                  <w:vAlign w:val="bottom"/>
                </w:tcPr>
                <w:p w14:paraId="4AE57A59">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2704.7 </w:t>
                  </w:r>
                </w:p>
              </w:tc>
              <w:tc>
                <w:tcPr>
                  <w:tcW w:w="903" w:type="pct"/>
                  <w:tcBorders>
                    <w:top w:val="single" w:color="auto" w:sz="4" w:space="0"/>
                    <w:left w:val="single" w:color="auto" w:sz="4" w:space="0"/>
                    <w:bottom w:val="single" w:color="auto" w:sz="4" w:space="0"/>
                    <w:right w:val="single" w:color="auto" w:sz="4" w:space="0"/>
                  </w:tcBorders>
                  <w:vAlign w:val="bottom"/>
                </w:tcPr>
                <w:p w14:paraId="60938FF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38967.6 </w:t>
                  </w:r>
                </w:p>
              </w:tc>
              <w:tc>
                <w:tcPr>
                  <w:tcW w:w="903" w:type="pct"/>
                  <w:tcBorders>
                    <w:top w:val="single" w:color="auto" w:sz="4" w:space="0"/>
                    <w:left w:val="single" w:color="auto" w:sz="4" w:space="0"/>
                    <w:bottom w:val="single" w:color="auto" w:sz="4" w:space="0"/>
                    <w:right w:val="single" w:color="auto" w:sz="4" w:space="0"/>
                  </w:tcBorders>
                  <w:vAlign w:val="bottom"/>
                </w:tcPr>
                <w:p w14:paraId="18068BD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34679.3 </w:t>
                  </w:r>
                </w:p>
              </w:tc>
              <w:tc>
                <w:tcPr>
                  <w:tcW w:w="904" w:type="pct"/>
                  <w:tcBorders>
                    <w:top w:val="single" w:color="auto" w:sz="4" w:space="0"/>
                    <w:left w:val="single" w:color="auto" w:sz="4" w:space="0"/>
                    <w:bottom w:val="single" w:color="auto" w:sz="4" w:space="0"/>
                    <w:right w:val="single" w:color="auto" w:sz="4" w:space="0"/>
                  </w:tcBorders>
                  <w:vAlign w:val="bottom"/>
                </w:tcPr>
                <w:p w14:paraId="4E30594D">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2160.6 </w:t>
                  </w:r>
                </w:p>
              </w:tc>
            </w:tr>
            <w:tr w14:paraId="7B13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9C2AB1E">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k126+000~k126+200</w:t>
                  </w:r>
                </w:p>
              </w:tc>
              <w:tc>
                <w:tcPr>
                  <w:tcW w:w="904" w:type="pct"/>
                  <w:tcBorders>
                    <w:top w:val="single" w:color="auto" w:sz="4" w:space="0"/>
                    <w:left w:val="single" w:color="auto" w:sz="4" w:space="0"/>
                    <w:bottom w:val="single" w:color="auto" w:sz="4" w:space="0"/>
                    <w:right w:val="single" w:color="auto" w:sz="4" w:space="0"/>
                  </w:tcBorders>
                  <w:vAlign w:val="center"/>
                </w:tcPr>
                <w:p w14:paraId="4C2B823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302.4</w:t>
                  </w:r>
                </w:p>
              </w:tc>
              <w:tc>
                <w:tcPr>
                  <w:tcW w:w="903" w:type="pct"/>
                  <w:tcBorders>
                    <w:top w:val="single" w:color="auto" w:sz="4" w:space="0"/>
                    <w:left w:val="single" w:color="auto" w:sz="4" w:space="0"/>
                    <w:bottom w:val="single" w:color="auto" w:sz="4" w:space="0"/>
                    <w:right w:val="single" w:color="auto" w:sz="4" w:space="0"/>
                  </w:tcBorders>
                  <w:vAlign w:val="center"/>
                </w:tcPr>
                <w:p w14:paraId="3C2FCD3A">
                  <w:pPr>
                    <w:jc w:val="center"/>
                    <w:rPr>
                      <w:rFonts w:ascii="Times New Roman" w:hAnsi="Times New Roman" w:cs="Times New Roman"/>
                      <w:bCs/>
                      <w:spacing w:val="4"/>
                      <w:sz w:val="21"/>
                      <w:szCs w:val="21"/>
                    </w:rPr>
                  </w:pPr>
                </w:p>
              </w:tc>
              <w:tc>
                <w:tcPr>
                  <w:tcW w:w="903" w:type="pct"/>
                  <w:tcBorders>
                    <w:top w:val="single" w:color="auto" w:sz="4" w:space="0"/>
                    <w:left w:val="single" w:color="auto" w:sz="4" w:space="0"/>
                    <w:bottom w:val="single" w:color="auto" w:sz="4" w:space="0"/>
                    <w:right w:val="single" w:color="auto" w:sz="4" w:space="0"/>
                  </w:tcBorders>
                  <w:vAlign w:val="bottom"/>
                </w:tcPr>
                <w:p w14:paraId="10E101F7">
                  <w:pPr>
                    <w:jc w:val="center"/>
                    <w:rPr>
                      <w:rFonts w:ascii="Times New Roman" w:hAnsi="Times New Roman" w:cs="Times New Roman"/>
                      <w:bCs/>
                      <w:spacing w:val="4"/>
                      <w:sz w:val="21"/>
                      <w:szCs w:val="21"/>
                    </w:rPr>
                  </w:pPr>
                </w:p>
              </w:tc>
              <w:tc>
                <w:tcPr>
                  <w:tcW w:w="904" w:type="pct"/>
                  <w:tcBorders>
                    <w:top w:val="single" w:color="auto" w:sz="4" w:space="0"/>
                    <w:left w:val="single" w:color="auto" w:sz="4" w:space="0"/>
                    <w:bottom w:val="single" w:color="auto" w:sz="4" w:space="0"/>
                    <w:right w:val="single" w:color="auto" w:sz="4" w:space="0"/>
                  </w:tcBorders>
                  <w:vAlign w:val="bottom"/>
                </w:tcPr>
                <w:p w14:paraId="231516AE">
                  <w:pPr>
                    <w:jc w:val="center"/>
                    <w:rPr>
                      <w:rFonts w:ascii="Times New Roman" w:hAnsi="Times New Roman" w:cs="Times New Roman"/>
                      <w:bCs/>
                      <w:spacing w:val="4"/>
                      <w:sz w:val="21"/>
                      <w:szCs w:val="21"/>
                    </w:rPr>
                  </w:pPr>
                </w:p>
              </w:tc>
            </w:tr>
            <w:tr w14:paraId="0DAE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4EB31E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扣除特殊路基处理</w:t>
                  </w:r>
                </w:p>
              </w:tc>
              <w:tc>
                <w:tcPr>
                  <w:tcW w:w="904" w:type="pct"/>
                  <w:tcBorders>
                    <w:top w:val="single" w:color="auto" w:sz="4" w:space="0"/>
                    <w:left w:val="single" w:color="auto" w:sz="4" w:space="0"/>
                    <w:bottom w:val="single" w:color="auto" w:sz="4" w:space="0"/>
                    <w:right w:val="single" w:color="auto" w:sz="4" w:space="0"/>
                  </w:tcBorders>
                  <w:vAlign w:val="center"/>
                </w:tcPr>
                <w:p w14:paraId="0DE55F7B">
                  <w:pPr>
                    <w:jc w:val="center"/>
                    <w:rPr>
                      <w:rFonts w:ascii="Times New Roman" w:hAnsi="Times New Roman" w:cs="Times New Roman"/>
                      <w:bCs/>
                      <w:spacing w:val="4"/>
                      <w:sz w:val="21"/>
                      <w:szCs w:val="21"/>
                    </w:rPr>
                  </w:pPr>
                </w:p>
              </w:tc>
              <w:tc>
                <w:tcPr>
                  <w:tcW w:w="903" w:type="pct"/>
                  <w:tcBorders>
                    <w:top w:val="single" w:color="auto" w:sz="4" w:space="0"/>
                    <w:left w:val="single" w:color="auto" w:sz="4" w:space="0"/>
                    <w:bottom w:val="single" w:color="auto" w:sz="4" w:space="0"/>
                    <w:right w:val="single" w:color="auto" w:sz="4" w:space="0"/>
                  </w:tcBorders>
                  <w:vAlign w:val="center"/>
                </w:tcPr>
                <w:p w14:paraId="338CA3E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-57689.1</w:t>
                  </w:r>
                </w:p>
              </w:tc>
              <w:tc>
                <w:tcPr>
                  <w:tcW w:w="903" w:type="pct"/>
                  <w:tcBorders>
                    <w:top w:val="single" w:color="auto" w:sz="4" w:space="0"/>
                    <w:left w:val="single" w:color="auto" w:sz="4" w:space="0"/>
                    <w:bottom w:val="single" w:color="auto" w:sz="4" w:space="0"/>
                    <w:right w:val="single" w:color="auto" w:sz="4" w:space="0"/>
                  </w:tcBorders>
                  <w:vAlign w:val="bottom"/>
                </w:tcPr>
                <w:p w14:paraId="357809C4">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-41870.3 </w:t>
                  </w:r>
                </w:p>
              </w:tc>
              <w:tc>
                <w:tcPr>
                  <w:tcW w:w="904" w:type="pct"/>
                  <w:tcBorders>
                    <w:top w:val="single" w:color="auto" w:sz="4" w:space="0"/>
                    <w:left w:val="single" w:color="auto" w:sz="4" w:space="0"/>
                    <w:bottom w:val="single" w:color="auto" w:sz="4" w:space="0"/>
                    <w:right w:val="single" w:color="auto" w:sz="4" w:space="0"/>
                  </w:tcBorders>
                  <w:vAlign w:val="bottom"/>
                </w:tcPr>
                <w:p w14:paraId="591B76EC">
                  <w:pPr>
                    <w:jc w:val="center"/>
                    <w:rPr>
                      <w:rFonts w:ascii="Times New Roman" w:hAnsi="Times New Roman" w:cs="Times New Roman"/>
                      <w:bCs/>
                      <w:spacing w:val="4"/>
                      <w:sz w:val="21"/>
                      <w:szCs w:val="21"/>
                    </w:rPr>
                  </w:pPr>
                </w:p>
              </w:tc>
            </w:tr>
            <w:tr w14:paraId="1612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6D8C56E5">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扣除台背回填</w:t>
                  </w:r>
                </w:p>
              </w:tc>
              <w:tc>
                <w:tcPr>
                  <w:tcW w:w="904" w:type="pct"/>
                  <w:tcBorders>
                    <w:top w:val="single" w:color="auto" w:sz="4" w:space="0"/>
                    <w:left w:val="single" w:color="auto" w:sz="4" w:space="0"/>
                    <w:bottom w:val="single" w:color="auto" w:sz="4" w:space="0"/>
                    <w:right w:val="single" w:color="auto" w:sz="4" w:space="0"/>
                  </w:tcBorders>
                  <w:vAlign w:val="center"/>
                </w:tcPr>
                <w:p w14:paraId="3BEE868E">
                  <w:pPr>
                    <w:jc w:val="center"/>
                    <w:rPr>
                      <w:rFonts w:ascii="Times New Roman" w:hAnsi="Times New Roman" w:cs="Times New Roman"/>
                      <w:bCs/>
                      <w:spacing w:val="4"/>
                      <w:sz w:val="21"/>
                      <w:szCs w:val="21"/>
                    </w:rPr>
                  </w:pPr>
                </w:p>
              </w:tc>
              <w:tc>
                <w:tcPr>
                  <w:tcW w:w="903" w:type="pct"/>
                  <w:tcBorders>
                    <w:top w:val="single" w:color="auto" w:sz="4" w:space="0"/>
                    <w:left w:val="single" w:color="auto" w:sz="4" w:space="0"/>
                    <w:bottom w:val="single" w:color="auto" w:sz="4" w:space="0"/>
                    <w:right w:val="single" w:color="auto" w:sz="4" w:space="0"/>
                  </w:tcBorders>
                  <w:vAlign w:val="center"/>
                </w:tcPr>
                <w:p w14:paraId="48ACB6B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-372303.0</w:t>
                  </w:r>
                </w:p>
              </w:tc>
              <w:tc>
                <w:tcPr>
                  <w:tcW w:w="903" w:type="pct"/>
                  <w:tcBorders>
                    <w:top w:val="single" w:color="auto" w:sz="4" w:space="0"/>
                    <w:left w:val="single" w:color="auto" w:sz="4" w:space="0"/>
                    <w:bottom w:val="single" w:color="auto" w:sz="4" w:space="0"/>
                    <w:right w:val="single" w:color="auto" w:sz="4" w:space="0"/>
                  </w:tcBorders>
                  <w:vAlign w:val="bottom"/>
                </w:tcPr>
                <w:p w14:paraId="24E9C4F3">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-177152.2 </w:t>
                  </w:r>
                </w:p>
              </w:tc>
              <w:tc>
                <w:tcPr>
                  <w:tcW w:w="904" w:type="pct"/>
                  <w:tcBorders>
                    <w:top w:val="single" w:color="auto" w:sz="4" w:space="0"/>
                    <w:left w:val="single" w:color="auto" w:sz="4" w:space="0"/>
                    <w:bottom w:val="single" w:color="auto" w:sz="4" w:space="0"/>
                    <w:right w:val="single" w:color="auto" w:sz="4" w:space="0"/>
                  </w:tcBorders>
                  <w:vAlign w:val="bottom"/>
                </w:tcPr>
                <w:p w14:paraId="3735628A">
                  <w:pPr>
                    <w:jc w:val="center"/>
                    <w:rPr>
                      <w:rFonts w:ascii="Times New Roman" w:hAnsi="Times New Roman" w:cs="Times New Roman"/>
                      <w:bCs/>
                      <w:spacing w:val="4"/>
                      <w:sz w:val="21"/>
                      <w:szCs w:val="21"/>
                    </w:rPr>
                  </w:pPr>
                </w:p>
              </w:tc>
            </w:tr>
            <w:tr w14:paraId="4CC1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4DA8E1EB">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清表及填前夯实回填</w:t>
                  </w:r>
                </w:p>
              </w:tc>
              <w:tc>
                <w:tcPr>
                  <w:tcW w:w="904" w:type="pct"/>
                  <w:tcBorders>
                    <w:top w:val="single" w:color="auto" w:sz="4" w:space="0"/>
                    <w:left w:val="single" w:color="auto" w:sz="4" w:space="0"/>
                    <w:bottom w:val="single" w:color="auto" w:sz="4" w:space="0"/>
                    <w:right w:val="single" w:color="auto" w:sz="4" w:space="0"/>
                  </w:tcBorders>
                  <w:vAlign w:val="center"/>
                </w:tcPr>
                <w:p w14:paraId="62EFC9CA">
                  <w:pPr>
                    <w:jc w:val="center"/>
                    <w:rPr>
                      <w:rFonts w:ascii="Times New Roman" w:hAnsi="Times New Roman" w:cs="Times New Roman"/>
                      <w:bCs/>
                      <w:spacing w:val="4"/>
                      <w:sz w:val="21"/>
                      <w:szCs w:val="21"/>
                    </w:rPr>
                  </w:pPr>
                </w:p>
              </w:tc>
              <w:tc>
                <w:tcPr>
                  <w:tcW w:w="903" w:type="pct"/>
                  <w:tcBorders>
                    <w:top w:val="single" w:color="auto" w:sz="4" w:space="0"/>
                    <w:left w:val="single" w:color="auto" w:sz="4" w:space="0"/>
                    <w:bottom w:val="single" w:color="auto" w:sz="4" w:space="0"/>
                    <w:right w:val="single" w:color="auto" w:sz="4" w:space="0"/>
                  </w:tcBorders>
                  <w:vAlign w:val="center"/>
                </w:tcPr>
                <w:p w14:paraId="241D26EC">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439397.3</w:t>
                  </w:r>
                </w:p>
              </w:tc>
              <w:tc>
                <w:tcPr>
                  <w:tcW w:w="903" w:type="pct"/>
                  <w:tcBorders>
                    <w:top w:val="single" w:color="auto" w:sz="4" w:space="0"/>
                    <w:left w:val="single" w:color="auto" w:sz="4" w:space="0"/>
                    <w:bottom w:val="single" w:color="auto" w:sz="4" w:space="0"/>
                    <w:right w:val="single" w:color="auto" w:sz="4" w:space="0"/>
                  </w:tcBorders>
                  <w:vAlign w:val="bottom"/>
                </w:tcPr>
                <w:p w14:paraId="0D6AEBBA">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140526.5 </w:t>
                  </w:r>
                </w:p>
              </w:tc>
              <w:tc>
                <w:tcPr>
                  <w:tcW w:w="904" w:type="pct"/>
                  <w:tcBorders>
                    <w:top w:val="single" w:color="auto" w:sz="4" w:space="0"/>
                    <w:left w:val="single" w:color="auto" w:sz="4" w:space="0"/>
                    <w:bottom w:val="single" w:color="auto" w:sz="4" w:space="0"/>
                    <w:right w:val="single" w:color="auto" w:sz="4" w:space="0"/>
                  </w:tcBorders>
                  <w:vAlign w:val="bottom"/>
                </w:tcPr>
                <w:p w14:paraId="59E1F6B1">
                  <w:pPr>
                    <w:jc w:val="center"/>
                    <w:rPr>
                      <w:rFonts w:ascii="Times New Roman" w:hAnsi="Times New Roman" w:cs="Times New Roman"/>
                      <w:bCs/>
                      <w:spacing w:val="4"/>
                      <w:sz w:val="21"/>
                      <w:szCs w:val="21"/>
                    </w:rPr>
                  </w:pPr>
                  <w:r>
                    <w:rPr>
                      <w:rFonts w:ascii="Times New Roman" w:hAnsi="Times New Roman" w:cs="Times New Roman"/>
                      <w:bCs/>
                      <w:spacing w:val="4"/>
                      <w:sz w:val="21"/>
                      <w:szCs w:val="21"/>
                    </w:rPr>
                    <w:t xml:space="preserve">-114023.2 </w:t>
                  </w:r>
                </w:p>
              </w:tc>
            </w:tr>
            <w:tr w14:paraId="013F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pct"/>
                  <w:tcBorders>
                    <w:top w:val="single" w:color="auto" w:sz="4" w:space="0"/>
                    <w:left w:val="single" w:color="auto" w:sz="4" w:space="0"/>
                    <w:bottom w:val="single" w:color="auto" w:sz="4" w:space="0"/>
                    <w:right w:val="single" w:color="auto" w:sz="4" w:space="0"/>
                  </w:tcBorders>
                  <w:vAlign w:val="center"/>
                </w:tcPr>
                <w:p w14:paraId="3FF01984">
                  <w:pPr>
                    <w:jc w:val="center"/>
                    <w:rPr>
                      <w:rFonts w:ascii="Times New Roman" w:hAnsi="Times New Roman" w:cs="Times New Roman"/>
                      <w:b/>
                      <w:bCs/>
                      <w:spacing w:val="4"/>
                      <w:sz w:val="21"/>
                      <w:szCs w:val="21"/>
                    </w:rPr>
                  </w:pPr>
                  <w:r>
                    <w:rPr>
                      <w:rFonts w:ascii="Times New Roman" w:hAnsi="Times New Roman" w:cs="Times New Roman"/>
                      <w:b/>
                      <w:bCs/>
                      <w:spacing w:val="4"/>
                      <w:sz w:val="21"/>
                      <w:szCs w:val="21"/>
                    </w:rPr>
                    <w:t>合   计</w:t>
                  </w:r>
                </w:p>
              </w:tc>
              <w:tc>
                <w:tcPr>
                  <w:tcW w:w="904" w:type="pct"/>
                  <w:tcBorders>
                    <w:top w:val="single" w:color="auto" w:sz="4" w:space="0"/>
                    <w:left w:val="single" w:color="auto" w:sz="4" w:space="0"/>
                    <w:bottom w:val="single" w:color="auto" w:sz="4" w:space="0"/>
                    <w:right w:val="single" w:color="auto" w:sz="4" w:space="0"/>
                  </w:tcBorders>
                  <w:vAlign w:val="center"/>
                </w:tcPr>
                <w:p w14:paraId="790FC267">
                  <w:pPr>
                    <w:jc w:val="center"/>
                    <w:rPr>
                      <w:rFonts w:ascii="Times New Roman" w:hAnsi="Times New Roman" w:cs="Times New Roman"/>
                      <w:b/>
                      <w:spacing w:val="4"/>
                      <w:sz w:val="21"/>
                      <w:szCs w:val="21"/>
                    </w:rPr>
                  </w:pPr>
                  <w:r>
                    <w:rPr>
                      <w:rFonts w:ascii="Times New Roman" w:hAnsi="Times New Roman" w:cs="Times New Roman"/>
                      <w:b/>
                      <w:spacing w:val="4"/>
                      <w:sz w:val="21"/>
                      <w:szCs w:val="21"/>
                    </w:rPr>
                    <w:t>1964568</w:t>
                  </w:r>
                </w:p>
              </w:tc>
              <w:tc>
                <w:tcPr>
                  <w:tcW w:w="903" w:type="pct"/>
                  <w:tcBorders>
                    <w:top w:val="single" w:color="auto" w:sz="4" w:space="0"/>
                    <w:left w:val="single" w:color="auto" w:sz="4" w:space="0"/>
                    <w:bottom w:val="single" w:color="auto" w:sz="4" w:space="0"/>
                    <w:right w:val="single" w:color="auto" w:sz="4" w:space="0"/>
                  </w:tcBorders>
                  <w:vAlign w:val="center"/>
                </w:tcPr>
                <w:p w14:paraId="6CA1E75F">
                  <w:pPr>
                    <w:jc w:val="center"/>
                    <w:rPr>
                      <w:rFonts w:ascii="Times New Roman" w:hAnsi="Times New Roman" w:cs="Times New Roman"/>
                      <w:b/>
                      <w:spacing w:val="4"/>
                      <w:sz w:val="21"/>
                      <w:szCs w:val="21"/>
                    </w:rPr>
                  </w:pPr>
                  <w:r>
                    <w:rPr>
                      <w:rFonts w:ascii="Times New Roman" w:hAnsi="Times New Roman" w:cs="Times New Roman"/>
                      <w:b/>
                      <w:spacing w:val="4"/>
                      <w:sz w:val="21"/>
                      <w:szCs w:val="21"/>
                    </w:rPr>
                    <w:t>2288519</w:t>
                  </w:r>
                </w:p>
              </w:tc>
              <w:tc>
                <w:tcPr>
                  <w:tcW w:w="903" w:type="pct"/>
                  <w:tcBorders>
                    <w:top w:val="single" w:color="auto" w:sz="4" w:space="0"/>
                    <w:left w:val="single" w:color="auto" w:sz="4" w:space="0"/>
                    <w:bottom w:val="single" w:color="auto" w:sz="4" w:space="0"/>
                    <w:right w:val="single" w:color="auto" w:sz="4" w:space="0"/>
                  </w:tcBorders>
                  <w:vAlign w:val="center"/>
                </w:tcPr>
                <w:p w14:paraId="1A360E64">
                  <w:pPr>
                    <w:jc w:val="center"/>
                    <w:rPr>
                      <w:rFonts w:ascii="Times New Roman" w:hAnsi="Times New Roman" w:cs="Times New Roman"/>
                      <w:b/>
                      <w:spacing w:val="4"/>
                      <w:sz w:val="21"/>
                      <w:szCs w:val="21"/>
                    </w:rPr>
                  </w:pPr>
                  <w:r>
                    <w:rPr>
                      <w:rFonts w:ascii="Times New Roman" w:hAnsi="Times New Roman" w:cs="Times New Roman"/>
                      <w:b/>
                      <w:spacing w:val="4"/>
                      <w:sz w:val="21"/>
                      <w:szCs w:val="21"/>
                    </w:rPr>
                    <w:t>1159162</w:t>
                  </w:r>
                </w:p>
              </w:tc>
              <w:tc>
                <w:tcPr>
                  <w:tcW w:w="904" w:type="pct"/>
                  <w:tcBorders>
                    <w:top w:val="single" w:color="auto" w:sz="4" w:space="0"/>
                    <w:left w:val="single" w:color="auto" w:sz="4" w:space="0"/>
                    <w:bottom w:val="single" w:color="auto" w:sz="4" w:space="0"/>
                    <w:right w:val="single" w:color="auto" w:sz="4" w:space="0"/>
                  </w:tcBorders>
                  <w:vAlign w:val="center"/>
                </w:tcPr>
                <w:p w14:paraId="26D2D4F1">
                  <w:pPr>
                    <w:jc w:val="center"/>
                    <w:rPr>
                      <w:rFonts w:ascii="Times New Roman" w:hAnsi="Times New Roman" w:cs="Times New Roman"/>
                      <w:b/>
                      <w:spacing w:val="4"/>
                      <w:sz w:val="21"/>
                      <w:szCs w:val="21"/>
                    </w:rPr>
                  </w:pPr>
                  <w:r>
                    <w:rPr>
                      <w:rFonts w:ascii="Times New Roman" w:hAnsi="Times New Roman" w:cs="Times New Roman"/>
                      <w:b/>
                      <w:spacing w:val="4"/>
                      <w:sz w:val="21"/>
                      <w:szCs w:val="21"/>
                    </w:rPr>
                    <w:t>835211</w:t>
                  </w:r>
                </w:p>
              </w:tc>
            </w:tr>
          </w:tbl>
          <w:p w14:paraId="4C906470">
            <w:pPr>
              <w:autoSpaceDE/>
              <w:autoSpaceDN/>
              <w:rPr>
                <w:rFonts w:ascii="Times New Roman" w:hAnsi="Times New Roman" w:cs="Times New Roman"/>
                <w:b/>
                <w:bCs/>
                <w:spacing w:val="4"/>
                <w:kern w:val="2"/>
                <w:sz w:val="21"/>
                <w:szCs w:val="21"/>
                <w:lang w:eastAsia="zh-CN"/>
              </w:rPr>
            </w:pPr>
          </w:p>
          <w:p w14:paraId="30AA8D05">
            <w:pPr>
              <w:autoSpaceDE/>
              <w:autoSpaceDN/>
              <w:spacing w:line="360" w:lineRule="auto"/>
              <w:jc w:val="both"/>
              <w:rPr>
                <w:rFonts w:ascii="Times New Roman" w:hAnsi="Times New Roman" w:cs="Times New Roman"/>
                <w:spacing w:val="4"/>
                <w:kern w:val="2"/>
                <w:sz w:val="21"/>
                <w:szCs w:val="21"/>
                <w:lang w:eastAsia="zh-CN"/>
              </w:rPr>
            </w:pPr>
          </w:p>
          <w:p w14:paraId="38A941DD">
            <w:pPr>
              <w:autoSpaceDE/>
              <w:autoSpaceDN/>
              <w:spacing w:line="360" w:lineRule="auto"/>
              <w:jc w:val="both"/>
              <w:rPr>
                <w:rFonts w:ascii="Times New Roman" w:hAnsi="Times New Roman" w:cs="Times New Roman"/>
                <w:spacing w:val="4"/>
                <w:kern w:val="2"/>
                <w:sz w:val="21"/>
                <w:szCs w:val="21"/>
                <w:lang w:eastAsia="zh-CN"/>
              </w:rPr>
            </w:pPr>
          </w:p>
          <w:p w14:paraId="12583CAD">
            <w:pPr>
              <w:autoSpaceDE/>
              <w:autoSpaceDN/>
              <w:spacing w:line="360" w:lineRule="auto"/>
              <w:jc w:val="both"/>
              <w:rPr>
                <w:rFonts w:ascii="Times New Roman" w:hAnsi="Times New Roman" w:cs="Times New Roman"/>
                <w:spacing w:val="4"/>
                <w:kern w:val="2"/>
                <w:sz w:val="21"/>
                <w:szCs w:val="21"/>
                <w:lang w:eastAsia="zh-CN"/>
              </w:rPr>
            </w:pPr>
          </w:p>
          <w:p w14:paraId="48E6B2DE">
            <w:pPr>
              <w:autoSpaceDE/>
              <w:autoSpaceDN/>
              <w:spacing w:line="360" w:lineRule="auto"/>
              <w:jc w:val="both"/>
              <w:rPr>
                <w:rFonts w:ascii="Times New Roman" w:hAnsi="Times New Roman" w:cs="Times New Roman"/>
                <w:spacing w:val="4"/>
                <w:kern w:val="2"/>
                <w:sz w:val="21"/>
                <w:szCs w:val="21"/>
                <w:lang w:eastAsia="zh-CN"/>
              </w:rPr>
            </w:pPr>
          </w:p>
          <w:p w14:paraId="07B7F40A">
            <w:pPr>
              <w:autoSpaceDE/>
              <w:autoSpaceDN/>
              <w:spacing w:line="360" w:lineRule="auto"/>
              <w:jc w:val="both"/>
              <w:rPr>
                <w:rFonts w:ascii="Times New Roman" w:hAnsi="Times New Roman" w:cs="Times New Roman"/>
                <w:spacing w:val="4"/>
                <w:kern w:val="2"/>
                <w:sz w:val="21"/>
                <w:szCs w:val="21"/>
                <w:lang w:eastAsia="zh-CN"/>
              </w:rPr>
            </w:pPr>
          </w:p>
        </w:tc>
      </w:tr>
      <w:tr w14:paraId="0D6E1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0" w:hRule="atLeast"/>
        </w:trPr>
        <w:tc>
          <w:tcPr>
            <w:tcW w:w="401" w:type="pct"/>
            <w:tcBorders>
              <w:top w:val="single" w:color="000000" w:sz="4" w:space="0"/>
              <w:bottom w:val="single" w:color="000000" w:sz="4" w:space="0"/>
              <w:right w:val="single" w:color="000000" w:sz="4" w:space="0"/>
            </w:tcBorders>
            <w:vAlign w:val="center"/>
          </w:tcPr>
          <w:p w14:paraId="745E4A5A">
            <w:pPr>
              <w:pStyle w:val="18"/>
              <w:jc w:val="center"/>
              <w:rPr>
                <w:rFonts w:ascii="Times New Roman" w:hAnsi="Times New Roman" w:cs="Times New Roman"/>
                <w:b/>
                <w:bCs/>
                <w:sz w:val="24"/>
                <w:szCs w:val="24"/>
              </w:rPr>
            </w:pPr>
            <w:r>
              <w:rPr>
                <w:rFonts w:ascii="Times New Roman" w:hAnsi="Times New Roman" w:cs="Times New Roman"/>
                <w:b/>
                <w:bCs/>
                <w:sz w:val="24"/>
                <w:szCs w:val="24"/>
              </w:rPr>
              <w:t>总平面及现场布置</w:t>
            </w:r>
          </w:p>
        </w:tc>
        <w:tc>
          <w:tcPr>
            <w:tcW w:w="4599" w:type="pct"/>
            <w:tcBorders>
              <w:top w:val="single" w:color="000000" w:sz="4" w:space="0"/>
              <w:left w:val="single" w:color="000000" w:sz="4" w:space="0"/>
              <w:bottom w:val="single" w:color="000000" w:sz="4" w:space="0"/>
            </w:tcBorders>
          </w:tcPr>
          <w:p w14:paraId="10486D1B">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施工便道：新建</w:t>
            </w:r>
            <w:r>
              <w:rPr>
                <w:rFonts w:ascii="Times New Roman" w:hAnsi="Times New Roman" w:cs="Times New Roman"/>
                <w:spacing w:val="4"/>
                <w:kern w:val="2"/>
                <w:sz w:val="24"/>
                <w:szCs w:val="24"/>
                <w:lang w:eastAsia="zh-CN"/>
              </w:rPr>
              <w:t>2条，占用地类均为荒地，总占地面积4500m²，平均宽度4.5m，分别为：k49+100，长度500m；k106+000，长度500m。依托利用已有周边道路总长8.64km，平均宽度5-8.5m。</w:t>
            </w:r>
          </w:p>
          <w:p w14:paraId="458E50B7">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施工营地：项目不设置施工营地，施工人员食宿依托项目综合场站的生活区解决。项目综合场站位于k</w:t>
            </w:r>
            <w:r>
              <w:rPr>
                <w:rFonts w:ascii="Times New Roman" w:hAnsi="Times New Roman" w:cs="Times New Roman"/>
                <w:spacing w:val="4"/>
                <w:kern w:val="2"/>
                <w:sz w:val="24"/>
                <w:szCs w:val="24"/>
                <w:lang w:eastAsia="zh-CN"/>
              </w:rPr>
              <w:t>124+550路线</w:t>
            </w:r>
            <w:r>
              <w:rPr>
                <w:rFonts w:hint="eastAsia" w:ascii="Times New Roman" w:hAnsi="Times New Roman" w:cs="Times New Roman"/>
                <w:spacing w:val="4"/>
                <w:kern w:val="2"/>
                <w:sz w:val="24"/>
                <w:szCs w:val="24"/>
                <w:lang w:eastAsia="zh-CN"/>
              </w:rPr>
              <w:t>东</w:t>
            </w:r>
            <w:r>
              <w:rPr>
                <w:rFonts w:ascii="Times New Roman" w:hAnsi="Times New Roman" w:cs="Times New Roman"/>
                <w:spacing w:val="4"/>
                <w:kern w:val="2"/>
                <w:sz w:val="24"/>
                <w:szCs w:val="24"/>
                <w:lang w:eastAsia="zh-CN"/>
              </w:rPr>
              <w:t>侧550</w:t>
            </w:r>
            <w:r>
              <w:rPr>
                <w:rFonts w:hint="eastAsia" w:ascii="Times New Roman" w:hAnsi="Times New Roman" w:cs="Times New Roman"/>
                <w:spacing w:val="4"/>
                <w:kern w:val="2"/>
                <w:sz w:val="24"/>
                <w:szCs w:val="24"/>
                <w:lang w:eastAsia="zh-CN"/>
              </w:rPr>
              <w:t>m吉木萨尔县物流园内空地上，不在本次评价范围，需单独办理环保手续。</w:t>
            </w:r>
          </w:p>
          <w:p w14:paraId="78883F87">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料场（</w:t>
            </w:r>
            <w:r>
              <w:rPr>
                <w:rFonts w:ascii="Times New Roman" w:hAnsi="Times New Roman" w:cs="Times New Roman"/>
                <w:spacing w:val="4"/>
                <w:kern w:val="2"/>
                <w:sz w:val="24"/>
                <w:szCs w:val="24"/>
                <w:lang w:eastAsia="zh-CN"/>
              </w:rPr>
              <w:t>5</w:t>
            </w:r>
            <w:r>
              <w:rPr>
                <w:rFonts w:hint="eastAsia" w:ascii="Times New Roman" w:hAnsi="Times New Roman" w:cs="Times New Roman"/>
                <w:spacing w:val="4"/>
                <w:kern w:val="2"/>
                <w:sz w:val="24"/>
                <w:szCs w:val="24"/>
                <w:lang w:eastAsia="zh-CN"/>
              </w:rPr>
              <w:t>个）</w:t>
            </w:r>
            <w:r>
              <w:rPr>
                <w:rFonts w:ascii="Times New Roman" w:hAnsi="Times New Roman" w:cs="Times New Roman"/>
                <w:spacing w:val="4"/>
                <w:kern w:val="2"/>
                <w:sz w:val="24"/>
                <w:szCs w:val="24"/>
                <w:lang w:eastAsia="zh-CN"/>
              </w:rPr>
              <w:t>：</w:t>
            </w:r>
          </w:p>
          <w:p w14:paraId="00318EE3">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1#料场（</w:t>
            </w:r>
            <w:r>
              <w:rPr>
                <w:rFonts w:hint="eastAsia" w:ascii="Times New Roman" w:hAnsi="Times New Roman" w:cs="Times New Roman"/>
                <w:spacing w:val="4"/>
                <w:kern w:val="2"/>
                <w:sz w:val="24"/>
                <w:szCs w:val="24"/>
                <w:lang w:eastAsia="zh-CN"/>
              </w:rPr>
              <w:t>正方圆</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位于准东经济技术开发区环城北路北侧，上路桩号k</w:t>
            </w:r>
            <w:r>
              <w:rPr>
                <w:rFonts w:ascii="Times New Roman" w:hAnsi="Times New Roman" w:cs="Times New Roman"/>
                <w:spacing w:val="4"/>
                <w:kern w:val="2"/>
                <w:sz w:val="24"/>
                <w:szCs w:val="24"/>
                <w:lang w:eastAsia="zh-CN"/>
              </w:rPr>
              <w:t>37+060，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28km</w:t>
            </w:r>
            <w:r>
              <w:rPr>
                <w:rFonts w:hint="eastAsia" w:ascii="Times New Roman" w:hAnsi="Times New Roman" w:cs="Times New Roman"/>
                <w:spacing w:val="4"/>
                <w:kern w:val="2"/>
                <w:sz w:val="24"/>
                <w:szCs w:val="24"/>
                <w:lang w:eastAsia="zh-CN"/>
              </w:rPr>
              <w:t>；</w:t>
            </w:r>
          </w:p>
          <w:p w14:paraId="1B6E8FF5">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2#料场（</w:t>
            </w:r>
            <w:r>
              <w:rPr>
                <w:rFonts w:hint="eastAsia" w:ascii="Times New Roman" w:hAnsi="Times New Roman" w:cs="Times New Roman"/>
                <w:spacing w:val="4"/>
                <w:kern w:val="2"/>
                <w:sz w:val="24"/>
                <w:szCs w:val="24"/>
                <w:lang w:eastAsia="zh-CN"/>
              </w:rPr>
              <w:t>博源建材</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位于准东经济技术开发区环城北路北侧，上路桩号k</w:t>
            </w:r>
            <w:r>
              <w:rPr>
                <w:rFonts w:ascii="Times New Roman" w:hAnsi="Times New Roman" w:cs="Times New Roman"/>
                <w:spacing w:val="4"/>
                <w:kern w:val="2"/>
                <w:sz w:val="24"/>
                <w:szCs w:val="24"/>
                <w:lang w:eastAsia="zh-CN"/>
              </w:rPr>
              <w:t>37+060，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26km</w:t>
            </w:r>
            <w:r>
              <w:rPr>
                <w:rFonts w:hint="eastAsia" w:ascii="Times New Roman" w:hAnsi="Times New Roman" w:cs="Times New Roman"/>
                <w:spacing w:val="4"/>
                <w:kern w:val="2"/>
                <w:sz w:val="24"/>
                <w:szCs w:val="24"/>
                <w:lang w:eastAsia="zh-CN"/>
              </w:rPr>
              <w:t>；</w:t>
            </w:r>
          </w:p>
          <w:p w14:paraId="10CABE38">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3#料场（</w:t>
            </w:r>
            <w:r>
              <w:rPr>
                <w:rFonts w:hint="eastAsia" w:ascii="Times New Roman" w:hAnsi="Times New Roman" w:cs="Times New Roman"/>
                <w:spacing w:val="4"/>
                <w:kern w:val="2"/>
                <w:sz w:val="24"/>
                <w:szCs w:val="24"/>
                <w:lang w:eastAsia="zh-CN"/>
              </w:rPr>
              <w:t>红山子建材</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：位于吉木萨尔县县城南部，</w:t>
            </w:r>
            <w:r>
              <w:rPr>
                <w:rFonts w:ascii="Times New Roman" w:hAnsi="Times New Roman" w:cs="Times New Roman"/>
                <w:spacing w:val="4"/>
                <w:kern w:val="2"/>
                <w:sz w:val="24"/>
                <w:szCs w:val="24"/>
                <w:lang w:eastAsia="zh-CN"/>
              </w:rPr>
              <w:t>上路桩号</w:t>
            </w:r>
            <w:r>
              <w:rPr>
                <w:rFonts w:hint="eastAsia" w:ascii="Times New Roman" w:hAnsi="Times New Roman" w:cs="Times New Roman"/>
                <w:spacing w:val="4"/>
                <w:kern w:val="2"/>
                <w:sz w:val="24"/>
                <w:szCs w:val="24"/>
                <w:lang w:eastAsia="zh-CN"/>
              </w:rPr>
              <w:t>k126+200</w:t>
            </w:r>
            <w:r>
              <w:rPr>
                <w:rFonts w:ascii="Times New Roman" w:hAnsi="Times New Roman" w:cs="Times New Roman"/>
                <w:spacing w:val="4"/>
                <w:kern w:val="2"/>
                <w:sz w:val="24"/>
                <w:szCs w:val="24"/>
                <w:lang w:eastAsia="zh-CN"/>
              </w:rPr>
              <w:t>，运距9km</w:t>
            </w:r>
            <w:r>
              <w:rPr>
                <w:rFonts w:hint="eastAsia" w:ascii="Times New Roman" w:hAnsi="Times New Roman" w:cs="Times New Roman"/>
                <w:spacing w:val="4"/>
                <w:kern w:val="2"/>
                <w:sz w:val="24"/>
                <w:szCs w:val="24"/>
                <w:lang w:eastAsia="zh-CN"/>
              </w:rPr>
              <w:t>；</w:t>
            </w:r>
          </w:p>
          <w:p w14:paraId="7789167D">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4#料场（</w:t>
            </w:r>
            <w:r>
              <w:rPr>
                <w:rFonts w:hint="eastAsia" w:ascii="Times New Roman" w:hAnsi="Times New Roman" w:cs="Times New Roman"/>
                <w:spacing w:val="4"/>
                <w:kern w:val="2"/>
                <w:sz w:val="24"/>
                <w:szCs w:val="24"/>
                <w:lang w:eastAsia="zh-CN"/>
              </w:rPr>
              <w:t>国投</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：位于吉木萨尔县县城南部，上路桩号k126+200</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11km</w:t>
            </w:r>
            <w:r>
              <w:rPr>
                <w:rFonts w:hint="eastAsia" w:ascii="Times New Roman" w:hAnsi="Times New Roman" w:cs="Times New Roman"/>
                <w:spacing w:val="4"/>
                <w:kern w:val="2"/>
                <w:sz w:val="24"/>
                <w:szCs w:val="24"/>
                <w:lang w:eastAsia="zh-CN"/>
              </w:rPr>
              <w:t>；</w:t>
            </w:r>
          </w:p>
          <w:p w14:paraId="5701FA2C">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5</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料场（水投）：位于吉木萨尔县县城南部，上路桩号k126+200</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20km</w:t>
            </w:r>
            <w:r>
              <w:rPr>
                <w:rFonts w:hint="eastAsia" w:ascii="Times New Roman" w:hAnsi="Times New Roman" w:cs="Times New Roman"/>
                <w:spacing w:val="4"/>
                <w:kern w:val="2"/>
                <w:sz w:val="24"/>
                <w:szCs w:val="24"/>
                <w:lang w:eastAsia="zh-CN"/>
              </w:rPr>
              <w:t>；</w:t>
            </w:r>
          </w:p>
          <w:p w14:paraId="633F7113">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6</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料场（银海）：位于吉木萨尔县以西、双岔河子东村以南，上路桩号k</w:t>
            </w:r>
            <w:r>
              <w:rPr>
                <w:rFonts w:ascii="Times New Roman" w:hAnsi="Times New Roman" w:cs="Times New Roman"/>
                <w:spacing w:val="4"/>
                <w:kern w:val="2"/>
                <w:sz w:val="24"/>
                <w:szCs w:val="24"/>
                <w:lang w:eastAsia="zh-CN"/>
              </w:rPr>
              <w:t>125+850，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22.5km</w:t>
            </w:r>
            <w:r>
              <w:rPr>
                <w:rFonts w:hint="eastAsia" w:ascii="Times New Roman" w:hAnsi="Times New Roman" w:cs="Times New Roman"/>
                <w:spacing w:val="4"/>
                <w:kern w:val="2"/>
                <w:sz w:val="24"/>
                <w:szCs w:val="24"/>
                <w:lang w:eastAsia="zh-CN"/>
              </w:rPr>
              <w:t>；</w:t>
            </w:r>
          </w:p>
          <w:p w14:paraId="2376C80E">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7</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料场（九方开源）：位于准东将军戈壁将二矿东北部约</w:t>
            </w:r>
            <w:r>
              <w:rPr>
                <w:rFonts w:ascii="Times New Roman" w:hAnsi="Times New Roman" w:cs="Times New Roman"/>
                <w:spacing w:val="4"/>
                <w:kern w:val="2"/>
                <w:sz w:val="24"/>
                <w:szCs w:val="24"/>
                <w:lang w:eastAsia="zh-CN"/>
              </w:rPr>
              <w:t>20km处，上路桩号</w:t>
            </w:r>
            <w:r>
              <w:rPr>
                <w:rFonts w:hint="eastAsia" w:ascii="Times New Roman" w:hAnsi="Times New Roman" w:cs="Times New Roman"/>
                <w:spacing w:val="4"/>
                <w:kern w:val="2"/>
                <w:sz w:val="24"/>
                <w:szCs w:val="24"/>
                <w:lang w:eastAsia="zh-CN"/>
              </w:rPr>
              <w:t>k</w:t>
            </w:r>
            <w:r>
              <w:rPr>
                <w:rFonts w:ascii="Times New Roman" w:hAnsi="Times New Roman" w:cs="Times New Roman"/>
                <w:spacing w:val="4"/>
                <w:kern w:val="2"/>
                <w:sz w:val="24"/>
                <w:szCs w:val="24"/>
                <w:lang w:eastAsia="zh-CN"/>
              </w:rPr>
              <w:t>37+060，</w:t>
            </w:r>
            <w:r>
              <w:rPr>
                <w:rFonts w:hint="eastAsia" w:ascii="Times New Roman" w:hAnsi="Times New Roman" w:cs="Times New Roman"/>
                <w:spacing w:val="4"/>
                <w:kern w:val="2"/>
                <w:sz w:val="24"/>
                <w:szCs w:val="24"/>
                <w:lang w:eastAsia="zh-CN"/>
              </w:rPr>
              <w:t>运</w:t>
            </w:r>
            <w:r>
              <w:rPr>
                <w:rFonts w:ascii="Times New Roman" w:hAnsi="Times New Roman" w:cs="Times New Roman"/>
                <w:spacing w:val="4"/>
                <w:kern w:val="2"/>
                <w:sz w:val="24"/>
                <w:szCs w:val="24"/>
                <w:lang w:eastAsia="zh-CN"/>
              </w:rPr>
              <w:t>距108km</w:t>
            </w:r>
            <w:r>
              <w:rPr>
                <w:rFonts w:hint="eastAsia" w:ascii="Times New Roman" w:hAnsi="Times New Roman" w:cs="Times New Roman"/>
                <w:spacing w:val="4"/>
                <w:kern w:val="2"/>
                <w:sz w:val="24"/>
                <w:szCs w:val="24"/>
                <w:lang w:eastAsia="zh-CN"/>
              </w:rPr>
              <w:t>；</w:t>
            </w:r>
          </w:p>
          <w:p w14:paraId="66E2439C">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8</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料场（国投）：位于准东将军戈壁将二矿东北部约</w:t>
            </w:r>
            <w:r>
              <w:rPr>
                <w:rFonts w:ascii="Times New Roman" w:hAnsi="Times New Roman" w:cs="Times New Roman"/>
                <w:spacing w:val="4"/>
                <w:kern w:val="2"/>
                <w:sz w:val="24"/>
                <w:szCs w:val="24"/>
                <w:lang w:eastAsia="zh-CN"/>
              </w:rPr>
              <w:t>25km处，上路桩号</w:t>
            </w:r>
            <w:r>
              <w:rPr>
                <w:rFonts w:hint="eastAsia" w:ascii="Times New Roman" w:hAnsi="Times New Roman" w:cs="Times New Roman"/>
                <w:spacing w:val="4"/>
                <w:kern w:val="2"/>
                <w:sz w:val="24"/>
                <w:szCs w:val="24"/>
                <w:lang w:eastAsia="zh-CN"/>
              </w:rPr>
              <w:t>k</w:t>
            </w:r>
            <w:r>
              <w:rPr>
                <w:rFonts w:ascii="Times New Roman" w:hAnsi="Times New Roman" w:cs="Times New Roman"/>
                <w:spacing w:val="4"/>
                <w:kern w:val="2"/>
                <w:sz w:val="24"/>
                <w:szCs w:val="24"/>
                <w:lang w:eastAsia="zh-CN"/>
              </w:rPr>
              <w:t>37+060，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115km。</w:t>
            </w:r>
          </w:p>
          <w:p w14:paraId="49CF5915">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弃土场</w:t>
            </w: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2</w:t>
            </w:r>
            <w:r>
              <w:rPr>
                <w:rFonts w:hint="eastAsia" w:ascii="Times New Roman" w:hAnsi="Times New Roman" w:cs="Times New Roman"/>
                <w:spacing w:val="4"/>
                <w:kern w:val="2"/>
                <w:sz w:val="24"/>
                <w:szCs w:val="24"/>
                <w:lang w:eastAsia="zh-CN"/>
              </w:rPr>
              <w:t>个），占用地类为荒地，</w:t>
            </w:r>
            <w:r>
              <w:rPr>
                <w:rFonts w:ascii="Times New Roman" w:hAnsi="Times New Roman" w:cs="Times New Roman"/>
                <w:spacing w:val="4"/>
                <w:kern w:val="2"/>
                <w:sz w:val="24"/>
                <w:szCs w:val="24"/>
                <w:lang w:eastAsia="zh-CN"/>
              </w:rPr>
              <w:t>2个弃土场，总占地面积113hm²，分别为：1#弃土场（k37+060西侧约14.2km）；2#弃土场（k126+200东南侧约3km）。</w:t>
            </w:r>
          </w:p>
          <w:p w14:paraId="3EBED98B">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筑路原料：混凝土采用商品混凝土，由当地的新疆德盛伟业建材有限公司、吉木萨尔县兴成商品混凝土有限责任公司供应，沥青从克拉玛依市购买。</w:t>
            </w:r>
          </w:p>
          <w:p w14:paraId="0E1937EC">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7FB7434B">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22AD4B85">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720CA6C2">
            <w:pPr>
              <w:autoSpaceDE/>
              <w:autoSpaceDN/>
              <w:spacing w:line="360" w:lineRule="auto"/>
              <w:ind w:firstLine="496" w:firstLineChars="200"/>
              <w:jc w:val="both"/>
              <w:rPr>
                <w:rFonts w:ascii="Times New Roman" w:hAnsi="Times New Roman" w:cs="Times New Roman"/>
                <w:spacing w:val="4"/>
                <w:kern w:val="2"/>
                <w:sz w:val="24"/>
                <w:szCs w:val="24"/>
                <w:lang w:eastAsia="zh-CN"/>
              </w:rPr>
            </w:pPr>
          </w:p>
          <w:p w14:paraId="24E8AE29">
            <w:pPr>
              <w:autoSpaceDE/>
              <w:autoSpaceDN/>
              <w:spacing w:line="360" w:lineRule="auto"/>
              <w:ind w:firstLine="496" w:firstLineChars="200"/>
              <w:jc w:val="both"/>
              <w:rPr>
                <w:rFonts w:ascii="Times New Roman" w:hAnsi="Times New Roman" w:cs="Times New Roman"/>
                <w:spacing w:val="4"/>
                <w:kern w:val="2"/>
                <w:sz w:val="24"/>
                <w:szCs w:val="24"/>
                <w:lang w:eastAsia="zh-CN"/>
              </w:rPr>
            </w:pPr>
          </w:p>
        </w:tc>
      </w:tr>
      <w:tr w14:paraId="219550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0" w:hRule="atLeast"/>
        </w:trPr>
        <w:tc>
          <w:tcPr>
            <w:tcW w:w="401" w:type="pct"/>
            <w:tcBorders>
              <w:top w:val="single" w:color="000000" w:sz="4" w:space="0"/>
              <w:bottom w:val="single" w:color="000000" w:sz="4" w:space="0"/>
              <w:right w:val="single" w:color="auto" w:sz="4" w:space="0"/>
            </w:tcBorders>
            <w:vAlign w:val="center"/>
          </w:tcPr>
          <w:p w14:paraId="542F8CE7">
            <w:pPr>
              <w:pStyle w:val="18"/>
              <w:jc w:val="center"/>
              <w:rPr>
                <w:rFonts w:ascii="Times New Roman" w:hAnsi="Times New Roman" w:cs="Times New Roman"/>
                <w:b/>
                <w:bCs/>
                <w:sz w:val="24"/>
                <w:szCs w:val="24"/>
              </w:rPr>
            </w:pPr>
            <w:r>
              <w:rPr>
                <w:rFonts w:ascii="Times New Roman" w:hAnsi="Times New Roman" w:cs="Times New Roman"/>
                <w:b/>
                <w:bCs/>
                <w:sz w:val="24"/>
                <w:szCs w:val="24"/>
              </w:rPr>
              <w:t>施工</w:t>
            </w:r>
          </w:p>
          <w:p w14:paraId="3F3D6CC9">
            <w:pPr>
              <w:pStyle w:val="18"/>
              <w:jc w:val="center"/>
              <w:rPr>
                <w:rFonts w:ascii="Times New Roman" w:hAnsi="Times New Roman" w:cs="Times New Roman"/>
                <w:sz w:val="21"/>
              </w:rPr>
            </w:pPr>
            <w:r>
              <w:rPr>
                <w:rFonts w:ascii="Times New Roman" w:hAnsi="Times New Roman" w:cs="Times New Roman"/>
                <w:b/>
                <w:bCs/>
                <w:sz w:val="24"/>
                <w:szCs w:val="24"/>
              </w:rPr>
              <w:t>方案</w:t>
            </w:r>
          </w:p>
        </w:tc>
        <w:tc>
          <w:tcPr>
            <w:tcW w:w="4599" w:type="pct"/>
            <w:tcBorders>
              <w:top w:val="single" w:color="000000" w:sz="4" w:space="0"/>
              <w:left w:val="single" w:color="auto" w:sz="4" w:space="0"/>
              <w:bottom w:val="single" w:color="000000" w:sz="4" w:space="0"/>
            </w:tcBorders>
          </w:tcPr>
          <w:p w14:paraId="32831FF4">
            <w:pPr>
              <w:autoSpaceDE/>
              <w:autoSpaceDN/>
              <w:spacing w:before="120" w:beforeLines="50" w:line="360" w:lineRule="auto"/>
              <w:jc w:val="both"/>
              <w:rPr>
                <w:rFonts w:ascii="Times New Roman" w:hAnsi="Times New Roman" w:cs="Times New Roman"/>
                <w:spacing w:val="4"/>
                <w:kern w:val="2"/>
                <w:sz w:val="28"/>
                <w:szCs w:val="28"/>
                <w:lang w:eastAsia="zh-CN"/>
              </w:rPr>
            </w:pPr>
            <w:r>
              <w:rPr>
                <w:rFonts w:ascii="Times New Roman" w:hAnsi="Times New Roman" w:cs="Times New Roman"/>
                <w:spacing w:val="4"/>
                <w:kern w:val="2"/>
                <w:sz w:val="28"/>
                <w:szCs w:val="28"/>
                <w:lang w:eastAsia="zh-CN"/>
              </w:rPr>
              <w:t>7</w:t>
            </w:r>
            <w:r>
              <w:rPr>
                <w:rFonts w:ascii="Times New Roman" w:hAnsi="Times New Roman" w:cs="Times New Roman"/>
                <w:b/>
                <w:bCs/>
                <w:spacing w:val="4"/>
                <w:kern w:val="2"/>
                <w:sz w:val="28"/>
                <w:szCs w:val="28"/>
                <w:lang w:eastAsia="zh-CN"/>
              </w:rPr>
              <w:t>、施工方案</w:t>
            </w:r>
          </w:p>
          <w:p w14:paraId="6B6DB1AC">
            <w:pPr>
              <w:autoSpaceDE/>
              <w:autoSpaceDN/>
              <w:spacing w:line="360" w:lineRule="auto"/>
              <w:ind w:firstLine="498" w:firstLineChars="200"/>
              <w:jc w:val="both"/>
              <w:rPr>
                <w:rFonts w:ascii="Times New Roman" w:hAnsi="Times New Roman" w:cs="Times New Roman"/>
                <w:b/>
                <w:bCs/>
                <w:spacing w:val="4"/>
                <w:kern w:val="2"/>
                <w:sz w:val="24"/>
                <w:szCs w:val="24"/>
                <w:lang w:eastAsia="zh-CN"/>
              </w:rPr>
            </w:pPr>
            <w:r>
              <w:rPr>
                <w:rFonts w:hint="eastAsia" w:ascii="Times New Roman" w:hAnsi="Times New Roman" w:cs="Times New Roman"/>
                <w:b/>
                <w:bCs/>
                <w:spacing w:val="4"/>
                <w:kern w:val="2"/>
                <w:sz w:val="24"/>
                <w:szCs w:val="24"/>
                <w:lang w:eastAsia="zh-CN"/>
              </w:rPr>
              <w:t>7</w:t>
            </w:r>
            <w:r>
              <w:rPr>
                <w:rFonts w:ascii="Times New Roman" w:hAnsi="Times New Roman" w:cs="Times New Roman"/>
                <w:b/>
                <w:bCs/>
                <w:spacing w:val="4"/>
                <w:kern w:val="2"/>
                <w:sz w:val="24"/>
                <w:szCs w:val="24"/>
                <w:lang w:eastAsia="zh-CN"/>
              </w:rPr>
              <w:t>.1 施工进度安排</w:t>
            </w:r>
          </w:p>
          <w:p w14:paraId="6A46121C">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本项目计划</w:t>
            </w:r>
            <w:r>
              <w:rPr>
                <w:rFonts w:ascii="Times New Roman" w:hAnsi="Times New Roman" w:cs="Times New Roman"/>
                <w:spacing w:val="4"/>
                <w:kern w:val="2"/>
                <w:sz w:val="24"/>
                <w:szCs w:val="24"/>
                <w:lang w:eastAsia="zh-CN"/>
              </w:rPr>
              <w:t>2024年9月开工建设，2026年8月</w:t>
            </w:r>
            <w:r>
              <w:rPr>
                <w:rFonts w:hint="eastAsia" w:ascii="Times New Roman" w:hAnsi="Times New Roman" w:cs="Times New Roman"/>
                <w:spacing w:val="4"/>
                <w:kern w:val="2"/>
                <w:sz w:val="24"/>
                <w:szCs w:val="24"/>
                <w:lang w:eastAsia="zh-CN"/>
              </w:rPr>
              <w:t>建设完成</w:t>
            </w:r>
            <w:r>
              <w:rPr>
                <w:rFonts w:ascii="Times New Roman" w:hAnsi="Times New Roman" w:cs="Times New Roman"/>
                <w:spacing w:val="4"/>
                <w:kern w:val="2"/>
                <w:sz w:val="24"/>
                <w:szCs w:val="24"/>
                <w:lang w:eastAsia="zh-CN"/>
              </w:rPr>
              <w:t>，施工期共计24个月。项目施工高峰期，施工人数200人，施工人员不在施工场地食宿。</w:t>
            </w:r>
          </w:p>
          <w:p w14:paraId="1D31BB7A">
            <w:pPr>
              <w:autoSpaceDE/>
              <w:autoSpaceDN/>
              <w:spacing w:line="360" w:lineRule="auto"/>
              <w:ind w:firstLine="498" w:firstLineChars="200"/>
              <w:jc w:val="both"/>
              <w:rPr>
                <w:rFonts w:ascii="Times New Roman" w:hAnsi="Times New Roman" w:cs="Times New Roman"/>
                <w:b/>
                <w:bCs/>
                <w:spacing w:val="4"/>
                <w:kern w:val="2"/>
                <w:sz w:val="24"/>
                <w:szCs w:val="24"/>
                <w:lang w:eastAsia="zh-CN"/>
              </w:rPr>
            </w:pPr>
            <w:r>
              <w:rPr>
                <w:rFonts w:hint="eastAsia" w:ascii="Times New Roman" w:hAnsi="Times New Roman" w:cs="Times New Roman"/>
                <w:b/>
                <w:bCs/>
                <w:spacing w:val="4"/>
                <w:kern w:val="2"/>
                <w:sz w:val="24"/>
                <w:szCs w:val="24"/>
                <w:lang w:eastAsia="zh-CN"/>
              </w:rPr>
              <w:t>7</w:t>
            </w:r>
            <w:r>
              <w:rPr>
                <w:rFonts w:ascii="Times New Roman" w:hAnsi="Times New Roman" w:cs="Times New Roman"/>
                <w:b/>
                <w:bCs/>
                <w:spacing w:val="4"/>
                <w:kern w:val="2"/>
                <w:sz w:val="24"/>
                <w:szCs w:val="24"/>
                <w:lang w:eastAsia="zh-CN"/>
              </w:rPr>
              <w:t>.2 施工条件</w:t>
            </w:r>
          </w:p>
          <w:p w14:paraId="17F2021A">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（1）砂、砾石</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砂砾来源</w:t>
            </w:r>
          </w:p>
          <w:p w14:paraId="0AE99D69">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1#料场（</w:t>
            </w:r>
            <w:r>
              <w:rPr>
                <w:rFonts w:hint="eastAsia" w:ascii="Times New Roman" w:hAnsi="Times New Roman" w:cs="Times New Roman"/>
                <w:spacing w:val="4"/>
                <w:kern w:val="2"/>
                <w:sz w:val="24"/>
                <w:szCs w:val="24"/>
                <w:lang w:eastAsia="zh-CN"/>
              </w:rPr>
              <w:t>正方圆</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：商业料场，位于准东经济技术开发区环城北路北侧，主要供应天然砂砾，可用于路基填料。上路桩号k</w:t>
            </w:r>
            <w:r>
              <w:rPr>
                <w:rFonts w:ascii="Times New Roman" w:hAnsi="Times New Roman" w:cs="Times New Roman"/>
                <w:spacing w:val="4"/>
                <w:kern w:val="2"/>
                <w:sz w:val="24"/>
                <w:szCs w:val="24"/>
                <w:lang w:eastAsia="zh-CN"/>
              </w:rPr>
              <w:t>37+060，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28km。</w:t>
            </w:r>
            <w:r>
              <w:rPr>
                <w:rFonts w:hint="eastAsia" w:ascii="Times New Roman" w:hAnsi="Times New Roman" w:cs="Times New Roman"/>
                <w:spacing w:val="4"/>
                <w:kern w:val="2"/>
                <w:sz w:val="24"/>
                <w:szCs w:val="24"/>
                <w:lang w:eastAsia="zh-CN"/>
              </w:rPr>
              <w:t>可沿</w:t>
            </w:r>
            <w:r>
              <w:rPr>
                <w:rFonts w:ascii="Times New Roman" w:hAnsi="Times New Roman" w:cs="Times New Roman"/>
                <w:spacing w:val="4"/>
                <w:kern w:val="2"/>
                <w:sz w:val="24"/>
                <w:szCs w:val="24"/>
                <w:lang w:eastAsia="zh-CN"/>
              </w:rPr>
              <w:t>S327线、火烧山连接线、准东环城北路及砂砾路到达该料场，运输条件较便利。</w:t>
            </w:r>
          </w:p>
          <w:p w14:paraId="652FA0A5">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2#料场（</w:t>
            </w:r>
            <w:r>
              <w:rPr>
                <w:rFonts w:hint="eastAsia" w:ascii="Times New Roman" w:hAnsi="Times New Roman" w:cs="Times New Roman"/>
                <w:spacing w:val="4"/>
                <w:kern w:val="2"/>
                <w:sz w:val="24"/>
                <w:szCs w:val="24"/>
                <w:lang w:eastAsia="zh-CN"/>
              </w:rPr>
              <w:t>博源建材</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：商业</w:t>
            </w:r>
            <w:r>
              <w:rPr>
                <w:rFonts w:ascii="Times New Roman" w:hAnsi="Times New Roman" w:cs="Times New Roman"/>
                <w:spacing w:val="4"/>
                <w:kern w:val="2"/>
                <w:sz w:val="24"/>
                <w:szCs w:val="24"/>
                <w:lang w:eastAsia="zh-CN"/>
              </w:rPr>
              <w:t>料场，</w:t>
            </w:r>
            <w:r>
              <w:rPr>
                <w:rFonts w:hint="eastAsia" w:ascii="Times New Roman" w:hAnsi="Times New Roman" w:cs="Times New Roman"/>
                <w:spacing w:val="4"/>
                <w:kern w:val="2"/>
                <w:sz w:val="24"/>
                <w:szCs w:val="24"/>
                <w:lang w:eastAsia="zh-CN"/>
              </w:rPr>
              <w:t>位于准东经济技术开发区环城北路北侧，主要供应天然砂砾，可用于路基填料。上路桩号k</w:t>
            </w:r>
            <w:r>
              <w:rPr>
                <w:rFonts w:ascii="Times New Roman" w:hAnsi="Times New Roman" w:cs="Times New Roman"/>
                <w:spacing w:val="4"/>
                <w:kern w:val="2"/>
                <w:sz w:val="24"/>
                <w:szCs w:val="24"/>
                <w:lang w:eastAsia="zh-CN"/>
              </w:rPr>
              <w:t>37+060，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26km。</w:t>
            </w:r>
            <w:r>
              <w:rPr>
                <w:rFonts w:hint="eastAsia" w:ascii="Times New Roman" w:hAnsi="Times New Roman" w:cs="Times New Roman"/>
                <w:spacing w:val="4"/>
                <w:kern w:val="2"/>
                <w:sz w:val="24"/>
                <w:szCs w:val="24"/>
                <w:lang w:eastAsia="zh-CN"/>
              </w:rPr>
              <w:t>可沿</w:t>
            </w:r>
            <w:r>
              <w:rPr>
                <w:rFonts w:ascii="Times New Roman" w:hAnsi="Times New Roman" w:cs="Times New Roman"/>
                <w:spacing w:val="4"/>
                <w:kern w:val="2"/>
                <w:sz w:val="24"/>
                <w:szCs w:val="24"/>
                <w:lang w:eastAsia="zh-CN"/>
              </w:rPr>
              <w:t>S327线、火烧山连接线、准东环城北路及砂砾路到达该料场，运输条件较便利。</w:t>
            </w:r>
          </w:p>
          <w:p w14:paraId="6F32B700">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3#料场（</w:t>
            </w:r>
            <w:r>
              <w:rPr>
                <w:rFonts w:hint="eastAsia" w:ascii="Times New Roman" w:hAnsi="Times New Roman" w:cs="Times New Roman"/>
                <w:spacing w:val="4"/>
                <w:kern w:val="2"/>
                <w:sz w:val="24"/>
                <w:szCs w:val="24"/>
                <w:lang w:eastAsia="zh-CN"/>
              </w:rPr>
              <w:t>红山子建材</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：商业料场</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位于吉木萨尔县县城南部，主要供应机制砂、水洗砂、砾石及天然砂砾，可用于路面面层沥青混凝土细集料、水泥混凝土和路面基层粗集料和细集料、路面底基层及路基填料。上路桩号k126+200</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9.0km。</w:t>
            </w:r>
            <w:r>
              <w:rPr>
                <w:rFonts w:hint="eastAsia" w:ascii="Times New Roman" w:hAnsi="Times New Roman" w:cs="Times New Roman"/>
                <w:spacing w:val="4"/>
                <w:kern w:val="2"/>
                <w:sz w:val="24"/>
                <w:szCs w:val="24"/>
                <w:lang w:eastAsia="zh-CN"/>
              </w:rPr>
              <w:t>可沿</w:t>
            </w:r>
            <w:r>
              <w:rPr>
                <w:rFonts w:ascii="Times New Roman" w:hAnsi="Times New Roman" w:cs="Times New Roman"/>
                <w:spacing w:val="4"/>
                <w:kern w:val="2"/>
                <w:sz w:val="24"/>
                <w:szCs w:val="24"/>
                <w:lang w:eastAsia="zh-CN"/>
              </w:rPr>
              <w:t>X181到达该料场，运输条件较便利。</w:t>
            </w:r>
          </w:p>
          <w:p w14:paraId="07A36BC5">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4#料场（</w:t>
            </w:r>
            <w:r>
              <w:rPr>
                <w:rFonts w:hint="eastAsia" w:ascii="Times New Roman" w:hAnsi="Times New Roman" w:cs="Times New Roman"/>
                <w:spacing w:val="4"/>
                <w:kern w:val="2"/>
                <w:sz w:val="24"/>
                <w:szCs w:val="24"/>
                <w:lang w:eastAsia="zh-CN"/>
              </w:rPr>
              <w:t>国投</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：商业</w:t>
            </w:r>
            <w:r>
              <w:rPr>
                <w:rFonts w:ascii="Times New Roman" w:hAnsi="Times New Roman" w:cs="Times New Roman"/>
                <w:spacing w:val="4"/>
                <w:kern w:val="2"/>
                <w:sz w:val="24"/>
                <w:szCs w:val="24"/>
                <w:lang w:eastAsia="zh-CN"/>
              </w:rPr>
              <w:t>料场，</w:t>
            </w:r>
            <w:r>
              <w:rPr>
                <w:rFonts w:hint="eastAsia" w:ascii="Times New Roman" w:hAnsi="Times New Roman" w:cs="Times New Roman"/>
                <w:spacing w:val="4"/>
                <w:kern w:val="2"/>
                <w:sz w:val="24"/>
                <w:szCs w:val="24"/>
                <w:lang w:eastAsia="zh-CN"/>
              </w:rPr>
              <w:t>位于吉木萨尔县县城南部，主要供应天然砂砾，可用于路基填料。上路桩号k126+200</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11km。</w:t>
            </w:r>
            <w:r>
              <w:rPr>
                <w:rFonts w:hint="eastAsia" w:ascii="Times New Roman" w:hAnsi="Times New Roman" w:cs="Times New Roman"/>
                <w:spacing w:val="4"/>
                <w:kern w:val="2"/>
                <w:sz w:val="24"/>
                <w:szCs w:val="24"/>
                <w:lang w:eastAsia="zh-CN"/>
              </w:rPr>
              <w:t>可沿</w:t>
            </w:r>
            <w:r>
              <w:rPr>
                <w:rFonts w:ascii="Times New Roman" w:hAnsi="Times New Roman" w:cs="Times New Roman"/>
                <w:spacing w:val="4"/>
                <w:kern w:val="2"/>
                <w:sz w:val="24"/>
                <w:szCs w:val="24"/>
                <w:lang w:eastAsia="zh-CN"/>
              </w:rPr>
              <w:t>X181及砂砾路到达该料场，运输条件较便利。</w:t>
            </w:r>
          </w:p>
          <w:p w14:paraId="7495B148">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5#料场（水投）</w:t>
            </w:r>
            <w:r>
              <w:rPr>
                <w:rFonts w:hint="eastAsia" w:ascii="Times New Roman" w:hAnsi="Times New Roman" w:cs="Times New Roman"/>
                <w:spacing w:val="4"/>
                <w:kern w:val="2"/>
                <w:sz w:val="24"/>
                <w:szCs w:val="24"/>
                <w:lang w:eastAsia="zh-CN"/>
              </w:rPr>
              <w:t>：商业料场，位于吉木萨尔县县城南部，主要供应天然砂砾，可用于路基填料。上路桩号k126+200</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20km。</w:t>
            </w:r>
            <w:r>
              <w:rPr>
                <w:rFonts w:hint="eastAsia" w:ascii="Times New Roman" w:hAnsi="Times New Roman" w:cs="Times New Roman"/>
                <w:spacing w:val="4"/>
                <w:kern w:val="2"/>
                <w:sz w:val="24"/>
                <w:szCs w:val="24"/>
                <w:lang w:eastAsia="zh-CN"/>
              </w:rPr>
              <w:t>可沿</w:t>
            </w:r>
            <w:r>
              <w:rPr>
                <w:rFonts w:ascii="Times New Roman" w:hAnsi="Times New Roman" w:cs="Times New Roman"/>
                <w:spacing w:val="4"/>
                <w:kern w:val="2"/>
                <w:sz w:val="24"/>
                <w:szCs w:val="24"/>
                <w:lang w:eastAsia="zh-CN"/>
              </w:rPr>
              <w:t>X181及砂砾路到达该料场，运输条件较便利。</w:t>
            </w:r>
          </w:p>
          <w:p w14:paraId="1D198777">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6#料场（银海）</w:t>
            </w:r>
            <w:r>
              <w:rPr>
                <w:rFonts w:hint="eastAsia" w:ascii="Times New Roman" w:hAnsi="Times New Roman" w:cs="Times New Roman"/>
                <w:spacing w:val="4"/>
                <w:kern w:val="2"/>
                <w:sz w:val="24"/>
                <w:szCs w:val="24"/>
                <w:lang w:eastAsia="zh-CN"/>
              </w:rPr>
              <w:t>：商业料场，位于吉木萨尔县以西、双岔河子东村以南，为一商品料场，主要供应天然砂砾，可用于路基填料。上路桩号k</w:t>
            </w:r>
            <w:r>
              <w:rPr>
                <w:rFonts w:ascii="Times New Roman" w:hAnsi="Times New Roman" w:cs="Times New Roman"/>
                <w:spacing w:val="4"/>
                <w:kern w:val="2"/>
                <w:sz w:val="24"/>
                <w:szCs w:val="24"/>
                <w:lang w:eastAsia="zh-CN"/>
              </w:rPr>
              <w:t>125+850，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22.5km。</w:t>
            </w:r>
            <w:r>
              <w:rPr>
                <w:rFonts w:hint="eastAsia" w:ascii="Times New Roman" w:hAnsi="Times New Roman" w:cs="Times New Roman"/>
                <w:spacing w:val="4"/>
                <w:kern w:val="2"/>
                <w:sz w:val="24"/>
                <w:szCs w:val="24"/>
                <w:lang w:eastAsia="zh-CN"/>
              </w:rPr>
              <w:t>可沿</w:t>
            </w:r>
            <w:r>
              <w:rPr>
                <w:rFonts w:ascii="Times New Roman" w:hAnsi="Times New Roman" w:cs="Times New Roman"/>
                <w:spacing w:val="4"/>
                <w:kern w:val="2"/>
                <w:sz w:val="24"/>
                <w:szCs w:val="24"/>
                <w:lang w:eastAsia="zh-CN"/>
              </w:rPr>
              <w:t>G335线到达该料场，运输条件较便利。</w:t>
            </w:r>
          </w:p>
          <w:p w14:paraId="33FCD64B">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7#料场（九方开源）</w:t>
            </w:r>
            <w:r>
              <w:rPr>
                <w:rFonts w:hint="eastAsia" w:ascii="Times New Roman" w:hAnsi="Times New Roman" w:cs="Times New Roman"/>
                <w:spacing w:val="4"/>
                <w:kern w:val="2"/>
                <w:sz w:val="24"/>
                <w:szCs w:val="24"/>
                <w:lang w:eastAsia="zh-CN"/>
              </w:rPr>
              <w:t>：商业料场，位于准东将军戈壁将二矿东北部约</w:t>
            </w:r>
            <w:r>
              <w:rPr>
                <w:rFonts w:ascii="Times New Roman" w:hAnsi="Times New Roman" w:cs="Times New Roman"/>
                <w:spacing w:val="4"/>
                <w:kern w:val="2"/>
                <w:sz w:val="24"/>
                <w:szCs w:val="24"/>
                <w:lang w:eastAsia="zh-CN"/>
              </w:rPr>
              <w:t>20km处，可供应各种规格的碎石，碎石岩性为玄武岩，可用作沥青混凝土、水泥混凝土粗集料、细集料。上路桩号</w:t>
            </w:r>
            <w:r>
              <w:rPr>
                <w:rFonts w:hint="eastAsia" w:ascii="Times New Roman" w:hAnsi="Times New Roman" w:cs="Times New Roman"/>
                <w:spacing w:val="4"/>
                <w:kern w:val="2"/>
                <w:sz w:val="24"/>
                <w:szCs w:val="24"/>
                <w:lang w:eastAsia="zh-CN"/>
              </w:rPr>
              <w:t>k</w:t>
            </w:r>
            <w:r>
              <w:rPr>
                <w:rFonts w:ascii="Times New Roman" w:hAnsi="Times New Roman" w:cs="Times New Roman"/>
                <w:spacing w:val="4"/>
                <w:kern w:val="2"/>
                <w:sz w:val="24"/>
                <w:szCs w:val="24"/>
                <w:lang w:eastAsia="zh-CN"/>
              </w:rPr>
              <w:t>37+060，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108km。</w:t>
            </w:r>
            <w:r>
              <w:rPr>
                <w:rFonts w:hint="eastAsia" w:ascii="Times New Roman" w:hAnsi="Times New Roman" w:cs="Times New Roman"/>
                <w:spacing w:val="4"/>
                <w:kern w:val="2"/>
                <w:sz w:val="24"/>
                <w:szCs w:val="24"/>
                <w:lang w:eastAsia="zh-CN"/>
              </w:rPr>
              <w:t>可沿</w:t>
            </w:r>
            <w:r>
              <w:rPr>
                <w:rFonts w:ascii="Times New Roman" w:hAnsi="Times New Roman" w:cs="Times New Roman"/>
                <w:spacing w:val="4"/>
                <w:kern w:val="2"/>
                <w:sz w:val="24"/>
                <w:szCs w:val="24"/>
                <w:lang w:eastAsia="zh-CN"/>
              </w:rPr>
              <w:t>S327线、Z550线砂砾路到达该料场，运输条件便利。</w:t>
            </w:r>
          </w:p>
          <w:p w14:paraId="07B7036B">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8#料场（</w:t>
            </w:r>
            <w:r>
              <w:rPr>
                <w:rFonts w:hint="eastAsia" w:ascii="Times New Roman" w:hAnsi="Times New Roman" w:cs="Times New Roman"/>
                <w:spacing w:val="4"/>
                <w:kern w:val="2"/>
                <w:sz w:val="24"/>
                <w:szCs w:val="24"/>
                <w:lang w:eastAsia="zh-CN"/>
              </w:rPr>
              <w:t>国投</w:t>
            </w:r>
            <w:r>
              <w:rPr>
                <w:rFonts w:ascii="Times New Roman" w:hAnsi="Times New Roman" w:cs="Times New Roman"/>
                <w:spacing w:val="4"/>
                <w:kern w:val="2"/>
                <w:sz w:val="24"/>
                <w:szCs w:val="24"/>
                <w:lang w:eastAsia="zh-CN"/>
              </w:rPr>
              <w:t>）</w:t>
            </w:r>
            <w:r>
              <w:rPr>
                <w:rFonts w:hint="eastAsia" w:ascii="Times New Roman" w:hAnsi="Times New Roman" w:cs="Times New Roman"/>
                <w:spacing w:val="4"/>
                <w:kern w:val="2"/>
                <w:sz w:val="24"/>
                <w:szCs w:val="24"/>
                <w:lang w:eastAsia="zh-CN"/>
              </w:rPr>
              <w:t>：商业料场，位于准东将军戈壁将二矿东北部约</w:t>
            </w:r>
            <w:r>
              <w:rPr>
                <w:rFonts w:ascii="Times New Roman" w:hAnsi="Times New Roman" w:cs="Times New Roman"/>
                <w:spacing w:val="4"/>
                <w:kern w:val="2"/>
                <w:sz w:val="24"/>
                <w:szCs w:val="24"/>
                <w:lang w:eastAsia="zh-CN"/>
              </w:rPr>
              <w:t>25km处，可供应各种规格的碎石，碎石岩性为玄武岩，可用作沥青混凝土、水泥混凝土粗集料、细集料。上路桩号</w:t>
            </w:r>
            <w:r>
              <w:rPr>
                <w:rFonts w:hint="eastAsia" w:ascii="Times New Roman" w:hAnsi="Times New Roman" w:cs="Times New Roman"/>
                <w:spacing w:val="4"/>
                <w:kern w:val="2"/>
                <w:sz w:val="24"/>
                <w:szCs w:val="24"/>
                <w:lang w:eastAsia="zh-CN"/>
              </w:rPr>
              <w:t>k</w:t>
            </w:r>
            <w:r>
              <w:rPr>
                <w:rFonts w:ascii="Times New Roman" w:hAnsi="Times New Roman" w:cs="Times New Roman"/>
                <w:spacing w:val="4"/>
                <w:kern w:val="2"/>
                <w:sz w:val="24"/>
                <w:szCs w:val="24"/>
                <w:lang w:eastAsia="zh-CN"/>
              </w:rPr>
              <w:t>37+060，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115km。</w:t>
            </w:r>
          </w:p>
          <w:p w14:paraId="775923BC">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（2）其他材料来源</w:t>
            </w:r>
          </w:p>
          <w:p w14:paraId="31BCD258">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工程所需钢材由乌鲁木齐八钢供应，平均运距</w:t>
            </w:r>
            <w:r>
              <w:rPr>
                <w:rFonts w:ascii="Times New Roman" w:hAnsi="Times New Roman" w:cs="Times New Roman"/>
                <w:spacing w:val="4"/>
                <w:kern w:val="2"/>
                <w:sz w:val="24"/>
                <w:szCs w:val="24"/>
                <w:lang w:eastAsia="zh-CN"/>
              </w:rPr>
              <w:t>230km。</w:t>
            </w:r>
            <w:r>
              <w:rPr>
                <w:rFonts w:hint="eastAsia" w:ascii="Times New Roman" w:hAnsi="Times New Roman" w:cs="Times New Roman"/>
                <w:spacing w:val="4"/>
                <w:kern w:val="2"/>
                <w:sz w:val="24"/>
                <w:szCs w:val="24"/>
                <w:lang w:eastAsia="zh-CN"/>
              </w:rPr>
              <w:t>水泥从阜康产业园购买，平均运距1</w:t>
            </w:r>
            <w:r>
              <w:rPr>
                <w:rFonts w:ascii="Times New Roman" w:hAnsi="Times New Roman" w:cs="Times New Roman"/>
                <w:spacing w:val="4"/>
                <w:kern w:val="2"/>
                <w:sz w:val="24"/>
                <w:szCs w:val="24"/>
                <w:lang w:eastAsia="zh-CN"/>
              </w:rPr>
              <w:t>70km；</w:t>
            </w:r>
            <w:r>
              <w:rPr>
                <w:rFonts w:hint="eastAsia" w:ascii="Times New Roman" w:hAnsi="Times New Roman" w:cs="Times New Roman"/>
                <w:spacing w:val="4"/>
                <w:kern w:val="2"/>
                <w:sz w:val="24"/>
                <w:szCs w:val="24"/>
                <w:lang w:eastAsia="zh-CN"/>
              </w:rPr>
              <w:t>沥青从克拉玛依市</w:t>
            </w:r>
            <w:r>
              <w:rPr>
                <w:rFonts w:ascii="Times New Roman" w:hAnsi="Times New Roman" w:cs="Times New Roman"/>
                <w:spacing w:val="4"/>
                <w:kern w:val="2"/>
                <w:sz w:val="24"/>
                <w:szCs w:val="24"/>
                <w:lang w:eastAsia="zh-CN"/>
              </w:rPr>
              <w:t>购买</w:t>
            </w:r>
            <w:r>
              <w:rPr>
                <w:rFonts w:hint="eastAsia" w:ascii="Times New Roman" w:hAnsi="Times New Roman" w:cs="Times New Roman"/>
                <w:spacing w:val="4"/>
                <w:kern w:val="2"/>
                <w:sz w:val="24"/>
                <w:szCs w:val="24"/>
                <w:lang w:eastAsia="zh-CN"/>
              </w:rPr>
              <w:t>，平均运距</w:t>
            </w:r>
            <w:r>
              <w:rPr>
                <w:rFonts w:ascii="Times New Roman" w:hAnsi="Times New Roman" w:cs="Times New Roman"/>
                <w:spacing w:val="4"/>
                <w:kern w:val="2"/>
                <w:sz w:val="24"/>
                <w:szCs w:val="24"/>
                <w:lang w:eastAsia="zh-CN"/>
              </w:rPr>
              <w:t>522km。</w:t>
            </w:r>
            <w:r>
              <w:rPr>
                <w:rFonts w:hint="eastAsia" w:ascii="Times New Roman" w:hAnsi="Times New Roman" w:cs="Times New Roman"/>
                <w:spacing w:val="4"/>
                <w:kern w:val="2"/>
                <w:sz w:val="24"/>
                <w:szCs w:val="24"/>
                <w:lang w:eastAsia="zh-CN"/>
              </w:rPr>
              <w:t>木材、汽油、柴油等均从吉木萨尔县和五彩湾购买，平均运距</w:t>
            </w:r>
            <w:r>
              <w:rPr>
                <w:rFonts w:ascii="Times New Roman" w:hAnsi="Times New Roman" w:cs="Times New Roman"/>
                <w:spacing w:val="4"/>
                <w:kern w:val="2"/>
                <w:sz w:val="24"/>
                <w:szCs w:val="24"/>
                <w:lang w:eastAsia="zh-CN"/>
              </w:rPr>
              <w:t>30km。芦苇</w:t>
            </w:r>
            <w:r>
              <w:rPr>
                <w:rFonts w:hint="eastAsia" w:ascii="Times New Roman" w:hAnsi="Times New Roman" w:cs="Times New Roman"/>
                <w:spacing w:val="4"/>
                <w:kern w:val="2"/>
                <w:sz w:val="24"/>
                <w:szCs w:val="24"/>
                <w:lang w:eastAsia="zh-CN"/>
              </w:rPr>
              <w:t>从</w:t>
            </w:r>
            <w:r>
              <w:rPr>
                <w:rFonts w:ascii="Times New Roman" w:hAnsi="Times New Roman" w:cs="Times New Roman"/>
                <w:spacing w:val="4"/>
                <w:kern w:val="2"/>
                <w:sz w:val="24"/>
                <w:szCs w:val="24"/>
                <w:lang w:eastAsia="zh-CN"/>
              </w:rPr>
              <w:t>巴州博湖县</w:t>
            </w:r>
            <w:r>
              <w:rPr>
                <w:rFonts w:hint="eastAsia" w:ascii="Times New Roman" w:hAnsi="Times New Roman" w:cs="Times New Roman"/>
                <w:spacing w:val="4"/>
                <w:kern w:val="2"/>
                <w:sz w:val="24"/>
                <w:szCs w:val="24"/>
                <w:lang w:eastAsia="zh-CN"/>
              </w:rPr>
              <w:t>购买</w:t>
            </w:r>
            <w:r>
              <w:rPr>
                <w:rFonts w:ascii="Times New Roman" w:hAnsi="Times New Roman" w:cs="Times New Roman"/>
                <w:spacing w:val="4"/>
                <w:kern w:val="2"/>
                <w:sz w:val="24"/>
                <w:szCs w:val="24"/>
                <w:lang w:eastAsia="zh-CN"/>
              </w:rPr>
              <w:t>，平均运距670km。</w:t>
            </w:r>
          </w:p>
          <w:p w14:paraId="33DE34F0">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3）</w:t>
            </w:r>
            <w:r>
              <w:rPr>
                <w:rFonts w:hint="eastAsia" w:ascii="Times New Roman" w:hAnsi="Times New Roman" w:cs="Times New Roman"/>
                <w:spacing w:val="4"/>
                <w:kern w:val="2"/>
                <w:sz w:val="24"/>
                <w:szCs w:val="24"/>
                <w:lang w:eastAsia="zh-CN"/>
              </w:rPr>
              <w:t>水电供应</w:t>
            </w:r>
          </w:p>
          <w:p w14:paraId="361E147C">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①</w:t>
            </w:r>
            <w:r>
              <w:rPr>
                <w:rFonts w:hint="eastAsia" w:ascii="Times New Roman" w:hAnsi="Times New Roman" w:cs="Times New Roman"/>
                <w:spacing w:val="4"/>
                <w:kern w:val="2"/>
                <w:sz w:val="24"/>
                <w:szCs w:val="24"/>
                <w:lang w:eastAsia="zh-CN"/>
              </w:rPr>
              <w:t>供水</w:t>
            </w:r>
          </w:p>
          <w:p w14:paraId="52F53D53">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1#供水点：位于准东五彩湾彩南社区，可供应项目用水，上路桩号k45+700，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1.0km，可沿园区路到达该供水点，运输条件较便利，供应范围为k37+060至k80+000段，平均运距15.5km。</w:t>
            </w:r>
          </w:p>
          <w:p w14:paraId="395D5686">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ascii="Times New Roman" w:hAnsi="Times New Roman" w:cs="Times New Roman"/>
                <w:spacing w:val="4"/>
                <w:kern w:val="2"/>
                <w:sz w:val="24"/>
                <w:szCs w:val="24"/>
                <w:lang w:eastAsia="zh-CN"/>
              </w:rPr>
              <w:t>2#供水点：位于吉木萨尔县东二畦水库西侧，可供应项目用水，上路桩号k119+800，</w:t>
            </w:r>
            <w:r>
              <w:rPr>
                <w:rFonts w:hint="eastAsia" w:ascii="Times New Roman" w:hAnsi="Times New Roman" w:cs="Times New Roman"/>
                <w:spacing w:val="4"/>
                <w:kern w:val="2"/>
                <w:sz w:val="24"/>
                <w:szCs w:val="24"/>
                <w:lang w:eastAsia="zh-CN"/>
              </w:rPr>
              <w:t>运距</w:t>
            </w:r>
            <w:r>
              <w:rPr>
                <w:rFonts w:ascii="Times New Roman" w:hAnsi="Times New Roman" w:cs="Times New Roman"/>
                <w:spacing w:val="4"/>
                <w:kern w:val="2"/>
                <w:sz w:val="24"/>
                <w:szCs w:val="24"/>
                <w:lang w:eastAsia="zh-CN"/>
              </w:rPr>
              <w:t>0.1km，可沿S239线到达该料场，运输条件较便利，该料场供应范围为k80+000至k126+200段，平均运距17.5km。</w:t>
            </w:r>
          </w:p>
          <w:p w14:paraId="713D8B99">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②</w:t>
            </w:r>
            <w:r>
              <w:rPr>
                <w:rFonts w:hint="eastAsia" w:ascii="Times New Roman" w:hAnsi="Times New Roman" w:cs="Times New Roman"/>
                <w:spacing w:val="4"/>
                <w:kern w:val="2"/>
                <w:sz w:val="24"/>
                <w:szCs w:val="24"/>
                <w:lang w:eastAsia="zh-CN"/>
              </w:rPr>
              <w:t>供电</w:t>
            </w:r>
          </w:p>
          <w:p w14:paraId="4C62C273">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本项目沿线部分路段有供电线路端口，施工时可接入使用，可考虑采用自发电与公用电结合的</w:t>
            </w:r>
            <w:r>
              <w:rPr>
                <w:rFonts w:ascii="Times New Roman" w:hAnsi="Times New Roman" w:cs="Times New Roman"/>
                <w:spacing w:val="4"/>
                <w:kern w:val="2"/>
                <w:sz w:val="24"/>
                <w:szCs w:val="24"/>
                <w:lang w:eastAsia="zh-CN"/>
              </w:rPr>
              <w:t>方式供电</w:t>
            </w:r>
            <w:r>
              <w:rPr>
                <w:rFonts w:hint="eastAsia" w:ascii="Times New Roman" w:hAnsi="Times New Roman" w:cs="Times New Roman"/>
                <w:spacing w:val="4"/>
                <w:kern w:val="2"/>
                <w:sz w:val="24"/>
                <w:szCs w:val="24"/>
                <w:lang w:eastAsia="zh-CN"/>
              </w:rPr>
              <w:t>，其中自发电占</w:t>
            </w:r>
            <w:r>
              <w:rPr>
                <w:rFonts w:ascii="Times New Roman" w:hAnsi="Times New Roman" w:cs="Times New Roman"/>
                <w:spacing w:val="4"/>
                <w:kern w:val="2"/>
                <w:sz w:val="24"/>
                <w:szCs w:val="24"/>
                <w:lang w:eastAsia="zh-CN"/>
              </w:rPr>
              <w:t>50%，公用电占50%，沙漠</w:t>
            </w:r>
            <w:r>
              <w:rPr>
                <w:rFonts w:hint="eastAsia" w:ascii="Times New Roman" w:hAnsi="Times New Roman" w:cs="Times New Roman"/>
                <w:spacing w:val="4"/>
                <w:kern w:val="2"/>
                <w:sz w:val="24"/>
                <w:szCs w:val="24"/>
                <w:lang w:eastAsia="zh-CN"/>
              </w:rPr>
              <w:t>路</w:t>
            </w:r>
            <w:r>
              <w:rPr>
                <w:rFonts w:ascii="Times New Roman" w:hAnsi="Times New Roman" w:cs="Times New Roman"/>
                <w:spacing w:val="4"/>
                <w:kern w:val="2"/>
                <w:sz w:val="24"/>
                <w:szCs w:val="24"/>
                <w:lang w:eastAsia="zh-CN"/>
              </w:rPr>
              <w:t>段采用自发电，其余</w:t>
            </w:r>
            <w:r>
              <w:rPr>
                <w:rFonts w:hint="eastAsia" w:ascii="Times New Roman" w:hAnsi="Times New Roman" w:cs="Times New Roman"/>
                <w:spacing w:val="4"/>
                <w:kern w:val="2"/>
                <w:sz w:val="24"/>
                <w:szCs w:val="24"/>
                <w:lang w:eastAsia="zh-CN"/>
              </w:rPr>
              <w:t>路段</w:t>
            </w:r>
            <w:r>
              <w:rPr>
                <w:rFonts w:ascii="Times New Roman" w:hAnsi="Times New Roman" w:cs="Times New Roman"/>
                <w:spacing w:val="4"/>
                <w:kern w:val="2"/>
                <w:sz w:val="24"/>
                <w:szCs w:val="24"/>
                <w:lang w:eastAsia="zh-CN"/>
              </w:rPr>
              <w:t>可采用公用电。</w:t>
            </w:r>
          </w:p>
          <w:p w14:paraId="03CA832F">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4</w:t>
            </w:r>
            <w:r>
              <w:rPr>
                <w:rFonts w:hint="eastAsia" w:ascii="Times New Roman" w:hAnsi="Times New Roman" w:cs="Times New Roman"/>
                <w:spacing w:val="4"/>
                <w:kern w:val="2"/>
                <w:sz w:val="24"/>
                <w:szCs w:val="24"/>
                <w:lang w:eastAsia="zh-CN"/>
              </w:rPr>
              <w:t>）筑路原料</w:t>
            </w:r>
            <w:r>
              <w:rPr>
                <w:rFonts w:ascii="Times New Roman" w:hAnsi="Times New Roman" w:cs="Times New Roman"/>
                <w:spacing w:val="4"/>
                <w:kern w:val="2"/>
                <w:sz w:val="24"/>
                <w:szCs w:val="24"/>
                <w:lang w:eastAsia="zh-CN"/>
              </w:rPr>
              <w:t>制备</w:t>
            </w:r>
            <w:r>
              <w:rPr>
                <w:rFonts w:hint="eastAsia" w:ascii="Times New Roman" w:hAnsi="Times New Roman" w:cs="Times New Roman"/>
                <w:spacing w:val="4"/>
                <w:kern w:val="2"/>
                <w:sz w:val="24"/>
                <w:szCs w:val="24"/>
                <w:lang w:eastAsia="zh-CN"/>
              </w:rPr>
              <w:t>场站</w:t>
            </w:r>
          </w:p>
          <w:p w14:paraId="15771971">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项目筑路原料由项目综合场站制备，项目综合场站位于</w:t>
            </w:r>
            <w:r>
              <w:rPr>
                <w:rFonts w:ascii="Times New Roman" w:hAnsi="Times New Roman" w:cs="Times New Roman"/>
                <w:spacing w:val="4"/>
                <w:kern w:val="2"/>
                <w:sz w:val="24"/>
                <w:szCs w:val="24"/>
                <w:lang w:eastAsia="zh-CN"/>
              </w:rPr>
              <w:t>k124+550路线东侧550m吉木萨尔县物流园内空地上，</w:t>
            </w:r>
            <w:r>
              <w:rPr>
                <w:rFonts w:hint="eastAsia" w:ascii="Times New Roman" w:hAnsi="Times New Roman" w:cs="Times New Roman"/>
                <w:spacing w:val="4"/>
                <w:kern w:val="2"/>
                <w:sz w:val="24"/>
                <w:szCs w:val="24"/>
                <w:lang w:eastAsia="zh-CN"/>
              </w:rPr>
              <w:t>占地面积</w:t>
            </w:r>
            <w:r>
              <w:rPr>
                <w:rFonts w:ascii="Times New Roman" w:hAnsi="Times New Roman" w:cs="Times New Roman"/>
                <w:spacing w:val="4"/>
                <w:kern w:val="2"/>
                <w:sz w:val="24"/>
                <w:szCs w:val="24"/>
                <w:lang w:eastAsia="zh-CN"/>
              </w:rPr>
              <w:t>28994</w:t>
            </w:r>
            <w:r>
              <w:rPr>
                <w:rFonts w:hint="eastAsia" w:ascii="Times New Roman" w:hAnsi="Times New Roman" w:cs="Times New Roman"/>
                <w:spacing w:val="4"/>
                <w:kern w:val="2"/>
                <w:sz w:val="24"/>
                <w:szCs w:val="24"/>
                <w:lang w:eastAsia="zh-CN"/>
              </w:rPr>
              <w:t>m²，规划建设职工生活办公区、施工人员生活区、水稳料拌合站1处、沥青拌合站1处。</w:t>
            </w:r>
            <w:r>
              <w:rPr>
                <w:rFonts w:ascii="Times New Roman" w:hAnsi="Times New Roman" w:cs="Times New Roman"/>
                <w:spacing w:val="4"/>
                <w:kern w:val="2"/>
                <w:sz w:val="24"/>
                <w:szCs w:val="24"/>
                <w:lang w:eastAsia="zh-CN"/>
              </w:rPr>
              <w:t>不在本次评价范围，需单独办理环保手续。</w:t>
            </w:r>
          </w:p>
          <w:p w14:paraId="6A6F8FCF">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项目施工临时用地位置示意图见附图3</w:t>
            </w:r>
            <w:r>
              <w:rPr>
                <w:rFonts w:ascii="Times New Roman" w:hAnsi="Times New Roman" w:cs="Times New Roman"/>
                <w:spacing w:val="4"/>
                <w:kern w:val="2"/>
                <w:sz w:val="24"/>
                <w:szCs w:val="24"/>
                <w:lang w:eastAsia="zh-CN"/>
              </w:rPr>
              <w:t>-1</w:t>
            </w:r>
            <w:r>
              <w:rPr>
                <w:rFonts w:hint="eastAsia" w:ascii="Times New Roman" w:hAnsi="Times New Roman" w:cs="Times New Roman"/>
                <w:spacing w:val="4"/>
                <w:kern w:val="2"/>
                <w:sz w:val="24"/>
                <w:szCs w:val="24"/>
                <w:lang w:eastAsia="zh-CN"/>
              </w:rPr>
              <w:t>、附图3</w:t>
            </w:r>
            <w:r>
              <w:rPr>
                <w:rFonts w:ascii="Times New Roman" w:hAnsi="Times New Roman" w:cs="Times New Roman"/>
                <w:spacing w:val="4"/>
                <w:kern w:val="2"/>
                <w:sz w:val="24"/>
                <w:szCs w:val="24"/>
                <w:lang w:eastAsia="zh-CN"/>
              </w:rPr>
              <w:t>-2</w:t>
            </w:r>
            <w:r>
              <w:rPr>
                <w:rFonts w:hint="eastAsia" w:ascii="Times New Roman" w:hAnsi="Times New Roman" w:cs="Times New Roman"/>
                <w:spacing w:val="4"/>
                <w:kern w:val="2"/>
                <w:sz w:val="24"/>
                <w:szCs w:val="24"/>
                <w:lang w:eastAsia="zh-CN"/>
              </w:rPr>
              <w:t>。</w:t>
            </w:r>
          </w:p>
          <w:p w14:paraId="54ECD509">
            <w:pPr>
              <w:autoSpaceDE/>
              <w:autoSpaceDN/>
              <w:spacing w:line="360" w:lineRule="auto"/>
              <w:ind w:firstLine="498" w:firstLineChars="200"/>
              <w:jc w:val="both"/>
              <w:rPr>
                <w:rFonts w:ascii="Times New Roman" w:hAnsi="Times New Roman" w:cs="Times New Roman"/>
                <w:b/>
                <w:bCs/>
                <w:spacing w:val="4"/>
                <w:kern w:val="2"/>
                <w:sz w:val="24"/>
                <w:szCs w:val="24"/>
                <w:lang w:eastAsia="zh-CN"/>
              </w:rPr>
            </w:pPr>
            <w:r>
              <w:rPr>
                <w:rFonts w:hint="eastAsia" w:ascii="Times New Roman" w:hAnsi="Times New Roman" w:cs="Times New Roman"/>
                <w:b/>
                <w:bCs/>
                <w:spacing w:val="4"/>
                <w:kern w:val="2"/>
                <w:sz w:val="24"/>
                <w:szCs w:val="24"/>
                <w:lang w:eastAsia="zh-CN"/>
              </w:rPr>
              <w:t>7</w:t>
            </w:r>
            <w:r>
              <w:rPr>
                <w:rFonts w:ascii="Times New Roman" w:hAnsi="Times New Roman" w:cs="Times New Roman"/>
                <w:b/>
                <w:bCs/>
                <w:spacing w:val="4"/>
                <w:kern w:val="2"/>
                <w:sz w:val="24"/>
                <w:szCs w:val="24"/>
                <w:lang w:eastAsia="zh-CN"/>
              </w:rPr>
              <w:t>.3 施工工艺流程</w:t>
            </w:r>
            <w:r>
              <w:rPr>
                <w:rFonts w:hint="eastAsia" w:ascii="Times New Roman" w:hAnsi="Times New Roman" w:cs="Times New Roman"/>
                <w:b/>
                <w:bCs/>
                <w:spacing w:val="4"/>
                <w:kern w:val="2"/>
                <w:sz w:val="24"/>
                <w:szCs w:val="24"/>
                <w:lang w:eastAsia="zh-CN"/>
              </w:rPr>
              <w:t>及产排污</w:t>
            </w:r>
          </w:p>
          <w:p w14:paraId="61DE46FC">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w:t>
            </w:r>
            <w:r>
              <w:rPr>
                <w:rFonts w:ascii="Times New Roman" w:hAnsi="Times New Roman" w:cs="Times New Roman"/>
                <w:spacing w:val="4"/>
                <w:kern w:val="2"/>
                <w:sz w:val="24"/>
                <w:szCs w:val="24"/>
                <w:lang w:eastAsia="zh-CN"/>
              </w:rPr>
              <w:t>1）</w:t>
            </w:r>
            <w:r>
              <w:rPr>
                <w:rFonts w:hint="eastAsia" w:ascii="Times New Roman" w:hAnsi="Times New Roman" w:cs="Times New Roman"/>
                <w:spacing w:val="4"/>
                <w:kern w:val="2"/>
                <w:sz w:val="24"/>
                <w:szCs w:val="24"/>
                <w:lang w:eastAsia="zh-CN"/>
              </w:rPr>
              <w:t>施工工艺流程</w:t>
            </w:r>
          </w:p>
          <w:p w14:paraId="1CB59622">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①</w:t>
            </w:r>
            <w:r>
              <w:rPr>
                <w:rFonts w:ascii="Times New Roman" w:hAnsi="Times New Roman" w:cs="Times New Roman"/>
                <w:spacing w:val="4"/>
                <w:kern w:val="2"/>
                <w:sz w:val="24"/>
                <w:szCs w:val="24"/>
                <w:lang w:eastAsia="zh-CN"/>
              </w:rPr>
              <w:t>施工前期准备</w:t>
            </w:r>
          </w:p>
          <w:p w14:paraId="7D4D6459">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计划工期安排自</w:t>
            </w:r>
            <w:r>
              <w:rPr>
                <w:rFonts w:ascii="Times New Roman" w:hAnsi="Times New Roman" w:cs="Times New Roman"/>
                <w:spacing w:val="4"/>
                <w:kern w:val="2"/>
                <w:sz w:val="24"/>
                <w:szCs w:val="24"/>
                <w:lang w:eastAsia="zh-CN"/>
              </w:rPr>
              <w:t>2024年9月初至11月底完成，计划工期3个月完成。</w:t>
            </w:r>
          </w:p>
          <w:p w14:paraId="1D0FADE9">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施工前准备工作主要包括：征地放样、路基清表、施工中桩敷设、施工便道修筑、施工材料准备等。</w:t>
            </w:r>
          </w:p>
          <w:p w14:paraId="7D8F759E">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②</w:t>
            </w:r>
            <w:r>
              <w:rPr>
                <w:rFonts w:ascii="Times New Roman" w:hAnsi="Times New Roman" w:cs="Times New Roman"/>
                <w:spacing w:val="4"/>
                <w:kern w:val="2"/>
                <w:sz w:val="24"/>
                <w:szCs w:val="24"/>
                <w:lang w:eastAsia="zh-CN"/>
              </w:rPr>
              <w:t>桥涵施工</w:t>
            </w:r>
          </w:p>
          <w:p w14:paraId="03A03486">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计划工期安排自</w:t>
            </w:r>
            <w:r>
              <w:rPr>
                <w:rFonts w:ascii="Times New Roman" w:hAnsi="Times New Roman" w:cs="Times New Roman"/>
                <w:spacing w:val="4"/>
                <w:kern w:val="2"/>
                <w:sz w:val="24"/>
                <w:szCs w:val="24"/>
                <w:lang w:eastAsia="zh-CN"/>
              </w:rPr>
              <w:t>2024年10月至2025年6月完成，计划工期9个月完成，开工后应立即抓紧基础施工避免受降雨、风积砂等影响。</w:t>
            </w:r>
          </w:p>
          <w:p w14:paraId="340BB18D">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施工工序：明挖基础→承台→墩台→盖梁→主梁→桥面系。</w:t>
            </w:r>
          </w:p>
          <w:p w14:paraId="3FA742E4">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桥涵工程根据不同结构型式及部位，分别采用机械、机械与人工相结合或人工施工方案。简支板、梁式上部构造及涵洞的盖板或圆管，建议采用向专业化预制厂定购、工厂化集中预制或工地集中预制等，运至工点安装。连续板</w:t>
            </w:r>
            <w:r>
              <w:rPr>
                <w:rFonts w:ascii="Times New Roman" w:hAnsi="Times New Roman" w:cs="Times New Roman"/>
                <w:spacing w:val="4"/>
                <w:kern w:val="2"/>
                <w:sz w:val="24"/>
                <w:szCs w:val="24"/>
                <w:lang w:eastAsia="zh-CN"/>
              </w:rPr>
              <w:t>(梁)上部构造，一般采取搭架现浇施工或砌筑。当采用工场预制或定购构件时，应着重考虑相应的运输工具和运输条件，并考虑对原有施工道路的改建。</w:t>
            </w:r>
          </w:p>
          <w:p w14:paraId="0EBE0869">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石砌圬工、挖孔桩及板式扩大基础，一般可以人工施工为主。</w:t>
            </w:r>
          </w:p>
          <w:p w14:paraId="2B5566FB">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本次设计由于受规划及地形条件限制，桥位中心线与老路中线基本重合，采用两侧或单侧加宽的布线方案，设计采用拆除方案，施工时可在河道上下游设置便道，并在便道下埋设过水圆管涵，以保证道路交通畅通。</w:t>
            </w:r>
          </w:p>
          <w:p w14:paraId="065C85ED">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③</w:t>
            </w:r>
            <w:r>
              <w:rPr>
                <w:rFonts w:ascii="Times New Roman" w:hAnsi="Times New Roman" w:cs="Times New Roman"/>
                <w:spacing w:val="4"/>
                <w:kern w:val="2"/>
                <w:sz w:val="24"/>
                <w:szCs w:val="24"/>
                <w:lang w:eastAsia="zh-CN"/>
              </w:rPr>
              <w:t>路基施工</w:t>
            </w:r>
          </w:p>
          <w:p w14:paraId="268A874D">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计划工期安排自</w:t>
            </w:r>
            <w:r>
              <w:rPr>
                <w:rFonts w:ascii="Times New Roman" w:hAnsi="Times New Roman" w:cs="Times New Roman"/>
                <w:spacing w:val="4"/>
                <w:kern w:val="2"/>
                <w:sz w:val="24"/>
                <w:szCs w:val="24"/>
                <w:lang w:eastAsia="zh-CN"/>
              </w:rPr>
              <w:t>2024年6月初至2025年6月底完成，计划工期12个月完成。</w:t>
            </w:r>
          </w:p>
          <w:p w14:paraId="2B756346">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施工工序：基底处理→填路基土→填台背土。</w:t>
            </w:r>
          </w:p>
          <w:p w14:paraId="516E4726">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路基填筑工程施工建议以机械为主、人工为辅的施工，挖方路段应尽量布置多个作业面以推土机或挖掘机作业，配以装载机和自卸翻斗车运至填方路段填筑路堤或弃于废土场，机械化程度较高的专业队伍，也可采用铲运机进行连续挖运作业；填方路段则以装载机械或推土机伴以人工找平，能采用平地机找平更好，碾压密实。施工过程中须加强施工管理、严格工序控制，以确保施工质量。作业中应根据具体情况，注意调整各种机械的配套，避免发生窝工现象。路基雨季施工应采取切实可行的雨季施工措施，确保路基施工质量。</w:t>
            </w:r>
          </w:p>
          <w:p w14:paraId="0EAC6B07">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④</w:t>
            </w:r>
            <w:r>
              <w:rPr>
                <w:rFonts w:ascii="Times New Roman" w:hAnsi="Times New Roman" w:cs="Times New Roman"/>
                <w:spacing w:val="4"/>
                <w:kern w:val="2"/>
                <w:sz w:val="24"/>
                <w:szCs w:val="24"/>
                <w:lang w:eastAsia="zh-CN"/>
              </w:rPr>
              <w:t>路面施工</w:t>
            </w:r>
          </w:p>
          <w:p w14:paraId="0792A671">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考虑路面施工衔接和温度原因，计划工期安排在</w:t>
            </w:r>
            <w:r>
              <w:rPr>
                <w:rFonts w:ascii="Times New Roman" w:hAnsi="Times New Roman" w:cs="Times New Roman"/>
                <w:spacing w:val="4"/>
                <w:kern w:val="2"/>
                <w:sz w:val="24"/>
                <w:szCs w:val="24"/>
                <w:lang w:eastAsia="zh-CN"/>
              </w:rPr>
              <w:t>2025年4月初开工，2025年 6月底结束，计划3个月完成。</w:t>
            </w:r>
          </w:p>
          <w:p w14:paraId="2007E7B0">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路面工程开工前，首先要验收路基修筑质量（包括标高、路拱度、压实度等），确认合格后，方可进行该项目施工。</w:t>
            </w:r>
          </w:p>
          <w:p w14:paraId="6A500BF9">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当大部分路基竣工后，可开始底基层施工。本路段采用沥青混凝土路面，施工中应严格按照《沥青混凝土路面施工及验收标准》设计要求进行。路面各结构层的材料满足设计要求，施工单位要进行相应的试验，并及时为施工现场提供数据，并随时检查工程质量，为保证路面基底层质量，要求对水泥稳定类基层采用机械集中拌和的方法，然后用机械配合人工摊铺碾压，面层采用大型机械摊铺成型设备，集中拌和，确保工程质量。</w:t>
            </w:r>
          </w:p>
          <w:p w14:paraId="1BE842C6">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spacing w:val="4"/>
                <w:kern w:val="2"/>
                <w:sz w:val="24"/>
                <w:szCs w:val="24"/>
                <w:lang w:eastAsia="zh-CN"/>
              </w:rPr>
              <w:t>⑤</w:t>
            </w:r>
            <w:r>
              <w:rPr>
                <w:rFonts w:ascii="Times New Roman" w:hAnsi="Times New Roman" w:cs="Times New Roman"/>
                <w:spacing w:val="4"/>
                <w:kern w:val="2"/>
                <w:sz w:val="24"/>
                <w:szCs w:val="24"/>
                <w:lang w:eastAsia="zh-CN"/>
              </w:rPr>
              <w:t>交通工程及沿线设施</w:t>
            </w:r>
          </w:p>
          <w:p w14:paraId="38566E50">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项目沿线配套工程主要是服务区、收费站等施工，计划工期安排在</w:t>
            </w:r>
            <w:r>
              <w:rPr>
                <w:rFonts w:ascii="Times New Roman" w:hAnsi="Times New Roman" w:cs="Times New Roman"/>
                <w:spacing w:val="4"/>
                <w:kern w:val="2"/>
                <w:sz w:val="24"/>
                <w:szCs w:val="24"/>
                <w:lang w:eastAsia="zh-CN"/>
              </w:rPr>
              <w:t>2025年10月初开工，2025年12月底结束，计划3个月完成。</w:t>
            </w:r>
          </w:p>
          <w:p w14:paraId="66D2B85E">
            <w:pPr>
              <w:autoSpaceDE/>
              <w:autoSpaceDN/>
              <w:spacing w:line="360" w:lineRule="auto"/>
              <w:ind w:firstLine="496"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pacing w:val="4"/>
                <w:kern w:val="2"/>
                <w:sz w:val="24"/>
                <w:szCs w:val="24"/>
                <w:lang w:eastAsia="zh-CN"/>
              </w:rPr>
              <w:t>施工期，项目基本工艺流程及产污环节如图</w:t>
            </w:r>
            <w:r>
              <w:rPr>
                <w:rFonts w:ascii="Times New Roman" w:hAnsi="Times New Roman" w:cs="Times New Roman"/>
                <w:spacing w:val="4"/>
                <w:kern w:val="2"/>
                <w:sz w:val="24"/>
                <w:szCs w:val="24"/>
                <w:lang w:eastAsia="zh-CN"/>
              </w:rPr>
              <w:t>2.4所示：</w:t>
            </w:r>
          </w:p>
          <w:p w14:paraId="3CF7EF07">
            <w:pPr>
              <w:autoSpaceDE/>
              <w:autoSpaceDN/>
              <w:spacing w:line="360" w:lineRule="auto"/>
              <w:jc w:val="center"/>
              <w:rPr>
                <w:rFonts w:ascii="Times New Roman" w:hAnsi="Times New Roman" w:cs="Times New Roman"/>
                <w:spacing w:val="4"/>
                <w:kern w:val="2"/>
                <w:sz w:val="24"/>
                <w:szCs w:val="24"/>
                <w:lang w:eastAsia="zh-CN"/>
              </w:rPr>
            </w:pPr>
          </w:p>
          <w:p w14:paraId="6C0F9CBB">
            <w:pPr>
              <w:autoSpaceDE/>
              <w:autoSpaceDN/>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drawing>
                <wp:inline distT="0" distB="0" distL="0" distR="0">
                  <wp:extent cx="5400675" cy="1044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445728" cy="1053574"/>
                          </a:xfrm>
                          <a:prstGeom prst="rect">
                            <a:avLst/>
                          </a:prstGeom>
                        </pic:spPr>
                      </pic:pic>
                    </a:graphicData>
                  </a:graphic>
                </wp:inline>
              </w:drawing>
            </w:r>
          </w:p>
          <w:p w14:paraId="0E99A335">
            <w:pPr>
              <w:autoSpaceDE/>
              <w:autoSpaceDN/>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 xml:space="preserve">图2.4  </w:t>
            </w:r>
            <w:r>
              <w:rPr>
                <w:rFonts w:hint="eastAsia" w:ascii="Times New Roman" w:hAnsi="Times New Roman" w:cs="Times New Roman"/>
                <w:b/>
                <w:sz w:val="21"/>
                <w:szCs w:val="21"/>
                <w:lang w:eastAsia="zh-CN"/>
              </w:rPr>
              <w:t>道路工程</w:t>
            </w:r>
            <w:r>
              <w:rPr>
                <w:rFonts w:ascii="Times New Roman" w:hAnsi="Times New Roman" w:cs="Times New Roman"/>
                <w:b/>
                <w:sz w:val="21"/>
                <w:szCs w:val="21"/>
                <w:lang w:eastAsia="zh-CN"/>
              </w:rPr>
              <w:t>施工期工艺流程及排污节点图</w:t>
            </w:r>
          </w:p>
          <w:p w14:paraId="3716DC8E">
            <w:pPr>
              <w:autoSpaceDE/>
              <w:autoSpaceDN/>
              <w:jc w:val="center"/>
              <w:rPr>
                <w:rFonts w:ascii="Times New Roman" w:hAnsi="Times New Roman" w:cs="Times New Roman"/>
                <w:b/>
                <w:sz w:val="21"/>
                <w:szCs w:val="21"/>
                <w:lang w:eastAsia="zh-CN"/>
              </w:rPr>
            </w:pPr>
          </w:p>
          <w:p w14:paraId="30F68454">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（2）施工期产排污</w:t>
            </w:r>
          </w:p>
          <w:p w14:paraId="7C26BCC0">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施工期废气主要为：施工扬尘、交通扬尘、燃油废气、沥青烟气、焊接烟尘，通过采取洒水抑尘措施，物料运输扬尘通过运输车辆车斗密闭或苫布遮盖，车轮清洗不得带泥上路，来降低施工废气对大气环境的影响。</w:t>
            </w:r>
          </w:p>
          <w:p w14:paraId="27BE4BCF">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施工期废水主要为：车轮清洗废水、混凝土养护废水、生活污水，车轮清洗废水通过临时沉淀池沉淀后回用，混凝土养护废水自然蒸发，施工人员食宿依托项目综合场站</w:t>
            </w:r>
            <w:r>
              <w:rPr>
                <w:rFonts w:ascii="Times New Roman" w:hAnsi="Times New Roman" w:cs="Times New Roman"/>
                <w:sz w:val="24"/>
                <w:szCs w:val="20"/>
                <w:lang w:eastAsia="zh-CN"/>
              </w:rPr>
              <w:t>解决，生活污水经化粪池收集后，定期拉运至</w:t>
            </w:r>
            <w:r>
              <w:rPr>
                <w:rFonts w:hint="eastAsia" w:ascii="Times New Roman" w:hAnsi="Times New Roman" w:cs="Times New Roman"/>
                <w:sz w:val="24"/>
                <w:szCs w:val="20"/>
                <w:lang w:eastAsia="zh-CN"/>
              </w:rPr>
              <w:t>吉木萨尔县</w:t>
            </w:r>
            <w:r>
              <w:rPr>
                <w:rFonts w:ascii="Times New Roman" w:hAnsi="Times New Roman" w:cs="Times New Roman"/>
                <w:sz w:val="24"/>
                <w:szCs w:val="20"/>
                <w:lang w:eastAsia="zh-CN"/>
              </w:rPr>
              <w:t>污水处理厂处理</w:t>
            </w:r>
            <w:r>
              <w:rPr>
                <w:rFonts w:hint="eastAsia" w:ascii="Times New Roman" w:hAnsi="Times New Roman" w:cs="Times New Roman"/>
                <w:sz w:val="24"/>
                <w:szCs w:val="20"/>
                <w:lang w:eastAsia="zh-CN"/>
              </w:rPr>
              <w:t>。</w:t>
            </w:r>
          </w:p>
          <w:p w14:paraId="2186C1E1">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施工期噪声主要为：施工机械设备、运输车辆产噪，通过选用低噪声设备，加强维护保养来降低影响。</w:t>
            </w:r>
          </w:p>
          <w:p w14:paraId="39B9A254">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施工期固废主要为：施工人员产生的生活垃圾、废弃土方、施工作业产生的建筑垃圾（材料包装、废弃施工材料）等，均属于一般固废。生活垃圾集中收集，定期交由环卫部门处置；废弃土方表土回用于绿化覆土，剩余其他弃土拉运至弃土场排弃；建筑垃圾先进行集中分拣回收，能回用的尽量循环利用，没有利用价值的建筑垃圾统一收集暂存，定期清运至城市管理部门指定地点处置。</w:t>
            </w:r>
          </w:p>
        </w:tc>
      </w:tr>
      <w:tr w14:paraId="48D2B8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401" w:type="pct"/>
            <w:tcBorders>
              <w:top w:val="single" w:color="000000" w:sz="4" w:space="0"/>
              <w:right w:val="single" w:color="000000" w:sz="4" w:space="0"/>
            </w:tcBorders>
            <w:vAlign w:val="center"/>
          </w:tcPr>
          <w:p w14:paraId="78498B9B">
            <w:pPr>
              <w:pStyle w:val="18"/>
              <w:jc w:val="center"/>
              <w:rPr>
                <w:rFonts w:ascii="Times New Roman" w:hAnsi="Times New Roman" w:cs="Times New Roman"/>
                <w:b/>
                <w:bCs/>
                <w:sz w:val="24"/>
                <w:szCs w:val="24"/>
              </w:rPr>
            </w:pPr>
            <w:r>
              <w:rPr>
                <w:rFonts w:ascii="Times New Roman" w:hAnsi="Times New Roman" w:cs="Times New Roman"/>
                <w:b/>
                <w:bCs/>
                <w:sz w:val="24"/>
                <w:szCs w:val="24"/>
              </w:rPr>
              <w:t>其他</w:t>
            </w:r>
          </w:p>
        </w:tc>
        <w:tc>
          <w:tcPr>
            <w:tcW w:w="4599" w:type="pct"/>
            <w:tcBorders>
              <w:top w:val="single" w:color="000000" w:sz="4" w:space="0"/>
              <w:left w:val="single" w:color="000000" w:sz="4" w:space="0"/>
            </w:tcBorders>
            <w:vAlign w:val="center"/>
          </w:tcPr>
          <w:p w14:paraId="387DAFEC">
            <w:pPr>
              <w:jc w:val="center"/>
              <w:rPr>
                <w:rFonts w:ascii="Times New Roman" w:hAnsi="Times New Roman" w:cs="Times New Roman"/>
                <w:lang w:eastAsia="zh-CN"/>
              </w:rPr>
            </w:pPr>
            <w:r>
              <w:rPr>
                <w:rFonts w:ascii="Times New Roman" w:hAnsi="Times New Roman" w:cs="Times New Roman"/>
                <w:lang w:eastAsia="zh-CN"/>
              </w:rPr>
              <w:t>无</w:t>
            </w:r>
          </w:p>
        </w:tc>
      </w:tr>
    </w:tbl>
    <w:p w14:paraId="570BD998">
      <w:pPr>
        <w:ind w:right="420"/>
        <w:rPr>
          <w:rFonts w:ascii="Times New Roman" w:hAnsi="Times New Roman" w:cs="Times New Roman"/>
          <w:sz w:val="21"/>
        </w:rPr>
      </w:pPr>
    </w:p>
    <w:p w14:paraId="44827E40">
      <w:pPr>
        <w:tabs>
          <w:tab w:val="left" w:pos="1260"/>
        </w:tabs>
        <w:rPr>
          <w:rFonts w:ascii="Times New Roman" w:hAnsi="Times New Roman" w:cs="Times New Roman"/>
          <w:sz w:val="21"/>
        </w:rPr>
        <w:sectPr>
          <w:footerReference r:id="rId6" w:type="default"/>
          <w:footerReference r:id="rId7" w:type="even"/>
          <w:pgSz w:w="11913" w:h="16840"/>
          <w:pgMar w:top="1134" w:right="1134" w:bottom="1134" w:left="1134" w:header="0" w:footer="1043" w:gutter="0"/>
          <w:cols w:space="720" w:num="1"/>
        </w:sectPr>
      </w:pPr>
    </w:p>
    <w:p w14:paraId="415D189E">
      <w:pPr>
        <w:pStyle w:val="2"/>
        <w:ind w:left="0"/>
        <w:jc w:val="center"/>
        <w:rPr>
          <w:rFonts w:ascii="黑体" w:hAnsi="黑体" w:eastAsia="黑体" w:cs="Times New Roman"/>
          <w:b/>
          <w:bCs/>
          <w:lang w:eastAsia="zh-CN"/>
        </w:rPr>
      </w:pPr>
      <w:bookmarkStart w:id="2" w:name="_Toc119927460"/>
      <w:r>
        <w:rPr>
          <w:rFonts w:ascii="黑体" w:hAnsi="黑体" w:eastAsia="黑体" w:cs="Times New Roman"/>
          <w:b/>
          <w:bCs/>
          <w:lang w:eastAsia="zh-CN"/>
        </w:rPr>
        <w:t>三、生态环境现状、保护目标及评价标准</w:t>
      </w:r>
      <w:bookmarkEnd w:id="2"/>
    </w:p>
    <w:tbl>
      <w:tblPr>
        <w:tblStyle w:val="1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16"/>
        <w:gridCol w:w="8849"/>
      </w:tblGrid>
      <w:tr w14:paraId="17104B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6" w:hRule="atLeast"/>
        </w:trPr>
        <w:tc>
          <w:tcPr>
            <w:tcW w:w="422" w:type="pct"/>
            <w:tcBorders>
              <w:bottom w:val="single" w:color="000000" w:sz="4" w:space="0"/>
              <w:right w:val="single" w:color="000000" w:sz="4" w:space="0"/>
            </w:tcBorders>
            <w:vAlign w:val="center"/>
          </w:tcPr>
          <w:p w14:paraId="2B864AA1">
            <w:pPr>
              <w:pStyle w:val="18"/>
              <w:jc w:val="center"/>
              <w:rPr>
                <w:rFonts w:ascii="Times New Roman" w:hAnsi="Times New Roman" w:cs="Times New Roman"/>
                <w:b/>
                <w:bCs/>
                <w:sz w:val="24"/>
                <w:szCs w:val="24"/>
              </w:rPr>
            </w:pPr>
            <w:r>
              <w:rPr>
                <w:rFonts w:ascii="Times New Roman" w:hAnsi="Times New Roman" w:cs="Times New Roman"/>
                <w:b/>
                <w:bCs/>
                <w:sz w:val="24"/>
                <w:szCs w:val="24"/>
              </w:rPr>
              <w:t>生态环境现状</w:t>
            </w:r>
          </w:p>
        </w:tc>
        <w:tc>
          <w:tcPr>
            <w:tcW w:w="4578" w:type="pct"/>
            <w:tcBorders>
              <w:left w:val="single" w:color="000000" w:sz="4" w:space="0"/>
              <w:bottom w:val="single" w:color="000000" w:sz="4" w:space="0"/>
            </w:tcBorders>
          </w:tcPr>
          <w:p w14:paraId="59E9C52C">
            <w:pPr>
              <w:autoSpaceDE/>
              <w:autoSpaceDN/>
              <w:spacing w:before="120" w:beforeLines="50" w:line="360" w:lineRule="auto"/>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1、生态环境</w:t>
            </w:r>
            <w:r>
              <w:rPr>
                <w:rFonts w:hint="eastAsia" w:ascii="Times New Roman" w:hAnsi="Times New Roman" w:cs="Times New Roman"/>
                <w:b/>
                <w:sz w:val="28"/>
                <w:szCs w:val="28"/>
                <w:lang w:eastAsia="zh-CN"/>
              </w:rPr>
              <w:t>现状评价</w:t>
            </w:r>
          </w:p>
          <w:p w14:paraId="783E1C25">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1</w:t>
            </w:r>
            <w:r>
              <w:rPr>
                <w:rFonts w:hint="eastAsia" w:ascii="Times New Roman" w:hAnsi="Times New Roman" w:cs="Times New Roman"/>
                <w:sz w:val="24"/>
                <w:szCs w:val="24"/>
                <w:lang w:eastAsia="zh-CN"/>
              </w:rPr>
              <w:t>）生态功能区划</w:t>
            </w:r>
          </w:p>
          <w:p w14:paraId="01CABE9E">
            <w:pPr>
              <w:autoSpaceDE/>
              <w:autoSpaceDN/>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依据《新疆生态环境功能区划》，项目区位于</w:t>
            </w:r>
            <w:r>
              <w:rPr>
                <w:rFonts w:hint="eastAsia" w:ascii="Times New Roman" w:hAnsi="Times New Roman" w:cs="Times New Roman"/>
                <w:sz w:val="24"/>
                <w:szCs w:val="24"/>
                <w:lang w:eastAsia="zh-CN"/>
              </w:rPr>
              <w:t>准东经济技术开发区、吉木萨尔县</w:t>
            </w:r>
            <w:r>
              <w:rPr>
                <w:rFonts w:ascii="Times New Roman" w:hAnsi="Times New Roman" w:cs="Times New Roman"/>
                <w:sz w:val="24"/>
                <w:szCs w:val="24"/>
                <w:lang w:eastAsia="zh-CN"/>
              </w:rPr>
              <w:t>，具体见表3.1。</w:t>
            </w:r>
          </w:p>
          <w:p w14:paraId="59FF5A96">
            <w:pPr>
              <w:autoSpaceDE/>
              <w:autoSpaceDN/>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表3.1  项目区生态功能区划</w:t>
            </w:r>
          </w:p>
          <w:tbl>
            <w:tblPr>
              <w:tblStyle w:val="11"/>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322"/>
              <w:gridCol w:w="6668"/>
            </w:tblGrid>
            <w:tr w14:paraId="27A2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14:paraId="34430642">
                  <w:pPr>
                    <w:pStyle w:val="21"/>
                    <w:spacing w:line="280" w:lineRule="exact"/>
                    <w:rPr>
                      <w:rFonts w:eastAsiaTheme="minorEastAsia"/>
                      <w:b/>
                      <w:bCs/>
                    </w:rPr>
                  </w:pPr>
                  <w:r>
                    <w:rPr>
                      <w:rFonts w:eastAsiaTheme="minorEastAsia"/>
                      <w:b/>
                      <w:bCs/>
                    </w:rPr>
                    <w:t>生态功能分区单元</w:t>
                  </w:r>
                </w:p>
              </w:tc>
              <w:tc>
                <w:tcPr>
                  <w:tcW w:w="757" w:type="pct"/>
                  <w:vAlign w:val="center"/>
                </w:tcPr>
                <w:p w14:paraId="0A53F3B0">
                  <w:pPr>
                    <w:pStyle w:val="21"/>
                    <w:spacing w:line="280" w:lineRule="exact"/>
                    <w:rPr>
                      <w:rFonts w:eastAsiaTheme="minorEastAsia"/>
                      <w:b/>
                      <w:bCs/>
                    </w:rPr>
                  </w:pPr>
                  <w:r>
                    <w:rPr>
                      <w:rFonts w:eastAsiaTheme="minorEastAsia"/>
                      <w:b/>
                      <w:bCs/>
                    </w:rPr>
                    <w:t>生态区</w:t>
                  </w:r>
                </w:p>
              </w:tc>
              <w:tc>
                <w:tcPr>
                  <w:tcW w:w="3818" w:type="pct"/>
                  <w:vAlign w:val="center"/>
                </w:tcPr>
                <w:p w14:paraId="51B85505">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Ⅱ、准噶尔盆地温性荒漠与绿洲农业生态区</w:t>
                  </w:r>
                </w:p>
              </w:tc>
            </w:tr>
            <w:tr w14:paraId="68B6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1D9C03FA">
                  <w:pPr>
                    <w:pStyle w:val="21"/>
                    <w:spacing w:line="280" w:lineRule="exact"/>
                    <w:rPr>
                      <w:rFonts w:eastAsiaTheme="minorEastAsia"/>
                      <w:b/>
                      <w:bCs/>
                    </w:rPr>
                  </w:pPr>
                </w:p>
              </w:tc>
              <w:tc>
                <w:tcPr>
                  <w:tcW w:w="757" w:type="pct"/>
                  <w:vMerge w:val="restart"/>
                  <w:vAlign w:val="center"/>
                </w:tcPr>
                <w:p w14:paraId="05514113">
                  <w:pPr>
                    <w:pStyle w:val="21"/>
                    <w:spacing w:line="280" w:lineRule="exact"/>
                    <w:rPr>
                      <w:rFonts w:eastAsiaTheme="minorEastAsia"/>
                      <w:b/>
                      <w:bCs/>
                    </w:rPr>
                  </w:pPr>
                  <w:r>
                    <w:rPr>
                      <w:rFonts w:eastAsiaTheme="minorEastAsia"/>
                      <w:b/>
                      <w:bCs/>
                    </w:rPr>
                    <w:t>生态亚区</w:t>
                  </w:r>
                </w:p>
              </w:tc>
              <w:tc>
                <w:tcPr>
                  <w:tcW w:w="3818" w:type="pct"/>
                  <w:vAlign w:val="center"/>
                </w:tcPr>
                <w:p w14:paraId="193A32AC">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Ⅱ3</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准噶尔盆地中部固定、半固定沙漠生态亚区</w:t>
                  </w:r>
                </w:p>
              </w:tc>
            </w:tr>
            <w:tr w14:paraId="410D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4385F17A">
                  <w:pPr>
                    <w:pStyle w:val="21"/>
                    <w:spacing w:line="280" w:lineRule="exact"/>
                    <w:rPr>
                      <w:rFonts w:eastAsiaTheme="minorEastAsia"/>
                      <w:b/>
                      <w:bCs/>
                    </w:rPr>
                  </w:pPr>
                </w:p>
              </w:tc>
              <w:tc>
                <w:tcPr>
                  <w:tcW w:w="757" w:type="pct"/>
                  <w:vMerge w:val="continue"/>
                  <w:vAlign w:val="center"/>
                </w:tcPr>
                <w:p w14:paraId="048DABA4">
                  <w:pPr>
                    <w:pStyle w:val="21"/>
                    <w:spacing w:line="280" w:lineRule="exact"/>
                    <w:rPr>
                      <w:rFonts w:eastAsiaTheme="minorEastAsia"/>
                      <w:b/>
                      <w:bCs/>
                    </w:rPr>
                  </w:pPr>
                </w:p>
              </w:tc>
              <w:tc>
                <w:tcPr>
                  <w:tcW w:w="3818" w:type="pct"/>
                  <w:vAlign w:val="center"/>
                </w:tcPr>
                <w:p w14:paraId="49FE6FA5">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Ⅱ4</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准噶尔盆地东部灌木荒漠野生动物保护生态亚区</w:t>
                  </w:r>
                </w:p>
              </w:tc>
            </w:tr>
            <w:tr w14:paraId="4F78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4D91F5DF">
                  <w:pPr>
                    <w:pStyle w:val="21"/>
                    <w:spacing w:line="280" w:lineRule="exact"/>
                    <w:rPr>
                      <w:rFonts w:eastAsiaTheme="minorEastAsia"/>
                      <w:b/>
                      <w:bCs/>
                    </w:rPr>
                  </w:pPr>
                </w:p>
              </w:tc>
              <w:tc>
                <w:tcPr>
                  <w:tcW w:w="757" w:type="pct"/>
                  <w:vMerge w:val="restart"/>
                  <w:vAlign w:val="center"/>
                </w:tcPr>
                <w:p w14:paraId="739243D3">
                  <w:pPr>
                    <w:pStyle w:val="21"/>
                    <w:spacing w:line="280" w:lineRule="exact"/>
                    <w:rPr>
                      <w:rFonts w:eastAsiaTheme="minorEastAsia"/>
                      <w:b/>
                      <w:bCs/>
                    </w:rPr>
                  </w:pPr>
                  <w:r>
                    <w:rPr>
                      <w:rFonts w:eastAsiaTheme="minorEastAsia"/>
                      <w:b/>
                      <w:bCs/>
                    </w:rPr>
                    <w:t>生态功能区</w:t>
                  </w:r>
                </w:p>
              </w:tc>
              <w:tc>
                <w:tcPr>
                  <w:tcW w:w="3818" w:type="pct"/>
                  <w:vAlign w:val="center"/>
                </w:tcPr>
                <w:p w14:paraId="4D40F15C">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23</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古尔班通古特沙漠化敏感及植被保护生态功能区</w:t>
                  </w:r>
                </w:p>
              </w:tc>
            </w:tr>
            <w:tr w14:paraId="5B8F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503F5341">
                  <w:pPr>
                    <w:pStyle w:val="21"/>
                    <w:spacing w:line="280" w:lineRule="exact"/>
                    <w:rPr>
                      <w:rFonts w:eastAsiaTheme="minorEastAsia"/>
                      <w:b/>
                      <w:bCs/>
                    </w:rPr>
                  </w:pPr>
                </w:p>
              </w:tc>
              <w:tc>
                <w:tcPr>
                  <w:tcW w:w="757" w:type="pct"/>
                  <w:vMerge w:val="continue"/>
                  <w:vAlign w:val="center"/>
                </w:tcPr>
                <w:p w14:paraId="2869BE9B">
                  <w:pPr>
                    <w:pStyle w:val="21"/>
                    <w:spacing w:line="280" w:lineRule="exact"/>
                    <w:rPr>
                      <w:rFonts w:eastAsiaTheme="minorEastAsia"/>
                      <w:b/>
                      <w:bCs/>
                    </w:rPr>
                  </w:pPr>
                </w:p>
              </w:tc>
              <w:tc>
                <w:tcPr>
                  <w:tcW w:w="3818" w:type="pct"/>
                  <w:vAlign w:val="center"/>
                </w:tcPr>
                <w:p w14:paraId="7BC1F98D">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24</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将军戈壁硅化木及卡拉麦里有蹄类动物保护生态功能区</w:t>
                  </w:r>
                </w:p>
              </w:tc>
            </w:tr>
            <w:tr w14:paraId="5509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restart"/>
                  <w:vAlign w:val="center"/>
                </w:tcPr>
                <w:p w14:paraId="2D3D3459">
                  <w:pPr>
                    <w:pStyle w:val="21"/>
                    <w:spacing w:line="280" w:lineRule="exact"/>
                    <w:rPr>
                      <w:rFonts w:eastAsiaTheme="minorEastAsia"/>
                      <w:b/>
                      <w:bCs/>
                    </w:rPr>
                  </w:pPr>
                  <w:r>
                    <w:rPr>
                      <w:rFonts w:eastAsiaTheme="minorEastAsia"/>
                      <w:b/>
                      <w:bCs/>
                    </w:rPr>
                    <w:t>主要生态服务功能</w:t>
                  </w:r>
                </w:p>
              </w:tc>
              <w:tc>
                <w:tcPr>
                  <w:tcW w:w="3818" w:type="pct"/>
                  <w:vAlign w:val="center"/>
                </w:tcPr>
                <w:p w14:paraId="200E0603">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沙漠化控制、生物多样性维护</w:t>
                  </w:r>
                </w:p>
              </w:tc>
            </w:tr>
            <w:tr w14:paraId="4CB1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continue"/>
                  <w:vAlign w:val="center"/>
                </w:tcPr>
                <w:p w14:paraId="649EB215">
                  <w:pPr>
                    <w:pStyle w:val="21"/>
                    <w:spacing w:line="280" w:lineRule="exact"/>
                    <w:rPr>
                      <w:rFonts w:eastAsiaTheme="minorEastAsia"/>
                      <w:b/>
                      <w:bCs/>
                    </w:rPr>
                  </w:pPr>
                </w:p>
              </w:tc>
              <w:tc>
                <w:tcPr>
                  <w:tcW w:w="3818" w:type="pct"/>
                  <w:vAlign w:val="center"/>
                </w:tcPr>
                <w:p w14:paraId="3722CA23">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生物多样性和景观多样性维护、煤炭资源</w:t>
                  </w:r>
                </w:p>
              </w:tc>
            </w:tr>
            <w:tr w14:paraId="0ABE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restart"/>
                  <w:vAlign w:val="center"/>
                </w:tcPr>
                <w:p w14:paraId="4F9D8C6C">
                  <w:pPr>
                    <w:pStyle w:val="21"/>
                    <w:spacing w:line="280" w:lineRule="exact"/>
                    <w:rPr>
                      <w:rFonts w:eastAsiaTheme="minorEastAsia"/>
                      <w:b/>
                      <w:bCs/>
                    </w:rPr>
                  </w:pPr>
                  <w:r>
                    <w:rPr>
                      <w:rFonts w:eastAsiaTheme="minorEastAsia"/>
                      <w:b/>
                      <w:bCs/>
                    </w:rPr>
                    <w:t>主要生态环境问题</w:t>
                  </w:r>
                </w:p>
              </w:tc>
              <w:tc>
                <w:tcPr>
                  <w:tcW w:w="3818" w:type="pct"/>
                  <w:vAlign w:val="center"/>
                </w:tcPr>
                <w:p w14:paraId="6A20E35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人为干扰范围扩大、工程建设引起沙漠植被破坏、鼠害严重、植被退化、沙漠化构成对南缘绿洲的威胁</w:t>
                  </w:r>
                </w:p>
              </w:tc>
            </w:tr>
            <w:tr w14:paraId="5CC6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continue"/>
                  <w:vAlign w:val="center"/>
                </w:tcPr>
                <w:p w14:paraId="52A0EC4E">
                  <w:pPr>
                    <w:pStyle w:val="21"/>
                    <w:spacing w:line="280" w:lineRule="exact"/>
                    <w:rPr>
                      <w:rFonts w:eastAsiaTheme="minorEastAsia"/>
                      <w:b/>
                      <w:bCs/>
                    </w:rPr>
                  </w:pPr>
                </w:p>
              </w:tc>
              <w:tc>
                <w:tcPr>
                  <w:tcW w:w="3818" w:type="pct"/>
                  <w:vAlign w:val="center"/>
                </w:tcPr>
                <w:p w14:paraId="02965850">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硅化木风化与偷盗破坏、野生动物生境破碎化、风蚀危害、煤炭自燃及开发造成生态破坏与环境污染</w:t>
                  </w:r>
                </w:p>
              </w:tc>
            </w:tr>
            <w:tr w14:paraId="0EDD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restart"/>
                  <w:vAlign w:val="center"/>
                </w:tcPr>
                <w:p w14:paraId="4AC3F8C0">
                  <w:pPr>
                    <w:pStyle w:val="21"/>
                    <w:spacing w:line="280" w:lineRule="exact"/>
                    <w:rPr>
                      <w:rFonts w:eastAsiaTheme="minorEastAsia"/>
                      <w:b/>
                      <w:bCs/>
                    </w:rPr>
                  </w:pPr>
                  <w:r>
                    <w:rPr>
                      <w:rFonts w:eastAsiaTheme="minorEastAsia"/>
                      <w:b/>
                      <w:bCs/>
                    </w:rPr>
                    <w:t>主要生态敏感因子、敏感程度</w:t>
                  </w:r>
                </w:p>
              </w:tc>
              <w:tc>
                <w:tcPr>
                  <w:tcW w:w="3818" w:type="pct"/>
                  <w:vAlign w:val="center"/>
                </w:tcPr>
                <w:p w14:paraId="5B2AAA8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生物多样性及其生境高度敏感，土地沙漠化极度敏感，土壤侵蚀高度敏感、土壤盐渍化轻度敏感</w:t>
                  </w:r>
                </w:p>
              </w:tc>
            </w:tr>
            <w:tr w14:paraId="231F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continue"/>
                  <w:vAlign w:val="center"/>
                </w:tcPr>
                <w:p w14:paraId="6CB63474">
                  <w:pPr>
                    <w:pStyle w:val="21"/>
                    <w:spacing w:line="280" w:lineRule="exact"/>
                    <w:rPr>
                      <w:rFonts w:eastAsiaTheme="minorEastAsia"/>
                      <w:b/>
                      <w:bCs/>
                    </w:rPr>
                  </w:pPr>
                </w:p>
              </w:tc>
              <w:tc>
                <w:tcPr>
                  <w:tcW w:w="3818" w:type="pct"/>
                  <w:vAlign w:val="center"/>
                </w:tcPr>
                <w:p w14:paraId="25074645">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生物多样性及其生境高度敏感，土壤侵蚀极度敏感，土地沙漠化、土壤盐渍化高度敏感</w:t>
                  </w:r>
                </w:p>
              </w:tc>
            </w:tr>
            <w:tr w14:paraId="7F89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restart"/>
                  <w:vAlign w:val="center"/>
                </w:tcPr>
                <w:p w14:paraId="0CE115D2">
                  <w:pPr>
                    <w:pStyle w:val="21"/>
                    <w:spacing w:line="280" w:lineRule="exact"/>
                    <w:rPr>
                      <w:rFonts w:eastAsiaTheme="minorEastAsia"/>
                      <w:b/>
                      <w:bCs/>
                    </w:rPr>
                  </w:pPr>
                  <w:r>
                    <w:rPr>
                      <w:rFonts w:eastAsiaTheme="minorEastAsia"/>
                      <w:b/>
                      <w:bCs/>
                    </w:rPr>
                    <w:t>主要保护目标</w:t>
                  </w:r>
                </w:p>
              </w:tc>
              <w:tc>
                <w:tcPr>
                  <w:tcW w:w="3818" w:type="pct"/>
                  <w:vAlign w:val="center"/>
                </w:tcPr>
                <w:p w14:paraId="320EDEE6">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保护沙漠植被、防止沙丘活化</w:t>
                  </w:r>
                </w:p>
              </w:tc>
            </w:tr>
            <w:tr w14:paraId="115A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continue"/>
                  <w:vAlign w:val="center"/>
                </w:tcPr>
                <w:p w14:paraId="696C204E">
                  <w:pPr>
                    <w:pStyle w:val="21"/>
                    <w:spacing w:line="280" w:lineRule="exact"/>
                    <w:rPr>
                      <w:rFonts w:eastAsiaTheme="minorEastAsia"/>
                      <w:b/>
                      <w:bCs/>
                    </w:rPr>
                  </w:pPr>
                </w:p>
              </w:tc>
              <w:tc>
                <w:tcPr>
                  <w:tcW w:w="3818" w:type="pct"/>
                  <w:vAlign w:val="center"/>
                </w:tcPr>
                <w:p w14:paraId="74202C9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保护硅化木林、保护野生动物、保护魔鬼城自然景观、保护煤炭资源、保护砾幕</w:t>
                  </w:r>
                </w:p>
              </w:tc>
            </w:tr>
            <w:tr w14:paraId="2456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restart"/>
                  <w:vAlign w:val="center"/>
                </w:tcPr>
                <w:p w14:paraId="63991FDB">
                  <w:pPr>
                    <w:pStyle w:val="21"/>
                    <w:spacing w:line="280" w:lineRule="exact"/>
                    <w:rPr>
                      <w:rFonts w:eastAsiaTheme="minorEastAsia"/>
                      <w:b/>
                      <w:bCs/>
                    </w:rPr>
                  </w:pPr>
                  <w:r>
                    <w:rPr>
                      <w:rFonts w:eastAsiaTheme="minorEastAsia"/>
                      <w:b/>
                      <w:bCs/>
                    </w:rPr>
                    <w:t>主要保护措施</w:t>
                  </w:r>
                </w:p>
              </w:tc>
              <w:tc>
                <w:tcPr>
                  <w:tcW w:w="3818" w:type="pct"/>
                  <w:vAlign w:val="center"/>
                </w:tcPr>
                <w:p w14:paraId="0467FCB6">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对沙漠边缘流动沙丘、活化沙地进行封沙育林、退耕还林（草），禁止憔采和放牧，禁止开荒</w:t>
                  </w:r>
                </w:p>
              </w:tc>
            </w:tr>
            <w:tr w14:paraId="0BD9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continue"/>
                  <w:vAlign w:val="center"/>
                </w:tcPr>
                <w:p w14:paraId="29130A14">
                  <w:pPr>
                    <w:pStyle w:val="21"/>
                    <w:spacing w:line="280" w:lineRule="exact"/>
                    <w:rPr>
                      <w:rFonts w:eastAsiaTheme="minorEastAsia"/>
                      <w:b/>
                      <w:bCs/>
                    </w:rPr>
                  </w:pPr>
                </w:p>
              </w:tc>
              <w:tc>
                <w:tcPr>
                  <w:tcW w:w="3818" w:type="pct"/>
                  <w:vAlign w:val="center"/>
                </w:tcPr>
                <w:p w14:paraId="5A766A5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减少人类干扰、加强保护区管理、煤炭灭火、规范开采</w:t>
                  </w:r>
                </w:p>
              </w:tc>
            </w:tr>
            <w:tr w14:paraId="52BA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restart"/>
                  <w:vAlign w:val="center"/>
                </w:tcPr>
                <w:p w14:paraId="38467C91">
                  <w:pPr>
                    <w:pStyle w:val="21"/>
                    <w:spacing w:line="280" w:lineRule="exact"/>
                    <w:rPr>
                      <w:rFonts w:eastAsiaTheme="minorEastAsia"/>
                      <w:b/>
                      <w:bCs/>
                    </w:rPr>
                  </w:pPr>
                  <w:r>
                    <w:rPr>
                      <w:rFonts w:eastAsiaTheme="minorEastAsia"/>
                      <w:b/>
                      <w:bCs/>
                    </w:rPr>
                    <w:t>适宜发展方向</w:t>
                  </w:r>
                </w:p>
              </w:tc>
              <w:tc>
                <w:tcPr>
                  <w:tcW w:w="3818" w:type="pct"/>
                  <w:vAlign w:val="center"/>
                </w:tcPr>
                <w:p w14:paraId="03258DB6">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维护固定、半固定沙漠景观与植被，治理活化沙丘，遏制蔓延</w:t>
                  </w:r>
                </w:p>
              </w:tc>
            </w:tr>
            <w:tr w14:paraId="0BE0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gridSpan w:val="2"/>
                  <w:vMerge w:val="continue"/>
                  <w:vAlign w:val="center"/>
                </w:tcPr>
                <w:p w14:paraId="4D5335F6">
                  <w:pPr>
                    <w:pStyle w:val="21"/>
                    <w:spacing w:line="280" w:lineRule="exact"/>
                    <w:rPr>
                      <w:rFonts w:eastAsiaTheme="minorEastAsia"/>
                      <w:b/>
                      <w:bCs/>
                    </w:rPr>
                  </w:pPr>
                </w:p>
              </w:tc>
              <w:tc>
                <w:tcPr>
                  <w:tcW w:w="3818" w:type="pct"/>
                  <w:vAlign w:val="center"/>
                </w:tcPr>
                <w:p w14:paraId="0C49F24A">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加强保护区管理，促进自然遗产与生物多样性的保护</w:t>
                  </w:r>
                </w:p>
              </w:tc>
            </w:tr>
          </w:tbl>
          <w:p w14:paraId="48F7E220">
            <w:pPr>
              <w:autoSpaceDE/>
              <w:autoSpaceDN/>
              <w:jc w:val="center"/>
              <w:rPr>
                <w:rFonts w:ascii="Times New Roman" w:hAnsi="Times New Roman" w:cs="Times New Roman"/>
                <w:sz w:val="21"/>
                <w:szCs w:val="21"/>
                <w:lang w:eastAsia="zh-CN"/>
              </w:rPr>
            </w:pPr>
          </w:p>
          <w:p w14:paraId="7912CED0">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）陆生生态现状</w:t>
            </w:r>
          </w:p>
          <w:p w14:paraId="61950476">
            <w:pPr>
              <w:autoSpaceDE/>
              <w:autoSpaceDN/>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hint="eastAsia" w:ascii="Times New Roman" w:hAnsi="Times New Roman" w:cs="Times New Roman"/>
                <w:sz w:val="24"/>
                <w:szCs w:val="24"/>
                <w:lang w:eastAsia="zh-CN"/>
              </w:rPr>
              <w:t>地形地貌</w:t>
            </w:r>
          </w:p>
          <w:p w14:paraId="2CD9094C">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根据现场踏勘及项目初设，本项目走廊带内地貌大致划分为山前平原区、平坦沙漠区、草灌丛沙陇区、冲洪积平原区四个地貌区，地势整体南高北低，起点海拔约</w:t>
            </w:r>
            <w:r>
              <w:rPr>
                <w:rFonts w:ascii="Times New Roman" w:hAnsi="Times New Roman" w:cs="Times New Roman"/>
                <w:sz w:val="24"/>
                <w:szCs w:val="24"/>
                <w:lang w:eastAsia="zh-CN"/>
              </w:rPr>
              <w:t>510.6</w:t>
            </w:r>
            <w:r>
              <w:rPr>
                <w:rFonts w:hint="eastAsia" w:ascii="Times New Roman" w:hAnsi="Times New Roman" w:cs="Times New Roman"/>
                <w:sz w:val="24"/>
                <w:szCs w:val="24"/>
                <w:lang w:eastAsia="zh-CN"/>
              </w:rPr>
              <w:t>m，终点海拔约</w:t>
            </w:r>
            <w:r>
              <w:rPr>
                <w:rFonts w:ascii="Times New Roman" w:hAnsi="Times New Roman" w:cs="Times New Roman"/>
                <w:sz w:val="24"/>
                <w:szCs w:val="24"/>
                <w:lang w:eastAsia="zh-CN"/>
              </w:rPr>
              <w:t>754.4</w:t>
            </w:r>
            <w:r>
              <w:rPr>
                <w:rFonts w:hint="eastAsia" w:ascii="Times New Roman" w:hAnsi="Times New Roman" w:cs="Times New Roman"/>
                <w:sz w:val="24"/>
                <w:szCs w:val="24"/>
                <w:lang w:eastAsia="zh-CN"/>
              </w:rPr>
              <w:t>m，海拔最低处约</w:t>
            </w:r>
            <w:r>
              <w:rPr>
                <w:rFonts w:ascii="Times New Roman" w:hAnsi="Times New Roman" w:cs="Times New Roman"/>
                <w:sz w:val="24"/>
                <w:szCs w:val="24"/>
                <w:lang w:eastAsia="zh-CN"/>
              </w:rPr>
              <w:t>500</w:t>
            </w:r>
            <w:r>
              <w:rPr>
                <w:rFonts w:hint="eastAsia" w:ascii="Times New Roman" w:hAnsi="Times New Roman" w:cs="Times New Roman"/>
                <w:sz w:val="24"/>
                <w:szCs w:val="24"/>
                <w:lang w:eastAsia="zh-CN"/>
              </w:rPr>
              <w:t>m。沿线基本以荒漠为主，不占用基本农田范围，已与地方政府对接明确项目沿线农田区范围及性质。</w:t>
            </w:r>
          </w:p>
          <w:p w14:paraId="1D4667B4">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本项目共穿越4个地形地貌区，分别为：山前平原区、平坦沙漠区、草灌丛沙陇区、冲洪积平原区。</w:t>
            </w:r>
          </w:p>
          <w:p w14:paraId="3105159F">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山前平原区：位于古尔班通古特沙漠北侧，暂时性流水在山前堆积了大量的洪积物，这些洪积物与山坡上面流水所携带的坡积物堆积在一起，形成广阔的山前倾斜平原，靠近山麓较高，远离山麓较低，地形狭长，波形起伏。</w:t>
            </w:r>
          </w:p>
          <w:p w14:paraId="2B1B3534">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平坦沙漠地区：位于古尔班通古特沙漠北缘，地形平坦、开阔，风积的细砂广泛分布，植被较稀少，表面细砂具有一定的流动性。</w:t>
            </w:r>
          </w:p>
          <w:p w14:paraId="4DD4C775">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草灌丛沙笼区：位于古尔班通古特沙漠腹地，风积的细砂形成起伏的沙丘，形态上呈波状地形，植被较发育，种类主要以红柳、骆驼刺等沙漠植物为主。</w:t>
            </w:r>
          </w:p>
          <w:p w14:paraId="76F4BCDA">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冲洪积平原区：位古尔班通古特沙漠南侧，由河流中下游发生大量的堆积而形成，被巨厚的第四纪细颗粒冲洪积物覆盖，地形平坦、开阔，植被较发育。</w:t>
            </w:r>
          </w:p>
          <w:p w14:paraId="25FDDFDF">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项目穿越地形地貌区情况见表3</w:t>
            </w:r>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w:t>
            </w:r>
          </w:p>
          <w:p w14:paraId="17823E6A">
            <w:pPr>
              <w:autoSpaceDE/>
              <w:autoSpaceDN/>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表3.2  项目</w:t>
            </w:r>
            <w:r>
              <w:rPr>
                <w:rFonts w:hint="eastAsia" w:ascii="Times New Roman" w:hAnsi="Times New Roman" w:cs="Times New Roman" w:eastAsiaTheme="minorEastAsia"/>
                <w:b/>
                <w:bCs/>
                <w:sz w:val="21"/>
                <w:szCs w:val="21"/>
                <w:lang w:eastAsia="zh-CN"/>
              </w:rPr>
              <w:t>穿越地形地貌区情况一览表</w:t>
            </w:r>
          </w:p>
          <w:tbl>
            <w:tblPr>
              <w:tblStyle w:val="12"/>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932"/>
              <w:gridCol w:w="1476"/>
              <w:gridCol w:w="4805"/>
            </w:tblGrid>
            <w:tr w14:paraId="4D44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Align w:val="center"/>
                </w:tcPr>
                <w:p w14:paraId="7AA11829">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地形地貌区</w:t>
                  </w:r>
                </w:p>
              </w:tc>
              <w:tc>
                <w:tcPr>
                  <w:tcW w:w="1067" w:type="pct"/>
                  <w:vAlign w:val="center"/>
                </w:tcPr>
                <w:p w14:paraId="1128CAD1">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项目桩号</w:t>
                  </w:r>
                </w:p>
              </w:tc>
              <w:tc>
                <w:tcPr>
                  <w:tcW w:w="1788" w:type="pct"/>
                  <w:vAlign w:val="center"/>
                </w:tcPr>
                <w:p w14:paraId="64F97962">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地形地貌</w:t>
                  </w:r>
                </w:p>
                <w:p w14:paraId="51B28D0D">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情况</w:t>
                  </w:r>
                </w:p>
              </w:tc>
              <w:tc>
                <w:tcPr>
                  <w:tcW w:w="1276" w:type="pct"/>
                  <w:vAlign w:val="center"/>
                </w:tcPr>
                <w:p w14:paraId="49DA0D81">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地形地貌图片</w:t>
                  </w:r>
                </w:p>
              </w:tc>
            </w:tr>
            <w:tr w14:paraId="210A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Align w:val="center"/>
                </w:tcPr>
                <w:p w14:paraId="67B61358">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山前平原区</w:t>
                  </w:r>
                </w:p>
              </w:tc>
              <w:tc>
                <w:tcPr>
                  <w:tcW w:w="1067" w:type="pct"/>
                  <w:vAlign w:val="center"/>
                </w:tcPr>
                <w:p w14:paraId="4F110CE8">
                  <w:pPr>
                    <w:autoSpaceDE/>
                    <w:autoSpaceDN/>
                    <w:jc w:val="both"/>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k37+060~</w:t>
                  </w:r>
                  <w:r>
                    <w:rPr>
                      <w:rFonts w:hint="eastAsia" w:ascii="Times New Roman" w:hAnsi="Times New Roman" w:cs="Times New Roman" w:eastAsiaTheme="minorEastAsia"/>
                      <w:bCs/>
                      <w:sz w:val="21"/>
                      <w:szCs w:val="21"/>
                      <w:lang w:eastAsia="zh-CN"/>
                    </w:rPr>
                    <w:t>k</w:t>
                  </w:r>
                  <w:r>
                    <w:rPr>
                      <w:rFonts w:ascii="Times New Roman" w:hAnsi="Times New Roman" w:cs="Times New Roman" w:eastAsiaTheme="minorEastAsia"/>
                      <w:bCs/>
                      <w:sz w:val="21"/>
                      <w:szCs w:val="21"/>
                      <w:lang w:eastAsia="zh-CN"/>
                    </w:rPr>
                    <w:t>42+060</w:t>
                  </w:r>
                </w:p>
              </w:tc>
              <w:tc>
                <w:tcPr>
                  <w:tcW w:w="1788" w:type="pct"/>
                  <w:vAlign w:val="center"/>
                </w:tcPr>
                <w:p w14:paraId="5C28F65F">
                  <w:pPr>
                    <w:autoSpaceDE/>
                    <w:autoSpaceDN/>
                    <w:jc w:val="both"/>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地形平坦，地势叫起伏，表层覆盖较厚的洪积物，多以角砾为主，植被稀少。</w:t>
                  </w:r>
                </w:p>
              </w:tc>
              <w:tc>
                <w:tcPr>
                  <w:tcW w:w="1276" w:type="pct"/>
                  <w:vAlign w:val="center"/>
                </w:tcPr>
                <w:p w14:paraId="2A808F67">
                  <w:pPr>
                    <w:autoSpaceDE/>
                    <w:autoSpaceDN/>
                    <w:jc w:val="center"/>
                    <w:rPr>
                      <w:rFonts w:ascii="Times New Roman" w:hAnsi="Times New Roman" w:cs="Times New Roman" w:eastAsiaTheme="minorEastAsia"/>
                      <w:bCs/>
                      <w:sz w:val="21"/>
                      <w:szCs w:val="21"/>
                      <w:lang w:eastAsia="zh-CN"/>
                    </w:rPr>
                  </w:pPr>
                  <w:r>
                    <w:rPr>
                      <w:lang w:eastAsia="zh-CN"/>
                    </w:rPr>
                    <w:drawing>
                      <wp:inline distT="0" distB="0" distL="0" distR="0">
                        <wp:extent cx="2914015" cy="25196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923672" cy="2527739"/>
                                </a:xfrm>
                                <a:prstGeom prst="rect">
                                  <a:avLst/>
                                </a:prstGeom>
                              </pic:spPr>
                            </pic:pic>
                          </a:graphicData>
                        </a:graphic>
                      </wp:inline>
                    </w:drawing>
                  </w:r>
                </w:p>
              </w:tc>
            </w:tr>
            <w:tr w14:paraId="6BEC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Align w:val="center"/>
                </w:tcPr>
                <w:p w14:paraId="1D07AC12">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平坦沙漠地区</w:t>
                  </w:r>
                </w:p>
              </w:tc>
              <w:tc>
                <w:tcPr>
                  <w:tcW w:w="1067" w:type="pct"/>
                  <w:vAlign w:val="center"/>
                </w:tcPr>
                <w:p w14:paraId="4A60EA8E">
                  <w:pPr>
                    <w:autoSpaceDE/>
                    <w:autoSpaceDN/>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k42+060~</w:t>
                  </w:r>
                  <w:r>
                    <w:rPr>
                      <w:rFonts w:hint="eastAsia" w:ascii="Times New Roman" w:hAnsi="Times New Roman" w:cs="Times New Roman" w:eastAsiaTheme="minorEastAsia"/>
                      <w:bCs/>
                      <w:sz w:val="21"/>
                      <w:szCs w:val="21"/>
                      <w:lang w:eastAsia="zh-CN"/>
                    </w:rPr>
                    <w:t>k</w:t>
                  </w:r>
                  <w:r>
                    <w:rPr>
                      <w:rFonts w:ascii="Times New Roman" w:hAnsi="Times New Roman" w:cs="Times New Roman" w:eastAsiaTheme="minorEastAsia"/>
                      <w:bCs/>
                      <w:sz w:val="21"/>
                      <w:szCs w:val="21"/>
                      <w:lang w:eastAsia="zh-CN"/>
                    </w:rPr>
                    <w:t>49+960</w:t>
                  </w:r>
                </w:p>
              </w:tc>
              <w:tc>
                <w:tcPr>
                  <w:tcW w:w="1788" w:type="pct"/>
                </w:tcPr>
                <w:p w14:paraId="03133663">
                  <w:pPr>
                    <w:autoSpaceDE/>
                    <w:autoSpaceDN/>
                    <w:jc w:val="both"/>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平坦沙漠，地形平坦，地势较起伏，植被稀少，多以风积所堆积的细砂为主，有地表水滞留。地表盐渍土较发育。</w:t>
                  </w:r>
                </w:p>
              </w:tc>
              <w:tc>
                <w:tcPr>
                  <w:tcW w:w="1276" w:type="pct"/>
                </w:tcPr>
                <w:p w14:paraId="131A1D8E">
                  <w:pPr>
                    <w:autoSpaceDE/>
                    <w:autoSpaceDN/>
                    <w:jc w:val="center"/>
                    <w:rPr>
                      <w:rFonts w:ascii="Times New Roman" w:hAnsi="Times New Roman" w:cs="Times New Roman" w:eastAsiaTheme="minorEastAsia"/>
                      <w:bCs/>
                      <w:sz w:val="21"/>
                      <w:szCs w:val="21"/>
                      <w:lang w:eastAsia="zh-CN"/>
                    </w:rPr>
                  </w:pPr>
                  <w:r>
                    <w:rPr>
                      <w:lang w:eastAsia="zh-CN"/>
                    </w:rPr>
                    <w:drawing>
                      <wp:inline distT="0" distB="0" distL="0" distR="0">
                        <wp:extent cx="2908935" cy="25196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918791" cy="2527793"/>
                                </a:xfrm>
                                <a:prstGeom prst="rect">
                                  <a:avLst/>
                                </a:prstGeom>
                              </pic:spPr>
                            </pic:pic>
                          </a:graphicData>
                        </a:graphic>
                      </wp:inline>
                    </w:drawing>
                  </w:r>
                </w:p>
              </w:tc>
            </w:tr>
            <w:tr w14:paraId="4F50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Align w:val="center"/>
                </w:tcPr>
                <w:p w14:paraId="6A7C6F08">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草灌丛沙笼区</w:t>
                  </w:r>
                </w:p>
              </w:tc>
              <w:tc>
                <w:tcPr>
                  <w:tcW w:w="1067" w:type="pct"/>
                  <w:vAlign w:val="center"/>
                </w:tcPr>
                <w:p w14:paraId="42BC6657">
                  <w:pPr>
                    <w:autoSpaceDE/>
                    <w:autoSpaceDN/>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k49+960~</w:t>
                  </w:r>
                  <w:r>
                    <w:rPr>
                      <w:rFonts w:hint="eastAsia" w:ascii="Times New Roman" w:hAnsi="Times New Roman" w:cs="Times New Roman" w:eastAsiaTheme="minorEastAsia"/>
                      <w:bCs/>
                      <w:sz w:val="21"/>
                      <w:szCs w:val="21"/>
                      <w:lang w:eastAsia="zh-CN"/>
                    </w:rPr>
                    <w:t>k</w:t>
                  </w:r>
                  <w:r>
                    <w:rPr>
                      <w:rFonts w:ascii="Times New Roman" w:hAnsi="Times New Roman" w:cs="Times New Roman" w:eastAsiaTheme="minorEastAsia"/>
                      <w:bCs/>
                      <w:sz w:val="21"/>
                      <w:szCs w:val="21"/>
                      <w:lang w:eastAsia="zh-CN"/>
                    </w:rPr>
                    <w:t>90+390</w:t>
                  </w:r>
                </w:p>
              </w:tc>
              <w:tc>
                <w:tcPr>
                  <w:tcW w:w="1788" w:type="pct"/>
                  <w:vAlign w:val="center"/>
                </w:tcPr>
                <w:p w14:paraId="50AEE8AD">
                  <w:pPr>
                    <w:autoSpaceDE/>
                    <w:autoSpaceDN/>
                    <w:jc w:val="both"/>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由于受风向及风力的影响形成了起伏不定的沙丘，地势起伏，地表植被茂盛。</w:t>
                  </w:r>
                </w:p>
              </w:tc>
              <w:tc>
                <w:tcPr>
                  <w:tcW w:w="1276" w:type="pct"/>
                </w:tcPr>
                <w:p w14:paraId="61212337">
                  <w:pPr>
                    <w:autoSpaceDE/>
                    <w:autoSpaceDN/>
                    <w:jc w:val="center"/>
                    <w:rPr>
                      <w:rFonts w:ascii="Times New Roman" w:hAnsi="Times New Roman" w:cs="Times New Roman" w:eastAsiaTheme="minorEastAsia"/>
                      <w:bCs/>
                      <w:sz w:val="21"/>
                      <w:szCs w:val="21"/>
                      <w:lang w:eastAsia="zh-CN"/>
                    </w:rPr>
                  </w:pPr>
                  <w:r>
                    <w:rPr>
                      <w:lang w:eastAsia="zh-CN"/>
                    </w:rPr>
                    <w:drawing>
                      <wp:inline distT="0" distB="0" distL="0" distR="0">
                        <wp:extent cx="2854325" cy="25190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2864205" cy="2527555"/>
                                </a:xfrm>
                                <a:prstGeom prst="rect">
                                  <a:avLst/>
                                </a:prstGeom>
                              </pic:spPr>
                            </pic:pic>
                          </a:graphicData>
                        </a:graphic>
                      </wp:inline>
                    </w:drawing>
                  </w:r>
                </w:p>
              </w:tc>
            </w:tr>
            <w:tr w14:paraId="7E31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Align w:val="center"/>
                </w:tcPr>
                <w:p w14:paraId="6D4E5B1A">
                  <w:pPr>
                    <w:autoSpaceDE/>
                    <w:autoSpaceDN/>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冲洪积平原区</w:t>
                  </w:r>
                </w:p>
              </w:tc>
              <w:tc>
                <w:tcPr>
                  <w:tcW w:w="1067" w:type="pct"/>
                  <w:vAlign w:val="center"/>
                </w:tcPr>
                <w:p w14:paraId="7209DC98">
                  <w:pPr>
                    <w:autoSpaceDE/>
                    <w:autoSpaceDN/>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k90+390~</w:t>
                  </w:r>
                  <w:r>
                    <w:rPr>
                      <w:rFonts w:hint="eastAsia" w:ascii="Times New Roman" w:hAnsi="Times New Roman" w:cs="Times New Roman" w:eastAsiaTheme="minorEastAsia"/>
                      <w:bCs/>
                      <w:sz w:val="21"/>
                      <w:szCs w:val="21"/>
                      <w:lang w:eastAsia="zh-CN"/>
                    </w:rPr>
                    <w:t>k</w:t>
                  </w:r>
                  <w:r>
                    <w:rPr>
                      <w:rFonts w:ascii="Times New Roman" w:hAnsi="Times New Roman" w:cs="Times New Roman" w:eastAsiaTheme="minorEastAsia"/>
                      <w:bCs/>
                      <w:sz w:val="21"/>
                      <w:szCs w:val="21"/>
                      <w:lang w:eastAsia="zh-CN"/>
                    </w:rPr>
                    <w:t>126+200</w:t>
                  </w:r>
                </w:p>
              </w:tc>
              <w:tc>
                <w:tcPr>
                  <w:tcW w:w="1788" w:type="pct"/>
                  <w:vAlign w:val="center"/>
                </w:tcPr>
                <w:p w14:paraId="7F609FA3">
                  <w:pPr>
                    <w:autoSpaceDE/>
                    <w:autoSpaceDN/>
                    <w:jc w:val="both"/>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地形平坦，地层有较厚的洪积物，多以粉土为主，植被茂盛，主要以农田和人工造林为主。</w:t>
                  </w:r>
                </w:p>
              </w:tc>
              <w:tc>
                <w:tcPr>
                  <w:tcW w:w="1276" w:type="pct"/>
                </w:tcPr>
                <w:p w14:paraId="38D92A20">
                  <w:pPr>
                    <w:autoSpaceDE/>
                    <w:autoSpaceDN/>
                    <w:jc w:val="center"/>
                    <w:rPr>
                      <w:rFonts w:ascii="Times New Roman" w:hAnsi="Times New Roman" w:cs="Times New Roman" w:eastAsiaTheme="minorEastAsia"/>
                      <w:bCs/>
                      <w:sz w:val="21"/>
                      <w:szCs w:val="21"/>
                      <w:lang w:eastAsia="zh-CN"/>
                    </w:rPr>
                  </w:pPr>
                  <w:r>
                    <w:rPr>
                      <w:lang w:eastAsia="zh-CN"/>
                    </w:rPr>
                    <w:drawing>
                      <wp:inline distT="0" distB="0" distL="0" distR="0">
                        <wp:extent cx="2846705" cy="25190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2859727" cy="2530527"/>
                                </a:xfrm>
                                <a:prstGeom prst="rect">
                                  <a:avLst/>
                                </a:prstGeom>
                              </pic:spPr>
                            </pic:pic>
                          </a:graphicData>
                        </a:graphic>
                      </wp:inline>
                    </w:drawing>
                  </w:r>
                </w:p>
              </w:tc>
            </w:tr>
          </w:tbl>
          <w:p w14:paraId="58D7B0F0">
            <w:pPr>
              <w:autoSpaceDE/>
              <w:autoSpaceDN/>
              <w:jc w:val="center"/>
              <w:rPr>
                <w:rFonts w:ascii="Times New Roman" w:hAnsi="Times New Roman" w:cs="Times New Roman" w:eastAsiaTheme="minorEastAsia"/>
                <w:b/>
                <w:bCs/>
                <w:sz w:val="21"/>
                <w:szCs w:val="21"/>
                <w:lang w:eastAsia="zh-CN"/>
              </w:rPr>
            </w:pPr>
          </w:p>
          <w:p w14:paraId="65ABDEB2">
            <w:pPr>
              <w:autoSpaceDE/>
              <w:autoSpaceDN/>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hint="eastAsia" w:ascii="Times New Roman" w:hAnsi="Times New Roman" w:cs="Times New Roman"/>
                <w:sz w:val="24"/>
                <w:szCs w:val="24"/>
                <w:lang w:eastAsia="zh-CN"/>
              </w:rPr>
              <w:t>土地利用类型</w:t>
            </w:r>
          </w:p>
          <w:p w14:paraId="0D8B4801">
            <w:pPr>
              <w:autoSpaceDE/>
              <w:autoSpaceDN/>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项目土地利用类型见表3</w:t>
            </w: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w:t>
            </w:r>
          </w:p>
          <w:p w14:paraId="33561313">
            <w:pPr>
              <w:autoSpaceDE/>
              <w:autoSpaceDN/>
              <w:jc w:val="center"/>
              <w:rPr>
                <w:rFonts w:ascii="Times New Roman" w:hAnsi="Times New Roman" w:cs="Times New Roman" w:eastAsiaTheme="minorEastAsia"/>
                <w:b/>
                <w:bCs/>
                <w:sz w:val="21"/>
                <w:szCs w:val="21"/>
                <w:lang w:eastAsia="zh-CN"/>
              </w:rPr>
            </w:pPr>
          </w:p>
          <w:p w14:paraId="7AB057FA">
            <w:pPr>
              <w:autoSpaceDE/>
              <w:autoSpaceDN/>
              <w:spacing w:line="360" w:lineRule="auto"/>
              <w:jc w:val="both"/>
              <w:rPr>
                <w:rFonts w:ascii="Times New Roman" w:hAnsi="Times New Roman" w:cs="Times New Roman"/>
                <w:sz w:val="24"/>
                <w:szCs w:val="24"/>
                <w:lang w:eastAsia="zh-CN"/>
              </w:rPr>
            </w:pPr>
          </w:p>
          <w:p w14:paraId="12FDF85A">
            <w:pPr>
              <w:autoSpaceDE/>
              <w:autoSpaceDN/>
              <w:spacing w:line="360" w:lineRule="auto"/>
              <w:jc w:val="both"/>
              <w:rPr>
                <w:rFonts w:ascii="Times New Roman" w:hAnsi="Times New Roman" w:cs="Times New Roman"/>
                <w:sz w:val="24"/>
                <w:szCs w:val="24"/>
                <w:lang w:eastAsia="zh-CN"/>
              </w:rPr>
            </w:pPr>
          </w:p>
          <w:p w14:paraId="6A79A9E8">
            <w:pPr>
              <w:autoSpaceDE/>
              <w:autoSpaceDN/>
              <w:spacing w:line="360" w:lineRule="auto"/>
              <w:jc w:val="both"/>
              <w:rPr>
                <w:rFonts w:ascii="Times New Roman" w:hAnsi="Times New Roman" w:cs="Times New Roman"/>
                <w:sz w:val="24"/>
                <w:szCs w:val="24"/>
                <w:lang w:eastAsia="zh-CN"/>
              </w:rPr>
            </w:pPr>
          </w:p>
          <w:p w14:paraId="54BB82AC">
            <w:pPr>
              <w:autoSpaceDE/>
              <w:autoSpaceDN/>
              <w:spacing w:line="360" w:lineRule="auto"/>
              <w:jc w:val="both"/>
              <w:rPr>
                <w:rFonts w:ascii="Times New Roman" w:hAnsi="Times New Roman" w:cs="Times New Roman"/>
                <w:sz w:val="24"/>
                <w:szCs w:val="24"/>
                <w:lang w:eastAsia="zh-CN"/>
              </w:rPr>
            </w:pPr>
          </w:p>
          <w:p w14:paraId="6E6AA90B">
            <w:pPr>
              <w:autoSpaceDE/>
              <w:autoSpaceDN/>
              <w:spacing w:line="360" w:lineRule="auto"/>
              <w:jc w:val="both"/>
              <w:rPr>
                <w:rFonts w:ascii="Times New Roman" w:hAnsi="Times New Roman" w:cs="Times New Roman"/>
                <w:sz w:val="24"/>
                <w:szCs w:val="24"/>
                <w:lang w:eastAsia="zh-CN"/>
              </w:rPr>
            </w:pPr>
          </w:p>
          <w:p w14:paraId="10C8DF57">
            <w:pPr>
              <w:autoSpaceDE/>
              <w:autoSpaceDN/>
              <w:spacing w:line="360" w:lineRule="auto"/>
              <w:jc w:val="both"/>
              <w:rPr>
                <w:rFonts w:ascii="Times New Roman" w:hAnsi="Times New Roman" w:cs="Times New Roman"/>
                <w:sz w:val="24"/>
                <w:szCs w:val="24"/>
                <w:lang w:eastAsia="zh-CN"/>
              </w:rPr>
            </w:pPr>
          </w:p>
          <w:p w14:paraId="28C6A57A">
            <w:pPr>
              <w:autoSpaceDE/>
              <w:autoSpaceDN/>
              <w:spacing w:line="360" w:lineRule="auto"/>
              <w:jc w:val="both"/>
              <w:rPr>
                <w:rFonts w:ascii="Times New Roman" w:hAnsi="Times New Roman" w:cs="Times New Roman"/>
                <w:sz w:val="24"/>
                <w:szCs w:val="24"/>
                <w:lang w:eastAsia="zh-CN"/>
              </w:rPr>
            </w:pPr>
          </w:p>
          <w:p w14:paraId="747290DE">
            <w:pPr>
              <w:autoSpaceDE/>
              <w:autoSpaceDN/>
              <w:spacing w:line="360" w:lineRule="auto"/>
              <w:jc w:val="both"/>
              <w:rPr>
                <w:rFonts w:ascii="Times New Roman" w:hAnsi="Times New Roman" w:cs="Times New Roman"/>
                <w:sz w:val="24"/>
                <w:szCs w:val="24"/>
                <w:lang w:eastAsia="zh-CN"/>
              </w:rPr>
            </w:pPr>
          </w:p>
          <w:p w14:paraId="74F779ED">
            <w:pPr>
              <w:autoSpaceDE/>
              <w:autoSpaceDN/>
              <w:spacing w:line="360" w:lineRule="auto"/>
              <w:jc w:val="both"/>
              <w:rPr>
                <w:rFonts w:ascii="Times New Roman" w:hAnsi="Times New Roman" w:cs="Times New Roman"/>
                <w:sz w:val="24"/>
                <w:szCs w:val="24"/>
                <w:lang w:eastAsia="zh-CN"/>
              </w:rPr>
            </w:pPr>
          </w:p>
          <w:p w14:paraId="23AA2069">
            <w:pPr>
              <w:autoSpaceDE/>
              <w:autoSpaceDN/>
              <w:spacing w:line="360" w:lineRule="auto"/>
              <w:jc w:val="both"/>
              <w:rPr>
                <w:rFonts w:ascii="Times New Roman" w:hAnsi="Times New Roman" w:cs="Times New Roman"/>
                <w:sz w:val="24"/>
                <w:szCs w:val="24"/>
                <w:lang w:eastAsia="zh-CN"/>
              </w:rPr>
            </w:pPr>
          </w:p>
          <w:p w14:paraId="4963DC89">
            <w:pPr>
              <w:rPr>
                <w:rFonts w:ascii="Times New Roman" w:hAnsi="Times New Roman" w:cs="Times New Roman"/>
                <w:sz w:val="24"/>
                <w:szCs w:val="24"/>
                <w:lang w:eastAsia="zh-CN"/>
              </w:rPr>
            </w:pPr>
          </w:p>
        </w:tc>
      </w:tr>
    </w:tbl>
    <w:p w14:paraId="672ACF18">
      <w:pPr>
        <w:ind w:right="420"/>
        <w:rPr>
          <w:rFonts w:ascii="Times New Roman" w:hAnsi="Times New Roman" w:cs="Times New Roman"/>
          <w:sz w:val="21"/>
          <w:lang w:eastAsia="zh-CN"/>
        </w:rPr>
      </w:pPr>
    </w:p>
    <w:p w14:paraId="2EDF9B8C">
      <w:pPr>
        <w:rPr>
          <w:rFonts w:ascii="Times New Roman" w:hAnsi="Times New Roman" w:cs="Times New Roman"/>
          <w:sz w:val="21"/>
          <w:lang w:eastAsia="zh-CN"/>
        </w:rPr>
        <w:sectPr>
          <w:type w:val="nextColumn"/>
          <w:pgSz w:w="11913" w:h="16840"/>
          <w:pgMar w:top="1134" w:right="1134" w:bottom="1134" w:left="1134" w:header="0" w:footer="1043" w:gutter="0"/>
          <w:cols w:space="720" w:num="1"/>
        </w:sect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8"/>
      </w:tblGrid>
      <w:tr w14:paraId="382F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E0F89C4">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表3.3  项目土地利用类型一览表（</w:t>
            </w:r>
            <w:r>
              <w:rPr>
                <w:rFonts w:hint="eastAsia" w:ascii="Times New Roman" w:hAnsi="Times New Roman" w:cs="Times New Roman" w:eastAsiaTheme="minorEastAsia"/>
                <w:b/>
                <w:bCs/>
                <w:sz w:val="21"/>
                <w:szCs w:val="21"/>
                <w:lang w:eastAsia="zh-CN"/>
              </w:rPr>
              <w:t>新增</w:t>
            </w:r>
            <w:r>
              <w:rPr>
                <w:rFonts w:ascii="Times New Roman" w:hAnsi="Times New Roman" w:cs="Times New Roman" w:eastAsiaTheme="minorEastAsia"/>
                <w:b/>
                <w:bCs/>
                <w:sz w:val="21"/>
                <w:szCs w:val="21"/>
                <w:lang w:eastAsia="zh-CN"/>
              </w:rPr>
              <w:t>）    单位：</w:t>
            </w:r>
            <w:r>
              <w:rPr>
                <w:rFonts w:hint="eastAsia" w:ascii="Times New Roman" w:hAnsi="Times New Roman" w:cs="Times New Roman" w:eastAsiaTheme="minorEastAsia"/>
                <w:b/>
                <w:bCs/>
                <w:sz w:val="21"/>
                <w:szCs w:val="21"/>
                <w:lang w:eastAsia="zh-CN"/>
              </w:rPr>
              <w:t>h</w:t>
            </w:r>
            <w:r>
              <w:rPr>
                <w:rFonts w:ascii="Times New Roman" w:hAnsi="Times New Roman" w:cs="Times New Roman" w:eastAsiaTheme="minorEastAsia"/>
                <w:b/>
                <w:bCs/>
                <w:sz w:val="21"/>
                <w:szCs w:val="21"/>
                <w:lang w:eastAsia="zh-CN"/>
              </w:rPr>
              <w:t>m²</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99"/>
              <w:gridCol w:w="794"/>
              <w:gridCol w:w="800"/>
              <w:gridCol w:w="899"/>
              <w:gridCol w:w="794"/>
              <w:gridCol w:w="899"/>
              <w:gridCol w:w="794"/>
              <w:gridCol w:w="794"/>
              <w:gridCol w:w="794"/>
              <w:gridCol w:w="794"/>
              <w:gridCol w:w="794"/>
              <w:gridCol w:w="794"/>
              <w:gridCol w:w="899"/>
              <w:gridCol w:w="794"/>
              <w:gridCol w:w="794"/>
              <w:gridCol w:w="795"/>
              <w:gridCol w:w="795"/>
            </w:tblGrid>
            <w:tr w14:paraId="3B5B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8"/>
                  <w:vAlign w:val="center"/>
                </w:tcPr>
                <w:p w14:paraId="65D8705A">
                  <w:pPr>
                    <w:jc w:val="center"/>
                    <w:rPr>
                      <w:rFonts w:ascii="Times New Roman" w:hAnsi="Times New Roman" w:cs="Times New Roman" w:eastAsiaTheme="minorEastAsia"/>
                      <w:b/>
                      <w:bCs/>
                      <w:sz w:val="21"/>
                      <w:szCs w:val="21"/>
                      <w:lang w:eastAsia="zh-CN"/>
                    </w:rPr>
                  </w:pPr>
                  <w:r>
                    <w:rPr>
                      <w:rFonts w:ascii="Times New Roman" w:hAnsi="Times New Roman" w:cs="Times New Roman"/>
                      <w:b/>
                      <w:sz w:val="28"/>
                      <w:szCs w:val="24"/>
                      <w:lang w:eastAsia="zh-CN"/>
                    </w:rPr>
                    <w:t>准东段</w:t>
                  </w:r>
                  <w:r>
                    <w:rPr>
                      <w:rFonts w:hint="eastAsia" w:ascii="Times New Roman" w:hAnsi="Times New Roman" w:cs="Times New Roman"/>
                      <w:b/>
                      <w:sz w:val="28"/>
                      <w:szCs w:val="24"/>
                      <w:lang w:eastAsia="zh-CN"/>
                    </w:rPr>
                    <w:t>（</w:t>
                  </w:r>
                  <w:r>
                    <w:rPr>
                      <w:rFonts w:ascii="Times New Roman" w:hAnsi="Times New Roman" w:cs="Times New Roman"/>
                      <w:b/>
                      <w:sz w:val="28"/>
                      <w:szCs w:val="24"/>
                      <w:lang w:eastAsia="zh-CN"/>
                    </w:rPr>
                    <w:t>21.3</w:t>
                  </w:r>
                  <w:r>
                    <w:rPr>
                      <w:rFonts w:hint="eastAsia" w:ascii="Times New Roman" w:hAnsi="Times New Roman" w:cs="Times New Roman"/>
                      <w:b/>
                      <w:sz w:val="28"/>
                      <w:szCs w:val="24"/>
                      <w:lang w:eastAsia="zh-CN"/>
                    </w:rPr>
                    <w:t>km）</w:t>
                  </w:r>
                </w:p>
              </w:tc>
            </w:tr>
            <w:tr w14:paraId="2D80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restart"/>
                  <w:vAlign w:val="center"/>
                </w:tcPr>
                <w:p w14:paraId="30A02A37">
                  <w:pPr>
                    <w:jc w:val="center"/>
                    <w:rPr>
                      <w:rFonts w:ascii="Times New Roman" w:hAnsi="Times New Roman" w:cs="Times New Roman" w:eastAsiaTheme="minorEastAsia"/>
                      <w:b/>
                      <w:bCs/>
                      <w:sz w:val="21"/>
                      <w:szCs w:val="21"/>
                      <w:lang w:eastAsia="zh-CN"/>
                    </w:rPr>
                  </w:pPr>
                  <w:r>
                    <w:rPr>
                      <w:rFonts w:ascii="Times New Roman" w:hAnsi="Times New Roman" w:cs="Times New Roman"/>
                      <w:b/>
                      <w:sz w:val="21"/>
                      <w:szCs w:val="21"/>
                      <w:lang w:eastAsia="zh-CN"/>
                    </w:rPr>
                    <w:t>权属单位</w:t>
                  </w:r>
                </w:p>
              </w:tc>
              <w:tc>
                <w:tcPr>
                  <w:tcW w:w="3109" w:type="pct"/>
                  <w:gridSpan w:val="11"/>
                  <w:vAlign w:val="center"/>
                </w:tcPr>
                <w:p w14:paraId="328B031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农用地</w:t>
                  </w:r>
                </w:p>
              </w:tc>
              <w:tc>
                <w:tcPr>
                  <w:tcW w:w="581" w:type="pct"/>
                  <w:gridSpan w:val="2"/>
                  <w:vAlign w:val="center"/>
                </w:tcPr>
                <w:p w14:paraId="3D441A6C">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建设用地</w:t>
                  </w:r>
                </w:p>
              </w:tc>
              <w:tc>
                <w:tcPr>
                  <w:tcW w:w="1091" w:type="pct"/>
                  <w:gridSpan w:val="4"/>
                  <w:vAlign w:val="center"/>
                </w:tcPr>
                <w:p w14:paraId="2FC82D5A">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未用土地</w:t>
                  </w:r>
                </w:p>
              </w:tc>
            </w:tr>
            <w:tr w14:paraId="2D87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14:paraId="3C70913A">
                  <w:pPr>
                    <w:jc w:val="center"/>
                    <w:rPr>
                      <w:rFonts w:ascii="Times New Roman" w:hAnsi="Times New Roman" w:cs="Times New Roman" w:eastAsiaTheme="minorEastAsia"/>
                      <w:b/>
                      <w:bCs/>
                      <w:sz w:val="21"/>
                      <w:szCs w:val="21"/>
                      <w:lang w:eastAsia="zh-CN"/>
                    </w:rPr>
                  </w:pPr>
                </w:p>
              </w:tc>
              <w:tc>
                <w:tcPr>
                  <w:tcW w:w="309" w:type="pct"/>
                  <w:vAlign w:val="center"/>
                </w:tcPr>
                <w:p w14:paraId="4580367C">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耕地</w:t>
                  </w:r>
                </w:p>
              </w:tc>
              <w:tc>
                <w:tcPr>
                  <w:tcW w:w="273" w:type="pct"/>
                  <w:vAlign w:val="center"/>
                </w:tcPr>
                <w:p w14:paraId="62B719C6">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园地</w:t>
                  </w:r>
                </w:p>
              </w:tc>
              <w:tc>
                <w:tcPr>
                  <w:tcW w:w="856" w:type="pct"/>
                  <w:gridSpan w:val="3"/>
                  <w:vAlign w:val="center"/>
                </w:tcPr>
                <w:p w14:paraId="4030B6E9">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林地</w:t>
                  </w:r>
                </w:p>
              </w:tc>
              <w:tc>
                <w:tcPr>
                  <w:tcW w:w="309" w:type="pct"/>
                  <w:vAlign w:val="center"/>
                </w:tcPr>
                <w:p w14:paraId="27E5DC7E">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牧草地</w:t>
                  </w:r>
                </w:p>
              </w:tc>
              <w:tc>
                <w:tcPr>
                  <w:tcW w:w="1363" w:type="pct"/>
                  <w:gridSpan w:val="5"/>
                  <w:vAlign w:val="center"/>
                </w:tcPr>
                <w:p w14:paraId="6BD4C949">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其他</w:t>
                  </w:r>
                  <w:r>
                    <w:rPr>
                      <w:rFonts w:ascii="Times New Roman" w:hAnsi="Times New Roman" w:cs="Times New Roman" w:eastAsiaTheme="minorEastAsia"/>
                      <w:b/>
                      <w:bCs/>
                      <w:sz w:val="21"/>
                      <w:szCs w:val="21"/>
                      <w:lang w:eastAsia="zh-CN"/>
                    </w:rPr>
                    <w:t>农用地</w:t>
                  </w:r>
                </w:p>
              </w:tc>
              <w:tc>
                <w:tcPr>
                  <w:tcW w:w="273" w:type="pct"/>
                  <w:vAlign w:val="center"/>
                </w:tcPr>
                <w:p w14:paraId="5D3AD9FF">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城镇</w:t>
                  </w:r>
                  <w:r>
                    <w:rPr>
                      <w:rFonts w:ascii="Times New Roman" w:hAnsi="Times New Roman" w:cs="Times New Roman" w:eastAsiaTheme="minorEastAsia"/>
                      <w:b/>
                      <w:bCs/>
                      <w:sz w:val="21"/>
                      <w:szCs w:val="21"/>
                      <w:lang w:eastAsia="zh-CN"/>
                    </w:rPr>
                    <w:t>及工</w:t>
                  </w:r>
                  <w:r>
                    <w:rPr>
                      <w:rFonts w:hint="eastAsia" w:ascii="Times New Roman" w:hAnsi="Times New Roman" w:cs="Times New Roman" w:eastAsiaTheme="minorEastAsia"/>
                      <w:b/>
                      <w:bCs/>
                      <w:sz w:val="21"/>
                      <w:szCs w:val="21"/>
                      <w:lang w:eastAsia="zh-CN"/>
                    </w:rPr>
                    <w:t>矿</w:t>
                  </w:r>
                  <w:r>
                    <w:rPr>
                      <w:rFonts w:ascii="Times New Roman" w:hAnsi="Times New Roman" w:cs="Times New Roman" w:eastAsiaTheme="minorEastAsia"/>
                      <w:b/>
                      <w:bCs/>
                      <w:sz w:val="21"/>
                      <w:szCs w:val="21"/>
                      <w:lang w:eastAsia="zh-CN"/>
                    </w:rPr>
                    <w:t>用地</w:t>
                  </w:r>
                </w:p>
              </w:tc>
              <w:tc>
                <w:tcPr>
                  <w:tcW w:w="309" w:type="pct"/>
                  <w:vAlign w:val="center"/>
                </w:tcPr>
                <w:p w14:paraId="35C9FBCE">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交通</w:t>
                  </w:r>
                  <w:r>
                    <w:rPr>
                      <w:rFonts w:ascii="Times New Roman" w:hAnsi="Times New Roman" w:cs="Times New Roman" w:eastAsiaTheme="minorEastAsia"/>
                      <w:b/>
                      <w:bCs/>
                      <w:sz w:val="21"/>
                      <w:szCs w:val="21"/>
                      <w:lang w:eastAsia="zh-CN"/>
                    </w:rPr>
                    <w:t>运输用地</w:t>
                  </w:r>
                </w:p>
              </w:tc>
              <w:tc>
                <w:tcPr>
                  <w:tcW w:w="819" w:type="pct"/>
                  <w:gridSpan w:val="3"/>
                  <w:tcBorders>
                    <w:top w:val="nil"/>
                    <w:left w:val="nil"/>
                    <w:bottom w:val="single" w:color="auto" w:sz="8" w:space="0"/>
                    <w:right w:val="single" w:color="auto" w:sz="8" w:space="0"/>
                  </w:tcBorders>
                  <w:shd w:val="clear" w:color="auto" w:fill="auto"/>
                  <w:vAlign w:val="center"/>
                </w:tcPr>
                <w:p w14:paraId="50C96368">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未利用土地</w:t>
                  </w:r>
                </w:p>
              </w:tc>
              <w:tc>
                <w:tcPr>
                  <w:tcW w:w="273" w:type="pct"/>
                  <w:tcBorders>
                    <w:top w:val="nil"/>
                    <w:left w:val="nil"/>
                    <w:bottom w:val="single" w:color="000000" w:sz="8" w:space="0"/>
                    <w:right w:val="single" w:color="auto" w:sz="8" w:space="0"/>
                  </w:tcBorders>
                  <w:shd w:val="clear" w:color="auto" w:fill="auto"/>
                  <w:vAlign w:val="center"/>
                </w:tcPr>
                <w:p w14:paraId="27C0E112">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其他</w:t>
                  </w:r>
                  <w:r>
                    <w:rPr>
                      <w:rFonts w:ascii="Times New Roman" w:hAnsi="Times New Roman" w:cs="Times New Roman" w:eastAsiaTheme="minorEastAsia"/>
                      <w:b/>
                      <w:bCs/>
                      <w:sz w:val="21"/>
                      <w:szCs w:val="21"/>
                      <w:lang w:eastAsia="zh-CN"/>
                    </w:rPr>
                    <w:t>土地</w:t>
                  </w:r>
                </w:p>
              </w:tc>
            </w:tr>
            <w:tr w14:paraId="698D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14:paraId="388FF180">
                  <w:pPr>
                    <w:jc w:val="center"/>
                    <w:rPr>
                      <w:rFonts w:ascii="Times New Roman" w:hAnsi="Times New Roman" w:cs="Times New Roman" w:eastAsiaTheme="minorEastAsia"/>
                      <w:b/>
                      <w:bCs/>
                      <w:sz w:val="21"/>
                      <w:szCs w:val="21"/>
                      <w:lang w:eastAsia="zh-CN"/>
                    </w:rPr>
                  </w:pPr>
                </w:p>
              </w:tc>
              <w:tc>
                <w:tcPr>
                  <w:tcW w:w="309" w:type="pct"/>
                  <w:vAlign w:val="center"/>
                </w:tcPr>
                <w:p w14:paraId="053085E8">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lang w:eastAsia="zh-CN"/>
                    </w:rPr>
                    <w:t>水浇地</w:t>
                  </w:r>
                </w:p>
              </w:tc>
              <w:tc>
                <w:tcPr>
                  <w:tcW w:w="273" w:type="pct"/>
                  <w:vAlign w:val="center"/>
                </w:tcPr>
                <w:p w14:paraId="318DD6EB">
                  <w:pPr>
                    <w:jc w:val="center"/>
                    <w:rPr>
                      <w:rFonts w:ascii="Times New Roman" w:hAnsi="Times New Roman" w:cs="Times New Roman" w:eastAsiaTheme="minorEastAsia"/>
                      <w:bCs/>
                      <w:sz w:val="21"/>
                      <w:szCs w:val="21"/>
                      <w:lang w:eastAsia="zh-CN"/>
                    </w:rPr>
                  </w:pPr>
                  <w:r>
                    <w:rPr>
                      <w:rFonts w:hint="eastAsia" w:ascii="Times New Roman" w:hAnsi="Times New Roman" w:cs="Times New Roman"/>
                      <w:sz w:val="21"/>
                      <w:szCs w:val="21"/>
                      <w:lang w:eastAsia="zh-CN"/>
                    </w:rPr>
                    <w:t>果园</w:t>
                  </w:r>
                </w:p>
              </w:tc>
              <w:tc>
                <w:tcPr>
                  <w:tcW w:w="275" w:type="pct"/>
                  <w:vAlign w:val="center"/>
                </w:tcPr>
                <w:p w14:paraId="297AD3B5">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乔木</w:t>
                  </w:r>
                </w:p>
              </w:tc>
              <w:tc>
                <w:tcPr>
                  <w:tcW w:w="309" w:type="pct"/>
                  <w:vAlign w:val="center"/>
                </w:tcPr>
                <w:p w14:paraId="68189487">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灌木</w:t>
                  </w:r>
                </w:p>
              </w:tc>
              <w:tc>
                <w:tcPr>
                  <w:tcW w:w="273" w:type="pct"/>
                  <w:vAlign w:val="center"/>
                </w:tcPr>
                <w:p w14:paraId="1206EDB7">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其他林地</w:t>
                  </w:r>
                </w:p>
              </w:tc>
              <w:tc>
                <w:tcPr>
                  <w:tcW w:w="309" w:type="pct"/>
                  <w:vAlign w:val="center"/>
                </w:tcPr>
                <w:p w14:paraId="2EDA43D2">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天然牧草地</w:t>
                  </w:r>
                </w:p>
              </w:tc>
              <w:tc>
                <w:tcPr>
                  <w:tcW w:w="273" w:type="pct"/>
                  <w:vAlign w:val="center"/>
                </w:tcPr>
                <w:p w14:paraId="2ADA26C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其他</w:t>
                  </w:r>
                </w:p>
                <w:p w14:paraId="0668ADED">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草地</w:t>
                  </w:r>
                </w:p>
              </w:tc>
              <w:tc>
                <w:tcPr>
                  <w:tcW w:w="273" w:type="pct"/>
                  <w:vAlign w:val="center"/>
                </w:tcPr>
                <w:p w14:paraId="78E52061">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农村道路</w:t>
                  </w:r>
                </w:p>
              </w:tc>
              <w:tc>
                <w:tcPr>
                  <w:tcW w:w="273" w:type="pct"/>
                  <w:vAlign w:val="center"/>
                </w:tcPr>
                <w:p w14:paraId="09182DCA">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设施农用地</w:t>
                  </w:r>
                </w:p>
              </w:tc>
              <w:tc>
                <w:tcPr>
                  <w:tcW w:w="273" w:type="pct"/>
                  <w:vAlign w:val="center"/>
                </w:tcPr>
                <w:p w14:paraId="7FA15E4B">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沟渠</w:t>
                  </w:r>
                </w:p>
              </w:tc>
              <w:tc>
                <w:tcPr>
                  <w:tcW w:w="273" w:type="pct"/>
                  <w:vAlign w:val="center"/>
                </w:tcPr>
                <w:p w14:paraId="6CAB612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坑塘水面</w:t>
                  </w:r>
                </w:p>
              </w:tc>
              <w:tc>
                <w:tcPr>
                  <w:tcW w:w="273" w:type="pct"/>
                  <w:vAlign w:val="center"/>
                </w:tcPr>
                <w:p w14:paraId="05B9E876">
                  <w:pPr>
                    <w:jc w:val="center"/>
                    <w:rPr>
                      <w:rFonts w:ascii="Times New Roman" w:hAnsi="Times New Roman" w:cs="Times New Roman" w:eastAsiaTheme="minorEastAsia"/>
                      <w:b/>
                      <w:bCs/>
                      <w:sz w:val="21"/>
                      <w:szCs w:val="21"/>
                      <w:lang w:eastAsia="zh-CN"/>
                    </w:rPr>
                  </w:pPr>
                </w:p>
              </w:tc>
              <w:tc>
                <w:tcPr>
                  <w:tcW w:w="309" w:type="pct"/>
                  <w:vAlign w:val="center"/>
                </w:tcPr>
                <w:p w14:paraId="4817B6A2">
                  <w:pPr>
                    <w:jc w:val="center"/>
                    <w:rPr>
                      <w:rFonts w:ascii="Times New Roman" w:hAnsi="Times New Roman" w:cs="Times New Roman" w:eastAsiaTheme="minorEastAsia"/>
                      <w:b/>
                      <w:bCs/>
                      <w:sz w:val="21"/>
                      <w:szCs w:val="21"/>
                      <w:lang w:eastAsia="zh-CN"/>
                    </w:rPr>
                  </w:pPr>
                </w:p>
              </w:tc>
              <w:tc>
                <w:tcPr>
                  <w:tcW w:w="273" w:type="pct"/>
                  <w:vAlign w:val="center"/>
                </w:tcPr>
                <w:p w14:paraId="50C62E6E">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裸岩石砾地</w:t>
                  </w:r>
                </w:p>
              </w:tc>
              <w:tc>
                <w:tcPr>
                  <w:tcW w:w="273" w:type="pct"/>
                  <w:vAlign w:val="center"/>
                </w:tcPr>
                <w:p w14:paraId="5DF01A09">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盐碱地</w:t>
                  </w:r>
                </w:p>
              </w:tc>
              <w:tc>
                <w:tcPr>
                  <w:tcW w:w="273" w:type="pct"/>
                  <w:vAlign w:val="center"/>
                </w:tcPr>
                <w:p w14:paraId="5F23B092">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裸土地</w:t>
                  </w:r>
                </w:p>
              </w:tc>
              <w:tc>
                <w:tcPr>
                  <w:tcW w:w="273" w:type="pct"/>
                  <w:vAlign w:val="center"/>
                </w:tcPr>
                <w:p w14:paraId="7DB02520">
                  <w:pP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河流水面</w:t>
                  </w:r>
                </w:p>
              </w:tc>
            </w:tr>
            <w:tr w14:paraId="7CB9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6B82D5D4">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县直属（准东）</w:t>
                  </w:r>
                </w:p>
              </w:tc>
              <w:tc>
                <w:tcPr>
                  <w:tcW w:w="309" w:type="pct"/>
                  <w:vAlign w:val="center"/>
                </w:tcPr>
                <w:p w14:paraId="15521044">
                  <w:pPr>
                    <w:jc w:val="center"/>
                    <w:rPr>
                      <w:rFonts w:ascii="Times New Roman" w:hAnsi="Times New Roman" w:cs="Times New Roman" w:eastAsiaTheme="minorEastAsia"/>
                      <w:bCs/>
                      <w:sz w:val="21"/>
                      <w:szCs w:val="21"/>
                      <w:lang w:eastAsia="zh-CN"/>
                    </w:rPr>
                  </w:pPr>
                </w:p>
              </w:tc>
              <w:tc>
                <w:tcPr>
                  <w:tcW w:w="273" w:type="pct"/>
                  <w:vAlign w:val="center"/>
                </w:tcPr>
                <w:p w14:paraId="0846CA10">
                  <w:pPr>
                    <w:jc w:val="center"/>
                    <w:rPr>
                      <w:rFonts w:ascii="Times New Roman" w:hAnsi="Times New Roman" w:cs="Times New Roman" w:eastAsiaTheme="minorEastAsia"/>
                      <w:bCs/>
                      <w:sz w:val="21"/>
                      <w:szCs w:val="21"/>
                      <w:lang w:eastAsia="zh-CN"/>
                    </w:rPr>
                  </w:pPr>
                </w:p>
              </w:tc>
              <w:tc>
                <w:tcPr>
                  <w:tcW w:w="275" w:type="pct"/>
                  <w:vAlign w:val="center"/>
                </w:tcPr>
                <w:p w14:paraId="1EC2749F">
                  <w:pPr>
                    <w:jc w:val="center"/>
                    <w:rPr>
                      <w:rFonts w:ascii="Times New Roman" w:hAnsi="Times New Roman" w:cs="Times New Roman" w:eastAsiaTheme="minorEastAsia"/>
                      <w:bCs/>
                      <w:sz w:val="21"/>
                      <w:szCs w:val="21"/>
                      <w:lang w:eastAsia="zh-CN"/>
                    </w:rPr>
                  </w:pPr>
                </w:p>
              </w:tc>
              <w:tc>
                <w:tcPr>
                  <w:tcW w:w="309" w:type="pct"/>
                  <w:vAlign w:val="center"/>
                </w:tcPr>
                <w:p w14:paraId="2500C311">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79.908</w:t>
                  </w:r>
                </w:p>
              </w:tc>
              <w:tc>
                <w:tcPr>
                  <w:tcW w:w="273" w:type="pct"/>
                  <w:vAlign w:val="center"/>
                </w:tcPr>
                <w:p w14:paraId="29482BB5">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0.512</w:t>
                  </w:r>
                </w:p>
              </w:tc>
              <w:tc>
                <w:tcPr>
                  <w:tcW w:w="309" w:type="pct"/>
                  <w:vAlign w:val="center"/>
                </w:tcPr>
                <w:p w14:paraId="50C19200">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24.7954</w:t>
                  </w:r>
                </w:p>
              </w:tc>
              <w:tc>
                <w:tcPr>
                  <w:tcW w:w="273" w:type="pct"/>
                  <w:vAlign w:val="center"/>
                </w:tcPr>
                <w:p w14:paraId="2D0ADC46">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0.9479</w:t>
                  </w:r>
                </w:p>
              </w:tc>
              <w:tc>
                <w:tcPr>
                  <w:tcW w:w="273" w:type="pct"/>
                  <w:vAlign w:val="center"/>
                </w:tcPr>
                <w:p w14:paraId="14B12DD8">
                  <w:pPr>
                    <w:jc w:val="center"/>
                    <w:rPr>
                      <w:rFonts w:ascii="Times New Roman" w:hAnsi="Times New Roman" w:cs="Times New Roman" w:eastAsiaTheme="minorEastAsia"/>
                      <w:bCs/>
                      <w:sz w:val="21"/>
                      <w:szCs w:val="21"/>
                      <w:lang w:eastAsia="zh-CN"/>
                    </w:rPr>
                  </w:pPr>
                </w:p>
              </w:tc>
              <w:tc>
                <w:tcPr>
                  <w:tcW w:w="273" w:type="pct"/>
                  <w:vAlign w:val="center"/>
                </w:tcPr>
                <w:p w14:paraId="6C3864B9">
                  <w:pPr>
                    <w:jc w:val="center"/>
                    <w:rPr>
                      <w:rFonts w:ascii="Times New Roman" w:hAnsi="Times New Roman" w:cs="Times New Roman" w:eastAsiaTheme="minorEastAsia"/>
                      <w:bCs/>
                      <w:sz w:val="21"/>
                      <w:szCs w:val="21"/>
                      <w:lang w:eastAsia="zh-CN"/>
                    </w:rPr>
                  </w:pPr>
                </w:p>
              </w:tc>
              <w:tc>
                <w:tcPr>
                  <w:tcW w:w="273" w:type="pct"/>
                  <w:vAlign w:val="center"/>
                </w:tcPr>
                <w:p w14:paraId="4A7D0252">
                  <w:pPr>
                    <w:jc w:val="center"/>
                    <w:rPr>
                      <w:rFonts w:ascii="Times New Roman" w:hAnsi="Times New Roman" w:cs="Times New Roman" w:eastAsiaTheme="minorEastAsia"/>
                      <w:bCs/>
                      <w:sz w:val="21"/>
                      <w:szCs w:val="21"/>
                      <w:lang w:eastAsia="zh-CN"/>
                    </w:rPr>
                  </w:pPr>
                </w:p>
              </w:tc>
              <w:tc>
                <w:tcPr>
                  <w:tcW w:w="273" w:type="pct"/>
                  <w:vAlign w:val="center"/>
                </w:tcPr>
                <w:p w14:paraId="38CEDA08">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0.0388</w:t>
                  </w:r>
                </w:p>
              </w:tc>
              <w:tc>
                <w:tcPr>
                  <w:tcW w:w="273" w:type="pct"/>
                  <w:vAlign w:val="center"/>
                </w:tcPr>
                <w:p w14:paraId="728F415D">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1.5245</w:t>
                  </w:r>
                </w:p>
              </w:tc>
              <w:tc>
                <w:tcPr>
                  <w:tcW w:w="309" w:type="pct"/>
                  <w:vAlign w:val="center"/>
                </w:tcPr>
                <w:p w14:paraId="7CCB9287">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18.4643</w:t>
                  </w:r>
                </w:p>
              </w:tc>
              <w:tc>
                <w:tcPr>
                  <w:tcW w:w="273" w:type="pct"/>
                  <w:vAlign w:val="center"/>
                </w:tcPr>
                <w:p w14:paraId="28C14E17">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1.7002</w:t>
                  </w:r>
                </w:p>
              </w:tc>
              <w:tc>
                <w:tcPr>
                  <w:tcW w:w="273" w:type="pct"/>
                  <w:vAlign w:val="center"/>
                </w:tcPr>
                <w:p w14:paraId="1ADD8460">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0.0641</w:t>
                  </w:r>
                </w:p>
              </w:tc>
              <w:tc>
                <w:tcPr>
                  <w:tcW w:w="273" w:type="pct"/>
                  <w:vAlign w:val="center"/>
                </w:tcPr>
                <w:p w14:paraId="3F2C1D4F">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0.0704</w:t>
                  </w:r>
                </w:p>
              </w:tc>
              <w:tc>
                <w:tcPr>
                  <w:tcW w:w="273" w:type="pct"/>
                  <w:vAlign w:val="center"/>
                </w:tcPr>
                <w:p w14:paraId="69C9C5E0">
                  <w:pPr>
                    <w:jc w:val="center"/>
                    <w:rPr>
                      <w:rFonts w:ascii="Times New Roman" w:hAnsi="Times New Roman" w:cs="Times New Roman" w:eastAsiaTheme="minorEastAsia"/>
                      <w:bCs/>
                      <w:sz w:val="21"/>
                      <w:szCs w:val="21"/>
                      <w:lang w:eastAsia="zh-CN"/>
                    </w:rPr>
                  </w:pPr>
                </w:p>
              </w:tc>
            </w:tr>
            <w:tr w14:paraId="75D8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60A7D087">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各地类</w:t>
                  </w:r>
                  <w:r>
                    <w:rPr>
                      <w:rFonts w:ascii="Times New Roman" w:hAnsi="Times New Roman" w:cs="Times New Roman" w:eastAsiaTheme="minorEastAsia"/>
                      <w:b/>
                      <w:bCs/>
                      <w:sz w:val="21"/>
                      <w:szCs w:val="21"/>
                      <w:lang w:eastAsia="zh-CN"/>
                    </w:rPr>
                    <w:t>小计</w:t>
                  </w:r>
                </w:p>
              </w:tc>
              <w:tc>
                <w:tcPr>
                  <w:tcW w:w="309" w:type="pct"/>
                  <w:vAlign w:val="center"/>
                </w:tcPr>
                <w:p w14:paraId="20F7C1A8">
                  <w:pPr>
                    <w:jc w:val="center"/>
                    <w:rPr>
                      <w:rFonts w:ascii="Times New Roman" w:hAnsi="Times New Roman" w:cs="Times New Roman" w:eastAsiaTheme="minorEastAsia"/>
                      <w:b/>
                      <w:bCs/>
                      <w:sz w:val="21"/>
                      <w:szCs w:val="21"/>
                      <w:lang w:eastAsia="zh-CN"/>
                    </w:rPr>
                  </w:pPr>
                </w:p>
              </w:tc>
              <w:tc>
                <w:tcPr>
                  <w:tcW w:w="273" w:type="pct"/>
                  <w:vAlign w:val="center"/>
                </w:tcPr>
                <w:p w14:paraId="5BCD121C">
                  <w:pPr>
                    <w:jc w:val="center"/>
                    <w:rPr>
                      <w:rFonts w:ascii="Times New Roman" w:hAnsi="Times New Roman" w:cs="Times New Roman" w:eastAsiaTheme="minorEastAsia"/>
                      <w:b/>
                      <w:bCs/>
                      <w:sz w:val="21"/>
                      <w:szCs w:val="21"/>
                      <w:lang w:eastAsia="zh-CN"/>
                    </w:rPr>
                  </w:pPr>
                </w:p>
              </w:tc>
              <w:tc>
                <w:tcPr>
                  <w:tcW w:w="275" w:type="pct"/>
                  <w:vAlign w:val="center"/>
                </w:tcPr>
                <w:p w14:paraId="653CB255">
                  <w:pPr>
                    <w:jc w:val="center"/>
                    <w:rPr>
                      <w:rFonts w:ascii="Times New Roman" w:hAnsi="Times New Roman" w:cs="Times New Roman" w:eastAsiaTheme="minorEastAsia"/>
                      <w:b/>
                      <w:bCs/>
                      <w:sz w:val="21"/>
                      <w:szCs w:val="21"/>
                      <w:lang w:eastAsia="zh-CN"/>
                    </w:rPr>
                  </w:pPr>
                </w:p>
              </w:tc>
              <w:tc>
                <w:tcPr>
                  <w:tcW w:w="309" w:type="pct"/>
                  <w:vAlign w:val="center"/>
                </w:tcPr>
                <w:p w14:paraId="649251E0">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79.908</w:t>
                  </w:r>
                </w:p>
              </w:tc>
              <w:tc>
                <w:tcPr>
                  <w:tcW w:w="273" w:type="pct"/>
                  <w:vAlign w:val="center"/>
                </w:tcPr>
                <w:p w14:paraId="5C5BE6E6">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0.512</w:t>
                  </w:r>
                </w:p>
              </w:tc>
              <w:tc>
                <w:tcPr>
                  <w:tcW w:w="309" w:type="pct"/>
                  <w:vAlign w:val="center"/>
                </w:tcPr>
                <w:p w14:paraId="4CB5EE4E">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24.7954</w:t>
                  </w:r>
                </w:p>
              </w:tc>
              <w:tc>
                <w:tcPr>
                  <w:tcW w:w="273" w:type="pct"/>
                  <w:vAlign w:val="center"/>
                </w:tcPr>
                <w:p w14:paraId="7A83FDA0">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0.9479</w:t>
                  </w:r>
                </w:p>
              </w:tc>
              <w:tc>
                <w:tcPr>
                  <w:tcW w:w="273" w:type="pct"/>
                  <w:vAlign w:val="center"/>
                </w:tcPr>
                <w:p w14:paraId="34A5D46B">
                  <w:pPr>
                    <w:jc w:val="center"/>
                    <w:rPr>
                      <w:rFonts w:ascii="Times New Roman" w:hAnsi="Times New Roman" w:cs="Times New Roman" w:eastAsiaTheme="minorEastAsia"/>
                      <w:b/>
                      <w:bCs/>
                      <w:sz w:val="21"/>
                      <w:szCs w:val="21"/>
                      <w:lang w:eastAsia="zh-CN"/>
                    </w:rPr>
                  </w:pPr>
                </w:p>
              </w:tc>
              <w:tc>
                <w:tcPr>
                  <w:tcW w:w="273" w:type="pct"/>
                  <w:vAlign w:val="center"/>
                </w:tcPr>
                <w:p w14:paraId="58D2D8EC">
                  <w:pPr>
                    <w:jc w:val="center"/>
                    <w:rPr>
                      <w:rFonts w:ascii="Times New Roman" w:hAnsi="Times New Roman" w:cs="Times New Roman" w:eastAsiaTheme="minorEastAsia"/>
                      <w:b/>
                      <w:bCs/>
                      <w:sz w:val="21"/>
                      <w:szCs w:val="21"/>
                      <w:lang w:eastAsia="zh-CN"/>
                    </w:rPr>
                  </w:pPr>
                </w:p>
              </w:tc>
              <w:tc>
                <w:tcPr>
                  <w:tcW w:w="273" w:type="pct"/>
                  <w:vAlign w:val="center"/>
                </w:tcPr>
                <w:p w14:paraId="2BD8BD96">
                  <w:pPr>
                    <w:jc w:val="center"/>
                    <w:rPr>
                      <w:rFonts w:ascii="Times New Roman" w:hAnsi="Times New Roman" w:cs="Times New Roman" w:eastAsiaTheme="minorEastAsia"/>
                      <w:b/>
                      <w:bCs/>
                      <w:sz w:val="21"/>
                      <w:szCs w:val="21"/>
                      <w:lang w:eastAsia="zh-CN"/>
                    </w:rPr>
                  </w:pPr>
                </w:p>
              </w:tc>
              <w:tc>
                <w:tcPr>
                  <w:tcW w:w="273" w:type="pct"/>
                  <w:vAlign w:val="center"/>
                </w:tcPr>
                <w:p w14:paraId="34EDF3E4">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0.0388</w:t>
                  </w:r>
                </w:p>
              </w:tc>
              <w:tc>
                <w:tcPr>
                  <w:tcW w:w="273" w:type="pct"/>
                  <w:vAlign w:val="center"/>
                </w:tcPr>
                <w:p w14:paraId="27B247D9">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1.5245</w:t>
                  </w:r>
                </w:p>
              </w:tc>
              <w:tc>
                <w:tcPr>
                  <w:tcW w:w="309" w:type="pct"/>
                  <w:vAlign w:val="center"/>
                </w:tcPr>
                <w:p w14:paraId="7D7B1763">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18.4643</w:t>
                  </w:r>
                </w:p>
              </w:tc>
              <w:tc>
                <w:tcPr>
                  <w:tcW w:w="273" w:type="pct"/>
                  <w:vAlign w:val="center"/>
                </w:tcPr>
                <w:p w14:paraId="763D1CB5">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1.7002</w:t>
                  </w:r>
                </w:p>
              </w:tc>
              <w:tc>
                <w:tcPr>
                  <w:tcW w:w="273" w:type="pct"/>
                  <w:vAlign w:val="center"/>
                </w:tcPr>
                <w:p w14:paraId="218353C0">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0.0641</w:t>
                  </w:r>
                </w:p>
              </w:tc>
              <w:tc>
                <w:tcPr>
                  <w:tcW w:w="273" w:type="pct"/>
                  <w:vAlign w:val="center"/>
                </w:tcPr>
                <w:p w14:paraId="4630BA4D">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0.0704</w:t>
                  </w:r>
                </w:p>
              </w:tc>
              <w:tc>
                <w:tcPr>
                  <w:tcW w:w="273" w:type="pct"/>
                  <w:vAlign w:val="center"/>
                </w:tcPr>
                <w:p w14:paraId="6D4B1E5C">
                  <w:pPr>
                    <w:jc w:val="center"/>
                    <w:rPr>
                      <w:rFonts w:ascii="Times New Roman" w:hAnsi="Times New Roman" w:cs="Times New Roman" w:eastAsiaTheme="minorEastAsia"/>
                      <w:b/>
                      <w:bCs/>
                      <w:sz w:val="21"/>
                      <w:szCs w:val="21"/>
                      <w:lang w:eastAsia="zh-CN"/>
                    </w:rPr>
                  </w:pPr>
                </w:p>
              </w:tc>
            </w:tr>
            <w:tr w14:paraId="7C6A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8"/>
                  <w:vAlign w:val="center"/>
                </w:tcPr>
                <w:p w14:paraId="542A78D5">
                  <w:pPr>
                    <w:rPr>
                      <w:rFonts w:ascii="Times New Roman" w:hAnsi="Times New Roman" w:cs="Times New Roman" w:eastAsiaTheme="minorEastAsia"/>
                      <w:b/>
                      <w:bCs/>
                      <w:sz w:val="28"/>
                      <w:szCs w:val="28"/>
                      <w:lang w:eastAsia="zh-CN"/>
                    </w:rPr>
                  </w:pPr>
                  <w:r>
                    <w:rPr>
                      <w:rFonts w:hint="eastAsia" w:ascii="Times New Roman" w:hAnsi="Times New Roman" w:cs="Times New Roman" w:eastAsiaTheme="minorEastAsia"/>
                      <w:b/>
                      <w:bCs/>
                      <w:sz w:val="28"/>
                      <w:szCs w:val="28"/>
                      <w:lang w:eastAsia="zh-CN"/>
                    </w:rPr>
                    <w:t>准东段</w:t>
                  </w:r>
                  <w:r>
                    <w:rPr>
                      <w:rFonts w:ascii="Times New Roman" w:hAnsi="Times New Roman" w:cs="Times New Roman" w:eastAsiaTheme="minorEastAsia"/>
                      <w:b/>
                      <w:bCs/>
                      <w:sz w:val="28"/>
                      <w:szCs w:val="28"/>
                      <w:lang w:eastAsia="zh-CN"/>
                    </w:rPr>
                    <w:t>新增用地面积合计：</w:t>
                  </w:r>
                  <w:r>
                    <w:rPr>
                      <w:rFonts w:hint="eastAsia" w:ascii="Times New Roman" w:hAnsi="Times New Roman" w:cs="Times New Roman" w:eastAsiaTheme="minorEastAsia"/>
                      <w:b/>
                      <w:bCs/>
                      <w:sz w:val="28"/>
                      <w:szCs w:val="28"/>
                      <w:lang w:eastAsia="zh-CN"/>
                    </w:rPr>
                    <w:t>128.0256</w:t>
                  </w:r>
                  <w:r>
                    <w:rPr>
                      <w:rFonts w:ascii="Times New Roman" w:hAnsi="Times New Roman" w:cs="Times New Roman" w:eastAsiaTheme="minorEastAsia"/>
                      <w:b/>
                      <w:bCs/>
                      <w:sz w:val="28"/>
                      <w:szCs w:val="28"/>
                      <w:lang w:eastAsia="zh-CN"/>
                    </w:rPr>
                    <w:t>hm²</w:t>
                  </w:r>
                </w:p>
              </w:tc>
            </w:tr>
            <w:tr w14:paraId="089A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8"/>
                  <w:vAlign w:val="center"/>
                </w:tcPr>
                <w:p w14:paraId="124F55C6">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b/>
                      <w:sz w:val="28"/>
                      <w:szCs w:val="24"/>
                      <w:lang w:eastAsia="zh-CN"/>
                    </w:rPr>
                    <w:t>第六师红旗农场段（</w:t>
                  </w:r>
                  <w:r>
                    <w:rPr>
                      <w:rFonts w:ascii="Times New Roman" w:hAnsi="Times New Roman" w:cs="Times New Roman"/>
                      <w:b/>
                      <w:sz w:val="28"/>
                      <w:szCs w:val="24"/>
                      <w:lang w:eastAsia="zh-CN"/>
                    </w:rPr>
                    <w:t>51.02</w:t>
                  </w:r>
                  <w:r>
                    <w:rPr>
                      <w:rFonts w:hint="eastAsia" w:ascii="Times New Roman" w:hAnsi="Times New Roman" w:cs="Times New Roman"/>
                      <w:b/>
                      <w:sz w:val="28"/>
                      <w:szCs w:val="24"/>
                      <w:lang w:eastAsia="zh-CN"/>
                    </w:rPr>
                    <w:t>km）</w:t>
                  </w:r>
                </w:p>
              </w:tc>
            </w:tr>
            <w:tr w14:paraId="1749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restart"/>
                  <w:vAlign w:val="center"/>
                </w:tcPr>
                <w:p w14:paraId="22B0CFEB">
                  <w:pPr>
                    <w:jc w:val="center"/>
                    <w:rPr>
                      <w:rFonts w:ascii="Times New Roman" w:hAnsi="Times New Roman" w:cs="Times New Roman" w:eastAsiaTheme="minorEastAsia"/>
                      <w:b/>
                      <w:bCs/>
                      <w:sz w:val="21"/>
                      <w:szCs w:val="21"/>
                      <w:lang w:eastAsia="zh-CN"/>
                    </w:rPr>
                  </w:pPr>
                  <w:r>
                    <w:rPr>
                      <w:rFonts w:ascii="Times New Roman" w:hAnsi="Times New Roman" w:cs="Times New Roman"/>
                      <w:b/>
                      <w:sz w:val="21"/>
                      <w:szCs w:val="21"/>
                      <w:lang w:eastAsia="zh-CN"/>
                    </w:rPr>
                    <w:t>权属单位</w:t>
                  </w:r>
                </w:p>
              </w:tc>
              <w:tc>
                <w:tcPr>
                  <w:tcW w:w="3109" w:type="pct"/>
                  <w:gridSpan w:val="11"/>
                  <w:vAlign w:val="center"/>
                </w:tcPr>
                <w:p w14:paraId="06DAB12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农用地</w:t>
                  </w:r>
                </w:p>
              </w:tc>
              <w:tc>
                <w:tcPr>
                  <w:tcW w:w="581" w:type="pct"/>
                  <w:gridSpan w:val="2"/>
                  <w:vAlign w:val="center"/>
                </w:tcPr>
                <w:p w14:paraId="6E23991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建设用地</w:t>
                  </w:r>
                </w:p>
              </w:tc>
              <w:tc>
                <w:tcPr>
                  <w:tcW w:w="1091" w:type="pct"/>
                  <w:gridSpan w:val="4"/>
                  <w:vAlign w:val="center"/>
                </w:tcPr>
                <w:p w14:paraId="3A70DFE2">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未用土地</w:t>
                  </w:r>
                </w:p>
              </w:tc>
            </w:tr>
            <w:tr w14:paraId="10CF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14:paraId="01E908FC">
                  <w:pPr>
                    <w:jc w:val="center"/>
                    <w:rPr>
                      <w:rFonts w:ascii="Times New Roman" w:hAnsi="Times New Roman" w:cs="Times New Roman" w:eastAsiaTheme="minorEastAsia"/>
                      <w:b/>
                      <w:bCs/>
                      <w:sz w:val="21"/>
                      <w:szCs w:val="21"/>
                      <w:lang w:eastAsia="zh-CN"/>
                    </w:rPr>
                  </w:pPr>
                </w:p>
              </w:tc>
              <w:tc>
                <w:tcPr>
                  <w:tcW w:w="309" w:type="pct"/>
                  <w:vAlign w:val="center"/>
                </w:tcPr>
                <w:p w14:paraId="640A6FA8">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耕地</w:t>
                  </w:r>
                </w:p>
              </w:tc>
              <w:tc>
                <w:tcPr>
                  <w:tcW w:w="273" w:type="pct"/>
                  <w:vAlign w:val="center"/>
                </w:tcPr>
                <w:p w14:paraId="7F6A5E24">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园地</w:t>
                  </w:r>
                </w:p>
              </w:tc>
              <w:tc>
                <w:tcPr>
                  <w:tcW w:w="856" w:type="pct"/>
                  <w:gridSpan w:val="3"/>
                  <w:vAlign w:val="center"/>
                </w:tcPr>
                <w:p w14:paraId="6AB8CCB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林地</w:t>
                  </w:r>
                </w:p>
              </w:tc>
              <w:tc>
                <w:tcPr>
                  <w:tcW w:w="309" w:type="pct"/>
                  <w:vAlign w:val="center"/>
                </w:tcPr>
                <w:p w14:paraId="4E915CD2">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牧草地</w:t>
                  </w:r>
                </w:p>
              </w:tc>
              <w:tc>
                <w:tcPr>
                  <w:tcW w:w="1363" w:type="pct"/>
                  <w:gridSpan w:val="5"/>
                  <w:vAlign w:val="center"/>
                </w:tcPr>
                <w:p w14:paraId="3EB51371">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其他</w:t>
                  </w:r>
                  <w:r>
                    <w:rPr>
                      <w:rFonts w:ascii="Times New Roman" w:hAnsi="Times New Roman" w:cs="Times New Roman" w:eastAsiaTheme="minorEastAsia"/>
                      <w:b/>
                      <w:bCs/>
                      <w:sz w:val="21"/>
                      <w:szCs w:val="21"/>
                      <w:lang w:eastAsia="zh-CN"/>
                    </w:rPr>
                    <w:t>农用地</w:t>
                  </w:r>
                </w:p>
              </w:tc>
              <w:tc>
                <w:tcPr>
                  <w:tcW w:w="273" w:type="pct"/>
                  <w:vAlign w:val="center"/>
                </w:tcPr>
                <w:p w14:paraId="43B7A733">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城镇</w:t>
                  </w:r>
                  <w:r>
                    <w:rPr>
                      <w:rFonts w:ascii="Times New Roman" w:hAnsi="Times New Roman" w:cs="Times New Roman" w:eastAsiaTheme="minorEastAsia"/>
                      <w:b/>
                      <w:bCs/>
                      <w:sz w:val="21"/>
                      <w:szCs w:val="21"/>
                      <w:lang w:eastAsia="zh-CN"/>
                    </w:rPr>
                    <w:t>及工</w:t>
                  </w:r>
                  <w:r>
                    <w:rPr>
                      <w:rFonts w:hint="eastAsia" w:ascii="Times New Roman" w:hAnsi="Times New Roman" w:cs="Times New Roman" w:eastAsiaTheme="minorEastAsia"/>
                      <w:b/>
                      <w:bCs/>
                      <w:sz w:val="21"/>
                      <w:szCs w:val="21"/>
                      <w:lang w:eastAsia="zh-CN"/>
                    </w:rPr>
                    <w:t>矿</w:t>
                  </w:r>
                  <w:r>
                    <w:rPr>
                      <w:rFonts w:ascii="Times New Roman" w:hAnsi="Times New Roman" w:cs="Times New Roman" w:eastAsiaTheme="minorEastAsia"/>
                      <w:b/>
                      <w:bCs/>
                      <w:sz w:val="21"/>
                      <w:szCs w:val="21"/>
                      <w:lang w:eastAsia="zh-CN"/>
                    </w:rPr>
                    <w:t>用地</w:t>
                  </w:r>
                </w:p>
              </w:tc>
              <w:tc>
                <w:tcPr>
                  <w:tcW w:w="309" w:type="pct"/>
                  <w:vAlign w:val="center"/>
                </w:tcPr>
                <w:p w14:paraId="77961E8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交通</w:t>
                  </w:r>
                  <w:r>
                    <w:rPr>
                      <w:rFonts w:ascii="Times New Roman" w:hAnsi="Times New Roman" w:cs="Times New Roman" w:eastAsiaTheme="minorEastAsia"/>
                      <w:b/>
                      <w:bCs/>
                      <w:sz w:val="21"/>
                      <w:szCs w:val="21"/>
                      <w:lang w:eastAsia="zh-CN"/>
                    </w:rPr>
                    <w:t>运输用地</w:t>
                  </w:r>
                </w:p>
              </w:tc>
              <w:tc>
                <w:tcPr>
                  <w:tcW w:w="819" w:type="pct"/>
                  <w:gridSpan w:val="3"/>
                  <w:vAlign w:val="center"/>
                </w:tcPr>
                <w:p w14:paraId="1EB0ECE8">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未利用土地</w:t>
                  </w:r>
                </w:p>
              </w:tc>
              <w:tc>
                <w:tcPr>
                  <w:tcW w:w="273" w:type="pct"/>
                  <w:vAlign w:val="center"/>
                </w:tcPr>
                <w:p w14:paraId="5705B3CC">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其他</w:t>
                  </w:r>
                  <w:r>
                    <w:rPr>
                      <w:rFonts w:ascii="Times New Roman" w:hAnsi="Times New Roman" w:cs="Times New Roman" w:eastAsiaTheme="minorEastAsia"/>
                      <w:b/>
                      <w:bCs/>
                      <w:sz w:val="21"/>
                      <w:szCs w:val="21"/>
                      <w:lang w:eastAsia="zh-CN"/>
                    </w:rPr>
                    <w:t>土地</w:t>
                  </w:r>
                </w:p>
              </w:tc>
            </w:tr>
            <w:tr w14:paraId="0F80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14:paraId="018AE52D">
                  <w:pPr>
                    <w:jc w:val="center"/>
                    <w:rPr>
                      <w:rFonts w:ascii="Times New Roman" w:hAnsi="Times New Roman" w:cs="Times New Roman" w:eastAsiaTheme="minorEastAsia"/>
                      <w:b/>
                      <w:bCs/>
                      <w:sz w:val="21"/>
                      <w:szCs w:val="21"/>
                      <w:lang w:eastAsia="zh-CN"/>
                    </w:rPr>
                  </w:pPr>
                </w:p>
              </w:tc>
              <w:tc>
                <w:tcPr>
                  <w:tcW w:w="309" w:type="pct"/>
                  <w:vAlign w:val="center"/>
                </w:tcPr>
                <w:p w14:paraId="4886B003">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水浇地</w:t>
                  </w:r>
                </w:p>
              </w:tc>
              <w:tc>
                <w:tcPr>
                  <w:tcW w:w="273" w:type="pct"/>
                  <w:vAlign w:val="center"/>
                </w:tcPr>
                <w:p w14:paraId="721B339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果园</w:t>
                  </w:r>
                </w:p>
              </w:tc>
              <w:tc>
                <w:tcPr>
                  <w:tcW w:w="275" w:type="pct"/>
                  <w:vAlign w:val="center"/>
                </w:tcPr>
                <w:p w14:paraId="189603C4">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Cs/>
                      <w:sz w:val="21"/>
                      <w:szCs w:val="21"/>
                      <w:lang w:eastAsia="zh-CN"/>
                    </w:rPr>
                    <w:t>乔木</w:t>
                  </w:r>
                </w:p>
              </w:tc>
              <w:tc>
                <w:tcPr>
                  <w:tcW w:w="309" w:type="pct"/>
                  <w:vAlign w:val="center"/>
                </w:tcPr>
                <w:p w14:paraId="4E1B31C5">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Cs/>
                      <w:sz w:val="21"/>
                      <w:szCs w:val="21"/>
                      <w:lang w:eastAsia="zh-CN"/>
                    </w:rPr>
                    <w:t>灌木</w:t>
                  </w:r>
                </w:p>
              </w:tc>
              <w:tc>
                <w:tcPr>
                  <w:tcW w:w="273" w:type="pct"/>
                  <w:vAlign w:val="center"/>
                </w:tcPr>
                <w:p w14:paraId="04513BEB">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Cs/>
                      <w:sz w:val="21"/>
                      <w:szCs w:val="21"/>
                      <w:lang w:eastAsia="zh-CN"/>
                    </w:rPr>
                    <w:t>其他林地</w:t>
                  </w:r>
                </w:p>
              </w:tc>
              <w:tc>
                <w:tcPr>
                  <w:tcW w:w="309" w:type="pct"/>
                  <w:vAlign w:val="center"/>
                </w:tcPr>
                <w:p w14:paraId="3B7468AF">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天然牧草地</w:t>
                  </w:r>
                </w:p>
              </w:tc>
              <w:tc>
                <w:tcPr>
                  <w:tcW w:w="273" w:type="pct"/>
                  <w:vAlign w:val="center"/>
                </w:tcPr>
                <w:p w14:paraId="16981213">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其他</w:t>
                  </w:r>
                </w:p>
                <w:p w14:paraId="7BE0D1E5">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草地</w:t>
                  </w:r>
                </w:p>
              </w:tc>
              <w:tc>
                <w:tcPr>
                  <w:tcW w:w="273" w:type="pct"/>
                  <w:vAlign w:val="center"/>
                </w:tcPr>
                <w:p w14:paraId="7AE1339A">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农村道路</w:t>
                  </w:r>
                </w:p>
              </w:tc>
              <w:tc>
                <w:tcPr>
                  <w:tcW w:w="273" w:type="pct"/>
                  <w:vAlign w:val="center"/>
                </w:tcPr>
                <w:p w14:paraId="2C858D10">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设施农用地</w:t>
                  </w:r>
                </w:p>
              </w:tc>
              <w:tc>
                <w:tcPr>
                  <w:tcW w:w="273" w:type="pct"/>
                  <w:vAlign w:val="center"/>
                </w:tcPr>
                <w:p w14:paraId="1A816ADE">
                  <w:pPr>
                    <w:jc w:val="center"/>
                    <w:rPr>
                      <w:rFonts w:ascii="Times New Roman" w:hAnsi="Times New Roman" w:cs="Times New Roman" w:eastAsiaTheme="minorEastAsia"/>
                      <w:b/>
                      <w:bCs/>
                      <w:sz w:val="21"/>
                      <w:szCs w:val="21"/>
                      <w:lang w:eastAsia="zh-CN"/>
                    </w:rPr>
                  </w:pPr>
                  <w:r>
                    <w:rPr>
                      <w:rFonts w:ascii="Times New Roman" w:hAnsi="Times New Roman" w:cs="Times New Roman"/>
                      <w:sz w:val="21"/>
                      <w:szCs w:val="21"/>
                      <w:lang w:eastAsia="zh-CN"/>
                    </w:rPr>
                    <w:t>沟渠</w:t>
                  </w:r>
                </w:p>
              </w:tc>
              <w:tc>
                <w:tcPr>
                  <w:tcW w:w="273" w:type="pct"/>
                  <w:vAlign w:val="center"/>
                </w:tcPr>
                <w:p w14:paraId="71ED8822">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sz w:val="21"/>
                      <w:szCs w:val="21"/>
                      <w:lang w:eastAsia="zh-CN"/>
                    </w:rPr>
                    <w:t>坑塘水面</w:t>
                  </w:r>
                </w:p>
              </w:tc>
              <w:tc>
                <w:tcPr>
                  <w:tcW w:w="273" w:type="pct"/>
                  <w:vAlign w:val="center"/>
                </w:tcPr>
                <w:p w14:paraId="408C771D">
                  <w:pPr>
                    <w:jc w:val="center"/>
                    <w:rPr>
                      <w:rFonts w:ascii="Times New Roman" w:hAnsi="Times New Roman" w:cs="Times New Roman" w:eastAsiaTheme="minorEastAsia"/>
                      <w:b/>
                      <w:bCs/>
                      <w:sz w:val="21"/>
                      <w:szCs w:val="21"/>
                      <w:lang w:eastAsia="zh-CN"/>
                    </w:rPr>
                  </w:pPr>
                </w:p>
              </w:tc>
              <w:tc>
                <w:tcPr>
                  <w:tcW w:w="309" w:type="pct"/>
                  <w:vAlign w:val="center"/>
                </w:tcPr>
                <w:p w14:paraId="67C269A0">
                  <w:pPr>
                    <w:jc w:val="center"/>
                    <w:rPr>
                      <w:rFonts w:ascii="Times New Roman" w:hAnsi="Times New Roman" w:cs="Times New Roman" w:eastAsiaTheme="minorEastAsia"/>
                      <w:b/>
                      <w:bCs/>
                      <w:sz w:val="21"/>
                      <w:szCs w:val="21"/>
                      <w:lang w:eastAsia="zh-CN"/>
                    </w:rPr>
                  </w:pPr>
                </w:p>
              </w:tc>
              <w:tc>
                <w:tcPr>
                  <w:tcW w:w="273" w:type="pct"/>
                  <w:vAlign w:val="center"/>
                </w:tcPr>
                <w:p w14:paraId="285B1404">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Cs/>
                      <w:sz w:val="21"/>
                      <w:szCs w:val="21"/>
                      <w:lang w:eastAsia="zh-CN"/>
                    </w:rPr>
                    <w:t>裸岩石砾地</w:t>
                  </w:r>
                </w:p>
              </w:tc>
              <w:tc>
                <w:tcPr>
                  <w:tcW w:w="273" w:type="pct"/>
                  <w:vAlign w:val="center"/>
                </w:tcPr>
                <w:p w14:paraId="491B9EB7">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Cs/>
                      <w:sz w:val="21"/>
                      <w:szCs w:val="21"/>
                      <w:lang w:eastAsia="zh-CN"/>
                    </w:rPr>
                    <w:t>盐碱地</w:t>
                  </w:r>
                </w:p>
              </w:tc>
              <w:tc>
                <w:tcPr>
                  <w:tcW w:w="273" w:type="pct"/>
                  <w:vAlign w:val="center"/>
                </w:tcPr>
                <w:p w14:paraId="43A4B456">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Cs/>
                      <w:sz w:val="21"/>
                      <w:szCs w:val="21"/>
                      <w:lang w:eastAsia="zh-CN"/>
                    </w:rPr>
                    <w:t>裸土地</w:t>
                  </w:r>
                </w:p>
              </w:tc>
              <w:tc>
                <w:tcPr>
                  <w:tcW w:w="273" w:type="pct"/>
                  <w:vAlign w:val="center"/>
                </w:tcPr>
                <w:p w14:paraId="47F4A58F">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Cs/>
                      <w:sz w:val="21"/>
                      <w:szCs w:val="21"/>
                      <w:lang w:eastAsia="zh-CN"/>
                    </w:rPr>
                    <w:t>河流水面</w:t>
                  </w:r>
                </w:p>
              </w:tc>
            </w:tr>
            <w:tr w14:paraId="4FAA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428F262C">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红旗</w:t>
                  </w:r>
                  <w:r>
                    <w:rPr>
                      <w:rFonts w:ascii="Times New Roman" w:hAnsi="Times New Roman" w:cs="Times New Roman" w:eastAsiaTheme="minorEastAsia"/>
                      <w:bCs/>
                      <w:sz w:val="21"/>
                      <w:szCs w:val="21"/>
                      <w:lang w:eastAsia="zh-CN"/>
                    </w:rPr>
                    <w:t>农场</w:t>
                  </w:r>
                  <w:r>
                    <w:rPr>
                      <w:rFonts w:hint="eastAsia" w:ascii="Times New Roman" w:hAnsi="Times New Roman" w:cs="Times New Roman" w:eastAsiaTheme="minorEastAsia"/>
                      <w:bCs/>
                      <w:sz w:val="21"/>
                      <w:szCs w:val="21"/>
                      <w:lang w:eastAsia="zh-CN"/>
                    </w:rPr>
                    <w:t>7连</w:t>
                  </w:r>
                </w:p>
              </w:tc>
              <w:tc>
                <w:tcPr>
                  <w:tcW w:w="309" w:type="pct"/>
                  <w:vAlign w:val="center"/>
                </w:tcPr>
                <w:p w14:paraId="08B83EDA">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1.8109</w:t>
                  </w:r>
                </w:p>
              </w:tc>
              <w:tc>
                <w:tcPr>
                  <w:tcW w:w="273" w:type="pct"/>
                  <w:vAlign w:val="center"/>
                </w:tcPr>
                <w:p w14:paraId="1F4FF502">
                  <w:pPr>
                    <w:jc w:val="center"/>
                    <w:rPr>
                      <w:rFonts w:ascii="Times New Roman" w:hAnsi="Times New Roman" w:cs="Times New Roman" w:eastAsiaTheme="minorEastAsia"/>
                      <w:bCs/>
                      <w:sz w:val="21"/>
                      <w:szCs w:val="21"/>
                      <w:lang w:eastAsia="zh-CN"/>
                    </w:rPr>
                  </w:pPr>
                </w:p>
              </w:tc>
              <w:tc>
                <w:tcPr>
                  <w:tcW w:w="275" w:type="pct"/>
                  <w:vAlign w:val="center"/>
                </w:tcPr>
                <w:p w14:paraId="59770FF6">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0.0854</w:t>
                  </w:r>
                </w:p>
              </w:tc>
              <w:tc>
                <w:tcPr>
                  <w:tcW w:w="309" w:type="pct"/>
                  <w:vAlign w:val="center"/>
                </w:tcPr>
                <w:p w14:paraId="47AC4016">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1.6297</w:t>
                  </w:r>
                </w:p>
              </w:tc>
              <w:tc>
                <w:tcPr>
                  <w:tcW w:w="273" w:type="pct"/>
                  <w:vAlign w:val="center"/>
                </w:tcPr>
                <w:p w14:paraId="36235F2A">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0.5565</w:t>
                  </w:r>
                </w:p>
              </w:tc>
              <w:tc>
                <w:tcPr>
                  <w:tcW w:w="309" w:type="pct"/>
                  <w:vAlign w:val="center"/>
                </w:tcPr>
                <w:p w14:paraId="06069991">
                  <w:pPr>
                    <w:jc w:val="center"/>
                    <w:rPr>
                      <w:rFonts w:ascii="Times New Roman" w:hAnsi="Times New Roman" w:cs="Times New Roman" w:eastAsiaTheme="minorEastAsia"/>
                      <w:bCs/>
                      <w:sz w:val="21"/>
                      <w:szCs w:val="21"/>
                      <w:lang w:eastAsia="zh-CN"/>
                    </w:rPr>
                  </w:pPr>
                </w:p>
              </w:tc>
              <w:tc>
                <w:tcPr>
                  <w:tcW w:w="273" w:type="pct"/>
                  <w:vAlign w:val="center"/>
                </w:tcPr>
                <w:p w14:paraId="463DF1D8">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0.9406</w:t>
                  </w:r>
                </w:p>
              </w:tc>
              <w:tc>
                <w:tcPr>
                  <w:tcW w:w="273" w:type="pct"/>
                  <w:vAlign w:val="center"/>
                </w:tcPr>
                <w:p w14:paraId="5173BEB7">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0.1085</w:t>
                  </w:r>
                </w:p>
              </w:tc>
              <w:tc>
                <w:tcPr>
                  <w:tcW w:w="273" w:type="pct"/>
                  <w:vAlign w:val="center"/>
                </w:tcPr>
                <w:p w14:paraId="606844C0">
                  <w:pPr>
                    <w:jc w:val="center"/>
                    <w:rPr>
                      <w:rFonts w:ascii="Times New Roman" w:hAnsi="Times New Roman" w:cs="Times New Roman" w:eastAsiaTheme="minorEastAsia"/>
                      <w:bCs/>
                      <w:sz w:val="21"/>
                      <w:szCs w:val="21"/>
                      <w:lang w:eastAsia="zh-CN"/>
                    </w:rPr>
                  </w:pPr>
                </w:p>
              </w:tc>
              <w:tc>
                <w:tcPr>
                  <w:tcW w:w="273" w:type="pct"/>
                  <w:vAlign w:val="center"/>
                </w:tcPr>
                <w:p w14:paraId="1B226486">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0.0131</w:t>
                  </w:r>
                </w:p>
              </w:tc>
              <w:tc>
                <w:tcPr>
                  <w:tcW w:w="273" w:type="pct"/>
                  <w:vAlign w:val="center"/>
                </w:tcPr>
                <w:p w14:paraId="11773C4E">
                  <w:pPr>
                    <w:jc w:val="center"/>
                    <w:rPr>
                      <w:rFonts w:ascii="Times New Roman" w:hAnsi="Times New Roman" w:cs="Times New Roman" w:eastAsiaTheme="minorEastAsia"/>
                      <w:bCs/>
                      <w:sz w:val="21"/>
                      <w:szCs w:val="21"/>
                      <w:lang w:eastAsia="zh-CN"/>
                    </w:rPr>
                  </w:pPr>
                </w:p>
              </w:tc>
              <w:tc>
                <w:tcPr>
                  <w:tcW w:w="273" w:type="pct"/>
                  <w:vAlign w:val="center"/>
                </w:tcPr>
                <w:p w14:paraId="265124B9">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0.0051</w:t>
                  </w:r>
                </w:p>
              </w:tc>
              <w:tc>
                <w:tcPr>
                  <w:tcW w:w="309" w:type="pct"/>
                  <w:vAlign w:val="center"/>
                </w:tcPr>
                <w:p w14:paraId="11FAA361">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0.3139</w:t>
                  </w:r>
                </w:p>
              </w:tc>
              <w:tc>
                <w:tcPr>
                  <w:tcW w:w="273" w:type="pct"/>
                  <w:vAlign w:val="center"/>
                </w:tcPr>
                <w:p w14:paraId="575A6F5E">
                  <w:pPr>
                    <w:jc w:val="center"/>
                    <w:rPr>
                      <w:rFonts w:ascii="Times New Roman" w:hAnsi="Times New Roman" w:cs="Times New Roman" w:eastAsiaTheme="minorEastAsia"/>
                      <w:bCs/>
                      <w:sz w:val="21"/>
                      <w:szCs w:val="21"/>
                      <w:lang w:eastAsia="zh-CN"/>
                    </w:rPr>
                  </w:pPr>
                </w:p>
              </w:tc>
              <w:tc>
                <w:tcPr>
                  <w:tcW w:w="273" w:type="pct"/>
                  <w:vAlign w:val="center"/>
                </w:tcPr>
                <w:p w14:paraId="436F4CA7">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0.1534</w:t>
                  </w:r>
                </w:p>
              </w:tc>
              <w:tc>
                <w:tcPr>
                  <w:tcW w:w="273" w:type="pct"/>
                  <w:vAlign w:val="center"/>
                </w:tcPr>
                <w:p w14:paraId="1FDC84E7">
                  <w:pPr>
                    <w:jc w:val="center"/>
                    <w:rPr>
                      <w:rFonts w:ascii="Times New Roman" w:hAnsi="Times New Roman" w:cs="Times New Roman" w:eastAsiaTheme="minorEastAsia"/>
                      <w:bCs/>
                      <w:sz w:val="21"/>
                      <w:szCs w:val="21"/>
                      <w:lang w:eastAsia="zh-CN"/>
                    </w:rPr>
                  </w:pPr>
                </w:p>
              </w:tc>
              <w:tc>
                <w:tcPr>
                  <w:tcW w:w="273" w:type="pct"/>
                  <w:vAlign w:val="center"/>
                </w:tcPr>
                <w:p w14:paraId="69E34A69">
                  <w:pPr>
                    <w:jc w:val="center"/>
                    <w:rPr>
                      <w:rFonts w:ascii="Times New Roman" w:hAnsi="Times New Roman" w:cs="Times New Roman" w:eastAsiaTheme="minorEastAsia"/>
                      <w:bCs/>
                      <w:sz w:val="21"/>
                      <w:szCs w:val="21"/>
                      <w:lang w:eastAsia="zh-CN"/>
                    </w:rPr>
                  </w:pPr>
                </w:p>
              </w:tc>
            </w:tr>
            <w:tr w14:paraId="7764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5F4A50D9">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红旗农场9连</w:t>
                  </w:r>
                </w:p>
              </w:tc>
              <w:tc>
                <w:tcPr>
                  <w:tcW w:w="309" w:type="pct"/>
                  <w:vAlign w:val="center"/>
                </w:tcPr>
                <w:p w14:paraId="410C7C29">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4.6695</w:t>
                  </w:r>
                </w:p>
              </w:tc>
              <w:tc>
                <w:tcPr>
                  <w:tcW w:w="273" w:type="pct"/>
                  <w:vAlign w:val="center"/>
                </w:tcPr>
                <w:p w14:paraId="1703F6E1">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0.1895</w:t>
                  </w:r>
                </w:p>
              </w:tc>
              <w:tc>
                <w:tcPr>
                  <w:tcW w:w="275" w:type="pct"/>
                  <w:tcBorders>
                    <w:top w:val="nil"/>
                    <w:left w:val="nil"/>
                    <w:bottom w:val="single" w:color="auto" w:sz="8" w:space="0"/>
                    <w:right w:val="single" w:color="auto" w:sz="8" w:space="0"/>
                  </w:tcBorders>
                  <w:shd w:val="clear" w:color="auto" w:fill="auto"/>
                  <w:vAlign w:val="center"/>
                </w:tcPr>
                <w:p w14:paraId="0E22E23E">
                  <w:pPr>
                    <w:jc w:val="center"/>
                    <w:rPr>
                      <w:rFonts w:ascii="Times New Roman" w:hAnsi="Times New Roman" w:cs="Times New Roman" w:eastAsiaTheme="minorEastAsia"/>
                      <w:bCs/>
                      <w:sz w:val="21"/>
                      <w:szCs w:val="21"/>
                      <w:lang w:eastAsia="zh-CN"/>
                    </w:rPr>
                  </w:pPr>
                  <w:r>
                    <w:rPr>
                      <w:rFonts w:ascii="Times New Roman" w:hAnsi="Times New Roman" w:eastAsia="仿宋" w:cs="Times New Roman"/>
                      <w:color w:val="000000"/>
                      <w:sz w:val="21"/>
                      <w:szCs w:val="21"/>
                    </w:rPr>
                    <w:t>0.0839</w:t>
                  </w:r>
                </w:p>
              </w:tc>
              <w:tc>
                <w:tcPr>
                  <w:tcW w:w="309" w:type="pct"/>
                  <w:tcBorders>
                    <w:top w:val="nil"/>
                    <w:left w:val="nil"/>
                    <w:bottom w:val="single" w:color="auto" w:sz="8" w:space="0"/>
                    <w:right w:val="single" w:color="auto" w:sz="8" w:space="0"/>
                  </w:tcBorders>
                  <w:shd w:val="clear" w:color="auto" w:fill="auto"/>
                  <w:vAlign w:val="center"/>
                </w:tcPr>
                <w:p w14:paraId="6B4E2975">
                  <w:pPr>
                    <w:jc w:val="center"/>
                    <w:rPr>
                      <w:rFonts w:ascii="Times New Roman" w:hAnsi="Times New Roman" w:cs="Times New Roman" w:eastAsiaTheme="minorEastAsia"/>
                      <w:bCs/>
                      <w:sz w:val="21"/>
                      <w:szCs w:val="21"/>
                      <w:lang w:eastAsia="zh-CN"/>
                    </w:rPr>
                  </w:pPr>
                  <w:r>
                    <w:rPr>
                      <w:rFonts w:ascii="Times New Roman" w:hAnsi="Times New Roman" w:eastAsia="仿宋" w:cs="Times New Roman"/>
                      <w:color w:val="000000"/>
                      <w:sz w:val="21"/>
                      <w:szCs w:val="21"/>
                    </w:rPr>
                    <w:t>0.0119</w:t>
                  </w:r>
                </w:p>
              </w:tc>
              <w:tc>
                <w:tcPr>
                  <w:tcW w:w="273" w:type="pct"/>
                  <w:tcBorders>
                    <w:top w:val="nil"/>
                    <w:left w:val="nil"/>
                    <w:bottom w:val="single" w:color="auto" w:sz="8" w:space="0"/>
                    <w:right w:val="single" w:color="auto" w:sz="8" w:space="0"/>
                  </w:tcBorders>
                  <w:shd w:val="clear" w:color="auto" w:fill="auto"/>
                  <w:vAlign w:val="center"/>
                </w:tcPr>
                <w:p w14:paraId="30994B8A">
                  <w:pPr>
                    <w:jc w:val="center"/>
                    <w:rPr>
                      <w:rFonts w:ascii="Times New Roman" w:hAnsi="Times New Roman" w:cs="Times New Roman" w:eastAsiaTheme="minorEastAsia"/>
                      <w:bCs/>
                      <w:sz w:val="21"/>
                      <w:szCs w:val="21"/>
                      <w:lang w:eastAsia="zh-CN"/>
                    </w:rPr>
                  </w:pPr>
                </w:p>
              </w:tc>
              <w:tc>
                <w:tcPr>
                  <w:tcW w:w="309" w:type="pct"/>
                  <w:vAlign w:val="center"/>
                </w:tcPr>
                <w:p w14:paraId="03F3C57A">
                  <w:pPr>
                    <w:jc w:val="center"/>
                    <w:rPr>
                      <w:rFonts w:ascii="Times New Roman" w:hAnsi="Times New Roman" w:cs="Times New Roman" w:eastAsiaTheme="minorEastAsia"/>
                      <w:bCs/>
                      <w:sz w:val="21"/>
                      <w:szCs w:val="21"/>
                      <w:lang w:eastAsia="zh-CN"/>
                    </w:rPr>
                  </w:pPr>
                </w:p>
              </w:tc>
              <w:tc>
                <w:tcPr>
                  <w:tcW w:w="273" w:type="pct"/>
                  <w:vAlign w:val="center"/>
                </w:tcPr>
                <w:p w14:paraId="39EB92B7">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0.1211</w:t>
                  </w:r>
                </w:p>
              </w:tc>
              <w:tc>
                <w:tcPr>
                  <w:tcW w:w="273" w:type="pct"/>
                  <w:vAlign w:val="center"/>
                </w:tcPr>
                <w:p w14:paraId="1D685591">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0.0444</w:t>
                  </w:r>
                </w:p>
              </w:tc>
              <w:tc>
                <w:tcPr>
                  <w:tcW w:w="273" w:type="pct"/>
                  <w:vAlign w:val="center"/>
                </w:tcPr>
                <w:p w14:paraId="46A76268">
                  <w:pPr>
                    <w:jc w:val="center"/>
                    <w:rPr>
                      <w:rFonts w:ascii="Times New Roman" w:hAnsi="Times New Roman" w:cs="Times New Roman" w:eastAsiaTheme="minorEastAsia"/>
                      <w:bCs/>
                      <w:sz w:val="21"/>
                      <w:szCs w:val="21"/>
                      <w:lang w:eastAsia="zh-CN"/>
                    </w:rPr>
                  </w:pPr>
                </w:p>
              </w:tc>
              <w:tc>
                <w:tcPr>
                  <w:tcW w:w="273" w:type="pct"/>
                  <w:vAlign w:val="center"/>
                </w:tcPr>
                <w:p w14:paraId="1E771B9B">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0.3022</w:t>
                  </w:r>
                </w:p>
              </w:tc>
              <w:tc>
                <w:tcPr>
                  <w:tcW w:w="273" w:type="pct"/>
                  <w:vAlign w:val="center"/>
                </w:tcPr>
                <w:p w14:paraId="5A6ACB65">
                  <w:pPr>
                    <w:jc w:val="center"/>
                    <w:rPr>
                      <w:rFonts w:ascii="Times New Roman" w:hAnsi="Times New Roman" w:cs="Times New Roman" w:eastAsiaTheme="minorEastAsia"/>
                      <w:bCs/>
                      <w:sz w:val="21"/>
                      <w:szCs w:val="21"/>
                      <w:lang w:eastAsia="zh-CN"/>
                    </w:rPr>
                  </w:pPr>
                </w:p>
              </w:tc>
              <w:tc>
                <w:tcPr>
                  <w:tcW w:w="273" w:type="pct"/>
                  <w:vAlign w:val="center"/>
                </w:tcPr>
                <w:p w14:paraId="4E09C379">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0.0135</w:t>
                  </w:r>
                </w:p>
              </w:tc>
              <w:tc>
                <w:tcPr>
                  <w:tcW w:w="309" w:type="pct"/>
                  <w:vAlign w:val="center"/>
                </w:tcPr>
                <w:p w14:paraId="679CD45E">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0.0605</w:t>
                  </w:r>
                </w:p>
              </w:tc>
              <w:tc>
                <w:tcPr>
                  <w:tcW w:w="273" w:type="pct"/>
                  <w:vAlign w:val="center"/>
                </w:tcPr>
                <w:p w14:paraId="068C0B12">
                  <w:pPr>
                    <w:jc w:val="center"/>
                    <w:rPr>
                      <w:rFonts w:ascii="Times New Roman" w:hAnsi="Times New Roman" w:cs="Times New Roman" w:eastAsiaTheme="minorEastAsia"/>
                      <w:bCs/>
                      <w:sz w:val="21"/>
                      <w:szCs w:val="21"/>
                      <w:lang w:eastAsia="zh-CN"/>
                    </w:rPr>
                  </w:pPr>
                </w:p>
              </w:tc>
              <w:tc>
                <w:tcPr>
                  <w:tcW w:w="273" w:type="pct"/>
                  <w:vAlign w:val="center"/>
                </w:tcPr>
                <w:p w14:paraId="45915AC0">
                  <w:pPr>
                    <w:jc w:val="center"/>
                    <w:rPr>
                      <w:rFonts w:ascii="Times New Roman" w:hAnsi="Times New Roman" w:cs="Times New Roman" w:eastAsiaTheme="minorEastAsia"/>
                      <w:bCs/>
                      <w:sz w:val="21"/>
                      <w:szCs w:val="21"/>
                      <w:lang w:eastAsia="zh-CN"/>
                    </w:rPr>
                  </w:pPr>
                </w:p>
              </w:tc>
              <w:tc>
                <w:tcPr>
                  <w:tcW w:w="273" w:type="pct"/>
                  <w:vAlign w:val="center"/>
                </w:tcPr>
                <w:p w14:paraId="74534DD7">
                  <w:pPr>
                    <w:jc w:val="center"/>
                    <w:rPr>
                      <w:rFonts w:ascii="Times New Roman" w:hAnsi="Times New Roman" w:cs="Times New Roman" w:eastAsiaTheme="minorEastAsia"/>
                      <w:bCs/>
                      <w:sz w:val="21"/>
                      <w:szCs w:val="21"/>
                      <w:lang w:eastAsia="zh-CN"/>
                    </w:rPr>
                  </w:pPr>
                </w:p>
              </w:tc>
              <w:tc>
                <w:tcPr>
                  <w:tcW w:w="273" w:type="pct"/>
                  <w:vAlign w:val="center"/>
                </w:tcPr>
                <w:p w14:paraId="3ADE25FF">
                  <w:pPr>
                    <w:jc w:val="center"/>
                    <w:rPr>
                      <w:rFonts w:ascii="Times New Roman" w:hAnsi="Times New Roman" w:cs="Times New Roman" w:eastAsiaTheme="minorEastAsia"/>
                      <w:bCs/>
                      <w:sz w:val="21"/>
                      <w:szCs w:val="21"/>
                      <w:lang w:eastAsia="zh-CN"/>
                    </w:rPr>
                  </w:pPr>
                </w:p>
              </w:tc>
            </w:tr>
            <w:tr w14:paraId="4567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384B27F9">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红旗农场场部直管区一</w:t>
                  </w:r>
                </w:p>
              </w:tc>
              <w:tc>
                <w:tcPr>
                  <w:tcW w:w="309" w:type="pct"/>
                  <w:vAlign w:val="center"/>
                </w:tcPr>
                <w:p w14:paraId="36493EBE">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2.1447</w:t>
                  </w:r>
                </w:p>
              </w:tc>
              <w:tc>
                <w:tcPr>
                  <w:tcW w:w="273" w:type="pct"/>
                  <w:vAlign w:val="center"/>
                </w:tcPr>
                <w:p w14:paraId="32F8DD36">
                  <w:pPr>
                    <w:jc w:val="center"/>
                    <w:rPr>
                      <w:rFonts w:ascii="Times New Roman" w:hAnsi="Times New Roman" w:cs="Times New Roman" w:eastAsiaTheme="minorEastAsia"/>
                      <w:bCs/>
                      <w:sz w:val="21"/>
                      <w:szCs w:val="21"/>
                      <w:lang w:eastAsia="zh-CN"/>
                    </w:rPr>
                  </w:pPr>
                </w:p>
              </w:tc>
              <w:tc>
                <w:tcPr>
                  <w:tcW w:w="275" w:type="pct"/>
                  <w:vAlign w:val="center"/>
                </w:tcPr>
                <w:p w14:paraId="104B2076">
                  <w:pPr>
                    <w:jc w:val="center"/>
                    <w:rPr>
                      <w:rFonts w:ascii="Times New Roman" w:hAnsi="Times New Roman" w:cs="Times New Roman" w:eastAsiaTheme="minorEastAsia"/>
                      <w:bCs/>
                      <w:sz w:val="21"/>
                      <w:szCs w:val="21"/>
                      <w:lang w:eastAsia="zh-CN"/>
                    </w:rPr>
                  </w:pPr>
                </w:p>
              </w:tc>
              <w:tc>
                <w:tcPr>
                  <w:tcW w:w="309" w:type="pct"/>
                  <w:vAlign w:val="center"/>
                </w:tcPr>
                <w:p w14:paraId="2D28F90E">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44.1338</w:t>
                  </w:r>
                </w:p>
              </w:tc>
              <w:tc>
                <w:tcPr>
                  <w:tcW w:w="273" w:type="pct"/>
                  <w:vAlign w:val="center"/>
                </w:tcPr>
                <w:p w14:paraId="17E74BAE">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2.2549</w:t>
                  </w:r>
                </w:p>
              </w:tc>
              <w:tc>
                <w:tcPr>
                  <w:tcW w:w="309" w:type="pct"/>
                  <w:vAlign w:val="center"/>
                </w:tcPr>
                <w:p w14:paraId="1F4F1187">
                  <w:pPr>
                    <w:jc w:val="center"/>
                    <w:rPr>
                      <w:rFonts w:ascii="Times New Roman" w:hAnsi="Times New Roman" w:cs="Times New Roman" w:eastAsiaTheme="minorEastAsia"/>
                      <w:bCs/>
                      <w:sz w:val="21"/>
                      <w:szCs w:val="21"/>
                      <w:lang w:eastAsia="zh-CN"/>
                    </w:rPr>
                  </w:pPr>
                </w:p>
              </w:tc>
              <w:tc>
                <w:tcPr>
                  <w:tcW w:w="273" w:type="pct"/>
                  <w:vAlign w:val="center"/>
                </w:tcPr>
                <w:p w14:paraId="37602E2D">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3.0525</w:t>
                  </w:r>
                </w:p>
              </w:tc>
              <w:tc>
                <w:tcPr>
                  <w:tcW w:w="273" w:type="pct"/>
                  <w:vAlign w:val="center"/>
                </w:tcPr>
                <w:p w14:paraId="7FD84EC8">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0.6237</w:t>
                  </w:r>
                </w:p>
              </w:tc>
              <w:tc>
                <w:tcPr>
                  <w:tcW w:w="273" w:type="pct"/>
                  <w:vAlign w:val="center"/>
                </w:tcPr>
                <w:p w14:paraId="28535814">
                  <w:pPr>
                    <w:jc w:val="center"/>
                    <w:rPr>
                      <w:rFonts w:ascii="Times New Roman" w:hAnsi="Times New Roman" w:cs="Times New Roman" w:eastAsiaTheme="minorEastAsia"/>
                      <w:bCs/>
                      <w:sz w:val="21"/>
                      <w:szCs w:val="21"/>
                      <w:lang w:eastAsia="zh-CN"/>
                    </w:rPr>
                  </w:pPr>
                </w:p>
              </w:tc>
              <w:tc>
                <w:tcPr>
                  <w:tcW w:w="273" w:type="pct"/>
                  <w:vAlign w:val="center"/>
                </w:tcPr>
                <w:p w14:paraId="2066AFD7">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0.0177</w:t>
                  </w:r>
                </w:p>
              </w:tc>
              <w:tc>
                <w:tcPr>
                  <w:tcW w:w="273" w:type="pct"/>
                  <w:vAlign w:val="center"/>
                </w:tcPr>
                <w:p w14:paraId="1E7483E7">
                  <w:pPr>
                    <w:jc w:val="center"/>
                    <w:rPr>
                      <w:rFonts w:ascii="Times New Roman" w:hAnsi="Times New Roman" w:cs="Times New Roman" w:eastAsiaTheme="minorEastAsia"/>
                      <w:bCs/>
                      <w:sz w:val="21"/>
                      <w:szCs w:val="21"/>
                      <w:lang w:eastAsia="zh-CN"/>
                    </w:rPr>
                  </w:pPr>
                </w:p>
              </w:tc>
              <w:tc>
                <w:tcPr>
                  <w:tcW w:w="273" w:type="pct"/>
                  <w:vAlign w:val="center"/>
                </w:tcPr>
                <w:p w14:paraId="76F5029E">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0.0591</w:t>
                  </w:r>
                </w:p>
              </w:tc>
              <w:tc>
                <w:tcPr>
                  <w:tcW w:w="309" w:type="pct"/>
                  <w:vAlign w:val="center"/>
                </w:tcPr>
                <w:p w14:paraId="30724F1A">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0.554</w:t>
                  </w:r>
                </w:p>
              </w:tc>
              <w:tc>
                <w:tcPr>
                  <w:tcW w:w="273" w:type="pct"/>
                  <w:vAlign w:val="center"/>
                </w:tcPr>
                <w:p w14:paraId="2C515AE9">
                  <w:pPr>
                    <w:jc w:val="center"/>
                    <w:rPr>
                      <w:rFonts w:ascii="Times New Roman" w:hAnsi="Times New Roman" w:cs="Times New Roman" w:eastAsiaTheme="minorEastAsia"/>
                      <w:bCs/>
                      <w:sz w:val="21"/>
                      <w:szCs w:val="21"/>
                      <w:lang w:eastAsia="zh-CN"/>
                    </w:rPr>
                  </w:pPr>
                </w:p>
              </w:tc>
              <w:tc>
                <w:tcPr>
                  <w:tcW w:w="273" w:type="pct"/>
                  <w:vAlign w:val="center"/>
                </w:tcPr>
                <w:p w14:paraId="4819548A">
                  <w:pPr>
                    <w:jc w:val="center"/>
                    <w:rPr>
                      <w:rFonts w:ascii="Times New Roman" w:hAnsi="Times New Roman" w:cs="Times New Roman" w:eastAsiaTheme="minorEastAsia"/>
                      <w:bCs/>
                      <w:sz w:val="21"/>
                      <w:szCs w:val="21"/>
                      <w:lang w:eastAsia="zh-CN"/>
                    </w:rPr>
                  </w:pPr>
                </w:p>
              </w:tc>
              <w:tc>
                <w:tcPr>
                  <w:tcW w:w="273" w:type="pct"/>
                  <w:vAlign w:val="center"/>
                </w:tcPr>
                <w:p w14:paraId="0ECD1F4F">
                  <w:pPr>
                    <w:jc w:val="center"/>
                    <w:rPr>
                      <w:rFonts w:ascii="Times New Roman" w:hAnsi="Times New Roman" w:cs="Times New Roman" w:eastAsiaTheme="minorEastAsia"/>
                      <w:bCs/>
                      <w:sz w:val="21"/>
                      <w:szCs w:val="21"/>
                      <w:lang w:eastAsia="zh-CN"/>
                    </w:rPr>
                  </w:pPr>
                </w:p>
              </w:tc>
              <w:tc>
                <w:tcPr>
                  <w:tcW w:w="273" w:type="pct"/>
                  <w:vAlign w:val="center"/>
                </w:tcPr>
                <w:p w14:paraId="6E36BFC3">
                  <w:pPr>
                    <w:jc w:val="center"/>
                    <w:rPr>
                      <w:rFonts w:ascii="Times New Roman" w:hAnsi="Times New Roman" w:cs="Times New Roman" w:eastAsiaTheme="minorEastAsia"/>
                      <w:bCs/>
                      <w:sz w:val="21"/>
                      <w:szCs w:val="21"/>
                      <w:lang w:eastAsia="zh-CN"/>
                    </w:rPr>
                  </w:pPr>
                </w:p>
              </w:tc>
            </w:tr>
            <w:tr w14:paraId="654C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7E6D39A8">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各地类</w:t>
                  </w:r>
                  <w:r>
                    <w:rPr>
                      <w:rFonts w:ascii="Times New Roman" w:hAnsi="Times New Roman" w:cs="Times New Roman" w:eastAsiaTheme="minorEastAsia"/>
                      <w:b/>
                      <w:bCs/>
                      <w:sz w:val="21"/>
                      <w:szCs w:val="21"/>
                      <w:lang w:eastAsia="zh-CN"/>
                    </w:rPr>
                    <w:t>小计</w:t>
                  </w:r>
                </w:p>
              </w:tc>
              <w:tc>
                <w:tcPr>
                  <w:tcW w:w="309" w:type="pct"/>
                  <w:vAlign w:val="center"/>
                </w:tcPr>
                <w:p w14:paraId="3F49CADB">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8</w:t>
                  </w:r>
                  <w:r>
                    <w:rPr>
                      <w:rFonts w:ascii="Times New Roman" w:hAnsi="Times New Roman" w:cs="Times New Roman" w:eastAsiaTheme="minorEastAsia"/>
                      <w:b/>
                      <w:bCs/>
                      <w:sz w:val="21"/>
                      <w:szCs w:val="21"/>
                      <w:lang w:eastAsia="zh-CN"/>
                    </w:rPr>
                    <w:t>.6251</w:t>
                  </w:r>
                </w:p>
              </w:tc>
              <w:tc>
                <w:tcPr>
                  <w:tcW w:w="273" w:type="pct"/>
                  <w:vAlign w:val="center"/>
                </w:tcPr>
                <w:p w14:paraId="0CF811E6">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.1895</w:t>
                  </w:r>
                </w:p>
              </w:tc>
              <w:tc>
                <w:tcPr>
                  <w:tcW w:w="275" w:type="pct"/>
                  <w:vAlign w:val="center"/>
                </w:tcPr>
                <w:p w14:paraId="23D34BF8">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.1693</w:t>
                  </w:r>
                </w:p>
              </w:tc>
              <w:tc>
                <w:tcPr>
                  <w:tcW w:w="309" w:type="pct"/>
                  <w:vAlign w:val="center"/>
                </w:tcPr>
                <w:p w14:paraId="7C163165">
                  <w:pPr>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4</w:t>
                  </w:r>
                  <w:r>
                    <w:rPr>
                      <w:rFonts w:ascii="Times New Roman" w:hAnsi="Times New Roman" w:cs="Times New Roman"/>
                      <w:b/>
                      <w:sz w:val="21"/>
                      <w:szCs w:val="21"/>
                      <w:lang w:eastAsia="zh-CN"/>
                    </w:rPr>
                    <w:t>5.7754</w:t>
                  </w:r>
                </w:p>
              </w:tc>
              <w:tc>
                <w:tcPr>
                  <w:tcW w:w="273" w:type="pct"/>
                  <w:vAlign w:val="center"/>
                </w:tcPr>
                <w:p w14:paraId="7A71FAC1">
                  <w:pPr>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2</w:t>
                  </w:r>
                  <w:r>
                    <w:rPr>
                      <w:rFonts w:ascii="Times New Roman" w:hAnsi="Times New Roman" w:cs="Times New Roman"/>
                      <w:b/>
                      <w:sz w:val="21"/>
                      <w:szCs w:val="21"/>
                      <w:lang w:eastAsia="zh-CN"/>
                    </w:rPr>
                    <w:t>.8114</w:t>
                  </w:r>
                </w:p>
              </w:tc>
              <w:tc>
                <w:tcPr>
                  <w:tcW w:w="309" w:type="pct"/>
                  <w:vAlign w:val="center"/>
                </w:tcPr>
                <w:p w14:paraId="01ADC31D">
                  <w:pPr>
                    <w:jc w:val="center"/>
                    <w:rPr>
                      <w:rFonts w:ascii="Times New Roman" w:hAnsi="Times New Roman" w:cs="Times New Roman" w:eastAsiaTheme="minorEastAsia"/>
                      <w:b/>
                      <w:bCs/>
                      <w:sz w:val="21"/>
                      <w:szCs w:val="21"/>
                      <w:lang w:eastAsia="zh-CN"/>
                    </w:rPr>
                  </w:pPr>
                </w:p>
              </w:tc>
              <w:tc>
                <w:tcPr>
                  <w:tcW w:w="273" w:type="pct"/>
                  <w:vAlign w:val="center"/>
                </w:tcPr>
                <w:p w14:paraId="0222F2E6">
                  <w:pPr>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4</w:t>
                  </w:r>
                  <w:r>
                    <w:rPr>
                      <w:rFonts w:ascii="Times New Roman" w:hAnsi="Times New Roman" w:cs="Times New Roman"/>
                      <w:b/>
                      <w:sz w:val="21"/>
                      <w:szCs w:val="21"/>
                      <w:lang w:eastAsia="zh-CN"/>
                    </w:rPr>
                    <w:t>.1142</w:t>
                  </w:r>
                </w:p>
              </w:tc>
              <w:tc>
                <w:tcPr>
                  <w:tcW w:w="273" w:type="pct"/>
                  <w:vAlign w:val="center"/>
                </w:tcPr>
                <w:p w14:paraId="11CD205A">
                  <w:pPr>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0</w:t>
                  </w:r>
                  <w:r>
                    <w:rPr>
                      <w:rFonts w:ascii="Times New Roman" w:hAnsi="Times New Roman" w:cs="Times New Roman"/>
                      <w:b/>
                      <w:sz w:val="21"/>
                      <w:szCs w:val="21"/>
                      <w:lang w:eastAsia="zh-CN"/>
                    </w:rPr>
                    <w:t>.7766</w:t>
                  </w:r>
                </w:p>
              </w:tc>
              <w:tc>
                <w:tcPr>
                  <w:tcW w:w="273" w:type="pct"/>
                  <w:vAlign w:val="center"/>
                </w:tcPr>
                <w:p w14:paraId="055EC90D">
                  <w:pPr>
                    <w:jc w:val="center"/>
                    <w:rPr>
                      <w:rFonts w:ascii="Times New Roman" w:hAnsi="Times New Roman" w:cs="Times New Roman" w:eastAsiaTheme="minorEastAsia"/>
                      <w:b/>
                      <w:bCs/>
                      <w:sz w:val="21"/>
                      <w:szCs w:val="21"/>
                      <w:lang w:eastAsia="zh-CN"/>
                    </w:rPr>
                  </w:pPr>
                </w:p>
              </w:tc>
              <w:tc>
                <w:tcPr>
                  <w:tcW w:w="273" w:type="pct"/>
                  <w:vAlign w:val="center"/>
                </w:tcPr>
                <w:p w14:paraId="2053B7F5">
                  <w:pPr>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0</w:t>
                  </w:r>
                  <w:r>
                    <w:rPr>
                      <w:rFonts w:ascii="Times New Roman" w:hAnsi="Times New Roman" w:cs="Times New Roman"/>
                      <w:b/>
                      <w:sz w:val="21"/>
                      <w:szCs w:val="21"/>
                      <w:lang w:eastAsia="zh-CN"/>
                    </w:rPr>
                    <w:t>.333</w:t>
                  </w:r>
                </w:p>
              </w:tc>
              <w:tc>
                <w:tcPr>
                  <w:tcW w:w="273" w:type="pct"/>
                  <w:vAlign w:val="center"/>
                </w:tcPr>
                <w:p w14:paraId="46C4F72E">
                  <w:pPr>
                    <w:jc w:val="center"/>
                    <w:rPr>
                      <w:rFonts w:ascii="Times New Roman" w:hAnsi="Times New Roman" w:cs="Times New Roman" w:eastAsiaTheme="minorEastAsia"/>
                      <w:b/>
                      <w:bCs/>
                      <w:sz w:val="21"/>
                      <w:szCs w:val="21"/>
                      <w:lang w:eastAsia="zh-CN"/>
                    </w:rPr>
                  </w:pPr>
                </w:p>
              </w:tc>
              <w:tc>
                <w:tcPr>
                  <w:tcW w:w="273" w:type="pct"/>
                  <w:vAlign w:val="center"/>
                </w:tcPr>
                <w:p w14:paraId="0D4B8AC9">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.0777</w:t>
                  </w:r>
                </w:p>
              </w:tc>
              <w:tc>
                <w:tcPr>
                  <w:tcW w:w="309" w:type="pct"/>
                  <w:vAlign w:val="center"/>
                </w:tcPr>
                <w:p w14:paraId="26180A27">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.9284</w:t>
                  </w:r>
                </w:p>
              </w:tc>
              <w:tc>
                <w:tcPr>
                  <w:tcW w:w="273" w:type="pct"/>
                  <w:vAlign w:val="center"/>
                </w:tcPr>
                <w:p w14:paraId="034A3870">
                  <w:pPr>
                    <w:jc w:val="center"/>
                    <w:rPr>
                      <w:rFonts w:ascii="Times New Roman" w:hAnsi="Times New Roman" w:cs="Times New Roman" w:eastAsiaTheme="minorEastAsia"/>
                      <w:b/>
                      <w:bCs/>
                      <w:sz w:val="21"/>
                      <w:szCs w:val="21"/>
                      <w:lang w:eastAsia="zh-CN"/>
                    </w:rPr>
                  </w:pPr>
                </w:p>
              </w:tc>
              <w:tc>
                <w:tcPr>
                  <w:tcW w:w="273" w:type="pct"/>
                  <w:vAlign w:val="center"/>
                </w:tcPr>
                <w:p w14:paraId="5163D1FD">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.1534</w:t>
                  </w:r>
                </w:p>
              </w:tc>
              <w:tc>
                <w:tcPr>
                  <w:tcW w:w="273" w:type="pct"/>
                  <w:vAlign w:val="center"/>
                </w:tcPr>
                <w:p w14:paraId="7D7BC4AE">
                  <w:pPr>
                    <w:jc w:val="center"/>
                    <w:rPr>
                      <w:rFonts w:ascii="Times New Roman" w:hAnsi="Times New Roman" w:cs="Times New Roman" w:eastAsiaTheme="minorEastAsia"/>
                      <w:b/>
                      <w:bCs/>
                      <w:sz w:val="21"/>
                      <w:szCs w:val="21"/>
                      <w:lang w:eastAsia="zh-CN"/>
                    </w:rPr>
                  </w:pPr>
                </w:p>
              </w:tc>
              <w:tc>
                <w:tcPr>
                  <w:tcW w:w="273" w:type="pct"/>
                  <w:vAlign w:val="center"/>
                </w:tcPr>
                <w:p w14:paraId="10353C07">
                  <w:pPr>
                    <w:jc w:val="center"/>
                    <w:rPr>
                      <w:rFonts w:ascii="Times New Roman" w:hAnsi="Times New Roman" w:cs="Times New Roman" w:eastAsiaTheme="minorEastAsia"/>
                      <w:b/>
                      <w:bCs/>
                      <w:sz w:val="21"/>
                      <w:szCs w:val="21"/>
                      <w:lang w:eastAsia="zh-CN"/>
                    </w:rPr>
                  </w:pPr>
                </w:p>
              </w:tc>
            </w:tr>
            <w:tr w14:paraId="5967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8"/>
                  <w:vAlign w:val="center"/>
                </w:tcPr>
                <w:p w14:paraId="5E5E0EB4">
                  <w:pP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8"/>
                      <w:szCs w:val="28"/>
                      <w:lang w:eastAsia="zh-CN"/>
                    </w:rPr>
                    <w:t>第六师红旗农场段</w:t>
                  </w:r>
                  <w:r>
                    <w:rPr>
                      <w:rFonts w:ascii="Times New Roman" w:hAnsi="Times New Roman" w:cs="Times New Roman" w:eastAsiaTheme="minorEastAsia"/>
                      <w:b/>
                      <w:bCs/>
                      <w:sz w:val="28"/>
                      <w:szCs w:val="28"/>
                      <w:lang w:eastAsia="zh-CN"/>
                    </w:rPr>
                    <w:t>新增用地面积合计：63.954hm²</w:t>
                  </w:r>
                </w:p>
              </w:tc>
            </w:tr>
            <w:tr w14:paraId="017F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8"/>
                  <w:vAlign w:val="center"/>
                </w:tcPr>
                <w:p w14:paraId="30ECA4E7">
                  <w:pPr>
                    <w:jc w:val="center"/>
                    <w:rPr>
                      <w:rFonts w:ascii="Times New Roman" w:hAnsi="Times New Roman" w:cs="Times New Roman" w:eastAsiaTheme="minorEastAsia"/>
                      <w:bCs/>
                      <w:sz w:val="21"/>
                      <w:szCs w:val="21"/>
                      <w:lang w:eastAsia="zh-CN"/>
                    </w:rPr>
                  </w:pPr>
                  <w:r>
                    <w:rPr>
                      <w:rFonts w:hint="eastAsia" w:ascii="Times New Roman" w:hAnsi="Times New Roman" w:cs="Times New Roman"/>
                      <w:b/>
                      <w:sz w:val="28"/>
                      <w:szCs w:val="24"/>
                      <w:lang w:eastAsia="zh-CN"/>
                    </w:rPr>
                    <w:t>吉木萨尔段（</w:t>
                  </w:r>
                  <w:r>
                    <w:rPr>
                      <w:rFonts w:ascii="Times New Roman" w:hAnsi="Times New Roman" w:cs="Times New Roman"/>
                      <w:b/>
                      <w:sz w:val="28"/>
                      <w:szCs w:val="24"/>
                      <w:lang w:eastAsia="zh-CN"/>
                    </w:rPr>
                    <w:t>16.82</w:t>
                  </w:r>
                  <w:r>
                    <w:rPr>
                      <w:rFonts w:hint="eastAsia" w:ascii="Times New Roman" w:hAnsi="Times New Roman" w:cs="Times New Roman"/>
                      <w:b/>
                      <w:sz w:val="28"/>
                      <w:szCs w:val="24"/>
                      <w:lang w:eastAsia="zh-CN"/>
                    </w:rPr>
                    <w:t>km）</w:t>
                  </w:r>
                </w:p>
              </w:tc>
            </w:tr>
            <w:tr w14:paraId="1B98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restart"/>
                  <w:vAlign w:val="center"/>
                </w:tcPr>
                <w:p w14:paraId="4807092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权属单位</w:t>
                  </w:r>
                </w:p>
              </w:tc>
              <w:tc>
                <w:tcPr>
                  <w:tcW w:w="3109" w:type="pct"/>
                  <w:gridSpan w:val="11"/>
                  <w:vAlign w:val="center"/>
                </w:tcPr>
                <w:p w14:paraId="21044764">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农用地</w:t>
                  </w:r>
                </w:p>
              </w:tc>
              <w:tc>
                <w:tcPr>
                  <w:tcW w:w="581" w:type="pct"/>
                  <w:gridSpan w:val="2"/>
                  <w:vAlign w:val="center"/>
                </w:tcPr>
                <w:p w14:paraId="20BE22B2">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建设用地</w:t>
                  </w:r>
                </w:p>
              </w:tc>
              <w:tc>
                <w:tcPr>
                  <w:tcW w:w="1091" w:type="pct"/>
                  <w:gridSpan w:val="4"/>
                  <w:vAlign w:val="center"/>
                </w:tcPr>
                <w:p w14:paraId="3F7C38B3">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未用土地</w:t>
                  </w:r>
                </w:p>
              </w:tc>
            </w:tr>
            <w:tr w14:paraId="11A0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14:paraId="6F46C682">
                  <w:pPr>
                    <w:jc w:val="center"/>
                    <w:rPr>
                      <w:rFonts w:ascii="Times New Roman" w:hAnsi="Times New Roman" w:cs="Times New Roman" w:eastAsiaTheme="minorEastAsia"/>
                      <w:bCs/>
                      <w:sz w:val="21"/>
                      <w:szCs w:val="21"/>
                      <w:lang w:eastAsia="zh-CN"/>
                    </w:rPr>
                  </w:pPr>
                </w:p>
              </w:tc>
              <w:tc>
                <w:tcPr>
                  <w:tcW w:w="309" w:type="pct"/>
                  <w:vAlign w:val="center"/>
                </w:tcPr>
                <w:p w14:paraId="093A4AA3">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耕地</w:t>
                  </w:r>
                </w:p>
              </w:tc>
              <w:tc>
                <w:tcPr>
                  <w:tcW w:w="273" w:type="pct"/>
                  <w:vAlign w:val="center"/>
                </w:tcPr>
                <w:p w14:paraId="1C4E07CA">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园地</w:t>
                  </w:r>
                </w:p>
              </w:tc>
              <w:tc>
                <w:tcPr>
                  <w:tcW w:w="856" w:type="pct"/>
                  <w:gridSpan w:val="3"/>
                  <w:vAlign w:val="center"/>
                </w:tcPr>
                <w:p w14:paraId="39F5DEEC">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林地</w:t>
                  </w:r>
                </w:p>
              </w:tc>
              <w:tc>
                <w:tcPr>
                  <w:tcW w:w="309" w:type="pct"/>
                  <w:vAlign w:val="center"/>
                </w:tcPr>
                <w:p w14:paraId="2875CD2A">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牧草地</w:t>
                  </w:r>
                </w:p>
              </w:tc>
              <w:tc>
                <w:tcPr>
                  <w:tcW w:w="1363" w:type="pct"/>
                  <w:gridSpan w:val="5"/>
                  <w:vAlign w:val="center"/>
                </w:tcPr>
                <w:p w14:paraId="5EA3AD74">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其他</w:t>
                  </w:r>
                  <w:r>
                    <w:rPr>
                      <w:rFonts w:ascii="Times New Roman" w:hAnsi="Times New Roman" w:cs="Times New Roman" w:eastAsiaTheme="minorEastAsia"/>
                      <w:b/>
                      <w:bCs/>
                      <w:sz w:val="21"/>
                      <w:szCs w:val="21"/>
                      <w:lang w:eastAsia="zh-CN"/>
                    </w:rPr>
                    <w:t>农用地</w:t>
                  </w:r>
                </w:p>
              </w:tc>
              <w:tc>
                <w:tcPr>
                  <w:tcW w:w="273" w:type="pct"/>
                  <w:vMerge w:val="restart"/>
                  <w:vAlign w:val="center"/>
                </w:tcPr>
                <w:p w14:paraId="484223AA">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城镇</w:t>
                  </w:r>
                  <w:r>
                    <w:rPr>
                      <w:rFonts w:ascii="Times New Roman" w:hAnsi="Times New Roman" w:cs="Times New Roman" w:eastAsiaTheme="minorEastAsia"/>
                      <w:b/>
                      <w:bCs/>
                      <w:sz w:val="21"/>
                      <w:szCs w:val="21"/>
                      <w:lang w:eastAsia="zh-CN"/>
                    </w:rPr>
                    <w:t>及工</w:t>
                  </w:r>
                  <w:r>
                    <w:rPr>
                      <w:rFonts w:hint="eastAsia" w:ascii="Times New Roman" w:hAnsi="Times New Roman" w:cs="Times New Roman" w:eastAsiaTheme="minorEastAsia"/>
                      <w:b/>
                      <w:bCs/>
                      <w:sz w:val="21"/>
                      <w:szCs w:val="21"/>
                      <w:lang w:eastAsia="zh-CN"/>
                    </w:rPr>
                    <w:t>矿</w:t>
                  </w:r>
                  <w:r>
                    <w:rPr>
                      <w:rFonts w:ascii="Times New Roman" w:hAnsi="Times New Roman" w:cs="Times New Roman" w:eastAsiaTheme="minorEastAsia"/>
                      <w:b/>
                      <w:bCs/>
                      <w:sz w:val="21"/>
                      <w:szCs w:val="21"/>
                      <w:lang w:eastAsia="zh-CN"/>
                    </w:rPr>
                    <w:t>用地</w:t>
                  </w:r>
                </w:p>
              </w:tc>
              <w:tc>
                <w:tcPr>
                  <w:tcW w:w="309" w:type="pct"/>
                  <w:vMerge w:val="restart"/>
                  <w:vAlign w:val="center"/>
                </w:tcPr>
                <w:p w14:paraId="2C5F1982">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交通</w:t>
                  </w:r>
                  <w:r>
                    <w:rPr>
                      <w:rFonts w:ascii="Times New Roman" w:hAnsi="Times New Roman" w:cs="Times New Roman" w:eastAsiaTheme="minorEastAsia"/>
                      <w:b/>
                      <w:bCs/>
                      <w:sz w:val="21"/>
                      <w:szCs w:val="21"/>
                      <w:lang w:eastAsia="zh-CN"/>
                    </w:rPr>
                    <w:t>运输用地</w:t>
                  </w:r>
                </w:p>
              </w:tc>
              <w:tc>
                <w:tcPr>
                  <w:tcW w:w="819" w:type="pct"/>
                  <w:gridSpan w:val="3"/>
                  <w:vAlign w:val="center"/>
                </w:tcPr>
                <w:p w14:paraId="6CBD50F0">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未利用土地</w:t>
                  </w:r>
                </w:p>
              </w:tc>
              <w:tc>
                <w:tcPr>
                  <w:tcW w:w="273" w:type="pct"/>
                  <w:vAlign w:val="center"/>
                </w:tcPr>
                <w:p w14:paraId="35D6EF1D">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其他</w:t>
                  </w:r>
                  <w:r>
                    <w:rPr>
                      <w:rFonts w:ascii="Times New Roman" w:hAnsi="Times New Roman" w:cs="Times New Roman" w:eastAsiaTheme="minorEastAsia"/>
                      <w:b/>
                      <w:bCs/>
                      <w:sz w:val="21"/>
                      <w:szCs w:val="21"/>
                      <w:lang w:eastAsia="zh-CN"/>
                    </w:rPr>
                    <w:t>土地</w:t>
                  </w:r>
                </w:p>
              </w:tc>
            </w:tr>
            <w:tr w14:paraId="2F47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14:paraId="429F09AF">
                  <w:pPr>
                    <w:jc w:val="center"/>
                    <w:rPr>
                      <w:rFonts w:ascii="Times New Roman" w:hAnsi="Times New Roman" w:cs="Times New Roman" w:eastAsiaTheme="minorEastAsia"/>
                      <w:bCs/>
                      <w:sz w:val="21"/>
                      <w:szCs w:val="21"/>
                      <w:lang w:eastAsia="zh-CN"/>
                    </w:rPr>
                  </w:pPr>
                </w:p>
              </w:tc>
              <w:tc>
                <w:tcPr>
                  <w:tcW w:w="309" w:type="pct"/>
                  <w:vAlign w:val="center"/>
                </w:tcPr>
                <w:p w14:paraId="6A4368BF">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lang w:eastAsia="zh-CN"/>
                    </w:rPr>
                    <w:t>水浇地</w:t>
                  </w:r>
                </w:p>
              </w:tc>
              <w:tc>
                <w:tcPr>
                  <w:tcW w:w="273" w:type="pct"/>
                  <w:vAlign w:val="center"/>
                </w:tcPr>
                <w:p w14:paraId="37164FFD">
                  <w:pPr>
                    <w:jc w:val="center"/>
                    <w:rPr>
                      <w:rFonts w:ascii="Times New Roman" w:hAnsi="Times New Roman" w:cs="Times New Roman" w:eastAsiaTheme="minorEastAsia"/>
                      <w:bCs/>
                      <w:sz w:val="21"/>
                      <w:szCs w:val="21"/>
                      <w:lang w:eastAsia="zh-CN"/>
                    </w:rPr>
                  </w:pPr>
                  <w:r>
                    <w:rPr>
                      <w:rFonts w:hint="eastAsia" w:ascii="Times New Roman" w:hAnsi="Times New Roman" w:cs="Times New Roman"/>
                      <w:sz w:val="21"/>
                      <w:szCs w:val="21"/>
                      <w:lang w:eastAsia="zh-CN"/>
                    </w:rPr>
                    <w:t>果园</w:t>
                  </w:r>
                </w:p>
              </w:tc>
              <w:tc>
                <w:tcPr>
                  <w:tcW w:w="275" w:type="pct"/>
                  <w:vAlign w:val="center"/>
                </w:tcPr>
                <w:p w14:paraId="6E076643">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乔木</w:t>
                  </w:r>
                </w:p>
              </w:tc>
              <w:tc>
                <w:tcPr>
                  <w:tcW w:w="309" w:type="pct"/>
                  <w:vAlign w:val="center"/>
                </w:tcPr>
                <w:p w14:paraId="2CEB11E0">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灌木</w:t>
                  </w:r>
                </w:p>
              </w:tc>
              <w:tc>
                <w:tcPr>
                  <w:tcW w:w="273" w:type="pct"/>
                  <w:vAlign w:val="center"/>
                </w:tcPr>
                <w:p w14:paraId="511989D4">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其他林地</w:t>
                  </w:r>
                </w:p>
              </w:tc>
              <w:tc>
                <w:tcPr>
                  <w:tcW w:w="309" w:type="pct"/>
                  <w:vAlign w:val="center"/>
                </w:tcPr>
                <w:p w14:paraId="5BC9607B">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天然牧草地</w:t>
                  </w:r>
                </w:p>
              </w:tc>
              <w:tc>
                <w:tcPr>
                  <w:tcW w:w="273" w:type="pct"/>
                  <w:vAlign w:val="center"/>
                </w:tcPr>
                <w:p w14:paraId="1D9A4BC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其他</w:t>
                  </w:r>
                </w:p>
                <w:p w14:paraId="5787400D">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lang w:eastAsia="zh-CN"/>
                    </w:rPr>
                    <w:t>草地</w:t>
                  </w:r>
                </w:p>
              </w:tc>
              <w:tc>
                <w:tcPr>
                  <w:tcW w:w="273" w:type="pct"/>
                  <w:vAlign w:val="center"/>
                </w:tcPr>
                <w:p w14:paraId="7AB105BD">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lang w:eastAsia="zh-CN"/>
                    </w:rPr>
                    <w:t>农村道路</w:t>
                  </w:r>
                </w:p>
              </w:tc>
              <w:tc>
                <w:tcPr>
                  <w:tcW w:w="273" w:type="pct"/>
                  <w:vAlign w:val="center"/>
                </w:tcPr>
                <w:p w14:paraId="74362DC0">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lang w:eastAsia="zh-CN"/>
                    </w:rPr>
                    <w:t>设施农用地</w:t>
                  </w:r>
                </w:p>
              </w:tc>
              <w:tc>
                <w:tcPr>
                  <w:tcW w:w="273" w:type="pct"/>
                  <w:vAlign w:val="center"/>
                </w:tcPr>
                <w:p w14:paraId="5D8615F6">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lang w:eastAsia="zh-CN"/>
                    </w:rPr>
                    <w:t>沟渠</w:t>
                  </w:r>
                </w:p>
              </w:tc>
              <w:tc>
                <w:tcPr>
                  <w:tcW w:w="273" w:type="pct"/>
                  <w:vAlign w:val="center"/>
                </w:tcPr>
                <w:p w14:paraId="7C0557E7">
                  <w:pPr>
                    <w:jc w:val="center"/>
                    <w:rPr>
                      <w:rFonts w:ascii="Times New Roman" w:hAnsi="Times New Roman" w:cs="Times New Roman" w:eastAsiaTheme="minorEastAsia"/>
                      <w:bCs/>
                      <w:sz w:val="21"/>
                      <w:szCs w:val="21"/>
                      <w:lang w:eastAsia="zh-CN"/>
                    </w:rPr>
                  </w:pPr>
                  <w:r>
                    <w:rPr>
                      <w:rFonts w:hint="eastAsia" w:ascii="Times New Roman" w:hAnsi="Times New Roman" w:cs="Times New Roman"/>
                      <w:sz w:val="21"/>
                      <w:szCs w:val="21"/>
                      <w:lang w:eastAsia="zh-CN"/>
                    </w:rPr>
                    <w:t>坑塘水面</w:t>
                  </w:r>
                </w:p>
              </w:tc>
              <w:tc>
                <w:tcPr>
                  <w:tcW w:w="273" w:type="pct"/>
                  <w:vMerge w:val="continue"/>
                  <w:vAlign w:val="center"/>
                </w:tcPr>
                <w:p w14:paraId="740A3B71">
                  <w:pPr>
                    <w:jc w:val="center"/>
                    <w:rPr>
                      <w:rFonts w:ascii="Times New Roman" w:hAnsi="Times New Roman" w:cs="Times New Roman" w:eastAsiaTheme="minorEastAsia"/>
                      <w:bCs/>
                      <w:sz w:val="21"/>
                      <w:szCs w:val="21"/>
                      <w:lang w:eastAsia="zh-CN"/>
                    </w:rPr>
                  </w:pPr>
                </w:p>
              </w:tc>
              <w:tc>
                <w:tcPr>
                  <w:tcW w:w="309" w:type="pct"/>
                  <w:vMerge w:val="continue"/>
                  <w:vAlign w:val="center"/>
                </w:tcPr>
                <w:p w14:paraId="47974813">
                  <w:pPr>
                    <w:jc w:val="center"/>
                    <w:rPr>
                      <w:rFonts w:ascii="Times New Roman" w:hAnsi="Times New Roman" w:cs="Times New Roman" w:eastAsiaTheme="minorEastAsia"/>
                      <w:bCs/>
                      <w:sz w:val="21"/>
                      <w:szCs w:val="21"/>
                      <w:lang w:eastAsia="zh-CN"/>
                    </w:rPr>
                  </w:pPr>
                </w:p>
              </w:tc>
              <w:tc>
                <w:tcPr>
                  <w:tcW w:w="273" w:type="pct"/>
                  <w:vAlign w:val="center"/>
                </w:tcPr>
                <w:p w14:paraId="11B4DBA5">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裸岩石砾地</w:t>
                  </w:r>
                </w:p>
              </w:tc>
              <w:tc>
                <w:tcPr>
                  <w:tcW w:w="273" w:type="pct"/>
                  <w:vAlign w:val="center"/>
                </w:tcPr>
                <w:p w14:paraId="625AFB24">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盐碱地</w:t>
                  </w:r>
                </w:p>
              </w:tc>
              <w:tc>
                <w:tcPr>
                  <w:tcW w:w="273" w:type="pct"/>
                  <w:vAlign w:val="center"/>
                </w:tcPr>
                <w:p w14:paraId="576188BE">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裸土地</w:t>
                  </w:r>
                </w:p>
              </w:tc>
              <w:tc>
                <w:tcPr>
                  <w:tcW w:w="273" w:type="pct"/>
                  <w:vAlign w:val="center"/>
                </w:tcPr>
                <w:p w14:paraId="53C7B3BE">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河流水面</w:t>
                  </w:r>
                </w:p>
              </w:tc>
            </w:tr>
            <w:tr w14:paraId="79D4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43940020">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八户村</w:t>
                  </w:r>
                </w:p>
              </w:tc>
              <w:tc>
                <w:tcPr>
                  <w:tcW w:w="309" w:type="pct"/>
                  <w:vAlign w:val="center"/>
                </w:tcPr>
                <w:p w14:paraId="1FD5ABE9">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0.2195</w:t>
                  </w:r>
                </w:p>
              </w:tc>
              <w:tc>
                <w:tcPr>
                  <w:tcW w:w="273" w:type="pct"/>
                  <w:vAlign w:val="center"/>
                </w:tcPr>
                <w:p w14:paraId="6330CCC7">
                  <w:pPr>
                    <w:jc w:val="center"/>
                    <w:rPr>
                      <w:rFonts w:ascii="Times New Roman" w:hAnsi="Times New Roman" w:cs="Times New Roman" w:eastAsiaTheme="minorEastAsia"/>
                      <w:bCs/>
                      <w:sz w:val="21"/>
                      <w:szCs w:val="21"/>
                      <w:lang w:eastAsia="zh-CN"/>
                    </w:rPr>
                  </w:pPr>
                </w:p>
              </w:tc>
              <w:tc>
                <w:tcPr>
                  <w:tcW w:w="275" w:type="pct"/>
                  <w:vAlign w:val="center"/>
                </w:tcPr>
                <w:p w14:paraId="622CE4E7">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0.0139</w:t>
                  </w:r>
                </w:p>
              </w:tc>
              <w:tc>
                <w:tcPr>
                  <w:tcW w:w="309" w:type="pct"/>
                  <w:vAlign w:val="center"/>
                </w:tcPr>
                <w:p w14:paraId="6F56605C">
                  <w:pPr>
                    <w:jc w:val="center"/>
                    <w:rPr>
                      <w:rFonts w:ascii="Times New Roman" w:hAnsi="Times New Roman" w:cs="Times New Roman" w:eastAsiaTheme="minorEastAsia"/>
                      <w:bCs/>
                      <w:sz w:val="21"/>
                      <w:szCs w:val="21"/>
                      <w:lang w:eastAsia="zh-CN"/>
                    </w:rPr>
                  </w:pPr>
                </w:p>
              </w:tc>
              <w:tc>
                <w:tcPr>
                  <w:tcW w:w="273" w:type="pct"/>
                  <w:vAlign w:val="center"/>
                </w:tcPr>
                <w:p w14:paraId="5FBB9F95">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0.7337</w:t>
                  </w:r>
                </w:p>
              </w:tc>
              <w:tc>
                <w:tcPr>
                  <w:tcW w:w="309" w:type="pct"/>
                  <w:vAlign w:val="center"/>
                </w:tcPr>
                <w:p w14:paraId="3BE60234">
                  <w:pPr>
                    <w:jc w:val="center"/>
                    <w:rPr>
                      <w:rFonts w:ascii="Times New Roman" w:hAnsi="Times New Roman" w:cs="Times New Roman" w:eastAsiaTheme="minorEastAsia"/>
                      <w:bCs/>
                      <w:sz w:val="21"/>
                      <w:szCs w:val="21"/>
                      <w:lang w:eastAsia="zh-CN"/>
                    </w:rPr>
                  </w:pPr>
                </w:p>
              </w:tc>
              <w:tc>
                <w:tcPr>
                  <w:tcW w:w="273" w:type="pct"/>
                  <w:vAlign w:val="center"/>
                </w:tcPr>
                <w:p w14:paraId="01EF4E06">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0.0473</w:t>
                  </w:r>
                </w:p>
              </w:tc>
              <w:tc>
                <w:tcPr>
                  <w:tcW w:w="273" w:type="pct"/>
                  <w:vAlign w:val="center"/>
                </w:tcPr>
                <w:p w14:paraId="5490FA72">
                  <w:pPr>
                    <w:jc w:val="center"/>
                    <w:rPr>
                      <w:rFonts w:ascii="Times New Roman" w:hAnsi="Times New Roman" w:cs="Times New Roman" w:eastAsiaTheme="minorEastAsia"/>
                      <w:bCs/>
                      <w:sz w:val="21"/>
                      <w:szCs w:val="21"/>
                      <w:lang w:eastAsia="zh-CN"/>
                    </w:rPr>
                  </w:pPr>
                </w:p>
              </w:tc>
              <w:tc>
                <w:tcPr>
                  <w:tcW w:w="273" w:type="pct"/>
                  <w:vAlign w:val="center"/>
                </w:tcPr>
                <w:p w14:paraId="58E4BF15">
                  <w:pPr>
                    <w:jc w:val="center"/>
                    <w:rPr>
                      <w:rFonts w:ascii="Times New Roman" w:hAnsi="Times New Roman" w:cs="Times New Roman" w:eastAsiaTheme="minorEastAsia"/>
                      <w:bCs/>
                      <w:sz w:val="21"/>
                      <w:szCs w:val="21"/>
                      <w:lang w:eastAsia="zh-CN"/>
                    </w:rPr>
                  </w:pPr>
                </w:p>
              </w:tc>
              <w:tc>
                <w:tcPr>
                  <w:tcW w:w="273" w:type="pct"/>
                  <w:vAlign w:val="center"/>
                </w:tcPr>
                <w:p w14:paraId="5A83670A">
                  <w:pPr>
                    <w:jc w:val="center"/>
                    <w:rPr>
                      <w:rFonts w:ascii="Times New Roman" w:hAnsi="Times New Roman" w:cs="Times New Roman" w:eastAsiaTheme="minorEastAsia"/>
                      <w:bCs/>
                      <w:sz w:val="21"/>
                      <w:szCs w:val="21"/>
                      <w:lang w:eastAsia="zh-CN"/>
                    </w:rPr>
                  </w:pPr>
                </w:p>
              </w:tc>
              <w:tc>
                <w:tcPr>
                  <w:tcW w:w="273" w:type="pct"/>
                  <w:vAlign w:val="center"/>
                </w:tcPr>
                <w:p w14:paraId="7E14BF60">
                  <w:pPr>
                    <w:jc w:val="center"/>
                    <w:rPr>
                      <w:rFonts w:ascii="Times New Roman" w:hAnsi="Times New Roman" w:cs="Times New Roman" w:eastAsiaTheme="minorEastAsia"/>
                      <w:bCs/>
                      <w:sz w:val="21"/>
                      <w:szCs w:val="21"/>
                      <w:lang w:eastAsia="zh-CN"/>
                    </w:rPr>
                  </w:pPr>
                </w:p>
              </w:tc>
              <w:tc>
                <w:tcPr>
                  <w:tcW w:w="273" w:type="pct"/>
                  <w:vAlign w:val="center"/>
                </w:tcPr>
                <w:p w14:paraId="7CFEB06B">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0.5499</w:t>
                  </w:r>
                </w:p>
              </w:tc>
              <w:tc>
                <w:tcPr>
                  <w:tcW w:w="309" w:type="pct"/>
                  <w:vAlign w:val="center"/>
                </w:tcPr>
                <w:p w14:paraId="51C30476">
                  <w:pPr>
                    <w:jc w:val="center"/>
                    <w:rPr>
                      <w:rFonts w:ascii="Times New Roman" w:hAnsi="Times New Roman" w:cs="Times New Roman" w:eastAsiaTheme="minorEastAsia"/>
                      <w:bCs/>
                      <w:sz w:val="21"/>
                      <w:szCs w:val="21"/>
                      <w:lang w:eastAsia="zh-CN"/>
                    </w:rPr>
                  </w:pPr>
                </w:p>
              </w:tc>
              <w:tc>
                <w:tcPr>
                  <w:tcW w:w="273" w:type="pct"/>
                  <w:vAlign w:val="center"/>
                </w:tcPr>
                <w:p w14:paraId="418F0BFE">
                  <w:pPr>
                    <w:jc w:val="center"/>
                    <w:rPr>
                      <w:rFonts w:ascii="Times New Roman" w:hAnsi="Times New Roman" w:cs="Times New Roman" w:eastAsiaTheme="minorEastAsia"/>
                      <w:bCs/>
                      <w:sz w:val="21"/>
                      <w:szCs w:val="21"/>
                      <w:lang w:eastAsia="zh-CN"/>
                    </w:rPr>
                  </w:pPr>
                </w:p>
              </w:tc>
              <w:tc>
                <w:tcPr>
                  <w:tcW w:w="273" w:type="pct"/>
                  <w:vAlign w:val="center"/>
                </w:tcPr>
                <w:p w14:paraId="27CBE30C">
                  <w:pPr>
                    <w:jc w:val="center"/>
                    <w:rPr>
                      <w:rFonts w:ascii="Times New Roman" w:hAnsi="Times New Roman" w:cs="Times New Roman" w:eastAsiaTheme="minorEastAsia"/>
                      <w:bCs/>
                      <w:sz w:val="21"/>
                      <w:szCs w:val="21"/>
                      <w:lang w:eastAsia="zh-CN"/>
                    </w:rPr>
                  </w:pPr>
                </w:p>
              </w:tc>
              <w:tc>
                <w:tcPr>
                  <w:tcW w:w="273" w:type="pct"/>
                  <w:vAlign w:val="center"/>
                </w:tcPr>
                <w:p w14:paraId="53D1F9AE">
                  <w:pPr>
                    <w:jc w:val="center"/>
                    <w:rPr>
                      <w:rFonts w:ascii="Times New Roman" w:hAnsi="Times New Roman" w:cs="Times New Roman" w:eastAsiaTheme="minorEastAsia"/>
                      <w:bCs/>
                      <w:sz w:val="21"/>
                      <w:szCs w:val="21"/>
                      <w:lang w:eastAsia="zh-CN"/>
                    </w:rPr>
                  </w:pPr>
                </w:p>
              </w:tc>
              <w:tc>
                <w:tcPr>
                  <w:tcW w:w="273" w:type="pct"/>
                  <w:vAlign w:val="center"/>
                </w:tcPr>
                <w:p w14:paraId="5F0910BE">
                  <w:pPr>
                    <w:jc w:val="center"/>
                    <w:rPr>
                      <w:rFonts w:ascii="Times New Roman" w:hAnsi="Times New Roman" w:cs="Times New Roman" w:eastAsiaTheme="minorEastAsia"/>
                      <w:bCs/>
                      <w:sz w:val="21"/>
                      <w:szCs w:val="21"/>
                      <w:lang w:eastAsia="zh-CN"/>
                    </w:rPr>
                  </w:pPr>
                </w:p>
              </w:tc>
            </w:tr>
            <w:tr w14:paraId="5E06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5AAEE56E">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东二畦村</w:t>
                  </w:r>
                </w:p>
              </w:tc>
              <w:tc>
                <w:tcPr>
                  <w:tcW w:w="309" w:type="pct"/>
                  <w:vAlign w:val="center"/>
                </w:tcPr>
                <w:p w14:paraId="02A48FA5">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4.1073</w:t>
                  </w:r>
                </w:p>
              </w:tc>
              <w:tc>
                <w:tcPr>
                  <w:tcW w:w="273" w:type="pct"/>
                  <w:vAlign w:val="center"/>
                </w:tcPr>
                <w:p w14:paraId="7E2768E1">
                  <w:pPr>
                    <w:jc w:val="center"/>
                    <w:rPr>
                      <w:rFonts w:ascii="Times New Roman" w:hAnsi="Times New Roman" w:cs="Times New Roman" w:eastAsiaTheme="minorEastAsia"/>
                      <w:bCs/>
                      <w:sz w:val="21"/>
                      <w:szCs w:val="21"/>
                      <w:lang w:eastAsia="zh-CN"/>
                    </w:rPr>
                  </w:pPr>
                </w:p>
              </w:tc>
              <w:tc>
                <w:tcPr>
                  <w:tcW w:w="275" w:type="pct"/>
                  <w:vAlign w:val="center"/>
                </w:tcPr>
                <w:p w14:paraId="48EF8BEE">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0.5251</w:t>
                  </w:r>
                </w:p>
              </w:tc>
              <w:tc>
                <w:tcPr>
                  <w:tcW w:w="309" w:type="pct"/>
                  <w:vAlign w:val="center"/>
                </w:tcPr>
                <w:p w14:paraId="28D81489">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0.8873</w:t>
                  </w:r>
                </w:p>
              </w:tc>
              <w:tc>
                <w:tcPr>
                  <w:tcW w:w="273" w:type="pct"/>
                  <w:vAlign w:val="center"/>
                </w:tcPr>
                <w:p w14:paraId="049894E7">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0.4860</w:t>
                  </w:r>
                </w:p>
              </w:tc>
              <w:tc>
                <w:tcPr>
                  <w:tcW w:w="309" w:type="pct"/>
                  <w:vAlign w:val="center"/>
                </w:tcPr>
                <w:p w14:paraId="6C95202E">
                  <w:pPr>
                    <w:jc w:val="center"/>
                    <w:rPr>
                      <w:rFonts w:ascii="Times New Roman" w:hAnsi="Times New Roman" w:cs="Times New Roman" w:eastAsiaTheme="minorEastAsia"/>
                      <w:bCs/>
                      <w:sz w:val="21"/>
                      <w:szCs w:val="21"/>
                      <w:lang w:eastAsia="zh-CN"/>
                    </w:rPr>
                  </w:pPr>
                </w:p>
              </w:tc>
              <w:tc>
                <w:tcPr>
                  <w:tcW w:w="273" w:type="pct"/>
                  <w:vAlign w:val="center"/>
                </w:tcPr>
                <w:p w14:paraId="300082BE">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2.8737</w:t>
                  </w:r>
                </w:p>
              </w:tc>
              <w:tc>
                <w:tcPr>
                  <w:tcW w:w="273" w:type="pct"/>
                  <w:vAlign w:val="center"/>
                </w:tcPr>
                <w:p w14:paraId="1EA47A95">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0.3954</w:t>
                  </w:r>
                </w:p>
              </w:tc>
              <w:tc>
                <w:tcPr>
                  <w:tcW w:w="273" w:type="pct"/>
                  <w:vAlign w:val="center"/>
                </w:tcPr>
                <w:p w14:paraId="26FF6B84">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0.2320</w:t>
                  </w:r>
                </w:p>
              </w:tc>
              <w:tc>
                <w:tcPr>
                  <w:tcW w:w="273" w:type="pct"/>
                  <w:vAlign w:val="center"/>
                </w:tcPr>
                <w:p w14:paraId="2FCC6213">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0.0326</w:t>
                  </w:r>
                </w:p>
              </w:tc>
              <w:tc>
                <w:tcPr>
                  <w:tcW w:w="273" w:type="pct"/>
                  <w:vAlign w:val="center"/>
                </w:tcPr>
                <w:p w14:paraId="4EDB3271">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0.4709</w:t>
                  </w:r>
                </w:p>
              </w:tc>
              <w:tc>
                <w:tcPr>
                  <w:tcW w:w="273" w:type="pct"/>
                  <w:vAlign w:val="center"/>
                </w:tcPr>
                <w:p w14:paraId="4A2AF417">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1.8482</w:t>
                  </w:r>
                </w:p>
              </w:tc>
              <w:tc>
                <w:tcPr>
                  <w:tcW w:w="309" w:type="pct"/>
                  <w:vAlign w:val="center"/>
                </w:tcPr>
                <w:p w14:paraId="6CE2E46E">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2.0915</w:t>
                  </w:r>
                </w:p>
              </w:tc>
              <w:tc>
                <w:tcPr>
                  <w:tcW w:w="273" w:type="pct"/>
                  <w:vAlign w:val="center"/>
                </w:tcPr>
                <w:p w14:paraId="57623424">
                  <w:pPr>
                    <w:jc w:val="center"/>
                    <w:rPr>
                      <w:rFonts w:ascii="Times New Roman" w:hAnsi="Times New Roman" w:cs="Times New Roman" w:eastAsiaTheme="minorEastAsia"/>
                      <w:bCs/>
                      <w:sz w:val="21"/>
                      <w:szCs w:val="21"/>
                      <w:lang w:eastAsia="zh-CN"/>
                    </w:rPr>
                  </w:pPr>
                </w:p>
              </w:tc>
              <w:tc>
                <w:tcPr>
                  <w:tcW w:w="273" w:type="pct"/>
                  <w:vAlign w:val="center"/>
                </w:tcPr>
                <w:p w14:paraId="6D771D5F">
                  <w:pPr>
                    <w:jc w:val="center"/>
                    <w:rPr>
                      <w:rFonts w:ascii="Times New Roman" w:hAnsi="Times New Roman" w:cs="Times New Roman" w:eastAsiaTheme="minorEastAsia"/>
                      <w:bCs/>
                      <w:sz w:val="21"/>
                      <w:szCs w:val="21"/>
                      <w:lang w:eastAsia="zh-CN"/>
                    </w:rPr>
                  </w:pPr>
                </w:p>
              </w:tc>
              <w:tc>
                <w:tcPr>
                  <w:tcW w:w="273" w:type="pct"/>
                  <w:vAlign w:val="center"/>
                </w:tcPr>
                <w:p w14:paraId="0DAEAC9E">
                  <w:pPr>
                    <w:jc w:val="center"/>
                    <w:rPr>
                      <w:rFonts w:ascii="Times New Roman" w:hAnsi="Times New Roman" w:cs="Times New Roman" w:eastAsiaTheme="minorEastAsia"/>
                      <w:bCs/>
                      <w:sz w:val="21"/>
                      <w:szCs w:val="21"/>
                      <w:lang w:eastAsia="zh-CN"/>
                    </w:rPr>
                  </w:pPr>
                </w:p>
              </w:tc>
              <w:tc>
                <w:tcPr>
                  <w:tcW w:w="273" w:type="pct"/>
                  <w:vAlign w:val="center"/>
                </w:tcPr>
                <w:p w14:paraId="646A532F">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0.0025</w:t>
                  </w:r>
                </w:p>
              </w:tc>
            </w:tr>
            <w:tr w14:paraId="2E14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2B7690F4">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海子</w:t>
                  </w:r>
                  <w:r>
                    <w:rPr>
                      <w:rFonts w:ascii="Times New Roman" w:hAnsi="Times New Roman" w:cs="Times New Roman" w:eastAsiaTheme="minorEastAsia"/>
                      <w:bCs/>
                      <w:sz w:val="21"/>
                      <w:szCs w:val="21"/>
                      <w:lang w:eastAsia="zh-CN"/>
                    </w:rPr>
                    <w:t>沿村</w:t>
                  </w:r>
                </w:p>
              </w:tc>
              <w:tc>
                <w:tcPr>
                  <w:tcW w:w="309" w:type="pct"/>
                  <w:vAlign w:val="center"/>
                </w:tcPr>
                <w:p w14:paraId="7EA3A1F9">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0.0035</w:t>
                  </w:r>
                </w:p>
              </w:tc>
              <w:tc>
                <w:tcPr>
                  <w:tcW w:w="273" w:type="pct"/>
                  <w:vAlign w:val="center"/>
                </w:tcPr>
                <w:p w14:paraId="6689DCA5">
                  <w:pPr>
                    <w:jc w:val="center"/>
                    <w:rPr>
                      <w:rFonts w:ascii="Times New Roman" w:hAnsi="Times New Roman" w:cs="Times New Roman" w:eastAsiaTheme="minorEastAsia"/>
                      <w:bCs/>
                      <w:sz w:val="21"/>
                      <w:szCs w:val="21"/>
                      <w:lang w:eastAsia="zh-CN"/>
                    </w:rPr>
                  </w:pPr>
                </w:p>
              </w:tc>
              <w:tc>
                <w:tcPr>
                  <w:tcW w:w="275" w:type="pct"/>
                  <w:vAlign w:val="center"/>
                </w:tcPr>
                <w:p w14:paraId="51E28446">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0.3282</w:t>
                  </w:r>
                </w:p>
              </w:tc>
              <w:tc>
                <w:tcPr>
                  <w:tcW w:w="309" w:type="pct"/>
                  <w:vAlign w:val="center"/>
                </w:tcPr>
                <w:p w14:paraId="79F96591">
                  <w:pPr>
                    <w:jc w:val="center"/>
                    <w:rPr>
                      <w:rFonts w:ascii="Times New Roman" w:hAnsi="Times New Roman" w:cs="Times New Roman" w:eastAsiaTheme="minorEastAsia"/>
                      <w:bCs/>
                      <w:sz w:val="21"/>
                      <w:szCs w:val="21"/>
                      <w:lang w:eastAsia="zh-CN"/>
                    </w:rPr>
                  </w:pPr>
                </w:p>
              </w:tc>
              <w:tc>
                <w:tcPr>
                  <w:tcW w:w="273" w:type="pct"/>
                  <w:vAlign w:val="center"/>
                </w:tcPr>
                <w:p w14:paraId="6FBA5A58">
                  <w:pPr>
                    <w:jc w:val="center"/>
                    <w:rPr>
                      <w:rFonts w:ascii="Times New Roman" w:hAnsi="Times New Roman" w:cs="Times New Roman" w:eastAsiaTheme="minorEastAsia"/>
                      <w:bCs/>
                      <w:sz w:val="21"/>
                      <w:szCs w:val="21"/>
                      <w:lang w:eastAsia="zh-CN"/>
                    </w:rPr>
                  </w:pPr>
                </w:p>
              </w:tc>
              <w:tc>
                <w:tcPr>
                  <w:tcW w:w="309" w:type="pct"/>
                  <w:vAlign w:val="center"/>
                </w:tcPr>
                <w:p w14:paraId="5B28C6BF">
                  <w:pPr>
                    <w:jc w:val="center"/>
                    <w:rPr>
                      <w:rFonts w:ascii="Times New Roman" w:hAnsi="Times New Roman" w:cs="Times New Roman" w:eastAsiaTheme="minorEastAsia"/>
                      <w:bCs/>
                      <w:sz w:val="21"/>
                      <w:szCs w:val="21"/>
                      <w:lang w:eastAsia="zh-CN"/>
                    </w:rPr>
                  </w:pPr>
                </w:p>
              </w:tc>
              <w:tc>
                <w:tcPr>
                  <w:tcW w:w="273" w:type="pct"/>
                  <w:vAlign w:val="center"/>
                </w:tcPr>
                <w:p w14:paraId="465D7310">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1.2973</w:t>
                  </w:r>
                </w:p>
              </w:tc>
              <w:tc>
                <w:tcPr>
                  <w:tcW w:w="273" w:type="pct"/>
                  <w:vAlign w:val="center"/>
                </w:tcPr>
                <w:p w14:paraId="0A141950">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0.0391</w:t>
                  </w:r>
                </w:p>
              </w:tc>
              <w:tc>
                <w:tcPr>
                  <w:tcW w:w="273" w:type="pct"/>
                  <w:vAlign w:val="center"/>
                </w:tcPr>
                <w:p w14:paraId="401BC623">
                  <w:pPr>
                    <w:jc w:val="center"/>
                    <w:rPr>
                      <w:rFonts w:ascii="Times New Roman" w:hAnsi="Times New Roman" w:cs="Times New Roman" w:eastAsiaTheme="minorEastAsia"/>
                      <w:bCs/>
                      <w:sz w:val="21"/>
                      <w:szCs w:val="21"/>
                      <w:lang w:eastAsia="zh-CN"/>
                    </w:rPr>
                  </w:pPr>
                </w:p>
              </w:tc>
              <w:tc>
                <w:tcPr>
                  <w:tcW w:w="273" w:type="pct"/>
                  <w:vAlign w:val="center"/>
                </w:tcPr>
                <w:p w14:paraId="048D0FC6">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0.0011</w:t>
                  </w:r>
                </w:p>
              </w:tc>
              <w:tc>
                <w:tcPr>
                  <w:tcW w:w="273" w:type="pct"/>
                  <w:vAlign w:val="center"/>
                </w:tcPr>
                <w:p w14:paraId="32A2D75A">
                  <w:pPr>
                    <w:jc w:val="center"/>
                    <w:rPr>
                      <w:rFonts w:ascii="Times New Roman" w:hAnsi="Times New Roman" w:cs="Times New Roman" w:eastAsiaTheme="minorEastAsia"/>
                      <w:bCs/>
                      <w:sz w:val="21"/>
                      <w:szCs w:val="21"/>
                      <w:lang w:eastAsia="zh-CN"/>
                    </w:rPr>
                  </w:pPr>
                </w:p>
              </w:tc>
              <w:tc>
                <w:tcPr>
                  <w:tcW w:w="273" w:type="pct"/>
                  <w:vAlign w:val="center"/>
                </w:tcPr>
                <w:p w14:paraId="2C2C68EB">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0.0785</w:t>
                  </w:r>
                </w:p>
              </w:tc>
              <w:tc>
                <w:tcPr>
                  <w:tcW w:w="309" w:type="pct"/>
                  <w:vAlign w:val="center"/>
                </w:tcPr>
                <w:p w14:paraId="3EC1D550">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0.01</w:t>
                  </w:r>
                </w:p>
              </w:tc>
              <w:tc>
                <w:tcPr>
                  <w:tcW w:w="273" w:type="pct"/>
                  <w:vAlign w:val="center"/>
                </w:tcPr>
                <w:p w14:paraId="2D214504">
                  <w:pPr>
                    <w:jc w:val="center"/>
                    <w:rPr>
                      <w:rFonts w:ascii="Times New Roman" w:hAnsi="Times New Roman" w:cs="Times New Roman" w:eastAsiaTheme="minorEastAsia"/>
                      <w:bCs/>
                      <w:sz w:val="21"/>
                      <w:szCs w:val="21"/>
                      <w:lang w:eastAsia="zh-CN"/>
                    </w:rPr>
                  </w:pPr>
                </w:p>
              </w:tc>
              <w:tc>
                <w:tcPr>
                  <w:tcW w:w="273" w:type="pct"/>
                  <w:vAlign w:val="center"/>
                </w:tcPr>
                <w:p w14:paraId="706173F5">
                  <w:pPr>
                    <w:jc w:val="center"/>
                    <w:rPr>
                      <w:rFonts w:ascii="Times New Roman" w:hAnsi="Times New Roman" w:cs="Times New Roman" w:eastAsiaTheme="minorEastAsia"/>
                      <w:bCs/>
                      <w:sz w:val="21"/>
                      <w:szCs w:val="21"/>
                      <w:lang w:eastAsia="zh-CN"/>
                    </w:rPr>
                  </w:pPr>
                </w:p>
              </w:tc>
              <w:tc>
                <w:tcPr>
                  <w:tcW w:w="273" w:type="pct"/>
                  <w:vAlign w:val="center"/>
                </w:tcPr>
                <w:p w14:paraId="65AA5F1C">
                  <w:pPr>
                    <w:jc w:val="center"/>
                    <w:rPr>
                      <w:rFonts w:ascii="Times New Roman" w:hAnsi="Times New Roman" w:cs="Times New Roman" w:eastAsiaTheme="minorEastAsia"/>
                      <w:bCs/>
                      <w:sz w:val="21"/>
                      <w:szCs w:val="21"/>
                      <w:lang w:eastAsia="zh-CN"/>
                    </w:rPr>
                  </w:pPr>
                </w:p>
              </w:tc>
              <w:tc>
                <w:tcPr>
                  <w:tcW w:w="273" w:type="pct"/>
                  <w:vAlign w:val="center"/>
                </w:tcPr>
                <w:p w14:paraId="76441CDC">
                  <w:pPr>
                    <w:jc w:val="center"/>
                    <w:rPr>
                      <w:rFonts w:ascii="Times New Roman" w:hAnsi="Times New Roman" w:cs="Times New Roman" w:eastAsiaTheme="minorEastAsia"/>
                      <w:bCs/>
                      <w:sz w:val="21"/>
                      <w:szCs w:val="21"/>
                      <w:lang w:eastAsia="zh-CN"/>
                    </w:rPr>
                  </w:pPr>
                </w:p>
              </w:tc>
            </w:tr>
            <w:tr w14:paraId="4E55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53AF88E8">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Cs/>
                      <w:sz w:val="21"/>
                      <w:szCs w:val="21"/>
                      <w:lang w:eastAsia="zh-CN"/>
                    </w:rPr>
                    <w:t>泉水地</w:t>
                  </w:r>
                  <w:r>
                    <w:rPr>
                      <w:rFonts w:ascii="Times New Roman" w:hAnsi="Times New Roman" w:cs="Times New Roman" w:eastAsiaTheme="minorEastAsia"/>
                      <w:bCs/>
                      <w:sz w:val="21"/>
                      <w:szCs w:val="21"/>
                      <w:lang w:eastAsia="zh-CN"/>
                    </w:rPr>
                    <w:t>村</w:t>
                  </w:r>
                </w:p>
              </w:tc>
              <w:tc>
                <w:tcPr>
                  <w:tcW w:w="309" w:type="pct"/>
                  <w:vAlign w:val="center"/>
                </w:tcPr>
                <w:p w14:paraId="102421C6">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5.41</w:t>
                  </w:r>
                </w:p>
              </w:tc>
              <w:tc>
                <w:tcPr>
                  <w:tcW w:w="273" w:type="pct"/>
                  <w:vAlign w:val="center"/>
                </w:tcPr>
                <w:p w14:paraId="55305536">
                  <w:pPr>
                    <w:jc w:val="center"/>
                    <w:rPr>
                      <w:rFonts w:ascii="Times New Roman" w:hAnsi="Times New Roman" w:cs="Times New Roman" w:eastAsiaTheme="minorEastAsia"/>
                      <w:bCs/>
                      <w:sz w:val="21"/>
                      <w:szCs w:val="21"/>
                      <w:lang w:eastAsia="zh-CN"/>
                    </w:rPr>
                  </w:pPr>
                </w:p>
              </w:tc>
              <w:tc>
                <w:tcPr>
                  <w:tcW w:w="275" w:type="pct"/>
                  <w:tcBorders>
                    <w:top w:val="nil"/>
                    <w:left w:val="nil"/>
                    <w:bottom w:val="single" w:color="auto" w:sz="8" w:space="0"/>
                    <w:right w:val="single" w:color="auto" w:sz="8" w:space="0"/>
                  </w:tcBorders>
                  <w:shd w:val="clear" w:color="auto" w:fill="auto"/>
                  <w:vAlign w:val="center"/>
                </w:tcPr>
                <w:p w14:paraId="3A41DFDE">
                  <w:pPr>
                    <w:jc w:val="center"/>
                    <w:rPr>
                      <w:rFonts w:ascii="Times New Roman" w:hAnsi="Times New Roman" w:cs="Times New Roman" w:eastAsiaTheme="minorEastAsia"/>
                      <w:bCs/>
                      <w:sz w:val="21"/>
                      <w:szCs w:val="21"/>
                      <w:lang w:eastAsia="zh-CN"/>
                    </w:rPr>
                  </w:pPr>
                  <w:r>
                    <w:rPr>
                      <w:rFonts w:ascii="Times New Roman" w:hAnsi="Times New Roman" w:eastAsia="仿宋" w:cs="Times New Roman"/>
                      <w:color w:val="000000"/>
                      <w:sz w:val="21"/>
                      <w:szCs w:val="21"/>
                    </w:rPr>
                    <w:t>2.6178</w:t>
                  </w:r>
                </w:p>
              </w:tc>
              <w:tc>
                <w:tcPr>
                  <w:tcW w:w="309" w:type="pct"/>
                  <w:tcBorders>
                    <w:top w:val="nil"/>
                    <w:left w:val="nil"/>
                    <w:bottom w:val="single" w:color="auto" w:sz="8" w:space="0"/>
                    <w:right w:val="single" w:color="auto" w:sz="8" w:space="0"/>
                  </w:tcBorders>
                  <w:shd w:val="clear" w:color="auto" w:fill="auto"/>
                  <w:vAlign w:val="center"/>
                </w:tcPr>
                <w:p w14:paraId="0C362D08">
                  <w:pPr>
                    <w:jc w:val="center"/>
                    <w:rPr>
                      <w:rFonts w:ascii="Times New Roman" w:hAnsi="Times New Roman" w:cs="Times New Roman" w:eastAsiaTheme="minorEastAsia"/>
                      <w:bCs/>
                      <w:sz w:val="21"/>
                      <w:szCs w:val="21"/>
                      <w:lang w:eastAsia="zh-CN"/>
                    </w:rPr>
                  </w:pPr>
                </w:p>
              </w:tc>
              <w:tc>
                <w:tcPr>
                  <w:tcW w:w="273" w:type="pct"/>
                  <w:tcBorders>
                    <w:top w:val="nil"/>
                    <w:left w:val="nil"/>
                    <w:bottom w:val="single" w:color="auto" w:sz="8" w:space="0"/>
                    <w:right w:val="single" w:color="auto" w:sz="8" w:space="0"/>
                  </w:tcBorders>
                  <w:shd w:val="clear" w:color="auto" w:fill="auto"/>
                  <w:vAlign w:val="center"/>
                </w:tcPr>
                <w:p w14:paraId="156A362B">
                  <w:pPr>
                    <w:jc w:val="center"/>
                    <w:rPr>
                      <w:rFonts w:ascii="Times New Roman" w:hAnsi="Times New Roman" w:cs="Times New Roman" w:eastAsiaTheme="minorEastAsia"/>
                      <w:bCs/>
                      <w:sz w:val="21"/>
                      <w:szCs w:val="21"/>
                      <w:lang w:eastAsia="zh-CN"/>
                    </w:rPr>
                  </w:pPr>
                  <w:r>
                    <w:rPr>
                      <w:rFonts w:ascii="Times New Roman" w:hAnsi="Times New Roman" w:eastAsia="仿宋" w:cs="Times New Roman"/>
                      <w:color w:val="000000"/>
                      <w:sz w:val="21"/>
                      <w:szCs w:val="21"/>
                    </w:rPr>
                    <w:t>0.1656</w:t>
                  </w:r>
                </w:p>
              </w:tc>
              <w:tc>
                <w:tcPr>
                  <w:tcW w:w="309" w:type="pct"/>
                  <w:vAlign w:val="center"/>
                </w:tcPr>
                <w:p w14:paraId="26ACD42F">
                  <w:pPr>
                    <w:jc w:val="center"/>
                    <w:rPr>
                      <w:rFonts w:ascii="Times New Roman" w:hAnsi="Times New Roman" w:cs="Times New Roman" w:eastAsiaTheme="minorEastAsia"/>
                      <w:bCs/>
                      <w:sz w:val="21"/>
                      <w:szCs w:val="21"/>
                      <w:lang w:eastAsia="zh-CN"/>
                    </w:rPr>
                  </w:pPr>
                </w:p>
              </w:tc>
              <w:tc>
                <w:tcPr>
                  <w:tcW w:w="273" w:type="pct"/>
                  <w:vAlign w:val="center"/>
                </w:tcPr>
                <w:p w14:paraId="4F54CA44">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3.8145</w:t>
                  </w:r>
                </w:p>
              </w:tc>
              <w:tc>
                <w:tcPr>
                  <w:tcW w:w="273" w:type="pct"/>
                  <w:vAlign w:val="center"/>
                </w:tcPr>
                <w:p w14:paraId="02E07F94">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0.1102</w:t>
                  </w:r>
                </w:p>
              </w:tc>
              <w:tc>
                <w:tcPr>
                  <w:tcW w:w="273" w:type="pct"/>
                  <w:vAlign w:val="center"/>
                </w:tcPr>
                <w:p w14:paraId="798B0151">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0.0017</w:t>
                  </w:r>
                </w:p>
              </w:tc>
              <w:tc>
                <w:tcPr>
                  <w:tcW w:w="273" w:type="pct"/>
                  <w:vAlign w:val="center"/>
                </w:tcPr>
                <w:p w14:paraId="64BE753D">
                  <w:pPr>
                    <w:jc w:val="center"/>
                    <w:rPr>
                      <w:rFonts w:ascii="Times New Roman" w:hAnsi="Times New Roman" w:cs="Times New Roman" w:eastAsiaTheme="minorEastAsia"/>
                      <w:bCs/>
                      <w:sz w:val="21"/>
                      <w:szCs w:val="21"/>
                      <w:lang w:eastAsia="zh-CN"/>
                    </w:rPr>
                  </w:pPr>
                  <w:r>
                    <w:rPr>
                      <w:rFonts w:ascii="Times New Roman" w:hAnsi="Times New Roman" w:cs="Times New Roman"/>
                      <w:sz w:val="21"/>
                      <w:szCs w:val="21"/>
                    </w:rPr>
                    <w:t>0.0037</w:t>
                  </w:r>
                </w:p>
              </w:tc>
              <w:tc>
                <w:tcPr>
                  <w:tcW w:w="273" w:type="pct"/>
                  <w:vAlign w:val="center"/>
                </w:tcPr>
                <w:p w14:paraId="79A49CD1">
                  <w:pPr>
                    <w:jc w:val="center"/>
                    <w:rPr>
                      <w:rFonts w:ascii="Times New Roman" w:hAnsi="Times New Roman" w:cs="Times New Roman" w:eastAsiaTheme="minorEastAsia"/>
                      <w:bCs/>
                      <w:sz w:val="21"/>
                      <w:szCs w:val="21"/>
                      <w:lang w:eastAsia="zh-CN"/>
                    </w:rPr>
                  </w:pPr>
                </w:p>
              </w:tc>
              <w:tc>
                <w:tcPr>
                  <w:tcW w:w="273" w:type="pct"/>
                  <w:vAlign w:val="center"/>
                </w:tcPr>
                <w:p w14:paraId="3B210133">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0.1145</w:t>
                  </w:r>
                </w:p>
              </w:tc>
              <w:tc>
                <w:tcPr>
                  <w:tcW w:w="309" w:type="pct"/>
                  <w:vAlign w:val="center"/>
                </w:tcPr>
                <w:p w14:paraId="7C37E45B">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1.4855</w:t>
                  </w:r>
                </w:p>
              </w:tc>
              <w:tc>
                <w:tcPr>
                  <w:tcW w:w="273" w:type="pct"/>
                  <w:vAlign w:val="center"/>
                </w:tcPr>
                <w:p w14:paraId="0740674E">
                  <w:pPr>
                    <w:jc w:val="center"/>
                    <w:rPr>
                      <w:rFonts w:ascii="Times New Roman" w:hAnsi="Times New Roman" w:cs="Times New Roman" w:eastAsiaTheme="minorEastAsia"/>
                      <w:bCs/>
                      <w:sz w:val="21"/>
                      <w:szCs w:val="21"/>
                      <w:lang w:eastAsia="zh-CN"/>
                    </w:rPr>
                  </w:pPr>
                </w:p>
              </w:tc>
              <w:tc>
                <w:tcPr>
                  <w:tcW w:w="273" w:type="pct"/>
                  <w:vAlign w:val="center"/>
                </w:tcPr>
                <w:p w14:paraId="4CC7D2B5">
                  <w:pPr>
                    <w:jc w:val="center"/>
                    <w:rPr>
                      <w:rFonts w:ascii="Times New Roman" w:hAnsi="Times New Roman" w:cs="Times New Roman" w:eastAsiaTheme="minorEastAsia"/>
                      <w:bCs/>
                      <w:sz w:val="21"/>
                      <w:szCs w:val="21"/>
                      <w:lang w:eastAsia="zh-CN"/>
                    </w:rPr>
                  </w:pPr>
                </w:p>
              </w:tc>
              <w:tc>
                <w:tcPr>
                  <w:tcW w:w="273" w:type="pct"/>
                  <w:vAlign w:val="center"/>
                </w:tcPr>
                <w:p w14:paraId="28EB4C83">
                  <w:pPr>
                    <w:jc w:val="center"/>
                    <w:rPr>
                      <w:rFonts w:ascii="Times New Roman" w:hAnsi="Times New Roman" w:cs="Times New Roman" w:eastAsiaTheme="minorEastAsia"/>
                      <w:bCs/>
                      <w:sz w:val="21"/>
                      <w:szCs w:val="21"/>
                      <w:lang w:eastAsia="zh-CN"/>
                    </w:rPr>
                  </w:pPr>
                </w:p>
              </w:tc>
              <w:tc>
                <w:tcPr>
                  <w:tcW w:w="273" w:type="pct"/>
                  <w:vAlign w:val="center"/>
                </w:tcPr>
                <w:p w14:paraId="50971035">
                  <w:pPr>
                    <w:jc w:val="center"/>
                    <w:rPr>
                      <w:rFonts w:ascii="Times New Roman" w:hAnsi="Times New Roman" w:cs="Times New Roman" w:eastAsiaTheme="minorEastAsia"/>
                      <w:bCs/>
                      <w:sz w:val="21"/>
                      <w:szCs w:val="21"/>
                      <w:lang w:eastAsia="zh-CN"/>
                    </w:rPr>
                  </w:pPr>
                  <w:r>
                    <w:rPr>
                      <w:rFonts w:ascii="Times New Roman" w:hAnsi="Times New Roman" w:cs="Times New Roman" w:eastAsiaTheme="minorEastAsia"/>
                      <w:bCs/>
                      <w:sz w:val="21"/>
                      <w:szCs w:val="21"/>
                      <w:lang w:eastAsia="zh-CN"/>
                    </w:rPr>
                    <w:t>0.0025</w:t>
                  </w:r>
                </w:p>
              </w:tc>
            </w:tr>
            <w:tr w14:paraId="583C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14:paraId="70482FCB">
                  <w:pPr>
                    <w:jc w:val="cente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1"/>
                      <w:szCs w:val="21"/>
                      <w:lang w:eastAsia="zh-CN"/>
                    </w:rPr>
                    <w:t>各地类</w:t>
                  </w:r>
                  <w:r>
                    <w:rPr>
                      <w:rFonts w:ascii="Times New Roman" w:hAnsi="Times New Roman" w:cs="Times New Roman" w:eastAsiaTheme="minorEastAsia"/>
                      <w:b/>
                      <w:bCs/>
                      <w:sz w:val="21"/>
                      <w:szCs w:val="21"/>
                      <w:lang w:eastAsia="zh-CN"/>
                    </w:rPr>
                    <w:t>小计</w:t>
                  </w:r>
                </w:p>
              </w:tc>
              <w:tc>
                <w:tcPr>
                  <w:tcW w:w="309" w:type="pct"/>
                  <w:vAlign w:val="center"/>
                </w:tcPr>
                <w:p w14:paraId="1C5E6912">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9</w:t>
                  </w:r>
                  <w:r>
                    <w:rPr>
                      <w:rFonts w:ascii="Times New Roman" w:hAnsi="Times New Roman" w:cs="Times New Roman" w:eastAsiaTheme="minorEastAsia"/>
                      <w:b/>
                      <w:bCs/>
                      <w:sz w:val="21"/>
                      <w:szCs w:val="21"/>
                      <w:lang w:eastAsia="zh-CN"/>
                    </w:rPr>
                    <w:t>.7403</w:t>
                  </w:r>
                </w:p>
              </w:tc>
              <w:tc>
                <w:tcPr>
                  <w:tcW w:w="273" w:type="pct"/>
                  <w:vAlign w:val="center"/>
                </w:tcPr>
                <w:p w14:paraId="6CF1A7C9">
                  <w:pPr>
                    <w:jc w:val="center"/>
                    <w:rPr>
                      <w:rFonts w:ascii="Times New Roman" w:hAnsi="Times New Roman" w:cs="Times New Roman" w:eastAsiaTheme="minorEastAsia"/>
                      <w:b/>
                      <w:bCs/>
                      <w:sz w:val="21"/>
                      <w:szCs w:val="21"/>
                      <w:lang w:eastAsia="zh-CN"/>
                    </w:rPr>
                  </w:pPr>
                </w:p>
              </w:tc>
              <w:tc>
                <w:tcPr>
                  <w:tcW w:w="275" w:type="pct"/>
                  <w:vAlign w:val="center"/>
                </w:tcPr>
                <w:p w14:paraId="0DBEB878">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3</w:t>
                  </w:r>
                  <w:r>
                    <w:rPr>
                      <w:rFonts w:ascii="Times New Roman" w:hAnsi="Times New Roman" w:cs="Times New Roman" w:eastAsiaTheme="minorEastAsia"/>
                      <w:b/>
                      <w:bCs/>
                      <w:sz w:val="21"/>
                      <w:szCs w:val="21"/>
                      <w:lang w:eastAsia="zh-CN"/>
                    </w:rPr>
                    <w:t>.485</w:t>
                  </w:r>
                </w:p>
              </w:tc>
              <w:tc>
                <w:tcPr>
                  <w:tcW w:w="309" w:type="pct"/>
                  <w:vAlign w:val="center"/>
                </w:tcPr>
                <w:p w14:paraId="68B77D2D">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.8873</w:t>
                  </w:r>
                </w:p>
              </w:tc>
              <w:tc>
                <w:tcPr>
                  <w:tcW w:w="273" w:type="pct"/>
                  <w:vAlign w:val="center"/>
                </w:tcPr>
                <w:p w14:paraId="624A2048">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1</w:t>
                  </w:r>
                  <w:r>
                    <w:rPr>
                      <w:rFonts w:ascii="Times New Roman" w:hAnsi="Times New Roman" w:cs="Times New Roman" w:eastAsiaTheme="minorEastAsia"/>
                      <w:b/>
                      <w:bCs/>
                      <w:sz w:val="21"/>
                      <w:szCs w:val="21"/>
                      <w:lang w:eastAsia="zh-CN"/>
                    </w:rPr>
                    <w:t>.3853</w:t>
                  </w:r>
                </w:p>
              </w:tc>
              <w:tc>
                <w:tcPr>
                  <w:tcW w:w="309" w:type="pct"/>
                  <w:vAlign w:val="center"/>
                </w:tcPr>
                <w:p w14:paraId="50C54A70">
                  <w:pPr>
                    <w:jc w:val="center"/>
                    <w:rPr>
                      <w:rFonts w:ascii="Times New Roman" w:hAnsi="Times New Roman" w:cs="Times New Roman" w:eastAsiaTheme="minorEastAsia"/>
                      <w:b/>
                      <w:bCs/>
                      <w:sz w:val="21"/>
                      <w:szCs w:val="21"/>
                      <w:lang w:eastAsia="zh-CN"/>
                    </w:rPr>
                  </w:pPr>
                </w:p>
              </w:tc>
              <w:tc>
                <w:tcPr>
                  <w:tcW w:w="273" w:type="pct"/>
                  <w:vAlign w:val="center"/>
                </w:tcPr>
                <w:p w14:paraId="3BC5943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8</w:t>
                  </w:r>
                  <w:r>
                    <w:rPr>
                      <w:rFonts w:ascii="Times New Roman" w:hAnsi="Times New Roman" w:cs="Times New Roman" w:eastAsiaTheme="minorEastAsia"/>
                      <w:b/>
                      <w:bCs/>
                      <w:sz w:val="21"/>
                      <w:szCs w:val="21"/>
                      <w:lang w:eastAsia="zh-CN"/>
                    </w:rPr>
                    <w:t>.0328</w:t>
                  </w:r>
                </w:p>
              </w:tc>
              <w:tc>
                <w:tcPr>
                  <w:tcW w:w="273" w:type="pct"/>
                  <w:vAlign w:val="center"/>
                </w:tcPr>
                <w:p w14:paraId="25D2C5B0">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.5447</w:t>
                  </w:r>
                </w:p>
              </w:tc>
              <w:tc>
                <w:tcPr>
                  <w:tcW w:w="273" w:type="pct"/>
                  <w:vAlign w:val="center"/>
                </w:tcPr>
                <w:p w14:paraId="21F6B905">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.2337</w:t>
                  </w:r>
                </w:p>
              </w:tc>
              <w:tc>
                <w:tcPr>
                  <w:tcW w:w="273" w:type="pct"/>
                  <w:vAlign w:val="center"/>
                </w:tcPr>
                <w:p w14:paraId="1124C49E">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.0374</w:t>
                  </w:r>
                </w:p>
              </w:tc>
              <w:tc>
                <w:tcPr>
                  <w:tcW w:w="273" w:type="pct"/>
                  <w:vAlign w:val="center"/>
                </w:tcPr>
                <w:p w14:paraId="4A97A608">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.4709</w:t>
                  </w:r>
                </w:p>
              </w:tc>
              <w:tc>
                <w:tcPr>
                  <w:tcW w:w="273" w:type="pct"/>
                  <w:vAlign w:val="center"/>
                </w:tcPr>
                <w:p w14:paraId="36C9696F">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2</w:t>
                  </w:r>
                  <w:r>
                    <w:rPr>
                      <w:rFonts w:ascii="Times New Roman" w:hAnsi="Times New Roman" w:cs="Times New Roman" w:eastAsiaTheme="minorEastAsia"/>
                      <w:b/>
                      <w:bCs/>
                      <w:sz w:val="21"/>
                      <w:szCs w:val="21"/>
                      <w:lang w:eastAsia="zh-CN"/>
                    </w:rPr>
                    <w:t>.5911</w:t>
                  </w:r>
                </w:p>
              </w:tc>
              <w:tc>
                <w:tcPr>
                  <w:tcW w:w="309" w:type="pct"/>
                  <w:vAlign w:val="center"/>
                </w:tcPr>
                <w:p w14:paraId="67DE89B5">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3</w:t>
                  </w:r>
                  <w:r>
                    <w:rPr>
                      <w:rFonts w:ascii="Times New Roman" w:hAnsi="Times New Roman" w:cs="Times New Roman" w:eastAsiaTheme="minorEastAsia"/>
                      <w:b/>
                      <w:bCs/>
                      <w:sz w:val="21"/>
                      <w:szCs w:val="21"/>
                      <w:lang w:eastAsia="zh-CN"/>
                    </w:rPr>
                    <w:t>.587</w:t>
                  </w:r>
                </w:p>
              </w:tc>
              <w:tc>
                <w:tcPr>
                  <w:tcW w:w="273" w:type="pct"/>
                  <w:vAlign w:val="center"/>
                </w:tcPr>
                <w:p w14:paraId="5F55E268">
                  <w:pPr>
                    <w:jc w:val="center"/>
                    <w:rPr>
                      <w:rFonts w:ascii="Times New Roman" w:hAnsi="Times New Roman" w:cs="Times New Roman" w:eastAsiaTheme="minorEastAsia"/>
                      <w:b/>
                      <w:bCs/>
                      <w:sz w:val="21"/>
                      <w:szCs w:val="21"/>
                      <w:lang w:eastAsia="zh-CN"/>
                    </w:rPr>
                  </w:pPr>
                </w:p>
              </w:tc>
              <w:tc>
                <w:tcPr>
                  <w:tcW w:w="273" w:type="pct"/>
                  <w:vAlign w:val="center"/>
                </w:tcPr>
                <w:p w14:paraId="7CDBA112">
                  <w:pPr>
                    <w:jc w:val="center"/>
                    <w:rPr>
                      <w:rFonts w:ascii="Times New Roman" w:hAnsi="Times New Roman" w:cs="Times New Roman" w:eastAsiaTheme="minorEastAsia"/>
                      <w:b/>
                      <w:bCs/>
                      <w:sz w:val="21"/>
                      <w:szCs w:val="21"/>
                      <w:lang w:eastAsia="zh-CN"/>
                    </w:rPr>
                  </w:pPr>
                </w:p>
              </w:tc>
              <w:tc>
                <w:tcPr>
                  <w:tcW w:w="273" w:type="pct"/>
                  <w:vAlign w:val="center"/>
                </w:tcPr>
                <w:p w14:paraId="10BF21F5">
                  <w:pPr>
                    <w:jc w:val="center"/>
                    <w:rPr>
                      <w:rFonts w:ascii="Times New Roman" w:hAnsi="Times New Roman" w:cs="Times New Roman" w:eastAsiaTheme="minorEastAsia"/>
                      <w:b/>
                      <w:bCs/>
                      <w:sz w:val="21"/>
                      <w:szCs w:val="21"/>
                      <w:lang w:eastAsia="zh-CN"/>
                    </w:rPr>
                  </w:pPr>
                </w:p>
              </w:tc>
              <w:tc>
                <w:tcPr>
                  <w:tcW w:w="273" w:type="pct"/>
                  <w:vAlign w:val="center"/>
                </w:tcPr>
                <w:p w14:paraId="3459130B">
                  <w:pPr>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0</w:t>
                  </w:r>
                  <w:r>
                    <w:rPr>
                      <w:rFonts w:ascii="Times New Roman" w:hAnsi="Times New Roman" w:cs="Times New Roman" w:eastAsiaTheme="minorEastAsia"/>
                      <w:b/>
                      <w:bCs/>
                      <w:sz w:val="21"/>
                      <w:szCs w:val="21"/>
                      <w:lang w:eastAsia="zh-CN"/>
                    </w:rPr>
                    <w:t>.005</w:t>
                  </w:r>
                </w:p>
              </w:tc>
            </w:tr>
            <w:tr w14:paraId="557C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8"/>
                  <w:vAlign w:val="center"/>
                </w:tcPr>
                <w:p w14:paraId="71BC079A">
                  <w:pPr>
                    <w:rPr>
                      <w:rFonts w:ascii="Times New Roman" w:hAnsi="Times New Roman" w:cs="Times New Roman" w:eastAsiaTheme="minorEastAsia"/>
                      <w:bCs/>
                      <w:sz w:val="21"/>
                      <w:szCs w:val="21"/>
                      <w:lang w:eastAsia="zh-CN"/>
                    </w:rPr>
                  </w:pPr>
                  <w:r>
                    <w:rPr>
                      <w:rFonts w:hint="eastAsia" w:ascii="Times New Roman" w:hAnsi="Times New Roman" w:cs="Times New Roman" w:eastAsiaTheme="minorEastAsia"/>
                      <w:b/>
                      <w:bCs/>
                      <w:sz w:val="28"/>
                      <w:szCs w:val="28"/>
                      <w:lang w:eastAsia="zh-CN"/>
                    </w:rPr>
                    <w:t>吉木萨尔段</w:t>
                  </w:r>
                  <w:r>
                    <w:rPr>
                      <w:rFonts w:ascii="Times New Roman" w:hAnsi="Times New Roman" w:cs="Times New Roman" w:eastAsiaTheme="minorEastAsia"/>
                      <w:b/>
                      <w:bCs/>
                      <w:sz w:val="28"/>
                      <w:szCs w:val="28"/>
                      <w:lang w:eastAsia="zh-CN"/>
                    </w:rPr>
                    <w:t>新增用地面积合计：31.0005hm²</w:t>
                  </w:r>
                </w:p>
              </w:tc>
            </w:tr>
          </w:tbl>
          <w:p w14:paraId="603B1255">
            <w:pPr>
              <w:jc w:val="center"/>
              <w:rPr>
                <w:rFonts w:ascii="Times New Roman" w:hAnsi="Times New Roman" w:cs="Times New Roman" w:eastAsiaTheme="minorEastAsia"/>
                <w:b/>
                <w:bCs/>
                <w:sz w:val="21"/>
                <w:szCs w:val="21"/>
                <w:lang w:eastAsia="zh-CN"/>
              </w:rPr>
            </w:pPr>
          </w:p>
          <w:p w14:paraId="2DD8BD48">
            <w:pPr>
              <w:jc w:val="center"/>
              <w:rPr>
                <w:rFonts w:ascii="Times New Roman" w:hAnsi="Times New Roman" w:cs="Times New Roman" w:eastAsiaTheme="minorEastAsia"/>
                <w:b/>
                <w:bCs/>
                <w:sz w:val="21"/>
                <w:szCs w:val="21"/>
                <w:lang w:eastAsia="zh-CN"/>
              </w:rPr>
            </w:pPr>
          </w:p>
          <w:p w14:paraId="7A331521">
            <w:pPr>
              <w:jc w:val="center"/>
              <w:rPr>
                <w:rFonts w:ascii="Times New Roman" w:hAnsi="Times New Roman" w:cs="Times New Roman" w:eastAsiaTheme="minorEastAsia"/>
                <w:b/>
                <w:bCs/>
                <w:sz w:val="21"/>
                <w:szCs w:val="21"/>
                <w:lang w:eastAsia="zh-CN"/>
              </w:rPr>
            </w:pPr>
          </w:p>
          <w:p w14:paraId="74FC34AB">
            <w:pPr>
              <w:jc w:val="center"/>
              <w:rPr>
                <w:rFonts w:ascii="Times New Roman" w:hAnsi="Times New Roman" w:cs="Times New Roman" w:eastAsiaTheme="minorEastAsia"/>
                <w:b/>
                <w:bCs/>
                <w:sz w:val="21"/>
                <w:szCs w:val="21"/>
                <w:lang w:eastAsia="zh-CN"/>
              </w:rPr>
            </w:pPr>
          </w:p>
          <w:p w14:paraId="779C2B36">
            <w:pPr>
              <w:jc w:val="center"/>
              <w:rPr>
                <w:rFonts w:ascii="Times New Roman" w:hAnsi="Times New Roman" w:cs="Times New Roman" w:eastAsiaTheme="minorEastAsia"/>
                <w:b/>
                <w:bCs/>
                <w:sz w:val="21"/>
                <w:szCs w:val="21"/>
                <w:lang w:eastAsia="zh-CN"/>
              </w:rPr>
            </w:pPr>
          </w:p>
          <w:p w14:paraId="201EA130">
            <w:pPr>
              <w:jc w:val="center"/>
              <w:rPr>
                <w:rFonts w:ascii="Times New Roman" w:hAnsi="Times New Roman" w:cs="Times New Roman" w:eastAsiaTheme="minorEastAsia"/>
                <w:b/>
                <w:bCs/>
                <w:sz w:val="21"/>
                <w:szCs w:val="21"/>
                <w:lang w:eastAsia="zh-CN"/>
              </w:rPr>
            </w:pPr>
          </w:p>
          <w:p w14:paraId="18A1AA8A">
            <w:pPr>
              <w:jc w:val="center"/>
              <w:rPr>
                <w:rFonts w:ascii="Times New Roman" w:hAnsi="Times New Roman" w:cs="Times New Roman" w:eastAsiaTheme="minorEastAsia"/>
                <w:b/>
                <w:bCs/>
                <w:sz w:val="21"/>
                <w:szCs w:val="21"/>
                <w:lang w:eastAsia="zh-CN"/>
              </w:rPr>
            </w:pPr>
          </w:p>
          <w:p w14:paraId="23FD3B8A">
            <w:pPr>
              <w:jc w:val="center"/>
              <w:rPr>
                <w:rFonts w:ascii="Times New Roman" w:hAnsi="Times New Roman" w:cs="Times New Roman" w:eastAsiaTheme="minorEastAsia"/>
                <w:b/>
                <w:bCs/>
                <w:sz w:val="21"/>
                <w:szCs w:val="21"/>
                <w:lang w:eastAsia="zh-CN"/>
              </w:rPr>
            </w:pPr>
          </w:p>
          <w:p w14:paraId="64AD6074">
            <w:pPr>
              <w:jc w:val="center"/>
              <w:rPr>
                <w:rFonts w:ascii="Times New Roman" w:hAnsi="Times New Roman" w:cs="Times New Roman" w:eastAsiaTheme="minorEastAsia"/>
                <w:b/>
                <w:bCs/>
                <w:sz w:val="21"/>
                <w:szCs w:val="21"/>
                <w:lang w:eastAsia="zh-CN"/>
              </w:rPr>
            </w:pPr>
          </w:p>
          <w:p w14:paraId="5489813A">
            <w:pPr>
              <w:jc w:val="center"/>
              <w:rPr>
                <w:rFonts w:ascii="Times New Roman" w:hAnsi="Times New Roman" w:cs="Times New Roman" w:eastAsiaTheme="minorEastAsia"/>
                <w:b/>
                <w:bCs/>
                <w:sz w:val="21"/>
                <w:szCs w:val="21"/>
                <w:lang w:eastAsia="zh-CN"/>
              </w:rPr>
            </w:pPr>
          </w:p>
          <w:p w14:paraId="2C3CEACE">
            <w:pPr>
              <w:jc w:val="center"/>
              <w:rPr>
                <w:rFonts w:ascii="Times New Roman" w:hAnsi="Times New Roman" w:cs="Times New Roman" w:eastAsiaTheme="minorEastAsia"/>
                <w:b/>
                <w:bCs/>
                <w:sz w:val="21"/>
                <w:szCs w:val="21"/>
                <w:lang w:eastAsia="zh-CN"/>
              </w:rPr>
            </w:pPr>
          </w:p>
          <w:p w14:paraId="67DA1A88">
            <w:pPr>
              <w:jc w:val="center"/>
              <w:rPr>
                <w:rFonts w:ascii="Times New Roman" w:hAnsi="Times New Roman" w:cs="Times New Roman" w:eastAsiaTheme="minorEastAsia"/>
                <w:b/>
                <w:bCs/>
                <w:sz w:val="21"/>
                <w:szCs w:val="21"/>
                <w:lang w:eastAsia="zh-CN"/>
              </w:rPr>
            </w:pPr>
          </w:p>
          <w:p w14:paraId="2920AB73">
            <w:pPr>
              <w:jc w:val="center"/>
              <w:rPr>
                <w:rFonts w:ascii="Times New Roman" w:hAnsi="Times New Roman" w:cs="Times New Roman" w:eastAsiaTheme="minorEastAsia"/>
                <w:b/>
                <w:bCs/>
                <w:sz w:val="21"/>
                <w:szCs w:val="21"/>
                <w:lang w:eastAsia="zh-CN"/>
              </w:rPr>
            </w:pPr>
          </w:p>
          <w:p w14:paraId="0179D32D">
            <w:pPr>
              <w:jc w:val="center"/>
              <w:rPr>
                <w:rFonts w:ascii="Times New Roman" w:hAnsi="Times New Roman" w:cs="Times New Roman" w:eastAsiaTheme="minorEastAsia"/>
                <w:b/>
                <w:bCs/>
                <w:sz w:val="21"/>
                <w:szCs w:val="21"/>
                <w:lang w:eastAsia="zh-CN"/>
              </w:rPr>
            </w:pPr>
          </w:p>
          <w:p w14:paraId="2C857694">
            <w:pPr>
              <w:jc w:val="center"/>
              <w:rPr>
                <w:rFonts w:ascii="Times New Roman" w:hAnsi="Times New Roman" w:cs="Times New Roman" w:eastAsiaTheme="minorEastAsia"/>
                <w:b/>
                <w:bCs/>
                <w:sz w:val="21"/>
                <w:szCs w:val="21"/>
                <w:lang w:eastAsia="zh-CN"/>
              </w:rPr>
            </w:pPr>
          </w:p>
          <w:p w14:paraId="3FBDB7EC">
            <w:pPr>
              <w:jc w:val="center"/>
              <w:rPr>
                <w:rFonts w:ascii="Times New Roman" w:hAnsi="Times New Roman" w:cs="Times New Roman" w:eastAsiaTheme="minorEastAsia"/>
                <w:b/>
                <w:bCs/>
                <w:sz w:val="21"/>
                <w:szCs w:val="21"/>
                <w:lang w:eastAsia="zh-CN"/>
              </w:rPr>
            </w:pPr>
          </w:p>
          <w:p w14:paraId="7B56ED21">
            <w:pPr>
              <w:jc w:val="center"/>
              <w:rPr>
                <w:rFonts w:ascii="Times New Roman" w:hAnsi="Times New Roman" w:cs="Times New Roman" w:eastAsiaTheme="minorEastAsia"/>
                <w:b/>
                <w:bCs/>
                <w:sz w:val="21"/>
                <w:szCs w:val="21"/>
                <w:lang w:eastAsia="zh-CN"/>
              </w:rPr>
            </w:pPr>
          </w:p>
          <w:p w14:paraId="5D7E7DC7">
            <w:pPr>
              <w:jc w:val="center"/>
              <w:rPr>
                <w:rFonts w:ascii="Times New Roman" w:hAnsi="Times New Roman" w:cs="Times New Roman" w:eastAsiaTheme="minorEastAsia"/>
                <w:b/>
                <w:bCs/>
                <w:sz w:val="21"/>
                <w:szCs w:val="21"/>
                <w:lang w:eastAsia="zh-CN"/>
              </w:rPr>
            </w:pPr>
          </w:p>
          <w:p w14:paraId="3CD9E31B">
            <w:pPr>
              <w:jc w:val="center"/>
              <w:rPr>
                <w:rFonts w:ascii="Times New Roman" w:hAnsi="Times New Roman" w:cs="Times New Roman" w:eastAsiaTheme="minorEastAsia"/>
                <w:b/>
                <w:bCs/>
                <w:sz w:val="21"/>
                <w:szCs w:val="21"/>
                <w:lang w:eastAsia="zh-CN"/>
              </w:rPr>
            </w:pPr>
          </w:p>
          <w:p w14:paraId="23CBEA0E">
            <w:pPr>
              <w:jc w:val="center"/>
              <w:rPr>
                <w:rFonts w:ascii="Times New Roman" w:hAnsi="Times New Roman" w:cs="Times New Roman" w:eastAsiaTheme="minorEastAsia"/>
                <w:b/>
                <w:bCs/>
                <w:sz w:val="21"/>
                <w:szCs w:val="21"/>
                <w:lang w:eastAsia="zh-CN"/>
              </w:rPr>
            </w:pPr>
          </w:p>
          <w:p w14:paraId="07C895A4">
            <w:pPr>
              <w:jc w:val="center"/>
              <w:rPr>
                <w:rFonts w:ascii="Times New Roman" w:hAnsi="Times New Roman" w:cs="Times New Roman" w:eastAsiaTheme="minorEastAsia"/>
                <w:b/>
                <w:bCs/>
                <w:sz w:val="21"/>
                <w:szCs w:val="21"/>
                <w:lang w:eastAsia="zh-CN"/>
              </w:rPr>
            </w:pPr>
          </w:p>
          <w:p w14:paraId="361C5F54">
            <w:pPr>
              <w:jc w:val="center"/>
              <w:rPr>
                <w:rFonts w:ascii="Times New Roman" w:hAnsi="Times New Roman" w:cs="Times New Roman" w:eastAsiaTheme="minorEastAsia"/>
                <w:b/>
                <w:bCs/>
                <w:sz w:val="21"/>
                <w:szCs w:val="21"/>
                <w:lang w:eastAsia="zh-CN"/>
              </w:rPr>
            </w:pPr>
          </w:p>
          <w:p w14:paraId="4500E390">
            <w:pPr>
              <w:jc w:val="center"/>
              <w:rPr>
                <w:rFonts w:ascii="Times New Roman" w:hAnsi="Times New Roman" w:cs="Times New Roman" w:eastAsiaTheme="minorEastAsia"/>
                <w:b/>
                <w:bCs/>
                <w:sz w:val="21"/>
                <w:szCs w:val="21"/>
                <w:lang w:eastAsia="zh-CN"/>
              </w:rPr>
            </w:pPr>
          </w:p>
          <w:p w14:paraId="60EF3B4E">
            <w:pPr>
              <w:jc w:val="center"/>
              <w:rPr>
                <w:rFonts w:ascii="Times New Roman" w:hAnsi="Times New Roman" w:cs="Times New Roman" w:eastAsiaTheme="minorEastAsia"/>
                <w:b/>
                <w:bCs/>
                <w:sz w:val="21"/>
                <w:szCs w:val="21"/>
                <w:lang w:eastAsia="zh-CN"/>
              </w:rPr>
            </w:pPr>
          </w:p>
          <w:p w14:paraId="737C09F1">
            <w:pPr>
              <w:jc w:val="center"/>
              <w:rPr>
                <w:rFonts w:ascii="Times New Roman" w:hAnsi="Times New Roman" w:cs="Times New Roman" w:eastAsiaTheme="minorEastAsia"/>
                <w:b/>
                <w:bCs/>
                <w:sz w:val="21"/>
                <w:szCs w:val="21"/>
                <w:lang w:eastAsia="zh-CN"/>
              </w:rPr>
            </w:pPr>
          </w:p>
          <w:p w14:paraId="2153A84A">
            <w:pPr>
              <w:jc w:val="center"/>
              <w:rPr>
                <w:rFonts w:ascii="Times New Roman" w:hAnsi="Times New Roman" w:cs="Times New Roman" w:eastAsiaTheme="minorEastAsia"/>
                <w:b/>
                <w:bCs/>
                <w:sz w:val="21"/>
                <w:szCs w:val="21"/>
                <w:lang w:eastAsia="zh-CN"/>
              </w:rPr>
            </w:pPr>
          </w:p>
          <w:p w14:paraId="2DDE1AA6">
            <w:pPr>
              <w:jc w:val="center"/>
              <w:rPr>
                <w:rFonts w:ascii="Times New Roman" w:hAnsi="Times New Roman" w:cs="Times New Roman" w:eastAsiaTheme="minorEastAsia"/>
                <w:b/>
                <w:bCs/>
                <w:sz w:val="21"/>
                <w:szCs w:val="21"/>
                <w:lang w:eastAsia="zh-CN"/>
              </w:rPr>
            </w:pPr>
          </w:p>
          <w:p w14:paraId="6D7114ED">
            <w:pPr>
              <w:jc w:val="center"/>
              <w:rPr>
                <w:rFonts w:ascii="Times New Roman" w:hAnsi="Times New Roman" w:cs="Times New Roman" w:eastAsiaTheme="minorEastAsia"/>
                <w:b/>
                <w:bCs/>
                <w:sz w:val="21"/>
                <w:szCs w:val="21"/>
                <w:lang w:eastAsia="zh-CN"/>
              </w:rPr>
            </w:pPr>
          </w:p>
          <w:p w14:paraId="5AFF94B1">
            <w:pPr>
              <w:jc w:val="center"/>
              <w:rPr>
                <w:rFonts w:ascii="Times New Roman" w:hAnsi="Times New Roman" w:cs="Times New Roman" w:eastAsiaTheme="minorEastAsia"/>
                <w:b/>
                <w:bCs/>
                <w:sz w:val="21"/>
                <w:szCs w:val="21"/>
                <w:lang w:eastAsia="zh-CN"/>
              </w:rPr>
            </w:pPr>
          </w:p>
          <w:p w14:paraId="4BA7A304">
            <w:pPr>
              <w:jc w:val="center"/>
              <w:rPr>
                <w:rFonts w:ascii="Times New Roman" w:hAnsi="Times New Roman" w:cs="Times New Roman" w:eastAsiaTheme="minorEastAsia"/>
                <w:b/>
                <w:bCs/>
                <w:sz w:val="21"/>
                <w:szCs w:val="21"/>
                <w:lang w:eastAsia="zh-CN"/>
              </w:rPr>
            </w:pPr>
          </w:p>
          <w:p w14:paraId="28ED5EE1">
            <w:pPr>
              <w:jc w:val="center"/>
              <w:rPr>
                <w:rFonts w:ascii="Times New Roman" w:hAnsi="Times New Roman" w:cs="Times New Roman" w:eastAsiaTheme="minorEastAsia"/>
                <w:b/>
                <w:bCs/>
                <w:sz w:val="21"/>
                <w:szCs w:val="21"/>
                <w:lang w:eastAsia="zh-CN"/>
              </w:rPr>
            </w:pPr>
          </w:p>
          <w:p w14:paraId="1413192C">
            <w:pPr>
              <w:jc w:val="center"/>
              <w:rPr>
                <w:rFonts w:ascii="Times New Roman" w:hAnsi="Times New Roman" w:cs="Times New Roman" w:eastAsiaTheme="minorEastAsia"/>
                <w:b/>
                <w:bCs/>
                <w:sz w:val="21"/>
                <w:szCs w:val="21"/>
                <w:lang w:eastAsia="zh-CN"/>
              </w:rPr>
            </w:pPr>
          </w:p>
          <w:p w14:paraId="3B0A1AB7">
            <w:pPr>
              <w:jc w:val="center"/>
              <w:rPr>
                <w:rFonts w:ascii="Times New Roman" w:hAnsi="Times New Roman" w:cs="Times New Roman" w:eastAsiaTheme="minorEastAsia"/>
                <w:b/>
                <w:bCs/>
                <w:sz w:val="21"/>
                <w:szCs w:val="21"/>
                <w:lang w:eastAsia="zh-CN"/>
              </w:rPr>
            </w:pPr>
          </w:p>
          <w:p w14:paraId="37411CA6">
            <w:pPr>
              <w:jc w:val="center"/>
              <w:rPr>
                <w:rFonts w:ascii="Times New Roman" w:hAnsi="Times New Roman" w:cs="Times New Roman" w:eastAsiaTheme="minorEastAsia"/>
                <w:b/>
                <w:bCs/>
                <w:sz w:val="21"/>
                <w:szCs w:val="21"/>
                <w:lang w:eastAsia="zh-CN"/>
              </w:rPr>
            </w:pPr>
          </w:p>
          <w:p w14:paraId="7AA5F9F4">
            <w:pPr>
              <w:jc w:val="center"/>
              <w:rPr>
                <w:rFonts w:ascii="Times New Roman" w:hAnsi="Times New Roman" w:cs="Times New Roman" w:eastAsiaTheme="minorEastAsia"/>
                <w:b/>
                <w:bCs/>
                <w:sz w:val="21"/>
                <w:szCs w:val="21"/>
                <w:lang w:eastAsia="zh-CN"/>
              </w:rPr>
            </w:pPr>
          </w:p>
          <w:p w14:paraId="573243E8">
            <w:pPr>
              <w:jc w:val="center"/>
              <w:rPr>
                <w:rFonts w:ascii="Times New Roman" w:hAnsi="Times New Roman" w:cs="Times New Roman"/>
                <w:sz w:val="21"/>
                <w:lang w:eastAsia="zh-CN"/>
              </w:rPr>
            </w:pPr>
          </w:p>
          <w:p w14:paraId="495E0D43">
            <w:pPr>
              <w:rPr>
                <w:rFonts w:ascii="Times New Roman" w:hAnsi="Times New Roman" w:cs="Times New Roman"/>
                <w:sz w:val="21"/>
                <w:lang w:eastAsia="zh-CN"/>
              </w:rPr>
            </w:pPr>
          </w:p>
        </w:tc>
      </w:tr>
    </w:tbl>
    <w:p w14:paraId="41DBBFAF">
      <w:pPr>
        <w:rPr>
          <w:rFonts w:ascii="Times New Roman" w:hAnsi="Times New Roman" w:cs="Times New Roman"/>
          <w:sz w:val="21"/>
          <w:lang w:eastAsia="zh-CN"/>
        </w:rPr>
        <w:sectPr>
          <w:pgSz w:w="16840" w:h="11913" w:orient="landscape"/>
          <w:pgMar w:top="1134" w:right="1134" w:bottom="1134" w:left="1134" w:header="0" w:footer="1043" w:gutter="0"/>
          <w:cols w:space="720" w:num="1"/>
          <w:docGrid w:linePitch="299" w:charSpace="0"/>
        </w:sectPr>
      </w:pPr>
    </w:p>
    <w:tbl>
      <w:tblPr>
        <w:tblStyle w:val="34"/>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16"/>
        <w:gridCol w:w="8834"/>
      </w:tblGrid>
      <w:tr w14:paraId="5A5D0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6" w:hRule="atLeast"/>
        </w:trPr>
        <w:tc>
          <w:tcPr>
            <w:tcW w:w="423" w:type="pct"/>
            <w:tcBorders>
              <w:bottom w:val="single" w:color="000000" w:sz="4" w:space="0"/>
              <w:right w:val="single" w:color="000000" w:sz="4" w:space="0"/>
            </w:tcBorders>
            <w:vAlign w:val="center"/>
          </w:tcPr>
          <w:p w14:paraId="3D7BE74F">
            <w:pPr>
              <w:jc w:val="center"/>
              <w:rPr>
                <w:rFonts w:ascii="Times New Roman" w:hAnsi="Times New Roman" w:cs="Times New Roman"/>
                <w:b/>
                <w:bCs/>
                <w:sz w:val="24"/>
                <w:szCs w:val="24"/>
                <w:lang w:eastAsia="zh-CN"/>
              </w:rPr>
            </w:pPr>
          </w:p>
        </w:tc>
        <w:tc>
          <w:tcPr>
            <w:tcW w:w="4577" w:type="pct"/>
            <w:tcBorders>
              <w:left w:val="single" w:color="000000" w:sz="4" w:space="0"/>
              <w:bottom w:val="single" w:color="000000" w:sz="4" w:space="0"/>
            </w:tcBorders>
          </w:tcPr>
          <w:p w14:paraId="55659505">
            <w:pPr>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hint="eastAsia" w:ascii="Times New Roman" w:hAnsi="Times New Roman" w:cs="Times New Roman"/>
                <w:sz w:val="24"/>
                <w:szCs w:val="24"/>
                <w:lang w:eastAsia="zh-CN"/>
              </w:rPr>
              <w:t>植物</w:t>
            </w:r>
          </w:p>
          <w:p w14:paraId="703BD927">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结合现场踏勘情况，根据《中国植被》，拟建项目所在区域植被区划属于：</w:t>
            </w:r>
            <w:r>
              <w:rPr>
                <w:rFonts w:ascii="Times New Roman" w:hAnsi="Times New Roman" w:cs="Times New Roman"/>
                <w:sz w:val="24"/>
                <w:szCs w:val="24"/>
                <w:lang w:eastAsia="zh-CN"/>
              </w:rPr>
              <w:t>XII温带荒漠区域，XIIA温带干旱半灌木、小乔木荒漠地带，XIIA1准噶尔盆地小乔木、半灌木荒漠区。根据《新疆植被及其利用》及《新疆植被区划的新方案》，评价区植被类型属亚非荒漠区，准噶尔——哈萨克斯坦荒漠亚区，准噶尔盆地半灌木荒漠植被省。残丘状的剥蚀平原上的优势半灌木荒漠类型有梭梭、琵琶柴、沙拐枣、泡泡刺、猪毛菜、盐爪爪等。由于本植被省年降水量191mm，年蒸发量高达2046mm，四季分配均匀，加之有较多的冬季积雪，所以荒漠类型中伴生有一些</w:t>
            </w:r>
            <w:r>
              <w:rPr>
                <w:rFonts w:hint="eastAsia" w:ascii="Times New Roman" w:hAnsi="Times New Roman" w:cs="Times New Roman"/>
                <w:sz w:val="24"/>
                <w:szCs w:val="24"/>
                <w:lang w:eastAsia="zh-CN"/>
              </w:rPr>
              <w:t>短命类植物。</w:t>
            </w:r>
          </w:p>
          <w:p w14:paraId="6E7BD3A7">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区内植物群落物种组成相对简单，分布稀疏，植被覆盖度为</w:t>
            </w:r>
            <w:r>
              <w:rPr>
                <w:rFonts w:ascii="Times New Roman" w:hAnsi="Times New Roman" w:cs="Times New Roman"/>
                <w:sz w:val="24"/>
                <w:szCs w:val="24"/>
                <w:lang w:eastAsia="zh-CN"/>
              </w:rPr>
              <w:t>10-20%，由超旱生和旱生的灌木、小半灌木及旱生的一年生草本、多年生草本和短命植物等组成。建群植物以藜科、菊科、豆科、蓼科、莎草科、禾本科、柽柳科、麻黄科的植物为主。评价区分布的常见天然植物大约9科，其中占优势的是藜科。评价区植物种类见表3.4。</w:t>
            </w:r>
          </w:p>
          <w:p w14:paraId="1090113D">
            <w:pPr>
              <w:jc w:val="center"/>
              <w:rPr>
                <w:rFonts w:ascii="Times New Roman" w:hAnsi="Times New Roman" w:cs="Times New Roman" w:eastAsiaTheme="minorEastAsia"/>
                <w:b/>
                <w:bCs/>
                <w:sz w:val="21"/>
                <w:szCs w:val="21"/>
                <w:lang w:eastAsia="zh-CN"/>
              </w:rPr>
            </w:pPr>
            <w:r>
              <w:rPr>
                <w:rFonts w:ascii="Times New Roman" w:hAnsi="Times New Roman" w:cs="Times New Roman" w:eastAsiaTheme="minorEastAsia"/>
                <w:b/>
                <w:bCs/>
                <w:sz w:val="21"/>
                <w:szCs w:val="21"/>
                <w:lang w:eastAsia="zh-CN"/>
              </w:rPr>
              <w:t xml:space="preserve">表3.4  </w:t>
            </w:r>
            <w:r>
              <w:rPr>
                <w:rFonts w:hint="eastAsia" w:ascii="Times New Roman" w:hAnsi="Times New Roman" w:cs="Times New Roman" w:eastAsiaTheme="minorEastAsia"/>
                <w:b/>
                <w:bCs/>
                <w:sz w:val="21"/>
                <w:szCs w:val="21"/>
                <w:lang w:eastAsia="zh-CN"/>
              </w:rPr>
              <w:t>评价区植物名录</w:t>
            </w:r>
          </w:p>
          <w:tbl>
            <w:tblPr>
              <w:tblStyle w:val="11"/>
              <w:tblW w:w="481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60"/>
              <w:gridCol w:w="1574"/>
              <w:gridCol w:w="5945"/>
            </w:tblGrid>
            <w:tr w14:paraId="49F9D6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01F21845">
                  <w:pPr>
                    <w:tabs>
                      <w:tab w:val="left" w:pos="6327"/>
                    </w:tabs>
                    <w:adjustRightInd w:val="0"/>
                    <w:snapToGrid w:val="0"/>
                    <w:jc w:val="center"/>
                    <w:rPr>
                      <w:rFonts w:ascii="Times New Roman" w:hAnsi="Times New Roman" w:cs="Times New Roman"/>
                      <w:b/>
                      <w:position w:val="-24"/>
                      <w:sz w:val="21"/>
                      <w:szCs w:val="21"/>
                    </w:rPr>
                  </w:pPr>
                  <w:r>
                    <w:rPr>
                      <w:rFonts w:ascii="Times New Roman" w:hAnsi="Times New Roman" w:cs="Times New Roman"/>
                      <w:b/>
                      <w:position w:val="-24"/>
                      <w:sz w:val="21"/>
                      <w:szCs w:val="21"/>
                    </w:rPr>
                    <w:t>序号</w:t>
                  </w:r>
                </w:p>
              </w:tc>
              <w:tc>
                <w:tcPr>
                  <w:tcW w:w="928" w:type="pct"/>
                  <w:vAlign w:val="center"/>
                </w:tcPr>
                <w:p w14:paraId="3F99D101">
                  <w:pPr>
                    <w:tabs>
                      <w:tab w:val="left" w:pos="6327"/>
                    </w:tabs>
                    <w:adjustRightInd w:val="0"/>
                    <w:snapToGrid w:val="0"/>
                    <w:jc w:val="center"/>
                    <w:rPr>
                      <w:rFonts w:ascii="Times New Roman" w:hAnsi="Times New Roman" w:cs="Times New Roman"/>
                      <w:b/>
                      <w:position w:val="-24"/>
                      <w:sz w:val="21"/>
                      <w:szCs w:val="21"/>
                    </w:rPr>
                  </w:pPr>
                  <w:r>
                    <w:rPr>
                      <w:rFonts w:ascii="Times New Roman" w:hAnsi="Times New Roman" w:cs="Times New Roman"/>
                      <w:b/>
                      <w:position w:val="-24"/>
                      <w:sz w:val="21"/>
                      <w:szCs w:val="21"/>
                    </w:rPr>
                    <w:t>种名</w:t>
                  </w:r>
                </w:p>
              </w:tc>
              <w:tc>
                <w:tcPr>
                  <w:tcW w:w="3507" w:type="pct"/>
                  <w:vAlign w:val="center"/>
                </w:tcPr>
                <w:p w14:paraId="0AF3E737">
                  <w:pPr>
                    <w:tabs>
                      <w:tab w:val="left" w:pos="6327"/>
                    </w:tabs>
                    <w:adjustRightInd w:val="0"/>
                    <w:snapToGrid w:val="0"/>
                    <w:jc w:val="center"/>
                    <w:rPr>
                      <w:rFonts w:ascii="Times New Roman" w:hAnsi="Times New Roman" w:cs="Times New Roman"/>
                      <w:b/>
                      <w:position w:val="-24"/>
                      <w:sz w:val="21"/>
                      <w:szCs w:val="21"/>
                    </w:rPr>
                  </w:pPr>
                  <w:r>
                    <w:rPr>
                      <w:rFonts w:ascii="Times New Roman" w:hAnsi="Times New Roman" w:cs="Times New Roman"/>
                      <w:b/>
                      <w:position w:val="-24"/>
                      <w:sz w:val="21"/>
                      <w:szCs w:val="21"/>
                    </w:rPr>
                    <w:t>拉丁名</w:t>
                  </w:r>
                </w:p>
              </w:tc>
            </w:tr>
            <w:tr w14:paraId="63A61B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10B68FC0">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w:t>
                  </w:r>
                </w:p>
              </w:tc>
              <w:tc>
                <w:tcPr>
                  <w:tcW w:w="928" w:type="pct"/>
                  <w:vAlign w:val="center"/>
                </w:tcPr>
                <w:p w14:paraId="46B569D4">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新疆绢蒿</w:t>
                  </w:r>
                </w:p>
              </w:tc>
              <w:tc>
                <w:tcPr>
                  <w:tcW w:w="3507" w:type="pct"/>
                  <w:vAlign w:val="center"/>
                </w:tcPr>
                <w:p w14:paraId="38A9C2E2">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shd w:val="clear" w:color="auto" w:fill="FFFFFF"/>
                    </w:rPr>
                    <w:t>Seriphidium kaschgaricum (Krasch.) Poljak.</w:t>
                  </w:r>
                </w:p>
              </w:tc>
            </w:tr>
            <w:tr w14:paraId="0B0694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7689A23E">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2</w:t>
                  </w:r>
                </w:p>
              </w:tc>
              <w:tc>
                <w:tcPr>
                  <w:tcW w:w="928" w:type="pct"/>
                  <w:vAlign w:val="center"/>
                </w:tcPr>
                <w:p w14:paraId="1922143F">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泡泡刺</w:t>
                  </w:r>
                </w:p>
              </w:tc>
              <w:tc>
                <w:tcPr>
                  <w:tcW w:w="3507" w:type="pct"/>
                  <w:vAlign w:val="center"/>
                </w:tcPr>
                <w:p w14:paraId="4B6F61C5">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shd w:val="clear" w:color="auto" w:fill="FFFFFF"/>
                    </w:rPr>
                    <w:t>Nitraria sphaerocarpa Maxim.</w:t>
                  </w:r>
                </w:p>
              </w:tc>
            </w:tr>
            <w:tr w14:paraId="2D32DF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1688C085">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3</w:t>
                  </w:r>
                </w:p>
              </w:tc>
              <w:tc>
                <w:tcPr>
                  <w:tcW w:w="928" w:type="pct"/>
                  <w:vAlign w:val="center"/>
                </w:tcPr>
                <w:p w14:paraId="174E5B93">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沙拐枣</w:t>
                  </w:r>
                </w:p>
              </w:tc>
              <w:tc>
                <w:tcPr>
                  <w:tcW w:w="3507" w:type="pct"/>
                  <w:vAlign w:val="center"/>
                </w:tcPr>
                <w:p w14:paraId="341BE527">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Calligonum mongoticum</w:t>
                  </w:r>
                </w:p>
              </w:tc>
            </w:tr>
            <w:tr w14:paraId="4CAC38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13AEBBBD">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4</w:t>
                  </w:r>
                </w:p>
              </w:tc>
              <w:tc>
                <w:tcPr>
                  <w:tcW w:w="928" w:type="pct"/>
                  <w:vAlign w:val="center"/>
                </w:tcPr>
                <w:p w14:paraId="3164FECE">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角果藜</w:t>
                  </w:r>
                </w:p>
              </w:tc>
              <w:tc>
                <w:tcPr>
                  <w:tcW w:w="3507" w:type="pct"/>
                  <w:vAlign w:val="center"/>
                </w:tcPr>
                <w:p w14:paraId="0A8FE0B5">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Ceratocarpus arenarius</w:t>
                  </w:r>
                </w:p>
              </w:tc>
            </w:tr>
            <w:tr w14:paraId="4A7F3C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05F6C772">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5</w:t>
                  </w:r>
                </w:p>
              </w:tc>
              <w:tc>
                <w:tcPr>
                  <w:tcW w:w="928" w:type="pct"/>
                  <w:vAlign w:val="center"/>
                </w:tcPr>
                <w:p w14:paraId="674E0BDF">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刺果藜</w:t>
                  </w:r>
                </w:p>
              </w:tc>
              <w:tc>
                <w:tcPr>
                  <w:tcW w:w="3507" w:type="pct"/>
                  <w:vAlign w:val="center"/>
                </w:tcPr>
                <w:p w14:paraId="382A5157">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Echinopsilon diuarica</w:t>
                  </w:r>
                </w:p>
              </w:tc>
            </w:tr>
            <w:tr w14:paraId="4663E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0E44395C">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6</w:t>
                  </w:r>
                </w:p>
              </w:tc>
              <w:tc>
                <w:tcPr>
                  <w:tcW w:w="928" w:type="pct"/>
                  <w:vAlign w:val="center"/>
                </w:tcPr>
                <w:p w14:paraId="6A59435B">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沙蓬</w:t>
                  </w:r>
                </w:p>
              </w:tc>
              <w:tc>
                <w:tcPr>
                  <w:tcW w:w="3507" w:type="pct"/>
                  <w:vAlign w:val="center"/>
                </w:tcPr>
                <w:p w14:paraId="7D79D817">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Agriophylllum avenarium</w:t>
                  </w:r>
                </w:p>
              </w:tc>
            </w:tr>
            <w:tr w14:paraId="480D63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01EDE47E">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7</w:t>
                  </w:r>
                </w:p>
              </w:tc>
              <w:tc>
                <w:tcPr>
                  <w:tcW w:w="928" w:type="pct"/>
                  <w:vAlign w:val="center"/>
                </w:tcPr>
                <w:p w14:paraId="1E635A31">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盐爪爪</w:t>
                  </w:r>
                </w:p>
              </w:tc>
              <w:tc>
                <w:tcPr>
                  <w:tcW w:w="3507" w:type="pct"/>
                  <w:vAlign w:val="center"/>
                </w:tcPr>
                <w:p w14:paraId="6487C7EB">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Kalidium foliatum pall</w:t>
                  </w:r>
                </w:p>
              </w:tc>
            </w:tr>
            <w:tr w14:paraId="66E3B6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449FC964">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8</w:t>
                  </w:r>
                </w:p>
              </w:tc>
              <w:tc>
                <w:tcPr>
                  <w:tcW w:w="928" w:type="pct"/>
                  <w:vAlign w:val="center"/>
                </w:tcPr>
                <w:p w14:paraId="40FDDF37">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盐角草</w:t>
                  </w:r>
                </w:p>
              </w:tc>
              <w:tc>
                <w:tcPr>
                  <w:tcW w:w="3507" w:type="pct"/>
                  <w:vAlign w:val="center"/>
                </w:tcPr>
                <w:p w14:paraId="66690B4F">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Salicornia europaea</w:t>
                  </w:r>
                </w:p>
              </w:tc>
            </w:tr>
            <w:tr w14:paraId="5E67E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48E60664">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9</w:t>
                  </w:r>
                </w:p>
              </w:tc>
              <w:tc>
                <w:tcPr>
                  <w:tcW w:w="928" w:type="pct"/>
                  <w:vAlign w:val="center"/>
                </w:tcPr>
                <w:p w14:paraId="3B8FF7BB">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梭梭</w:t>
                  </w:r>
                </w:p>
              </w:tc>
              <w:tc>
                <w:tcPr>
                  <w:tcW w:w="3507" w:type="pct"/>
                  <w:vAlign w:val="center"/>
                </w:tcPr>
                <w:p w14:paraId="1D1F8CC3">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Haloxylon apnglum</w:t>
                  </w:r>
                </w:p>
              </w:tc>
            </w:tr>
            <w:tr w14:paraId="1F28C6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5333E6C8">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10</w:t>
                  </w:r>
                </w:p>
              </w:tc>
              <w:tc>
                <w:tcPr>
                  <w:tcW w:w="928" w:type="pct"/>
                  <w:vAlign w:val="center"/>
                </w:tcPr>
                <w:p w14:paraId="09295B8E">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盐生假木贼</w:t>
                  </w:r>
                </w:p>
              </w:tc>
              <w:tc>
                <w:tcPr>
                  <w:tcW w:w="3507" w:type="pct"/>
                  <w:vAlign w:val="center"/>
                </w:tcPr>
                <w:p w14:paraId="12AA0259">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Anabasis salsa</w:t>
                  </w:r>
                </w:p>
              </w:tc>
            </w:tr>
            <w:tr w14:paraId="49E8FA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7A5FA8B2">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11</w:t>
                  </w:r>
                </w:p>
              </w:tc>
              <w:tc>
                <w:tcPr>
                  <w:tcW w:w="928" w:type="pct"/>
                  <w:vAlign w:val="center"/>
                </w:tcPr>
                <w:p w14:paraId="42D7A907">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猪毛菜</w:t>
                  </w:r>
                </w:p>
              </w:tc>
              <w:tc>
                <w:tcPr>
                  <w:tcW w:w="3507" w:type="pct"/>
                  <w:vAlign w:val="center"/>
                </w:tcPr>
                <w:p w14:paraId="667C4ED4">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shd w:val="clear" w:color="auto" w:fill="FFFFFF"/>
                    </w:rPr>
                    <w:t>Kali collinum (Pall.) Akhani &amp; Roalson</w:t>
                  </w:r>
                </w:p>
              </w:tc>
            </w:tr>
            <w:tr w14:paraId="26C5BC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09D81DCB">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12</w:t>
                  </w:r>
                </w:p>
              </w:tc>
              <w:tc>
                <w:tcPr>
                  <w:tcW w:w="928" w:type="pct"/>
                  <w:vAlign w:val="center"/>
                </w:tcPr>
                <w:p w14:paraId="42FBADD7">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小蓬</w:t>
                  </w:r>
                </w:p>
              </w:tc>
              <w:tc>
                <w:tcPr>
                  <w:tcW w:w="3507" w:type="pct"/>
                  <w:vAlign w:val="center"/>
                </w:tcPr>
                <w:p w14:paraId="4C48FAAE">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Nanophyton erinaceum （Pall.） Bunge</w:t>
                  </w:r>
                </w:p>
              </w:tc>
            </w:tr>
            <w:tr w14:paraId="0FC611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0ADA8BED">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13</w:t>
                  </w:r>
                </w:p>
              </w:tc>
              <w:tc>
                <w:tcPr>
                  <w:tcW w:w="928" w:type="pct"/>
                  <w:vAlign w:val="center"/>
                </w:tcPr>
                <w:p w14:paraId="7D36ACE7">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骆驼刺</w:t>
                  </w:r>
                </w:p>
              </w:tc>
              <w:tc>
                <w:tcPr>
                  <w:tcW w:w="3507" w:type="pct"/>
                  <w:vAlign w:val="center"/>
                </w:tcPr>
                <w:p w14:paraId="359427C2">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Alhagi pseudalhagi</w:t>
                  </w:r>
                </w:p>
              </w:tc>
            </w:tr>
            <w:tr w14:paraId="5A0D50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3C991A30">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14</w:t>
                  </w:r>
                </w:p>
              </w:tc>
              <w:tc>
                <w:tcPr>
                  <w:tcW w:w="928" w:type="pct"/>
                  <w:vAlign w:val="center"/>
                </w:tcPr>
                <w:p w14:paraId="588E6500">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骆驼蓬</w:t>
                  </w:r>
                </w:p>
              </w:tc>
              <w:tc>
                <w:tcPr>
                  <w:tcW w:w="3507" w:type="pct"/>
                  <w:vAlign w:val="center"/>
                </w:tcPr>
                <w:p w14:paraId="69C5885D">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Peganum harmalu</w:t>
                  </w:r>
                </w:p>
              </w:tc>
            </w:tr>
            <w:tr w14:paraId="7B26C2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4BC4A44A">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15</w:t>
                  </w:r>
                </w:p>
              </w:tc>
              <w:tc>
                <w:tcPr>
                  <w:tcW w:w="928" w:type="pct"/>
                  <w:vAlign w:val="center"/>
                </w:tcPr>
                <w:p w14:paraId="51DF931B">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琵琶柴</w:t>
                  </w:r>
                </w:p>
              </w:tc>
              <w:tc>
                <w:tcPr>
                  <w:tcW w:w="3507" w:type="pct"/>
                  <w:vAlign w:val="center"/>
                </w:tcPr>
                <w:p w14:paraId="091B660D">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Reaumuria songonica （PalL）Maxim.</w:t>
                  </w:r>
                </w:p>
              </w:tc>
            </w:tr>
            <w:tr w14:paraId="762A6B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18F28226">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16</w:t>
                  </w:r>
                </w:p>
              </w:tc>
              <w:tc>
                <w:tcPr>
                  <w:tcW w:w="928" w:type="pct"/>
                  <w:vAlign w:val="center"/>
                </w:tcPr>
                <w:p w14:paraId="2A779F95">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多枝柽柳</w:t>
                  </w:r>
                </w:p>
              </w:tc>
              <w:tc>
                <w:tcPr>
                  <w:tcW w:w="3507" w:type="pct"/>
                  <w:vAlign w:val="center"/>
                </w:tcPr>
                <w:p w14:paraId="4A31DE4F">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Tamarix ramosissima Ledeb.</w:t>
                  </w:r>
                </w:p>
              </w:tc>
            </w:tr>
            <w:tr w14:paraId="0FA716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547CD8D1">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17</w:t>
                  </w:r>
                </w:p>
              </w:tc>
              <w:tc>
                <w:tcPr>
                  <w:tcW w:w="928" w:type="pct"/>
                  <w:vAlign w:val="center"/>
                </w:tcPr>
                <w:p w14:paraId="5496ADF4">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沙漠绢蒿</w:t>
                  </w:r>
                </w:p>
              </w:tc>
              <w:tc>
                <w:tcPr>
                  <w:tcW w:w="3507" w:type="pct"/>
                  <w:vAlign w:val="center"/>
                </w:tcPr>
                <w:p w14:paraId="339C564A">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Seriphidium santolinum （Schrenk） Poljakov</w:t>
                  </w:r>
                </w:p>
              </w:tc>
            </w:tr>
            <w:tr w14:paraId="7B725B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18262A02">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18</w:t>
                  </w:r>
                </w:p>
              </w:tc>
              <w:tc>
                <w:tcPr>
                  <w:tcW w:w="928" w:type="pct"/>
                  <w:vAlign w:val="center"/>
                </w:tcPr>
                <w:p w14:paraId="0B2647E7">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驼绒藜</w:t>
                  </w:r>
                </w:p>
              </w:tc>
              <w:tc>
                <w:tcPr>
                  <w:tcW w:w="3507" w:type="pct"/>
                  <w:vAlign w:val="center"/>
                </w:tcPr>
                <w:p w14:paraId="56A10CBC">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Krascheninnikovia ceratoides（L.） Gueldenst.</w:t>
                  </w:r>
                </w:p>
              </w:tc>
            </w:tr>
            <w:tr w14:paraId="3789AA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6D28F606">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19</w:t>
                  </w:r>
                </w:p>
              </w:tc>
              <w:tc>
                <w:tcPr>
                  <w:tcW w:w="928" w:type="pct"/>
                  <w:vAlign w:val="center"/>
                </w:tcPr>
                <w:p w14:paraId="57733732">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盐爪爪</w:t>
                  </w:r>
                </w:p>
              </w:tc>
              <w:tc>
                <w:tcPr>
                  <w:tcW w:w="3507" w:type="pct"/>
                  <w:vAlign w:val="center"/>
                </w:tcPr>
                <w:p w14:paraId="7A194C1B">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Kalidium foliatum（Pall.） Moq.</w:t>
                  </w:r>
                </w:p>
              </w:tc>
            </w:tr>
            <w:tr w14:paraId="2D491D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376F67DE">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20</w:t>
                  </w:r>
                </w:p>
              </w:tc>
              <w:tc>
                <w:tcPr>
                  <w:tcW w:w="928" w:type="pct"/>
                  <w:vAlign w:val="center"/>
                </w:tcPr>
                <w:p w14:paraId="47F08FB5">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沙生针茅</w:t>
                  </w:r>
                </w:p>
              </w:tc>
              <w:tc>
                <w:tcPr>
                  <w:tcW w:w="3507" w:type="pct"/>
                  <w:vAlign w:val="center"/>
                </w:tcPr>
                <w:p w14:paraId="72C5E758">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rPr>
                    <w:t>Stipa caucasica subsp.glareosa（P. A. Smirnov） Tzvelev</w:t>
                  </w:r>
                </w:p>
              </w:tc>
            </w:tr>
            <w:tr w14:paraId="13B152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690E93DE">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21</w:t>
                  </w:r>
                </w:p>
              </w:tc>
              <w:tc>
                <w:tcPr>
                  <w:tcW w:w="928" w:type="pct"/>
                  <w:vAlign w:val="center"/>
                </w:tcPr>
                <w:p w14:paraId="6F4BAC5F">
                  <w:pPr>
                    <w:widowControl/>
                    <w:jc w:val="center"/>
                    <w:rPr>
                      <w:rFonts w:ascii="Times New Roman" w:hAnsi="Times New Roman" w:cs="Times New Roman"/>
                      <w:sz w:val="21"/>
                      <w:szCs w:val="21"/>
                    </w:rPr>
                  </w:pPr>
                  <w:r>
                    <w:rPr>
                      <w:rFonts w:ascii="Times New Roman" w:hAnsi="Times New Roman" w:cs="Times New Roman"/>
                      <w:sz w:val="21"/>
                      <w:szCs w:val="21"/>
                      <w:lang w:bidi="ar"/>
                    </w:rPr>
                    <w:t>合头草</w:t>
                  </w:r>
                </w:p>
              </w:tc>
              <w:tc>
                <w:tcPr>
                  <w:tcW w:w="3507" w:type="pct"/>
                  <w:vAlign w:val="center"/>
                </w:tcPr>
                <w:p w14:paraId="4520BAF6">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shd w:val="clear" w:color="auto" w:fill="FFFFFF"/>
                    </w:rPr>
                    <w:t>Sympegma regelii Bunge</w:t>
                  </w:r>
                </w:p>
              </w:tc>
            </w:tr>
            <w:tr w14:paraId="6A4C0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66" w:type="pct"/>
                  <w:vAlign w:val="center"/>
                </w:tcPr>
                <w:p w14:paraId="14B0F827">
                  <w:pPr>
                    <w:tabs>
                      <w:tab w:val="left" w:pos="6327"/>
                    </w:tabs>
                    <w:adjustRightInd w:val="0"/>
                    <w:snapToGrid w:val="0"/>
                    <w:jc w:val="center"/>
                    <w:rPr>
                      <w:rFonts w:ascii="Times New Roman" w:hAnsi="Times New Roman" w:cs="Times New Roman"/>
                      <w:position w:val="-24"/>
                      <w:sz w:val="21"/>
                      <w:szCs w:val="21"/>
                    </w:rPr>
                  </w:pPr>
                  <w:r>
                    <w:rPr>
                      <w:rFonts w:ascii="Times New Roman" w:hAnsi="Times New Roman" w:cs="Times New Roman"/>
                      <w:position w:val="-24"/>
                      <w:sz w:val="21"/>
                      <w:szCs w:val="21"/>
                    </w:rPr>
                    <w:t>22</w:t>
                  </w:r>
                </w:p>
              </w:tc>
              <w:tc>
                <w:tcPr>
                  <w:tcW w:w="928" w:type="pct"/>
                  <w:vAlign w:val="center"/>
                </w:tcPr>
                <w:p w14:paraId="642C9F25">
                  <w:pPr>
                    <w:widowControl/>
                    <w:rPr>
                      <w:rFonts w:ascii="Times New Roman" w:hAnsi="Times New Roman" w:cs="Times New Roman"/>
                      <w:sz w:val="21"/>
                      <w:szCs w:val="21"/>
                      <w:lang w:bidi="ar"/>
                    </w:rPr>
                  </w:pPr>
                  <w:r>
                    <w:rPr>
                      <w:rFonts w:ascii="Times New Roman" w:hAnsi="Times New Roman" w:cs="Times New Roman"/>
                      <w:sz w:val="21"/>
                      <w:szCs w:val="21"/>
                      <w:lang w:bidi="ar"/>
                    </w:rPr>
                    <w:t>西伯利亚白刺</w:t>
                  </w:r>
                </w:p>
              </w:tc>
              <w:tc>
                <w:tcPr>
                  <w:tcW w:w="3507" w:type="pct"/>
                  <w:vAlign w:val="center"/>
                </w:tcPr>
                <w:p w14:paraId="1EE24A60">
                  <w:pPr>
                    <w:tabs>
                      <w:tab w:val="left" w:pos="6327"/>
                    </w:tabs>
                    <w:adjustRightInd w:val="0"/>
                    <w:snapToGrid w:val="0"/>
                    <w:jc w:val="center"/>
                    <w:rPr>
                      <w:rFonts w:ascii="Times New Roman" w:hAnsi="Times New Roman" w:cs="Times New Roman"/>
                      <w:i/>
                      <w:iCs/>
                      <w:position w:val="-24"/>
                      <w:sz w:val="21"/>
                      <w:szCs w:val="21"/>
                    </w:rPr>
                  </w:pPr>
                  <w:r>
                    <w:rPr>
                      <w:rFonts w:ascii="Times New Roman" w:hAnsi="Times New Roman" w:cs="Times New Roman"/>
                      <w:i/>
                      <w:iCs/>
                      <w:position w:val="-24"/>
                      <w:sz w:val="21"/>
                      <w:szCs w:val="21"/>
                      <w:shd w:val="clear" w:color="auto" w:fill="FFFFFF"/>
                    </w:rPr>
                    <w:t>Nitraria sibirica Pall</w:t>
                  </w:r>
                </w:p>
              </w:tc>
            </w:tr>
          </w:tbl>
          <w:p w14:paraId="5FC4652D">
            <w:pPr>
              <w:jc w:val="center"/>
              <w:rPr>
                <w:rFonts w:ascii="Times New Roman" w:hAnsi="Times New Roman" w:cs="Times New Roman"/>
                <w:sz w:val="21"/>
                <w:lang w:eastAsia="zh-CN"/>
              </w:rPr>
            </w:pPr>
          </w:p>
          <w:p w14:paraId="0C6A467E">
            <w:pPr>
              <w:spacing w:line="360" w:lineRule="auto"/>
              <w:ind w:firstLine="480" w:firstLineChars="200"/>
              <w:jc w:val="both"/>
              <w:rPr>
                <w:rFonts w:ascii="Times New Roman" w:hAnsi="Times New Roman" w:cs="Times New Roman"/>
                <w:sz w:val="24"/>
                <w:szCs w:val="24"/>
                <w:lang w:eastAsia="zh-CN"/>
              </w:rPr>
            </w:pPr>
            <w:r>
              <w:rPr>
                <w:sz w:val="24"/>
                <w:szCs w:val="24"/>
                <w:lang w:eastAsia="zh-CN"/>
              </w:rPr>
              <w:t>④</w:t>
            </w:r>
            <w:r>
              <w:rPr>
                <w:rFonts w:hint="eastAsia" w:ascii="Times New Roman" w:hAnsi="Times New Roman" w:cs="Times New Roman"/>
                <w:sz w:val="24"/>
                <w:szCs w:val="24"/>
                <w:lang w:eastAsia="zh-CN"/>
              </w:rPr>
              <w:t>动物</w:t>
            </w:r>
          </w:p>
          <w:p w14:paraId="5F6CAC92">
            <w:pPr>
              <w:autoSpaceDE/>
              <w:autoSpaceDN/>
              <w:adjustRightInd w:val="0"/>
              <w:snapToGrid w:val="0"/>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评价区地处温带，保护区在动物地理区划上属古北界—中亚亚界—蒙新区—准噶尔亚区—准噶尔盆地省。多为耐旱荒漠种的小型动物。根据现场调查及参考资料，该区域生活的野生动物主要为荒漠动物群，以啮齿类和有蹄类动物繁盛为特征。</w:t>
            </w:r>
          </w:p>
          <w:p w14:paraId="67255645">
            <w:pPr>
              <w:autoSpaceDE/>
              <w:autoSpaceDN/>
              <w:adjustRightInd w:val="0"/>
              <w:snapToGrid w:val="0"/>
              <w:spacing w:line="360" w:lineRule="auto"/>
              <w:ind w:firstLine="480" w:firstLineChars="20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评价区的野生动物（指脊椎动物中的兽类、鸟类、爬行类和两栖类）约有20多种，以耐旱荒漠种为主，诸如快步沙蜥、二斑白灵、小沙百灵、子午沙鼠、五趾跳鼠等典型中亚型种，充分体现了本区动物区系的特征是以中亚型荒漠成分为主。评价区野生动物名录见表3.5。</w:t>
            </w:r>
          </w:p>
          <w:p w14:paraId="1E6B913A">
            <w:pPr>
              <w:tabs>
                <w:tab w:val="left" w:pos="567"/>
              </w:tabs>
              <w:autoSpaceDE/>
              <w:autoSpaceDN/>
              <w:adjustRightInd w:val="0"/>
              <w:jc w:val="center"/>
              <w:textAlignment w:val="baseline"/>
              <w:rPr>
                <w:rFonts w:ascii="Times New Roman" w:hAnsi="Times New Roman" w:cs="Times New Roman"/>
                <w:b/>
                <w:sz w:val="21"/>
                <w:szCs w:val="20"/>
                <w:lang w:eastAsia="zh-CN"/>
              </w:rPr>
            </w:pPr>
            <w:r>
              <w:rPr>
                <w:rFonts w:ascii="Times New Roman" w:hAnsi="Times New Roman" w:cs="Times New Roman"/>
                <w:b/>
                <w:sz w:val="21"/>
                <w:szCs w:val="20"/>
                <w:lang w:eastAsia="zh-CN"/>
              </w:rPr>
              <w:t>表3.5  评价区野生动物名录</w:t>
            </w:r>
          </w:p>
          <w:tbl>
            <w:tblPr>
              <w:tblStyle w:val="11"/>
              <w:tblW w:w="477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291"/>
              <w:gridCol w:w="5126"/>
            </w:tblGrid>
            <w:tr w14:paraId="0CAB23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tblHeader/>
                <w:jc w:val="center"/>
              </w:trPr>
              <w:tc>
                <w:tcPr>
                  <w:tcW w:w="1955" w:type="pct"/>
                  <w:tcMar>
                    <w:left w:w="0" w:type="dxa"/>
                    <w:right w:w="0" w:type="dxa"/>
                  </w:tcMar>
                  <w:vAlign w:val="center"/>
                </w:tcPr>
                <w:p w14:paraId="1FAF10B9">
                  <w:pPr>
                    <w:tabs>
                      <w:tab w:val="left" w:pos="6327"/>
                    </w:tabs>
                    <w:autoSpaceDE/>
                    <w:autoSpaceDN/>
                    <w:snapToGrid w:val="0"/>
                    <w:spacing w:line="240" w:lineRule="atLeast"/>
                    <w:jc w:val="center"/>
                    <w:rPr>
                      <w:rFonts w:ascii="Times New Roman" w:hAnsi="Times New Roman" w:cs="Times New Roman"/>
                      <w:b/>
                      <w:kern w:val="2"/>
                      <w:position w:val="-24"/>
                      <w:sz w:val="21"/>
                      <w:szCs w:val="21"/>
                      <w:lang w:eastAsia="zh-CN"/>
                    </w:rPr>
                  </w:pPr>
                  <w:r>
                    <w:rPr>
                      <w:rFonts w:ascii="Times New Roman" w:hAnsi="Times New Roman" w:cs="Times New Roman"/>
                      <w:b/>
                      <w:kern w:val="2"/>
                      <w:position w:val="-24"/>
                      <w:sz w:val="21"/>
                      <w:szCs w:val="21"/>
                      <w:lang w:eastAsia="zh-CN"/>
                    </w:rPr>
                    <w:t>种名</w:t>
                  </w:r>
                </w:p>
              </w:tc>
              <w:tc>
                <w:tcPr>
                  <w:tcW w:w="3045" w:type="pct"/>
                  <w:tcMar>
                    <w:left w:w="0" w:type="dxa"/>
                    <w:right w:w="0" w:type="dxa"/>
                  </w:tcMar>
                  <w:vAlign w:val="center"/>
                </w:tcPr>
                <w:p w14:paraId="1A215AF5">
                  <w:pPr>
                    <w:tabs>
                      <w:tab w:val="left" w:pos="6327"/>
                    </w:tabs>
                    <w:autoSpaceDE/>
                    <w:autoSpaceDN/>
                    <w:snapToGrid w:val="0"/>
                    <w:spacing w:line="240" w:lineRule="atLeast"/>
                    <w:ind w:firstLine="420"/>
                    <w:jc w:val="center"/>
                    <w:rPr>
                      <w:rFonts w:ascii="Times New Roman" w:hAnsi="Times New Roman" w:cs="Times New Roman"/>
                      <w:b/>
                      <w:i/>
                      <w:kern w:val="2"/>
                      <w:position w:val="-24"/>
                      <w:sz w:val="21"/>
                      <w:szCs w:val="21"/>
                      <w:lang w:eastAsia="zh-CN"/>
                    </w:rPr>
                  </w:pPr>
                  <w:r>
                    <w:rPr>
                      <w:rFonts w:ascii="Times New Roman" w:hAnsi="Times New Roman" w:cs="Times New Roman"/>
                      <w:b/>
                      <w:iCs/>
                      <w:kern w:val="2"/>
                      <w:position w:val="-24"/>
                      <w:sz w:val="21"/>
                      <w:szCs w:val="21"/>
                      <w:lang w:eastAsia="zh-CN"/>
                    </w:rPr>
                    <w:t>拉丁名（学名）</w:t>
                  </w:r>
                </w:p>
              </w:tc>
            </w:tr>
            <w:tr w14:paraId="201523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1C6A811B">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一</w:t>
                  </w:r>
                </w:p>
              </w:tc>
              <w:tc>
                <w:tcPr>
                  <w:tcW w:w="3045" w:type="pct"/>
                  <w:tcMar>
                    <w:left w:w="0" w:type="dxa"/>
                    <w:right w:w="0" w:type="dxa"/>
                  </w:tcMar>
                  <w:vAlign w:val="center"/>
                </w:tcPr>
                <w:p w14:paraId="3CE7B4F0">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kern w:val="2"/>
                      <w:position w:val="-24"/>
                      <w:sz w:val="21"/>
                      <w:szCs w:val="21"/>
                      <w:lang w:eastAsia="zh-CN"/>
                    </w:rPr>
                    <w:t>爬行动物</w:t>
                  </w:r>
                </w:p>
              </w:tc>
            </w:tr>
            <w:tr w14:paraId="13A10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66053D37">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荒漠麻蜥</w:t>
                  </w:r>
                </w:p>
              </w:tc>
              <w:tc>
                <w:tcPr>
                  <w:tcW w:w="3045" w:type="pct"/>
                  <w:tcMar>
                    <w:left w:w="0" w:type="dxa"/>
                    <w:right w:w="0" w:type="dxa"/>
                  </w:tcMar>
                  <w:vAlign w:val="center"/>
                </w:tcPr>
                <w:p w14:paraId="720A63BC">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Eremias przewalskii</w:t>
                  </w:r>
                </w:p>
              </w:tc>
            </w:tr>
            <w:tr w14:paraId="1ECFC2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24973CCF">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密点麻蜥</w:t>
                  </w:r>
                </w:p>
              </w:tc>
              <w:tc>
                <w:tcPr>
                  <w:tcW w:w="3045" w:type="pct"/>
                  <w:tcMar>
                    <w:left w:w="0" w:type="dxa"/>
                    <w:right w:w="0" w:type="dxa"/>
                  </w:tcMar>
                  <w:vAlign w:val="center"/>
                </w:tcPr>
                <w:p w14:paraId="59048E31">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Eremias multionllata</w:t>
                  </w:r>
                </w:p>
              </w:tc>
            </w:tr>
            <w:tr w14:paraId="0C5112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2355F9D2">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快步麻蜥</w:t>
                  </w:r>
                </w:p>
              </w:tc>
              <w:tc>
                <w:tcPr>
                  <w:tcW w:w="3045" w:type="pct"/>
                  <w:tcMar>
                    <w:left w:w="0" w:type="dxa"/>
                    <w:right w:w="0" w:type="dxa"/>
                  </w:tcMar>
                  <w:vAlign w:val="center"/>
                </w:tcPr>
                <w:p w14:paraId="345DC4BB">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Eremias velox</w:t>
                  </w:r>
                </w:p>
              </w:tc>
            </w:tr>
            <w:tr w14:paraId="54873B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1D4B0649">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奇台沙蜥</w:t>
                  </w:r>
                </w:p>
              </w:tc>
              <w:tc>
                <w:tcPr>
                  <w:tcW w:w="3045" w:type="pct"/>
                  <w:tcMar>
                    <w:left w:w="0" w:type="dxa"/>
                    <w:right w:w="0" w:type="dxa"/>
                  </w:tcMar>
                  <w:vAlign w:val="center"/>
                </w:tcPr>
                <w:p w14:paraId="623CE0C1">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Phrynocephalus grumgrizimailoi</w:t>
                  </w:r>
                </w:p>
              </w:tc>
            </w:tr>
            <w:tr w14:paraId="0D9F14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630F2D8C">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二</w:t>
                  </w:r>
                </w:p>
              </w:tc>
              <w:tc>
                <w:tcPr>
                  <w:tcW w:w="3045" w:type="pct"/>
                  <w:tcMar>
                    <w:left w:w="0" w:type="dxa"/>
                    <w:right w:w="0" w:type="dxa"/>
                  </w:tcMar>
                  <w:vAlign w:val="center"/>
                </w:tcPr>
                <w:p w14:paraId="58534586">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kern w:val="2"/>
                      <w:position w:val="-24"/>
                      <w:sz w:val="21"/>
                      <w:szCs w:val="21"/>
                      <w:lang w:eastAsia="zh-CN"/>
                    </w:rPr>
                    <w:t>哺乳类</w:t>
                  </w:r>
                </w:p>
              </w:tc>
            </w:tr>
            <w:tr w14:paraId="474B2A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2AE51EA6">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五趾跳鼠</w:t>
                  </w:r>
                </w:p>
              </w:tc>
              <w:tc>
                <w:tcPr>
                  <w:tcW w:w="3045" w:type="pct"/>
                  <w:tcMar>
                    <w:left w:w="0" w:type="dxa"/>
                    <w:right w:w="0" w:type="dxa"/>
                  </w:tcMar>
                  <w:vAlign w:val="center"/>
                </w:tcPr>
                <w:p w14:paraId="32D59894">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Allactaga bullata</w:t>
                  </w:r>
                </w:p>
              </w:tc>
            </w:tr>
            <w:tr w14:paraId="05D5F7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299DD3F8">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子午沙鼠</w:t>
                  </w:r>
                </w:p>
              </w:tc>
              <w:tc>
                <w:tcPr>
                  <w:tcW w:w="3045" w:type="pct"/>
                  <w:tcMar>
                    <w:left w:w="0" w:type="dxa"/>
                    <w:right w:w="0" w:type="dxa"/>
                  </w:tcMar>
                  <w:vAlign w:val="center"/>
                </w:tcPr>
                <w:p w14:paraId="26D99FD8">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Meridianus meridianus</w:t>
                  </w:r>
                </w:p>
              </w:tc>
            </w:tr>
            <w:tr w14:paraId="54328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7C89FDB4">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三</w:t>
                  </w:r>
                </w:p>
              </w:tc>
              <w:tc>
                <w:tcPr>
                  <w:tcW w:w="3045" w:type="pct"/>
                  <w:tcMar>
                    <w:left w:w="0" w:type="dxa"/>
                    <w:right w:w="0" w:type="dxa"/>
                  </w:tcMar>
                  <w:vAlign w:val="center"/>
                </w:tcPr>
                <w:p w14:paraId="54D6EC42">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kern w:val="2"/>
                      <w:position w:val="-24"/>
                      <w:sz w:val="21"/>
                      <w:szCs w:val="21"/>
                      <w:lang w:eastAsia="zh-CN"/>
                    </w:rPr>
                    <w:t>鸟类</w:t>
                  </w:r>
                </w:p>
              </w:tc>
            </w:tr>
            <w:tr w14:paraId="0EFAFB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30BA0A1D">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小沙百灵</w:t>
                  </w:r>
                </w:p>
              </w:tc>
              <w:tc>
                <w:tcPr>
                  <w:tcW w:w="3045" w:type="pct"/>
                  <w:tcMar>
                    <w:left w:w="0" w:type="dxa"/>
                    <w:right w:w="0" w:type="dxa"/>
                  </w:tcMar>
                  <w:vAlign w:val="center"/>
                </w:tcPr>
                <w:p w14:paraId="6C22D2B9">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Calandrella rufescens</w:t>
                  </w:r>
                </w:p>
              </w:tc>
            </w:tr>
            <w:tr w14:paraId="1663CE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4D8B12A7">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苍鹰</w:t>
                  </w:r>
                </w:p>
              </w:tc>
              <w:tc>
                <w:tcPr>
                  <w:tcW w:w="3045" w:type="pct"/>
                  <w:tcMar>
                    <w:left w:w="0" w:type="dxa"/>
                    <w:right w:w="0" w:type="dxa"/>
                  </w:tcMar>
                  <w:vAlign w:val="center"/>
                </w:tcPr>
                <w:p w14:paraId="6B577D03">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Accipiter gentilis</w:t>
                  </w:r>
                </w:p>
              </w:tc>
            </w:tr>
            <w:tr w14:paraId="0342C6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0E075204">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凤头百灵（新疆亚种）</w:t>
                  </w:r>
                </w:p>
              </w:tc>
              <w:tc>
                <w:tcPr>
                  <w:tcW w:w="3045" w:type="pct"/>
                  <w:tcMar>
                    <w:left w:w="0" w:type="dxa"/>
                    <w:right w:w="0" w:type="dxa"/>
                  </w:tcMar>
                  <w:vAlign w:val="center"/>
                </w:tcPr>
                <w:p w14:paraId="49E22218">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Galeruia criatata</w:t>
                  </w:r>
                </w:p>
              </w:tc>
            </w:tr>
            <w:tr w14:paraId="698039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33D3E573">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家麻雀（新疆亚种）</w:t>
                  </w:r>
                </w:p>
              </w:tc>
              <w:tc>
                <w:tcPr>
                  <w:tcW w:w="3045" w:type="pct"/>
                  <w:tcMar>
                    <w:left w:w="0" w:type="dxa"/>
                    <w:right w:w="0" w:type="dxa"/>
                  </w:tcMar>
                  <w:vAlign w:val="center"/>
                </w:tcPr>
                <w:p w14:paraId="63164C76">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Passder domesticus bactrianus</w:t>
                  </w:r>
                </w:p>
              </w:tc>
            </w:tr>
            <w:tr w14:paraId="683354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773D60B2">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树麻雀</w:t>
                  </w:r>
                </w:p>
              </w:tc>
              <w:tc>
                <w:tcPr>
                  <w:tcW w:w="3045" w:type="pct"/>
                  <w:tcMar>
                    <w:left w:w="0" w:type="dxa"/>
                    <w:right w:w="0" w:type="dxa"/>
                  </w:tcMar>
                  <w:vAlign w:val="center"/>
                </w:tcPr>
                <w:p w14:paraId="08B378F0">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Passer montanus</w:t>
                  </w:r>
                </w:p>
              </w:tc>
            </w:tr>
            <w:tr w14:paraId="73842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1448E623">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四</w:t>
                  </w:r>
                </w:p>
              </w:tc>
              <w:tc>
                <w:tcPr>
                  <w:tcW w:w="3045" w:type="pct"/>
                  <w:tcMar>
                    <w:left w:w="0" w:type="dxa"/>
                    <w:right w:w="0" w:type="dxa"/>
                  </w:tcMar>
                  <w:vAlign w:val="center"/>
                </w:tcPr>
                <w:p w14:paraId="4BB17FE4">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kern w:val="2"/>
                      <w:position w:val="-24"/>
                      <w:sz w:val="21"/>
                      <w:szCs w:val="21"/>
                      <w:lang w:eastAsia="zh-CN"/>
                    </w:rPr>
                    <w:t>兽类</w:t>
                  </w:r>
                </w:p>
              </w:tc>
            </w:tr>
            <w:tr w14:paraId="72F13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304BB8C9">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长耳跳鼠</w:t>
                  </w:r>
                </w:p>
              </w:tc>
              <w:tc>
                <w:tcPr>
                  <w:tcW w:w="3045" w:type="pct"/>
                  <w:tcMar>
                    <w:left w:w="0" w:type="dxa"/>
                    <w:right w:w="0" w:type="dxa"/>
                  </w:tcMar>
                  <w:vAlign w:val="center"/>
                </w:tcPr>
                <w:p w14:paraId="63FCC3D2">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Euchoueutes naso</w:t>
                  </w:r>
                </w:p>
              </w:tc>
            </w:tr>
            <w:tr w14:paraId="21F3D3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29CEFCA2">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狗獾</w:t>
                  </w:r>
                </w:p>
              </w:tc>
              <w:tc>
                <w:tcPr>
                  <w:tcW w:w="3045" w:type="pct"/>
                  <w:tcMar>
                    <w:left w:w="0" w:type="dxa"/>
                    <w:right w:w="0" w:type="dxa"/>
                  </w:tcMar>
                  <w:vAlign w:val="center"/>
                </w:tcPr>
                <w:p w14:paraId="04BEACB2">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Meles meles</w:t>
                  </w:r>
                </w:p>
              </w:tc>
            </w:tr>
            <w:tr w14:paraId="3E1A82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2217D0D9">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灰仓鼠（优龙芒亚种）</w:t>
                  </w:r>
                </w:p>
              </w:tc>
              <w:tc>
                <w:tcPr>
                  <w:tcW w:w="3045" w:type="pct"/>
                  <w:tcMar>
                    <w:left w:w="0" w:type="dxa"/>
                    <w:right w:w="0" w:type="dxa"/>
                  </w:tcMar>
                  <w:vAlign w:val="center"/>
                </w:tcPr>
                <w:p w14:paraId="06B3E310">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Cricatulus miaratorius caesius</w:t>
                  </w:r>
                </w:p>
              </w:tc>
            </w:tr>
            <w:tr w14:paraId="465EF6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1A01D0DF">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沙鼠</w:t>
                  </w:r>
                </w:p>
              </w:tc>
              <w:tc>
                <w:tcPr>
                  <w:tcW w:w="3045" w:type="pct"/>
                  <w:tcMar>
                    <w:left w:w="0" w:type="dxa"/>
                    <w:right w:w="0" w:type="dxa"/>
                  </w:tcMar>
                  <w:vAlign w:val="center"/>
                </w:tcPr>
                <w:p w14:paraId="52B6B588">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Phyombomys opimus</w:t>
                  </w:r>
                </w:p>
              </w:tc>
            </w:tr>
            <w:tr w14:paraId="5CDC22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4433B7BE">
                  <w:pPr>
                    <w:tabs>
                      <w:tab w:val="left" w:pos="6327"/>
                    </w:tabs>
                    <w:autoSpaceDE/>
                    <w:autoSpaceDN/>
                    <w:snapToGrid w:val="0"/>
                    <w:spacing w:line="240" w:lineRule="atLeast"/>
                    <w:jc w:val="center"/>
                    <w:rPr>
                      <w:rFonts w:ascii="Times New Roman" w:hAnsi="Times New Roman" w:cs="Times New Roman"/>
                      <w:kern w:val="2"/>
                      <w:position w:val="-24"/>
                      <w:sz w:val="21"/>
                      <w:szCs w:val="21"/>
                      <w:lang w:eastAsia="zh-CN"/>
                    </w:rPr>
                  </w:pPr>
                  <w:r>
                    <w:rPr>
                      <w:rFonts w:ascii="Times New Roman" w:hAnsi="Times New Roman" w:cs="Times New Roman"/>
                      <w:kern w:val="2"/>
                      <w:position w:val="-24"/>
                      <w:sz w:val="21"/>
                      <w:szCs w:val="21"/>
                      <w:lang w:eastAsia="zh-CN"/>
                    </w:rPr>
                    <w:t>柽柳沙鼠</w:t>
                  </w:r>
                </w:p>
              </w:tc>
              <w:tc>
                <w:tcPr>
                  <w:tcW w:w="3045" w:type="pct"/>
                  <w:tcMar>
                    <w:left w:w="0" w:type="dxa"/>
                    <w:right w:w="0" w:type="dxa"/>
                  </w:tcMar>
                  <w:vAlign w:val="center"/>
                </w:tcPr>
                <w:p w14:paraId="0F1CBF1B">
                  <w:pPr>
                    <w:tabs>
                      <w:tab w:val="left" w:pos="6327"/>
                    </w:tabs>
                    <w:autoSpaceDE/>
                    <w:autoSpaceDN/>
                    <w:snapToGrid w:val="0"/>
                    <w:spacing w:line="240" w:lineRule="atLeast"/>
                    <w:ind w:firstLine="420"/>
                    <w:jc w:val="center"/>
                    <w:rPr>
                      <w:rFonts w:ascii="Times New Roman" w:hAnsi="Times New Roman" w:cs="Times New Roman"/>
                      <w:i/>
                      <w:kern w:val="2"/>
                      <w:position w:val="-24"/>
                      <w:sz w:val="21"/>
                      <w:szCs w:val="21"/>
                      <w:lang w:eastAsia="zh-CN"/>
                    </w:rPr>
                  </w:pPr>
                  <w:r>
                    <w:rPr>
                      <w:rFonts w:ascii="Times New Roman" w:hAnsi="Times New Roman" w:cs="Times New Roman"/>
                      <w:i/>
                      <w:kern w:val="2"/>
                      <w:position w:val="-24"/>
                      <w:sz w:val="21"/>
                      <w:szCs w:val="21"/>
                      <w:lang w:eastAsia="zh-CN"/>
                    </w:rPr>
                    <w:t>Meriones tamariscinus</w:t>
                  </w:r>
                </w:p>
              </w:tc>
            </w:tr>
            <w:tr w14:paraId="56068F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55" w:type="pct"/>
                  <w:tcMar>
                    <w:left w:w="0" w:type="dxa"/>
                    <w:right w:w="0" w:type="dxa"/>
                  </w:tcMar>
                  <w:vAlign w:val="center"/>
                </w:tcPr>
                <w:p w14:paraId="0421DBF0">
                  <w:pPr>
                    <w:widowControl/>
                    <w:autoSpaceDE/>
                    <w:autoSpaceDN/>
                    <w:jc w:val="center"/>
                    <w:rPr>
                      <w:rFonts w:ascii="Times New Roman" w:hAnsi="Times New Roman" w:cs="Times New Roman"/>
                      <w:kern w:val="2"/>
                      <w:sz w:val="21"/>
                      <w:szCs w:val="21"/>
                      <w:lang w:eastAsia="zh-CN"/>
                    </w:rPr>
                  </w:pPr>
                  <w:r>
                    <w:rPr>
                      <w:rFonts w:ascii="Times New Roman" w:hAnsi="Times New Roman" w:cs="Times New Roman"/>
                      <w:sz w:val="21"/>
                      <w:szCs w:val="21"/>
                      <w:lang w:eastAsia="zh-CN" w:bidi="ar"/>
                    </w:rPr>
                    <w:t>子午沙鼠</w:t>
                  </w:r>
                </w:p>
              </w:tc>
              <w:tc>
                <w:tcPr>
                  <w:tcW w:w="3045" w:type="pct"/>
                  <w:tcMar>
                    <w:left w:w="0" w:type="dxa"/>
                    <w:right w:w="0" w:type="dxa"/>
                  </w:tcMar>
                  <w:vAlign w:val="center"/>
                </w:tcPr>
                <w:p w14:paraId="21FF30F9">
                  <w:pPr>
                    <w:widowControl/>
                    <w:autoSpaceDE/>
                    <w:autoSpaceDN/>
                    <w:jc w:val="center"/>
                    <w:rPr>
                      <w:rFonts w:ascii="Times New Roman" w:hAnsi="Times New Roman" w:cs="Times New Roman"/>
                      <w:i/>
                      <w:kern w:val="2"/>
                      <w:sz w:val="21"/>
                      <w:szCs w:val="21"/>
                      <w:lang w:eastAsia="zh-CN"/>
                    </w:rPr>
                  </w:pPr>
                  <w:r>
                    <w:rPr>
                      <w:rFonts w:ascii="Times New Roman" w:hAnsi="Times New Roman" w:cs="Times New Roman"/>
                      <w:i/>
                      <w:iCs/>
                      <w:sz w:val="21"/>
                      <w:szCs w:val="21"/>
                      <w:lang w:eastAsia="zh-CN" w:bidi="ar"/>
                    </w:rPr>
                    <w:t>Meriones meridianus</w:t>
                  </w:r>
                </w:p>
              </w:tc>
            </w:tr>
          </w:tbl>
          <w:p w14:paraId="1D5B8802">
            <w:pPr>
              <w:jc w:val="center"/>
              <w:rPr>
                <w:rFonts w:ascii="Times New Roman" w:hAnsi="Times New Roman" w:cs="Times New Roman" w:eastAsiaTheme="minorEastAsia"/>
                <w:bCs/>
                <w:sz w:val="21"/>
                <w:szCs w:val="21"/>
                <w:lang w:eastAsia="zh-CN"/>
              </w:rPr>
            </w:pPr>
          </w:p>
          <w:p w14:paraId="15FB6D74">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（3）项目线路与野生动物迁徙廊道的相对位置关系</w:t>
            </w:r>
          </w:p>
          <w:p w14:paraId="69A2AEEA">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卡拉麦里山有蹄类自然保护区内的蒙古野驴具有较明显的季节性迁移。根据保护区管理站对蒙古野驴迁移的持续监测，在保护区面积第一次调整以前，蒙古野驴的迁移路线主要有两条：一条由保护区北部向东南方向，另一条由保护区北部经保护区东部穿过</w:t>
            </w:r>
            <w:r>
              <w:rPr>
                <w:rFonts w:ascii="Times New Roman" w:hAnsi="Times New Roman" w:cs="Times New Roman"/>
                <w:sz w:val="24"/>
                <w:szCs w:val="24"/>
                <w:lang w:eastAsia="zh-CN"/>
              </w:rPr>
              <w:t>216国道再折向保护区东南方向。蒙古野驴夏季主要在保护区西北部国道以西的区域、乔木希拜以北至沙石场以南地区活动，活动区域相对集中；至9~10月，野驴集群向卡拉麦里山山谷迁移，躲避风雪，寻找食物，直至次年春季的4~5月，再从卡山返回。</w:t>
            </w:r>
          </w:p>
          <w:p w14:paraId="211D348E">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216国道运行以来，日益繁忙的车流量已对原蒙古野驴部分迁移路线造成一定程度影响。目前保护区内蒙古野驴迁移时段没有发生明显的变化，仍为春季的4~5月和秋季的9~10月，但迁移路线已经发生了改变：由保护区西北部穿过216国道再折向保护区东南方向，到乔木希拜再向东迁移。主要的迁移路线集中于保护区东部核心区向南。</w:t>
            </w:r>
          </w:p>
          <w:p w14:paraId="7875F47D">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虽然大方向相对固定，但蒙古野驴活动范围和迁移路线会随年间降水差异和温度变化等发生一定程度的改变，不同年际间的迁移通过区域可发生变化，迁移时动物聚集的区域也存在差异。蒙古野驴的迁移路线与其取食植物资源的分布、水源分布具有密切的联系。</w:t>
            </w:r>
          </w:p>
          <w:p w14:paraId="6031557F">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相较于蒙古野驴，鹅喉羚的迁移活动不明显，虽然存在大的方向性（春季由南向北，秋季由北向南），但其迁移路线不忠实，活动范围较广泛，迁移通过范围大，历史迁移范围几乎覆盖整个保护区。鹅喉羚不同季节活动均比蒙古野驴分散，但因食物资源和水源分布等因素，聚集的区域与蒙古野驴近似，迁移途经区域也有重叠。</w:t>
            </w:r>
          </w:p>
          <w:p w14:paraId="09F3DFA6">
            <w:pPr>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eastAsia="zh-CN"/>
              </w:rPr>
              <w:t>卡拉麦里山有蹄类自然保护区有蹄类动物迁徙路线见图</w:t>
            </w:r>
            <w:r>
              <w:rPr>
                <w:rFonts w:ascii="Times New Roman" w:hAnsi="Times New Roman" w:cs="Times New Roman"/>
                <w:sz w:val="24"/>
                <w:szCs w:val="24"/>
                <w:lang w:eastAsia="zh-CN"/>
              </w:rPr>
              <w:t>3.1。</w:t>
            </w:r>
          </w:p>
          <w:p w14:paraId="4799E627">
            <w:pPr>
              <w:ind w:firstLine="480" w:firstLineChars="200"/>
              <w:rPr>
                <w:rFonts w:ascii="Times New Roman" w:hAnsi="Times New Roman" w:cs="Times New Roman"/>
                <w:sz w:val="24"/>
                <w:szCs w:val="24"/>
                <w:lang w:eastAsia="zh-CN"/>
              </w:rPr>
            </w:pPr>
          </w:p>
          <w:p w14:paraId="7B977F71">
            <w:pPr>
              <w:ind w:firstLine="480" w:firstLineChars="200"/>
              <w:rPr>
                <w:rFonts w:ascii="Times New Roman" w:hAnsi="Times New Roman" w:cs="Times New Roman"/>
                <w:sz w:val="24"/>
                <w:szCs w:val="24"/>
                <w:lang w:eastAsia="zh-CN"/>
              </w:rPr>
            </w:pPr>
          </w:p>
          <w:p w14:paraId="38F5FDFA">
            <w:pPr>
              <w:ind w:firstLine="480" w:firstLineChars="200"/>
              <w:rPr>
                <w:rFonts w:ascii="Times New Roman" w:hAnsi="Times New Roman" w:cs="Times New Roman"/>
                <w:sz w:val="24"/>
                <w:szCs w:val="24"/>
                <w:lang w:eastAsia="zh-CN"/>
              </w:rPr>
            </w:pPr>
          </w:p>
          <w:p w14:paraId="53C3B5D1">
            <w:pPr>
              <w:ind w:firstLine="480" w:firstLineChars="200"/>
              <w:rPr>
                <w:rFonts w:ascii="Times New Roman" w:hAnsi="Times New Roman" w:cs="Times New Roman"/>
                <w:sz w:val="24"/>
                <w:szCs w:val="24"/>
                <w:lang w:eastAsia="zh-CN"/>
              </w:rPr>
            </w:pPr>
          </w:p>
          <w:p w14:paraId="6D7011B9">
            <w:pPr>
              <w:ind w:firstLine="480" w:firstLineChars="200"/>
              <w:rPr>
                <w:rFonts w:ascii="Times New Roman" w:hAnsi="Times New Roman" w:cs="Times New Roman"/>
                <w:sz w:val="24"/>
                <w:szCs w:val="24"/>
                <w:lang w:eastAsia="zh-CN"/>
              </w:rPr>
            </w:pPr>
          </w:p>
          <w:p w14:paraId="3729D4DA">
            <w:pPr>
              <w:ind w:firstLine="480" w:firstLineChars="200"/>
              <w:rPr>
                <w:rFonts w:ascii="Times New Roman" w:hAnsi="Times New Roman" w:cs="Times New Roman"/>
                <w:sz w:val="24"/>
                <w:szCs w:val="24"/>
                <w:lang w:eastAsia="zh-CN"/>
              </w:rPr>
            </w:pPr>
          </w:p>
          <w:p w14:paraId="32D26C8E">
            <w:pPr>
              <w:ind w:firstLine="480" w:firstLineChars="200"/>
              <w:rPr>
                <w:rFonts w:ascii="Times New Roman" w:hAnsi="Times New Roman" w:cs="Times New Roman"/>
                <w:sz w:val="24"/>
                <w:szCs w:val="24"/>
                <w:lang w:eastAsia="zh-CN"/>
              </w:rPr>
            </w:pPr>
          </w:p>
          <w:p w14:paraId="6701C78F">
            <w:pPr>
              <w:ind w:firstLine="480" w:firstLineChars="200"/>
              <w:rPr>
                <w:rFonts w:ascii="Times New Roman" w:hAnsi="Times New Roman" w:cs="Times New Roman"/>
                <w:sz w:val="24"/>
                <w:szCs w:val="24"/>
                <w:lang w:eastAsia="zh-CN"/>
              </w:rPr>
            </w:pPr>
          </w:p>
          <w:p w14:paraId="0FF3BEC8">
            <w:pPr>
              <w:ind w:firstLine="480" w:firstLineChars="200"/>
              <w:rPr>
                <w:rFonts w:ascii="Times New Roman" w:hAnsi="Times New Roman" w:cs="Times New Roman"/>
                <w:sz w:val="24"/>
                <w:szCs w:val="24"/>
                <w:lang w:eastAsia="zh-CN"/>
              </w:rPr>
            </w:pPr>
          </w:p>
          <w:p w14:paraId="50B32727">
            <w:pPr>
              <w:ind w:firstLine="480" w:firstLineChars="200"/>
              <w:rPr>
                <w:rFonts w:ascii="Times New Roman" w:hAnsi="Times New Roman" w:cs="Times New Roman"/>
                <w:sz w:val="24"/>
                <w:szCs w:val="24"/>
                <w:lang w:eastAsia="zh-CN"/>
              </w:rPr>
            </w:pPr>
          </w:p>
          <w:p w14:paraId="579379FA">
            <w:pPr>
              <w:ind w:firstLine="480" w:firstLineChars="200"/>
              <w:rPr>
                <w:rFonts w:ascii="Times New Roman" w:hAnsi="Times New Roman" w:cs="Times New Roman"/>
                <w:sz w:val="24"/>
                <w:szCs w:val="24"/>
                <w:lang w:eastAsia="zh-CN"/>
              </w:rPr>
            </w:pPr>
          </w:p>
          <w:p w14:paraId="03655581">
            <w:pPr>
              <w:ind w:firstLine="480" w:firstLineChars="200"/>
              <w:rPr>
                <w:rFonts w:ascii="Times New Roman" w:hAnsi="Times New Roman" w:cs="Times New Roman"/>
                <w:sz w:val="24"/>
                <w:szCs w:val="24"/>
                <w:lang w:eastAsia="zh-CN"/>
              </w:rPr>
            </w:pPr>
          </w:p>
          <w:p w14:paraId="28BE6B5D">
            <w:pPr>
              <w:ind w:firstLine="480" w:firstLineChars="200"/>
              <w:rPr>
                <w:rFonts w:ascii="Times New Roman" w:hAnsi="Times New Roman" w:cs="Times New Roman"/>
                <w:sz w:val="24"/>
                <w:szCs w:val="24"/>
                <w:lang w:eastAsia="zh-CN"/>
              </w:rPr>
            </w:pPr>
          </w:p>
          <w:p w14:paraId="1FDF6C2A">
            <w:pPr>
              <w:ind w:firstLine="480" w:firstLineChars="200"/>
              <w:rPr>
                <w:rFonts w:ascii="Times New Roman" w:hAnsi="Times New Roman" w:cs="Times New Roman"/>
                <w:sz w:val="24"/>
                <w:szCs w:val="24"/>
                <w:lang w:eastAsia="zh-CN"/>
              </w:rPr>
            </w:pPr>
          </w:p>
          <w:p w14:paraId="2D12F23A">
            <w:pPr>
              <w:ind w:firstLine="480" w:firstLineChars="200"/>
              <w:rPr>
                <w:rFonts w:ascii="Times New Roman" w:hAnsi="Times New Roman" w:cs="Times New Roman"/>
                <w:sz w:val="24"/>
                <w:szCs w:val="24"/>
                <w:lang w:eastAsia="zh-CN"/>
              </w:rPr>
            </w:pPr>
          </w:p>
          <w:p w14:paraId="2AF9380D">
            <w:pPr>
              <w:ind w:firstLine="480" w:firstLineChars="200"/>
              <w:rPr>
                <w:rFonts w:ascii="Times New Roman" w:hAnsi="Times New Roman" w:cs="Times New Roman"/>
                <w:sz w:val="24"/>
                <w:szCs w:val="24"/>
                <w:lang w:eastAsia="zh-CN"/>
              </w:rPr>
            </w:pPr>
          </w:p>
          <w:p w14:paraId="706DB701">
            <w:pPr>
              <w:ind w:firstLine="480" w:firstLineChars="200"/>
              <w:rPr>
                <w:rFonts w:ascii="Times New Roman" w:hAnsi="Times New Roman" w:cs="Times New Roman"/>
                <w:sz w:val="24"/>
                <w:szCs w:val="24"/>
                <w:lang w:eastAsia="zh-CN"/>
              </w:rPr>
            </w:pPr>
          </w:p>
          <w:p w14:paraId="27D3AA3A">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drawing>
                <wp:inline distT="0" distB="0" distL="0" distR="0">
                  <wp:extent cx="5312410" cy="6200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333837" cy="6225297"/>
                          </a:xfrm>
                          <a:prstGeom prst="rect">
                            <a:avLst/>
                          </a:prstGeom>
                        </pic:spPr>
                      </pic:pic>
                    </a:graphicData>
                  </a:graphic>
                </wp:inline>
              </w:drawing>
            </w:r>
          </w:p>
          <w:p w14:paraId="70B52F1E">
            <w:pPr>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图3.1  本项目与野生动物迁徙路线位置关系示意图</w:t>
            </w:r>
          </w:p>
          <w:p w14:paraId="479BECE4">
            <w:pPr>
              <w:jc w:val="center"/>
              <w:rPr>
                <w:rFonts w:ascii="Times New Roman" w:hAnsi="Times New Roman" w:cs="Times New Roman"/>
                <w:b/>
                <w:sz w:val="21"/>
                <w:szCs w:val="21"/>
                <w:lang w:eastAsia="zh-CN"/>
              </w:rPr>
            </w:pPr>
          </w:p>
          <w:p w14:paraId="0C96C5FE">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由上图可以看出：本项目所经区域无蒙古野驴和鹅喉羚的迁徙路线分布，距离最近的迁徙路线距离约为</w:t>
            </w:r>
            <w:r>
              <w:rPr>
                <w:rFonts w:ascii="Times New Roman" w:hAnsi="Times New Roman" w:cs="Times New Roman"/>
                <w:sz w:val="24"/>
                <w:szCs w:val="24"/>
                <w:lang w:eastAsia="zh-CN"/>
              </w:rPr>
              <w:t>13.7km，加之两者之间有矿区公路、G216国道通过，车辆活动频繁，形成一定的动态屏障，因此本项目的建设运行对野生动物迁徙廊道无影响。</w:t>
            </w:r>
          </w:p>
          <w:p w14:paraId="6634ADA2">
            <w:pPr>
              <w:spacing w:before="120" w:beforeLines="50" w:line="360" w:lineRule="auto"/>
              <w:rPr>
                <w:rFonts w:ascii="Times New Roman" w:hAnsi="Times New Roman" w:cs="Times New Roman"/>
                <w:sz w:val="21"/>
                <w:szCs w:val="21"/>
                <w:lang w:eastAsia="zh-CN"/>
              </w:rPr>
            </w:pPr>
            <w:r>
              <w:rPr>
                <w:rFonts w:ascii="Times New Roman" w:hAnsi="Times New Roman" w:cs="Times New Roman"/>
                <w:b/>
                <w:sz w:val="28"/>
                <w:szCs w:val="28"/>
                <w:lang w:eastAsia="zh-CN"/>
              </w:rPr>
              <w:t>2、</w:t>
            </w:r>
            <w:r>
              <w:rPr>
                <w:rFonts w:hint="eastAsia" w:ascii="Times New Roman" w:hAnsi="Times New Roman" w:cs="Times New Roman"/>
                <w:b/>
                <w:sz w:val="28"/>
                <w:szCs w:val="28"/>
                <w:lang w:eastAsia="zh-CN"/>
              </w:rPr>
              <w:t>大气</w:t>
            </w:r>
            <w:r>
              <w:rPr>
                <w:rFonts w:ascii="Times New Roman" w:hAnsi="Times New Roman" w:cs="Times New Roman"/>
                <w:b/>
                <w:sz w:val="28"/>
                <w:szCs w:val="28"/>
                <w:lang w:eastAsia="zh-CN"/>
              </w:rPr>
              <w:t>环境</w:t>
            </w:r>
            <w:r>
              <w:rPr>
                <w:rFonts w:hint="eastAsia" w:ascii="Times New Roman" w:hAnsi="Times New Roman" w:cs="Times New Roman"/>
                <w:b/>
                <w:sz w:val="28"/>
                <w:szCs w:val="28"/>
                <w:lang w:eastAsia="zh-CN"/>
              </w:rPr>
              <w:t>现状评价</w:t>
            </w:r>
          </w:p>
          <w:p w14:paraId="0DF608E8">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1）项目所在区域大气环境质量现状数据</w:t>
            </w:r>
          </w:p>
          <w:p w14:paraId="32C052B8">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根据《环境影响评价技术导则</w:t>
            </w:r>
            <w:r>
              <w:rPr>
                <w:rFonts w:ascii="Times New Roman" w:hAnsi="Times New Roman" w:cs="Times New Roman"/>
                <w:sz w:val="24"/>
                <w:szCs w:val="24"/>
                <w:lang w:eastAsia="zh-CN"/>
              </w:rPr>
              <w:t xml:space="preserve">  大气环境》（HJ 2.2-2018）的要求，项目所在区域达标判定，优先采用国家或者地方生态环境主管部门公开发布的评价基准年环境质量公告或环境质量报告中数据或结论，本项目位于</w:t>
            </w:r>
            <w:r>
              <w:rPr>
                <w:rFonts w:hint="eastAsia" w:ascii="Times New Roman" w:hAnsi="Times New Roman" w:cs="Times New Roman"/>
                <w:sz w:val="24"/>
                <w:szCs w:val="24"/>
                <w:lang w:eastAsia="zh-CN"/>
              </w:rPr>
              <w:t>准东经济技术开发区、吉木萨尔县</w:t>
            </w:r>
            <w:r>
              <w:rPr>
                <w:rFonts w:ascii="Times New Roman" w:hAnsi="Times New Roman" w:cs="Times New Roman"/>
                <w:sz w:val="24"/>
                <w:szCs w:val="24"/>
                <w:lang w:eastAsia="zh-CN"/>
              </w:rPr>
              <w:t>，本次评价环境空气质量（基本污染物）现状数据采用环境空气质量模型技术支持服务系统发布的</w:t>
            </w:r>
            <w:r>
              <w:rPr>
                <w:rFonts w:hint="eastAsia" w:ascii="Times New Roman" w:hAnsi="Times New Roman" w:cs="Times New Roman"/>
                <w:sz w:val="24"/>
                <w:szCs w:val="24"/>
                <w:lang w:eastAsia="zh-CN"/>
              </w:rPr>
              <w:t>昌吉州</w:t>
            </w:r>
            <w:r>
              <w:rPr>
                <w:rFonts w:ascii="Times New Roman" w:hAnsi="Times New Roman" w:cs="Times New Roman"/>
                <w:sz w:val="24"/>
                <w:szCs w:val="24"/>
                <w:lang w:eastAsia="zh-CN"/>
              </w:rPr>
              <w:t>2022年环境空气质量数据，详见表3.6。</w:t>
            </w:r>
          </w:p>
          <w:p w14:paraId="17323DA7">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（2）环境质量现状评价</w:t>
            </w:r>
          </w:p>
          <w:p w14:paraId="7D73FD37">
            <w:pPr>
              <w:spacing w:line="360" w:lineRule="auto"/>
              <w:ind w:firstLine="480" w:firstLineChars="200"/>
              <w:jc w:val="both"/>
              <w:rPr>
                <w:sz w:val="24"/>
                <w:szCs w:val="24"/>
                <w:lang w:eastAsia="zh-CN"/>
              </w:rPr>
            </w:pPr>
            <w:r>
              <w:rPr>
                <w:rFonts w:hint="eastAsia"/>
                <w:sz w:val="24"/>
                <w:szCs w:val="24"/>
                <w:lang w:eastAsia="zh-CN"/>
              </w:rPr>
              <w:t>①评价标准</w:t>
            </w:r>
          </w:p>
          <w:p w14:paraId="65C6271B">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常规污染物：环境空气中SO</w:t>
            </w:r>
            <w:r>
              <w:rPr>
                <w:rFonts w:ascii="Times New Roman" w:hAnsi="Times New Roman" w:cs="Times New Roman"/>
                <w:sz w:val="24"/>
                <w:szCs w:val="24"/>
                <w:vertAlign w:val="subscript"/>
                <w:lang w:eastAsia="zh-CN"/>
              </w:rPr>
              <w:t>2</w:t>
            </w:r>
            <w:r>
              <w:rPr>
                <w:rFonts w:ascii="Times New Roman" w:hAnsi="Times New Roman" w:cs="Times New Roman"/>
                <w:sz w:val="24"/>
                <w:szCs w:val="24"/>
                <w:lang w:eastAsia="zh-CN"/>
              </w:rPr>
              <w:t>、NO</w:t>
            </w:r>
            <w:r>
              <w:rPr>
                <w:rFonts w:ascii="Times New Roman" w:hAnsi="Times New Roman" w:cs="Times New Roman"/>
                <w:sz w:val="24"/>
                <w:szCs w:val="24"/>
                <w:vertAlign w:val="subscript"/>
                <w:lang w:eastAsia="zh-CN"/>
              </w:rPr>
              <w:t>2</w:t>
            </w:r>
            <w:r>
              <w:rPr>
                <w:rFonts w:ascii="Times New Roman" w:hAnsi="Times New Roman" w:cs="Times New Roman"/>
                <w:sz w:val="24"/>
                <w:szCs w:val="24"/>
                <w:lang w:eastAsia="zh-CN"/>
              </w:rPr>
              <w:t>、CO、O</w:t>
            </w:r>
            <w:r>
              <w:rPr>
                <w:rFonts w:ascii="Times New Roman" w:hAnsi="Times New Roman" w:cs="Times New Roman"/>
                <w:sz w:val="24"/>
                <w:szCs w:val="24"/>
                <w:vertAlign w:val="subscript"/>
                <w:lang w:eastAsia="zh-CN"/>
              </w:rPr>
              <w:t>3</w:t>
            </w:r>
            <w:r>
              <w:rPr>
                <w:rFonts w:ascii="Times New Roman" w:hAnsi="Times New Roman" w:cs="Times New Roman"/>
                <w:sz w:val="24"/>
                <w:szCs w:val="24"/>
                <w:lang w:eastAsia="zh-CN"/>
              </w:rPr>
              <w:t>、PM</w:t>
            </w:r>
            <w:r>
              <w:rPr>
                <w:rFonts w:ascii="Times New Roman" w:hAnsi="Times New Roman" w:cs="Times New Roman"/>
                <w:sz w:val="24"/>
                <w:szCs w:val="24"/>
                <w:vertAlign w:val="subscript"/>
                <w:lang w:eastAsia="zh-CN"/>
              </w:rPr>
              <w:t>10</w:t>
            </w:r>
            <w:r>
              <w:rPr>
                <w:rFonts w:ascii="Times New Roman" w:hAnsi="Times New Roman" w:cs="Times New Roman"/>
                <w:sz w:val="24"/>
                <w:szCs w:val="24"/>
                <w:lang w:eastAsia="zh-CN"/>
              </w:rPr>
              <w:t>、PM</w:t>
            </w:r>
            <w:r>
              <w:rPr>
                <w:rFonts w:ascii="Times New Roman" w:hAnsi="Times New Roman" w:cs="Times New Roman"/>
                <w:sz w:val="24"/>
                <w:szCs w:val="24"/>
                <w:vertAlign w:val="subscript"/>
                <w:lang w:eastAsia="zh-CN"/>
              </w:rPr>
              <w:t>2.5</w:t>
            </w:r>
            <w:r>
              <w:rPr>
                <w:rFonts w:ascii="Times New Roman" w:hAnsi="Times New Roman" w:cs="Times New Roman"/>
                <w:sz w:val="24"/>
                <w:szCs w:val="24"/>
                <w:lang w:eastAsia="zh-CN"/>
              </w:rPr>
              <w:t>执行《环境空气质量标准》（GB 3095-2012）的二级标准。</w:t>
            </w:r>
          </w:p>
          <w:p w14:paraId="7DD72806">
            <w:pPr>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②</w:t>
            </w:r>
            <w:r>
              <w:rPr>
                <w:rFonts w:ascii="Times New Roman" w:hAnsi="Times New Roman" w:cs="Times New Roman"/>
                <w:sz w:val="24"/>
                <w:szCs w:val="24"/>
                <w:lang w:eastAsia="zh-CN"/>
              </w:rPr>
              <w:t>评价结果</w:t>
            </w:r>
          </w:p>
          <w:p w14:paraId="422759A1">
            <w:pPr>
              <w:widowControl/>
              <w:jc w:val="center"/>
              <w:rPr>
                <w:rFonts w:ascii="Times New Roman" w:hAnsi="Times New Roman" w:cs="Times New Roman"/>
                <w:b/>
                <w:szCs w:val="21"/>
                <w:lang w:val="zh-CN" w:eastAsia="zh-CN"/>
              </w:rPr>
            </w:pPr>
            <w:r>
              <w:rPr>
                <w:rFonts w:ascii="Times New Roman" w:hAnsi="Times New Roman" w:cs="Times New Roman"/>
                <w:b/>
                <w:szCs w:val="21"/>
                <w:lang w:val="zh-CN" w:eastAsia="zh-CN"/>
              </w:rPr>
              <w:t>表3.6  区域空气质量现状评价表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3702"/>
              <w:gridCol w:w="1161"/>
              <w:gridCol w:w="1163"/>
              <w:gridCol w:w="850"/>
              <w:gridCol w:w="906"/>
            </w:tblGrid>
            <w:tr w14:paraId="5673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shd w:val="clear" w:color="auto" w:fill="auto"/>
                  <w:vAlign w:val="center"/>
                </w:tcPr>
                <w:p w14:paraId="7AA63B3E">
                  <w:pPr>
                    <w:widowControl/>
                    <w:autoSpaceDE/>
                    <w:autoSpaceDN/>
                    <w:jc w:val="center"/>
                    <w:rPr>
                      <w:rFonts w:ascii="Times New Roman" w:hAnsi="Times New Roman" w:cs="Times New Roman"/>
                      <w:b/>
                      <w:bCs/>
                      <w:kern w:val="2"/>
                      <w:sz w:val="21"/>
                      <w:szCs w:val="21"/>
                      <w:lang w:val="zh-CN" w:eastAsia="zh-CN"/>
                    </w:rPr>
                  </w:pPr>
                  <w:r>
                    <w:rPr>
                      <w:rFonts w:ascii="Times New Roman" w:hAnsi="Times New Roman" w:cs="Times New Roman"/>
                      <w:b/>
                      <w:bCs/>
                      <w:kern w:val="2"/>
                      <w:sz w:val="21"/>
                      <w:szCs w:val="21"/>
                      <w:lang w:val="zh-CN" w:eastAsia="zh-CN"/>
                    </w:rPr>
                    <w:t>污染物</w:t>
                  </w:r>
                </w:p>
              </w:tc>
              <w:tc>
                <w:tcPr>
                  <w:tcW w:w="3702" w:type="dxa"/>
                  <w:shd w:val="clear" w:color="auto" w:fill="auto"/>
                  <w:vAlign w:val="center"/>
                </w:tcPr>
                <w:p w14:paraId="563BBDD9">
                  <w:pPr>
                    <w:widowControl/>
                    <w:autoSpaceDE/>
                    <w:autoSpaceDN/>
                    <w:jc w:val="center"/>
                    <w:rPr>
                      <w:rFonts w:ascii="Times New Roman" w:hAnsi="Times New Roman" w:cs="Times New Roman"/>
                      <w:b/>
                      <w:bCs/>
                      <w:kern w:val="2"/>
                      <w:sz w:val="21"/>
                      <w:szCs w:val="21"/>
                      <w:lang w:val="zh-CN" w:eastAsia="zh-CN"/>
                    </w:rPr>
                  </w:pPr>
                  <w:r>
                    <w:rPr>
                      <w:rFonts w:ascii="Times New Roman" w:hAnsi="Times New Roman" w:cs="Times New Roman"/>
                      <w:b/>
                      <w:bCs/>
                      <w:kern w:val="2"/>
                      <w:sz w:val="21"/>
                      <w:szCs w:val="21"/>
                      <w:lang w:val="zh-CN" w:eastAsia="zh-CN"/>
                    </w:rPr>
                    <w:t>评价指标</w:t>
                  </w:r>
                </w:p>
              </w:tc>
              <w:tc>
                <w:tcPr>
                  <w:tcW w:w="1118" w:type="dxa"/>
                  <w:shd w:val="clear" w:color="auto" w:fill="auto"/>
                  <w:vAlign w:val="center"/>
                </w:tcPr>
                <w:p w14:paraId="4CEEFF47">
                  <w:pPr>
                    <w:widowControl/>
                    <w:autoSpaceDE/>
                    <w:autoSpaceDN/>
                    <w:jc w:val="center"/>
                    <w:rPr>
                      <w:rFonts w:ascii="Times New Roman" w:hAnsi="Times New Roman" w:cs="Times New Roman"/>
                      <w:b/>
                      <w:bCs/>
                      <w:kern w:val="2"/>
                      <w:sz w:val="21"/>
                      <w:szCs w:val="21"/>
                      <w:lang w:val="zh-CN" w:eastAsia="zh-CN"/>
                    </w:rPr>
                  </w:pPr>
                  <w:r>
                    <w:rPr>
                      <w:rFonts w:ascii="Times New Roman" w:hAnsi="Times New Roman" w:cs="Times New Roman"/>
                      <w:b/>
                      <w:bCs/>
                      <w:kern w:val="2"/>
                      <w:sz w:val="21"/>
                      <w:szCs w:val="21"/>
                      <w:lang w:val="zh-CN" w:eastAsia="zh-CN"/>
                    </w:rPr>
                    <w:t>现状浓度/（ug/m</w:t>
                  </w:r>
                  <w:r>
                    <w:rPr>
                      <w:rFonts w:ascii="Times New Roman" w:hAnsi="Times New Roman" w:cs="Times New Roman"/>
                      <w:b/>
                      <w:bCs/>
                      <w:kern w:val="2"/>
                      <w:sz w:val="21"/>
                      <w:szCs w:val="21"/>
                      <w:vertAlign w:val="superscript"/>
                      <w:lang w:val="zh-CN" w:eastAsia="zh-CN"/>
                    </w:rPr>
                    <w:t>3</w:t>
                  </w:r>
                  <w:r>
                    <w:rPr>
                      <w:rFonts w:ascii="Times New Roman" w:hAnsi="Times New Roman" w:cs="Times New Roman"/>
                      <w:b/>
                      <w:bCs/>
                      <w:kern w:val="2"/>
                      <w:sz w:val="21"/>
                      <w:szCs w:val="21"/>
                      <w:lang w:val="zh-CN" w:eastAsia="zh-CN"/>
                    </w:rPr>
                    <w:t>）</w:t>
                  </w:r>
                </w:p>
              </w:tc>
              <w:tc>
                <w:tcPr>
                  <w:tcW w:w="1163" w:type="dxa"/>
                  <w:shd w:val="clear" w:color="auto" w:fill="auto"/>
                  <w:vAlign w:val="center"/>
                </w:tcPr>
                <w:p w14:paraId="07C431A5">
                  <w:pPr>
                    <w:widowControl/>
                    <w:autoSpaceDE/>
                    <w:autoSpaceDN/>
                    <w:jc w:val="center"/>
                    <w:rPr>
                      <w:rFonts w:ascii="Times New Roman" w:hAnsi="Times New Roman" w:cs="Times New Roman"/>
                      <w:b/>
                      <w:bCs/>
                      <w:kern w:val="2"/>
                      <w:sz w:val="21"/>
                      <w:szCs w:val="21"/>
                      <w:lang w:val="zh-CN" w:eastAsia="zh-CN"/>
                    </w:rPr>
                  </w:pPr>
                  <w:r>
                    <w:rPr>
                      <w:rFonts w:ascii="Times New Roman" w:hAnsi="Times New Roman" w:cs="Times New Roman"/>
                      <w:b/>
                      <w:bCs/>
                      <w:kern w:val="2"/>
                      <w:sz w:val="21"/>
                      <w:szCs w:val="21"/>
                      <w:lang w:val="zh-CN" w:eastAsia="zh-CN"/>
                    </w:rPr>
                    <w:t>标准值/（ug/m</w:t>
                  </w:r>
                  <w:r>
                    <w:rPr>
                      <w:rFonts w:ascii="Times New Roman" w:hAnsi="Times New Roman" w:cs="Times New Roman"/>
                      <w:b/>
                      <w:bCs/>
                      <w:kern w:val="2"/>
                      <w:sz w:val="21"/>
                      <w:szCs w:val="21"/>
                      <w:vertAlign w:val="superscript"/>
                      <w:lang w:val="zh-CN" w:eastAsia="zh-CN"/>
                    </w:rPr>
                    <w:t>3</w:t>
                  </w:r>
                  <w:r>
                    <w:rPr>
                      <w:rFonts w:ascii="Times New Roman" w:hAnsi="Times New Roman" w:cs="Times New Roman"/>
                      <w:b/>
                      <w:bCs/>
                      <w:kern w:val="2"/>
                      <w:sz w:val="21"/>
                      <w:szCs w:val="21"/>
                      <w:lang w:val="zh-CN" w:eastAsia="zh-CN"/>
                    </w:rPr>
                    <w:t>）</w:t>
                  </w:r>
                </w:p>
              </w:tc>
              <w:tc>
                <w:tcPr>
                  <w:tcW w:w="850" w:type="dxa"/>
                  <w:shd w:val="clear" w:color="auto" w:fill="auto"/>
                  <w:vAlign w:val="center"/>
                </w:tcPr>
                <w:p w14:paraId="0CB13B2B">
                  <w:pPr>
                    <w:widowControl/>
                    <w:autoSpaceDE/>
                    <w:autoSpaceDN/>
                    <w:jc w:val="center"/>
                    <w:rPr>
                      <w:rFonts w:ascii="Times New Roman" w:hAnsi="Times New Roman" w:cs="Times New Roman"/>
                      <w:b/>
                      <w:bCs/>
                      <w:kern w:val="2"/>
                      <w:sz w:val="21"/>
                      <w:szCs w:val="21"/>
                      <w:lang w:val="zh-CN" w:eastAsia="zh-CN"/>
                    </w:rPr>
                  </w:pPr>
                  <w:r>
                    <w:rPr>
                      <w:rFonts w:ascii="Times New Roman" w:hAnsi="Times New Roman" w:cs="Times New Roman"/>
                      <w:b/>
                      <w:bCs/>
                      <w:kern w:val="2"/>
                      <w:sz w:val="21"/>
                      <w:szCs w:val="21"/>
                      <w:lang w:val="zh-CN" w:eastAsia="zh-CN"/>
                    </w:rPr>
                    <w:t>占标率/%</w:t>
                  </w:r>
                </w:p>
              </w:tc>
              <w:tc>
                <w:tcPr>
                  <w:tcW w:w="906" w:type="dxa"/>
                  <w:shd w:val="clear" w:color="auto" w:fill="auto"/>
                  <w:vAlign w:val="center"/>
                </w:tcPr>
                <w:p w14:paraId="0637AB41">
                  <w:pPr>
                    <w:widowControl/>
                    <w:autoSpaceDE/>
                    <w:autoSpaceDN/>
                    <w:jc w:val="center"/>
                    <w:rPr>
                      <w:rFonts w:ascii="Times New Roman" w:hAnsi="Times New Roman" w:cs="Times New Roman"/>
                      <w:b/>
                      <w:bCs/>
                      <w:kern w:val="2"/>
                      <w:sz w:val="21"/>
                      <w:szCs w:val="21"/>
                      <w:lang w:val="zh-CN" w:eastAsia="zh-CN"/>
                    </w:rPr>
                  </w:pPr>
                  <w:r>
                    <w:rPr>
                      <w:rFonts w:ascii="Times New Roman" w:hAnsi="Times New Roman" w:cs="Times New Roman"/>
                      <w:b/>
                      <w:bCs/>
                      <w:kern w:val="2"/>
                      <w:sz w:val="21"/>
                      <w:szCs w:val="21"/>
                      <w:lang w:val="zh-CN" w:eastAsia="zh-CN"/>
                    </w:rPr>
                    <w:t>达标</w:t>
                  </w:r>
                </w:p>
                <w:p w14:paraId="20B18CCB">
                  <w:pPr>
                    <w:widowControl/>
                    <w:autoSpaceDE/>
                    <w:autoSpaceDN/>
                    <w:jc w:val="center"/>
                    <w:rPr>
                      <w:rFonts w:ascii="Times New Roman" w:hAnsi="Times New Roman" w:cs="Times New Roman"/>
                      <w:b/>
                      <w:bCs/>
                      <w:kern w:val="2"/>
                      <w:sz w:val="21"/>
                      <w:szCs w:val="21"/>
                      <w:lang w:val="zh-CN" w:eastAsia="zh-CN"/>
                    </w:rPr>
                  </w:pPr>
                  <w:r>
                    <w:rPr>
                      <w:rFonts w:ascii="Times New Roman" w:hAnsi="Times New Roman" w:cs="Times New Roman"/>
                      <w:b/>
                      <w:bCs/>
                      <w:kern w:val="2"/>
                      <w:sz w:val="21"/>
                      <w:szCs w:val="21"/>
                      <w:lang w:val="zh-CN" w:eastAsia="zh-CN"/>
                    </w:rPr>
                    <w:t>情况</w:t>
                  </w:r>
                </w:p>
              </w:tc>
            </w:tr>
            <w:tr w14:paraId="039D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shd w:val="clear" w:color="auto" w:fill="auto"/>
                  <w:vAlign w:val="center"/>
                </w:tcPr>
                <w:p w14:paraId="18AE76BF">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SO</w:t>
                  </w:r>
                  <w:r>
                    <w:rPr>
                      <w:rFonts w:ascii="Times New Roman" w:hAnsi="Times New Roman" w:cs="Times New Roman"/>
                      <w:kern w:val="2"/>
                      <w:sz w:val="21"/>
                      <w:szCs w:val="21"/>
                      <w:vertAlign w:val="subscript"/>
                      <w:lang w:val="zh-CN" w:eastAsia="zh-CN"/>
                    </w:rPr>
                    <w:t>2</w:t>
                  </w:r>
                </w:p>
              </w:tc>
              <w:tc>
                <w:tcPr>
                  <w:tcW w:w="3702" w:type="dxa"/>
                  <w:shd w:val="clear" w:color="auto" w:fill="auto"/>
                  <w:vAlign w:val="center"/>
                </w:tcPr>
                <w:p w14:paraId="780E3B20">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年平均值</w:t>
                  </w:r>
                </w:p>
              </w:tc>
              <w:tc>
                <w:tcPr>
                  <w:tcW w:w="1118" w:type="dxa"/>
                  <w:shd w:val="clear" w:color="auto" w:fill="auto"/>
                  <w:vAlign w:val="center"/>
                </w:tcPr>
                <w:p w14:paraId="54FF2E3D">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7</w:t>
                  </w:r>
                </w:p>
              </w:tc>
              <w:tc>
                <w:tcPr>
                  <w:tcW w:w="1163" w:type="dxa"/>
                  <w:shd w:val="clear" w:color="auto" w:fill="auto"/>
                  <w:vAlign w:val="center"/>
                </w:tcPr>
                <w:p w14:paraId="5C9DBE7D">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60</w:t>
                  </w:r>
                </w:p>
              </w:tc>
              <w:tc>
                <w:tcPr>
                  <w:tcW w:w="850" w:type="dxa"/>
                  <w:shd w:val="clear" w:color="auto" w:fill="auto"/>
                  <w:vAlign w:val="center"/>
                </w:tcPr>
                <w:p w14:paraId="2AA1A391">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11.67</w:t>
                  </w:r>
                </w:p>
              </w:tc>
              <w:tc>
                <w:tcPr>
                  <w:tcW w:w="906" w:type="dxa"/>
                  <w:shd w:val="clear" w:color="auto" w:fill="auto"/>
                  <w:vAlign w:val="center"/>
                </w:tcPr>
                <w:p w14:paraId="160CC992">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达标</w:t>
                  </w:r>
                </w:p>
              </w:tc>
            </w:tr>
            <w:tr w14:paraId="5B42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shd w:val="clear" w:color="auto" w:fill="auto"/>
                  <w:vAlign w:val="center"/>
                </w:tcPr>
                <w:p w14:paraId="50760A5B">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NO</w:t>
                  </w:r>
                  <w:r>
                    <w:rPr>
                      <w:rFonts w:ascii="Times New Roman" w:hAnsi="Times New Roman" w:cs="Times New Roman"/>
                      <w:kern w:val="2"/>
                      <w:sz w:val="21"/>
                      <w:szCs w:val="21"/>
                      <w:vertAlign w:val="subscript"/>
                      <w:lang w:val="zh-CN" w:eastAsia="zh-CN"/>
                    </w:rPr>
                    <w:t>2</w:t>
                  </w:r>
                </w:p>
              </w:tc>
              <w:tc>
                <w:tcPr>
                  <w:tcW w:w="3702" w:type="dxa"/>
                  <w:shd w:val="clear" w:color="auto" w:fill="auto"/>
                  <w:vAlign w:val="center"/>
                </w:tcPr>
                <w:p w14:paraId="5B782FE8">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年平均值</w:t>
                  </w:r>
                </w:p>
              </w:tc>
              <w:tc>
                <w:tcPr>
                  <w:tcW w:w="1118" w:type="dxa"/>
                  <w:shd w:val="clear" w:color="auto" w:fill="auto"/>
                  <w:vAlign w:val="center"/>
                </w:tcPr>
                <w:p w14:paraId="2CD2B1DF">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32</w:t>
                  </w:r>
                </w:p>
              </w:tc>
              <w:tc>
                <w:tcPr>
                  <w:tcW w:w="1163" w:type="dxa"/>
                  <w:shd w:val="clear" w:color="auto" w:fill="auto"/>
                  <w:vAlign w:val="center"/>
                </w:tcPr>
                <w:p w14:paraId="29FE82A4">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40</w:t>
                  </w:r>
                </w:p>
              </w:tc>
              <w:tc>
                <w:tcPr>
                  <w:tcW w:w="850" w:type="dxa"/>
                  <w:shd w:val="clear" w:color="auto" w:fill="auto"/>
                  <w:vAlign w:val="center"/>
                </w:tcPr>
                <w:p w14:paraId="23E6A41F">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80.00</w:t>
                  </w:r>
                </w:p>
              </w:tc>
              <w:tc>
                <w:tcPr>
                  <w:tcW w:w="906" w:type="dxa"/>
                  <w:shd w:val="clear" w:color="auto" w:fill="auto"/>
                  <w:vAlign w:val="center"/>
                </w:tcPr>
                <w:p w14:paraId="62330B3B">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达标</w:t>
                  </w:r>
                </w:p>
              </w:tc>
            </w:tr>
            <w:tr w14:paraId="15F0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shd w:val="clear" w:color="auto" w:fill="auto"/>
                  <w:vAlign w:val="center"/>
                </w:tcPr>
                <w:p w14:paraId="2C8D4FC5">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CO</w:t>
                  </w:r>
                </w:p>
              </w:tc>
              <w:tc>
                <w:tcPr>
                  <w:tcW w:w="3702" w:type="dxa"/>
                  <w:shd w:val="clear" w:color="auto" w:fill="auto"/>
                  <w:vAlign w:val="center"/>
                </w:tcPr>
                <w:p w14:paraId="443A05D1">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24小时平均值第95位百分位数</w:t>
                  </w:r>
                </w:p>
              </w:tc>
              <w:tc>
                <w:tcPr>
                  <w:tcW w:w="1118" w:type="dxa"/>
                  <w:shd w:val="clear" w:color="auto" w:fill="auto"/>
                  <w:vAlign w:val="center"/>
                </w:tcPr>
                <w:p w14:paraId="00FE072F">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2300</w:t>
                  </w:r>
                </w:p>
              </w:tc>
              <w:tc>
                <w:tcPr>
                  <w:tcW w:w="1163" w:type="dxa"/>
                  <w:shd w:val="clear" w:color="auto" w:fill="auto"/>
                  <w:vAlign w:val="center"/>
                </w:tcPr>
                <w:p w14:paraId="2C664AE6">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4000</w:t>
                  </w:r>
                </w:p>
              </w:tc>
              <w:tc>
                <w:tcPr>
                  <w:tcW w:w="850" w:type="dxa"/>
                  <w:shd w:val="clear" w:color="auto" w:fill="auto"/>
                  <w:vAlign w:val="center"/>
                </w:tcPr>
                <w:p w14:paraId="6B543591">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57.50</w:t>
                  </w:r>
                </w:p>
              </w:tc>
              <w:tc>
                <w:tcPr>
                  <w:tcW w:w="906" w:type="dxa"/>
                  <w:shd w:val="clear" w:color="auto" w:fill="auto"/>
                  <w:vAlign w:val="center"/>
                </w:tcPr>
                <w:p w14:paraId="1897E31E">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达标</w:t>
                  </w:r>
                </w:p>
              </w:tc>
            </w:tr>
            <w:tr w14:paraId="2F07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shd w:val="clear" w:color="auto" w:fill="auto"/>
                  <w:vAlign w:val="center"/>
                </w:tcPr>
                <w:p w14:paraId="4E1A087A">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O</w:t>
                  </w:r>
                  <w:r>
                    <w:rPr>
                      <w:rFonts w:ascii="Times New Roman" w:hAnsi="Times New Roman" w:cs="Times New Roman"/>
                      <w:kern w:val="2"/>
                      <w:sz w:val="21"/>
                      <w:szCs w:val="21"/>
                      <w:vertAlign w:val="subscript"/>
                      <w:lang w:val="zh-CN" w:eastAsia="zh-CN"/>
                    </w:rPr>
                    <w:t>3</w:t>
                  </w:r>
                </w:p>
              </w:tc>
              <w:tc>
                <w:tcPr>
                  <w:tcW w:w="3702" w:type="dxa"/>
                  <w:shd w:val="clear" w:color="auto" w:fill="auto"/>
                  <w:vAlign w:val="center"/>
                </w:tcPr>
                <w:p w14:paraId="57C402D1">
                  <w:pPr>
                    <w:widowControl/>
                    <w:autoSpaceDE/>
                    <w:autoSpaceDN/>
                    <w:jc w:val="center"/>
                    <w:rPr>
                      <w:rFonts w:ascii="Times New Roman" w:hAnsi="Times New Roman" w:cs="Times New Roman"/>
                      <w:kern w:val="2"/>
                      <w:sz w:val="21"/>
                      <w:szCs w:val="21"/>
                      <w:lang w:val="zh-CN" w:eastAsia="zh-CN"/>
                    </w:rPr>
                  </w:pPr>
                  <w:r>
                    <w:rPr>
                      <w:rFonts w:hint="eastAsia" w:ascii="Times New Roman" w:hAnsi="Times New Roman" w:cs="Times New Roman"/>
                      <w:kern w:val="2"/>
                      <w:sz w:val="21"/>
                      <w:szCs w:val="21"/>
                      <w:lang w:val="zh-CN" w:eastAsia="zh-CN"/>
                    </w:rPr>
                    <w:t>最大</w:t>
                  </w:r>
                  <w:r>
                    <w:rPr>
                      <w:rFonts w:ascii="Times New Roman" w:hAnsi="Times New Roman" w:cs="Times New Roman"/>
                      <w:kern w:val="2"/>
                      <w:sz w:val="21"/>
                      <w:szCs w:val="21"/>
                      <w:lang w:val="zh-CN" w:eastAsia="zh-CN"/>
                    </w:rPr>
                    <w:t>8小时平均第90百分位数日均值</w:t>
                  </w:r>
                </w:p>
              </w:tc>
              <w:tc>
                <w:tcPr>
                  <w:tcW w:w="1118" w:type="dxa"/>
                  <w:shd w:val="clear" w:color="auto" w:fill="auto"/>
                  <w:vAlign w:val="center"/>
                </w:tcPr>
                <w:p w14:paraId="15ACE53E">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133</w:t>
                  </w:r>
                </w:p>
              </w:tc>
              <w:tc>
                <w:tcPr>
                  <w:tcW w:w="1163" w:type="dxa"/>
                  <w:shd w:val="clear" w:color="auto" w:fill="auto"/>
                  <w:vAlign w:val="center"/>
                </w:tcPr>
                <w:p w14:paraId="24E342C8">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160</w:t>
                  </w:r>
                </w:p>
              </w:tc>
              <w:tc>
                <w:tcPr>
                  <w:tcW w:w="850" w:type="dxa"/>
                  <w:shd w:val="clear" w:color="auto" w:fill="auto"/>
                  <w:vAlign w:val="center"/>
                </w:tcPr>
                <w:p w14:paraId="3D85C288">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83.13</w:t>
                  </w:r>
                </w:p>
              </w:tc>
              <w:tc>
                <w:tcPr>
                  <w:tcW w:w="906" w:type="dxa"/>
                  <w:shd w:val="clear" w:color="auto" w:fill="auto"/>
                  <w:vAlign w:val="center"/>
                </w:tcPr>
                <w:p w14:paraId="4F84A702">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达标</w:t>
                  </w:r>
                </w:p>
              </w:tc>
            </w:tr>
            <w:tr w14:paraId="7BAE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shd w:val="clear" w:color="auto" w:fill="auto"/>
                  <w:vAlign w:val="center"/>
                </w:tcPr>
                <w:p w14:paraId="5B94C71C">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PM</w:t>
                  </w:r>
                  <w:r>
                    <w:rPr>
                      <w:rFonts w:ascii="Times New Roman" w:hAnsi="Times New Roman" w:cs="Times New Roman"/>
                      <w:kern w:val="2"/>
                      <w:sz w:val="21"/>
                      <w:szCs w:val="21"/>
                      <w:vertAlign w:val="subscript"/>
                      <w:lang w:val="zh-CN" w:eastAsia="zh-CN"/>
                    </w:rPr>
                    <w:t>10</w:t>
                  </w:r>
                </w:p>
              </w:tc>
              <w:tc>
                <w:tcPr>
                  <w:tcW w:w="3702" w:type="dxa"/>
                  <w:shd w:val="clear" w:color="auto" w:fill="auto"/>
                  <w:vAlign w:val="center"/>
                </w:tcPr>
                <w:p w14:paraId="75A7774D">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年平均值</w:t>
                  </w:r>
                </w:p>
              </w:tc>
              <w:tc>
                <w:tcPr>
                  <w:tcW w:w="1118" w:type="dxa"/>
                  <w:shd w:val="clear" w:color="auto" w:fill="auto"/>
                  <w:vAlign w:val="center"/>
                </w:tcPr>
                <w:p w14:paraId="3498C806">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81</w:t>
                  </w:r>
                </w:p>
              </w:tc>
              <w:tc>
                <w:tcPr>
                  <w:tcW w:w="1163" w:type="dxa"/>
                  <w:shd w:val="clear" w:color="auto" w:fill="auto"/>
                  <w:vAlign w:val="center"/>
                </w:tcPr>
                <w:p w14:paraId="643E5C2E">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70</w:t>
                  </w:r>
                </w:p>
              </w:tc>
              <w:tc>
                <w:tcPr>
                  <w:tcW w:w="850" w:type="dxa"/>
                  <w:shd w:val="clear" w:color="auto" w:fill="auto"/>
                  <w:vAlign w:val="center"/>
                </w:tcPr>
                <w:p w14:paraId="47632DEC">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115.71</w:t>
                  </w:r>
                </w:p>
              </w:tc>
              <w:tc>
                <w:tcPr>
                  <w:tcW w:w="906" w:type="dxa"/>
                  <w:shd w:val="clear" w:color="auto" w:fill="auto"/>
                  <w:vAlign w:val="center"/>
                </w:tcPr>
                <w:p w14:paraId="42E58F13">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不达标</w:t>
                  </w:r>
                </w:p>
              </w:tc>
            </w:tr>
            <w:tr w14:paraId="2A46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shd w:val="clear" w:color="auto" w:fill="auto"/>
                  <w:vAlign w:val="center"/>
                </w:tcPr>
                <w:p w14:paraId="76FC517A">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PM</w:t>
                  </w:r>
                  <w:r>
                    <w:rPr>
                      <w:rFonts w:ascii="Times New Roman" w:hAnsi="Times New Roman" w:cs="Times New Roman"/>
                      <w:kern w:val="2"/>
                      <w:sz w:val="21"/>
                      <w:szCs w:val="21"/>
                      <w:vertAlign w:val="subscript"/>
                      <w:lang w:val="zh-CN" w:eastAsia="zh-CN"/>
                    </w:rPr>
                    <w:t>2.5</w:t>
                  </w:r>
                </w:p>
              </w:tc>
              <w:tc>
                <w:tcPr>
                  <w:tcW w:w="3702" w:type="dxa"/>
                  <w:shd w:val="clear" w:color="auto" w:fill="auto"/>
                  <w:vAlign w:val="center"/>
                </w:tcPr>
                <w:p w14:paraId="48CEA27E">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年平均值</w:t>
                  </w:r>
                </w:p>
              </w:tc>
              <w:tc>
                <w:tcPr>
                  <w:tcW w:w="1118" w:type="dxa"/>
                  <w:shd w:val="clear" w:color="auto" w:fill="auto"/>
                  <w:vAlign w:val="center"/>
                </w:tcPr>
                <w:p w14:paraId="3A3C8847">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50</w:t>
                  </w:r>
                </w:p>
              </w:tc>
              <w:tc>
                <w:tcPr>
                  <w:tcW w:w="1163" w:type="dxa"/>
                  <w:shd w:val="clear" w:color="auto" w:fill="auto"/>
                  <w:vAlign w:val="center"/>
                </w:tcPr>
                <w:p w14:paraId="3F44D0BA">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35</w:t>
                  </w:r>
                </w:p>
              </w:tc>
              <w:tc>
                <w:tcPr>
                  <w:tcW w:w="850" w:type="dxa"/>
                  <w:shd w:val="clear" w:color="auto" w:fill="auto"/>
                  <w:vAlign w:val="center"/>
                </w:tcPr>
                <w:p w14:paraId="4E084D9B">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142.86</w:t>
                  </w:r>
                </w:p>
              </w:tc>
              <w:tc>
                <w:tcPr>
                  <w:tcW w:w="906" w:type="dxa"/>
                  <w:shd w:val="clear" w:color="auto" w:fill="auto"/>
                  <w:vAlign w:val="center"/>
                </w:tcPr>
                <w:p w14:paraId="2F960B93">
                  <w:pPr>
                    <w:widowControl/>
                    <w:autoSpaceDE/>
                    <w:autoSpaceDN/>
                    <w:jc w:val="center"/>
                    <w:rPr>
                      <w:rFonts w:ascii="Times New Roman" w:hAnsi="Times New Roman" w:cs="Times New Roman"/>
                      <w:kern w:val="2"/>
                      <w:sz w:val="21"/>
                      <w:szCs w:val="21"/>
                      <w:lang w:val="zh-CN" w:eastAsia="zh-CN"/>
                    </w:rPr>
                  </w:pPr>
                  <w:r>
                    <w:rPr>
                      <w:rFonts w:ascii="Times New Roman" w:hAnsi="Times New Roman" w:cs="Times New Roman"/>
                      <w:kern w:val="2"/>
                      <w:sz w:val="21"/>
                      <w:szCs w:val="21"/>
                      <w:lang w:val="zh-CN" w:eastAsia="zh-CN"/>
                    </w:rPr>
                    <w:t>不达标</w:t>
                  </w:r>
                </w:p>
              </w:tc>
            </w:tr>
          </w:tbl>
          <w:p w14:paraId="7BED3E01">
            <w:pPr>
              <w:jc w:val="center"/>
              <w:rPr>
                <w:rFonts w:ascii="Times New Roman" w:hAnsi="Times New Roman" w:cs="Times New Roman"/>
                <w:szCs w:val="21"/>
                <w:lang w:eastAsia="zh-CN"/>
              </w:rPr>
            </w:pPr>
          </w:p>
          <w:p w14:paraId="57709915">
            <w:pPr>
              <w:spacing w:before="120" w:beforeLines="50"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由表中数据可知，环境空气污染物基本项目中，SO</w:t>
            </w:r>
            <w:r>
              <w:rPr>
                <w:rFonts w:ascii="Times New Roman" w:hAnsi="Times New Roman" w:cs="Times New Roman"/>
                <w:sz w:val="24"/>
                <w:szCs w:val="24"/>
                <w:vertAlign w:val="subscript"/>
                <w:lang w:eastAsia="zh-CN"/>
              </w:rPr>
              <w:t>2</w:t>
            </w:r>
            <w:r>
              <w:rPr>
                <w:rFonts w:ascii="Times New Roman" w:hAnsi="Times New Roman" w:cs="Times New Roman"/>
                <w:sz w:val="24"/>
                <w:szCs w:val="24"/>
                <w:lang w:eastAsia="zh-CN"/>
              </w:rPr>
              <w:t>、CO、O</w:t>
            </w:r>
            <w:r>
              <w:rPr>
                <w:rFonts w:ascii="Times New Roman" w:hAnsi="Times New Roman" w:cs="Times New Roman"/>
                <w:sz w:val="24"/>
                <w:szCs w:val="24"/>
                <w:vertAlign w:val="subscript"/>
                <w:lang w:eastAsia="zh-CN"/>
              </w:rPr>
              <w:t>3</w:t>
            </w:r>
            <w:r>
              <w:rPr>
                <w:rFonts w:ascii="Times New Roman" w:hAnsi="Times New Roman" w:cs="Times New Roman"/>
                <w:sz w:val="24"/>
                <w:szCs w:val="24"/>
                <w:lang w:eastAsia="zh-CN"/>
              </w:rPr>
              <w:t>、NO</w:t>
            </w:r>
            <w:r>
              <w:rPr>
                <w:rFonts w:ascii="Times New Roman" w:hAnsi="Times New Roman" w:cs="Times New Roman"/>
                <w:sz w:val="24"/>
                <w:szCs w:val="24"/>
                <w:vertAlign w:val="subscript"/>
                <w:lang w:eastAsia="zh-CN"/>
              </w:rPr>
              <w:t>2</w:t>
            </w:r>
            <w:r>
              <w:rPr>
                <w:rFonts w:ascii="Times New Roman" w:hAnsi="Times New Roman" w:cs="Times New Roman"/>
                <w:sz w:val="24"/>
                <w:szCs w:val="24"/>
                <w:lang w:eastAsia="zh-CN"/>
              </w:rPr>
              <w:t>满足《环境空气质量标准》（GB 3095-2012）的二级标准要求，PM</w:t>
            </w:r>
            <w:r>
              <w:rPr>
                <w:rFonts w:ascii="Times New Roman" w:hAnsi="Times New Roman" w:cs="Times New Roman"/>
                <w:sz w:val="24"/>
                <w:szCs w:val="24"/>
                <w:vertAlign w:val="subscript"/>
                <w:lang w:eastAsia="zh-CN"/>
              </w:rPr>
              <w:t>10</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PM</w:t>
            </w:r>
            <w:r>
              <w:rPr>
                <w:rFonts w:ascii="Times New Roman" w:hAnsi="Times New Roman" w:cs="Times New Roman"/>
                <w:sz w:val="24"/>
                <w:szCs w:val="24"/>
                <w:vertAlign w:val="subscript"/>
                <w:lang w:eastAsia="zh-CN"/>
              </w:rPr>
              <w:t>2.5</w:t>
            </w:r>
            <w:r>
              <w:rPr>
                <w:rFonts w:ascii="Times New Roman" w:hAnsi="Times New Roman" w:cs="Times New Roman"/>
                <w:sz w:val="24"/>
                <w:szCs w:val="24"/>
                <w:lang w:eastAsia="zh-CN"/>
              </w:rPr>
              <w:t>超标，项目所在区域为不达标区。</w:t>
            </w:r>
          </w:p>
          <w:p w14:paraId="15ADAA0D">
            <w:pPr>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2、</w:t>
            </w:r>
            <w:r>
              <w:rPr>
                <w:rFonts w:ascii="Times New Roman" w:hAnsi="Times New Roman" w:cs="Times New Roman"/>
                <w:b/>
                <w:bCs/>
                <w:spacing w:val="4"/>
                <w:sz w:val="28"/>
                <w:szCs w:val="28"/>
                <w:lang w:eastAsia="zh-CN"/>
              </w:rPr>
              <w:t>水环境</w:t>
            </w:r>
            <w:r>
              <w:rPr>
                <w:rFonts w:hint="eastAsia" w:ascii="Times New Roman" w:hAnsi="Times New Roman" w:cs="Times New Roman"/>
                <w:b/>
                <w:bCs/>
                <w:spacing w:val="4"/>
                <w:sz w:val="28"/>
                <w:szCs w:val="28"/>
                <w:lang w:eastAsia="zh-CN"/>
              </w:rPr>
              <w:t>现状评价</w:t>
            </w:r>
          </w:p>
          <w:p w14:paraId="42616C05">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（1）地表水</w:t>
            </w:r>
          </w:p>
          <w:p w14:paraId="2E79D79B">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为交通道路类建设项目，不涉及废水外排，与外环境无水力联系发生，根据《建设项目环境影响报告表编制技术指南（生态影响类）》中的地表水环境质量现状评价要求进行识别判断，本项目无需开展地表水环境质量现状评价。</w:t>
            </w:r>
          </w:p>
          <w:p w14:paraId="13511C58">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（2）地下水</w:t>
            </w:r>
          </w:p>
          <w:p w14:paraId="29B916F0">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为交通道路类建设项目，不涉及废水排放，不存在地下水污染途径，根据《建设项目环境影响报告表编制技术指南（生态影响类）》中的地下水环境质量现状评价要求进行识别判断，本项目无需开展地下水环境质量现状监测。</w:t>
            </w:r>
          </w:p>
          <w:p w14:paraId="3CB1CD27">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项目地区地下水分属于两个子系统，卡拉麦里平原区地下水子系统和阜康—木垒平原区地下水子系统。</w:t>
            </w:r>
          </w:p>
          <w:p w14:paraId="0C183474">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卡拉麦里平原区地下水子系统类型，为第四系松散岩类单一结构孔隙潜水和第三系碎屑岩类孔隙裂隙层间水，地下天然补给模数为</w:t>
            </w:r>
            <w:r>
              <w:rPr>
                <w:rFonts w:ascii="Times New Roman" w:hAnsi="Times New Roman" w:cs="Times New Roman"/>
                <w:sz w:val="24"/>
                <w:szCs w:val="24"/>
                <w:lang w:eastAsia="zh-CN"/>
              </w:rPr>
              <w:t>1.00×10</w:t>
            </w:r>
            <w:r>
              <w:rPr>
                <w:rFonts w:ascii="Times New Roman" w:hAnsi="Times New Roman" w:cs="Times New Roman"/>
                <w:sz w:val="24"/>
                <w:szCs w:val="24"/>
                <w:vertAlign w:val="superscript"/>
                <w:lang w:eastAsia="zh-CN"/>
              </w:rPr>
              <w:t>4</w:t>
            </w:r>
            <w:r>
              <w:rPr>
                <w:rFonts w:ascii="Times New Roman" w:hAnsi="Times New Roman" w:cs="Times New Roman"/>
                <w:sz w:val="24"/>
                <w:szCs w:val="24"/>
                <w:lang w:eastAsia="zh-CN"/>
              </w:rPr>
              <w:t>m</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/a</w:t>
            </w:r>
            <w:r>
              <w:rPr>
                <w:rFonts w:hint="eastAsia" w:ascii="Times New Roman" w:hAnsi="Times New Roman" w:cs="Times New Roman"/>
                <w:sz w:val="24"/>
                <w:szCs w:val="24"/>
                <w:lang w:eastAsia="zh-CN"/>
              </w:rPr>
              <w:t>·k</w:t>
            </w:r>
            <w:r>
              <w:rPr>
                <w:rFonts w:ascii="Times New Roman" w:hAnsi="Times New Roman" w:cs="Times New Roman"/>
                <w:sz w:val="24"/>
                <w:szCs w:val="24"/>
                <w:lang w:eastAsia="zh-CN"/>
              </w:rPr>
              <w:t>m</w:t>
            </w:r>
            <w:r>
              <w:rPr>
                <w:rFonts w:ascii="Times New Roman" w:hAnsi="Times New Roman" w:cs="Times New Roman"/>
                <w:sz w:val="24"/>
                <w:szCs w:val="24"/>
                <w:vertAlign w:val="superscript"/>
                <w:lang w:eastAsia="zh-CN"/>
              </w:rPr>
              <w:t>2</w:t>
            </w:r>
            <w:r>
              <w:rPr>
                <w:rFonts w:ascii="Times New Roman" w:hAnsi="Times New Roman" w:cs="Times New Roman"/>
                <w:sz w:val="24"/>
                <w:szCs w:val="24"/>
                <w:lang w:eastAsia="zh-CN"/>
              </w:rPr>
              <w:t>，地下水由北东向南西径流，通过人工开采和蒸发方式排泄。拟建项目沿线</w:t>
            </w:r>
            <w:r>
              <w:rPr>
                <w:rFonts w:hint="eastAsia" w:ascii="Times New Roman" w:hAnsi="Times New Roman" w:cs="Times New Roman"/>
                <w:sz w:val="24"/>
                <w:szCs w:val="24"/>
                <w:lang w:eastAsia="zh-CN"/>
              </w:rPr>
              <w:t>k</w:t>
            </w:r>
            <w:r>
              <w:rPr>
                <w:rFonts w:ascii="Times New Roman" w:hAnsi="Times New Roman" w:cs="Times New Roman"/>
                <w:sz w:val="24"/>
                <w:szCs w:val="24"/>
                <w:lang w:eastAsia="zh-CN"/>
              </w:rPr>
              <w:t>48+660～</w:t>
            </w:r>
            <w:r>
              <w:rPr>
                <w:rFonts w:hint="eastAsia" w:ascii="Times New Roman" w:hAnsi="Times New Roman" w:cs="Times New Roman"/>
                <w:sz w:val="24"/>
                <w:szCs w:val="24"/>
                <w:lang w:eastAsia="zh-CN"/>
              </w:rPr>
              <w:t>k</w:t>
            </w:r>
            <w:r>
              <w:rPr>
                <w:rFonts w:ascii="Times New Roman" w:hAnsi="Times New Roman" w:cs="Times New Roman"/>
                <w:sz w:val="24"/>
                <w:szCs w:val="24"/>
                <w:lang w:eastAsia="zh-CN"/>
              </w:rPr>
              <w:t>57+060地下水埋深约2～5m。</w:t>
            </w:r>
          </w:p>
          <w:p w14:paraId="17A0ED1B">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阜康—木垒平原区地下水子类型为第四系松散岩类孔隙潜水，含水层为第四系上更新统冲洪积砂砾卵石层，主要接受南部山区地下水侧向径流、河谷潜流、河流入渗、渠系水入渗、灌溉水入渗及大气降水的垂直入渗补给，以地下径流方式向北部下游排泄。拟建项目沿线k</w:t>
            </w:r>
            <w:r>
              <w:rPr>
                <w:rFonts w:ascii="Times New Roman" w:hAnsi="Times New Roman" w:cs="Times New Roman"/>
                <w:sz w:val="24"/>
                <w:szCs w:val="24"/>
                <w:lang w:eastAsia="zh-CN"/>
              </w:rPr>
              <w:t>101+060～</w:t>
            </w:r>
            <w:r>
              <w:rPr>
                <w:rFonts w:hint="eastAsia" w:ascii="Times New Roman" w:hAnsi="Times New Roman" w:cs="Times New Roman"/>
                <w:sz w:val="24"/>
                <w:szCs w:val="24"/>
                <w:lang w:eastAsia="zh-CN"/>
              </w:rPr>
              <w:t>k</w:t>
            </w:r>
            <w:r>
              <w:rPr>
                <w:rFonts w:ascii="Times New Roman" w:hAnsi="Times New Roman" w:cs="Times New Roman"/>
                <w:sz w:val="24"/>
                <w:szCs w:val="24"/>
                <w:lang w:eastAsia="zh-CN"/>
              </w:rPr>
              <w:t>121+290地下水埋深约1.5～5.5m。</w:t>
            </w:r>
          </w:p>
          <w:p w14:paraId="13B4E9AC">
            <w:pPr>
              <w:spacing w:line="360" w:lineRule="auto"/>
              <w:jc w:val="both"/>
              <w:rPr>
                <w:rFonts w:ascii="Times New Roman" w:hAnsi="Times New Roman" w:cs="Times New Roman"/>
                <w:b/>
                <w:bCs/>
                <w:sz w:val="28"/>
                <w:szCs w:val="28"/>
                <w:lang w:eastAsia="zh-CN"/>
              </w:rPr>
            </w:pPr>
            <w:r>
              <w:rPr>
                <w:rFonts w:ascii="Times New Roman" w:hAnsi="Times New Roman" w:cs="Times New Roman"/>
                <w:b/>
                <w:bCs/>
                <w:sz w:val="28"/>
                <w:szCs w:val="28"/>
                <w:lang w:eastAsia="zh-CN"/>
              </w:rPr>
              <w:t>3、</w:t>
            </w:r>
            <w:r>
              <w:rPr>
                <w:rFonts w:ascii="Times New Roman" w:hAnsi="Times New Roman" w:cs="Times New Roman"/>
                <w:b/>
                <w:bCs/>
                <w:spacing w:val="4"/>
                <w:sz w:val="28"/>
                <w:szCs w:val="28"/>
                <w:lang w:eastAsia="zh-CN"/>
              </w:rPr>
              <w:t>声环境质量现状评价</w:t>
            </w:r>
          </w:p>
          <w:p w14:paraId="1A6B324E">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根据《建设项目环境影响报告表编制技术指南（生态影响类）》的表1专项设置原则表，本项目设置噪声专项评价，声环境质量现状评价相关内容见噪声专项评价。监测布点见附图</w:t>
            </w:r>
            <w:r>
              <w:rPr>
                <w:rFonts w:ascii="Times New Roman" w:hAnsi="Times New Roman" w:cs="Times New Roman"/>
                <w:sz w:val="24"/>
                <w:szCs w:val="24"/>
                <w:lang w:eastAsia="zh-CN"/>
              </w:rPr>
              <w:t>4。</w:t>
            </w:r>
          </w:p>
          <w:p w14:paraId="0DC739D4">
            <w:pPr>
              <w:spacing w:line="360" w:lineRule="auto"/>
              <w:jc w:val="both"/>
              <w:rPr>
                <w:rFonts w:ascii="Times New Roman" w:hAnsi="Times New Roman" w:cs="Times New Roman"/>
                <w:b/>
                <w:bCs/>
                <w:sz w:val="28"/>
                <w:szCs w:val="28"/>
                <w:lang w:eastAsia="zh-CN"/>
              </w:rPr>
            </w:pPr>
            <w:r>
              <w:rPr>
                <w:rFonts w:ascii="Times New Roman" w:hAnsi="Times New Roman" w:cs="Times New Roman"/>
                <w:b/>
                <w:bCs/>
                <w:sz w:val="28"/>
                <w:szCs w:val="28"/>
                <w:lang w:eastAsia="zh-CN"/>
              </w:rPr>
              <w:t>4、土壤环境质量现状评价</w:t>
            </w:r>
          </w:p>
          <w:p w14:paraId="2F022C12">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为交通道路类建设项目，不涉及废水排放，不存在土壤污染途径，根据《建设项目环境影响报告表编制技术指南（生态影响类）》中的地下水环境质量现状评价要求进行识别判断，本项目无需开展土壤环境质量现状监测。</w:t>
            </w:r>
          </w:p>
          <w:p w14:paraId="01616EE8">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现场踏勘及收集资料本项目的湿陷性黄土主要分布于冲洪积平原区，主要成因为蒸发影响深度大于大气降水的影响深度，在其形成过程中，充分的压力和适宜的湿度往往不能同时具备，导致土层的压密欠佳，造成粉土的土质较均匀、结构疏松、孔隙发育。在未受水浸湿时，一般强度较高，压缩性较小。当在一定压力下受水浸湿，土结构会迅速破坏，产生较大附加下沉，强度迅速降低。根据实验结果，沿线湿陷性黄土的湿陷系数</w:t>
            </w:r>
            <w:r>
              <w:rPr>
                <w:rFonts w:ascii="Times New Roman" w:hAnsi="Times New Roman" w:cs="Times New Roman"/>
                <w:sz w:val="24"/>
                <w:szCs w:val="24"/>
                <w:lang w:eastAsia="zh-CN"/>
              </w:rPr>
              <w:t>0.029～0.042，具有非自重轻微湿陷性。</w:t>
            </w:r>
            <w:r>
              <w:rPr>
                <w:rFonts w:hint="eastAsia" w:ascii="Times New Roman" w:hAnsi="Times New Roman" w:cs="Times New Roman"/>
                <w:sz w:val="24"/>
                <w:szCs w:val="24"/>
                <w:lang w:eastAsia="zh-CN"/>
              </w:rPr>
              <w:t>湿陷性段落长度共计</w:t>
            </w:r>
            <w:r>
              <w:rPr>
                <w:rFonts w:ascii="Times New Roman" w:hAnsi="Times New Roman" w:cs="Times New Roman"/>
                <w:sz w:val="24"/>
                <w:szCs w:val="24"/>
                <w:lang w:eastAsia="zh-CN"/>
              </w:rPr>
              <w:t>25.964km。</w:t>
            </w:r>
            <w:r>
              <w:rPr>
                <w:rFonts w:hint="eastAsia" w:ascii="Times New Roman" w:hAnsi="Times New Roman" w:cs="Times New Roman"/>
                <w:sz w:val="24"/>
                <w:szCs w:val="24"/>
                <w:lang w:eastAsia="zh-CN"/>
              </w:rPr>
              <w:t>本项目路线湿陷性土分布</w:t>
            </w:r>
            <w:r>
              <w:rPr>
                <w:rFonts w:ascii="Times New Roman" w:hAnsi="Times New Roman" w:cs="Times New Roman"/>
                <w:sz w:val="24"/>
                <w:szCs w:val="24"/>
                <w:lang w:eastAsia="zh-CN"/>
              </w:rPr>
              <w:t>详见表</w:t>
            </w:r>
            <w:r>
              <w:rPr>
                <w:rFonts w:hint="eastAsia" w:ascii="Times New Roman" w:hAnsi="Times New Roman" w:cs="Times New Roman"/>
                <w:sz w:val="24"/>
                <w:szCs w:val="24"/>
                <w:lang w:eastAsia="zh-CN"/>
              </w:rPr>
              <w:t>3</w:t>
            </w:r>
            <w:r>
              <w:rPr>
                <w:rFonts w:ascii="Times New Roman" w:hAnsi="Times New Roman" w:cs="Times New Roman"/>
                <w:sz w:val="24"/>
                <w:szCs w:val="24"/>
                <w:lang w:eastAsia="zh-CN"/>
              </w:rPr>
              <w:t>.7</w:t>
            </w:r>
            <w:r>
              <w:rPr>
                <w:rFonts w:hint="eastAsia" w:ascii="Times New Roman" w:hAnsi="Times New Roman" w:cs="Times New Roman"/>
                <w:sz w:val="24"/>
                <w:szCs w:val="24"/>
                <w:lang w:eastAsia="zh-CN"/>
              </w:rPr>
              <w:t>。</w:t>
            </w:r>
          </w:p>
          <w:p w14:paraId="11E86EE2">
            <w:pPr>
              <w:widowControl/>
              <w:jc w:val="center"/>
              <w:rPr>
                <w:rFonts w:ascii="Times New Roman" w:hAnsi="Times New Roman" w:cs="Times New Roman"/>
                <w:b/>
                <w:sz w:val="21"/>
                <w:szCs w:val="21"/>
                <w:lang w:val="zh-CN" w:eastAsia="zh-CN"/>
              </w:rPr>
            </w:pPr>
            <w:r>
              <w:rPr>
                <w:rFonts w:ascii="Times New Roman" w:hAnsi="Times New Roman" w:cs="Times New Roman"/>
                <w:b/>
                <w:sz w:val="21"/>
                <w:szCs w:val="21"/>
                <w:lang w:val="zh-CN" w:eastAsia="zh-CN"/>
              </w:rPr>
              <w:t xml:space="preserve">表3.7  </w:t>
            </w:r>
            <w:r>
              <w:rPr>
                <w:rFonts w:hint="eastAsia" w:ascii="Times New Roman" w:hAnsi="Times New Roman" w:cs="Times New Roman"/>
                <w:b/>
                <w:sz w:val="21"/>
                <w:szCs w:val="21"/>
                <w:lang w:val="zh-CN" w:eastAsia="zh-CN"/>
              </w:rPr>
              <w:t>项目湿陷性土分段统计表</w:t>
            </w:r>
          </w:p>
          <w:tbl>
            <w:tblPr>
              <w:tblStyle w:val="12"/>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2456"/>
              <w:gridCol w:w="708"/>
              <w:gridCol w:w="849"/>
              <w:gridCol w:w="849"/>
              <w:gridCol w:w="1079"/>
              <w:gridCol w:w="1063"/>
              <w:gridCol w:w="881"/>
            </w:tblGrid>
            <w:tr w14:paraId="0129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1CF29B36">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序号</w:t>
                  </w:r>
                </w:p>
              </w:tc>
              <w:tc>
                <w:tcPr>
                  <w:tcW w:w="1423" w:type="pct"/>
                  <w:vAlign w:val="center"/>
                </w:tcPr>
                <w:p w14:paraId="2239340F">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涉及桩号</w:t>
                  </w:r>
                </w:p>
              </w:tc>
              <w:tc>
                <w:tcPr>
                  <w:tcW w:w="410" w:type="pct"/>
                  <w:vAlign w:val="center"/>
                </w:tcPr>
                <w:p w14:paraId="078EDF95">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长度</w:t>
                  </w:r>
                </w:p>
                <w:p w14:paraId="0F2414D6">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m</w:t>
                  </w:r>
                </w:p>
              </w:tc>
              <w:tc>
                <w:tcPr>
                  <w:tcW w:w="492" w:type="pct"/>
                  <w:vAlign w:val="center"/>
                </w:tcPr>
                <w:p w14:paraId="76400C53">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最大</w:t>
                  </w:r>
                </w:p>
                <w:p w14:paraId="1225C5A7">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厚度m</w:t>
                  </w:r>
                </w:p>
              </w:tc>
              <w:tc>
                <w:tcPr>
                  <w:tcW w:w="492" w:type="pct"/>
                  <w:vAlign w:val="center"/>
                </w:tcPr>
                <w:p w14:paraId="4E1C4C58">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湿陷性</w:t>
                  </w:r>
                </w:p>
              </w:tc>
              <w:tc>
                <w:tcPr>
                  <w:tcW w:w="625" w:type="pct"/>
                  <w:vAlign w:val="center"/>
                </w:tcPr>
                <w:p w14:paraId="2EA99A0C">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总湿陷量</w:t>
                  </w:r>
                </w:p>
                <w:p w14:paraId="3B877C2D">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mm</w:t>
                  </w:r>
                </w:p>
              </w:tc>
              <w:tc>
                <w:tcPr>
                  <w:tcW w:w="616" w:type="pct"/>
                  <w:vAlign w:val="center"/>
                </w:tcPr>
                <w:p w14:paraId="57B39E91">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湿陷</w:t>
                  </w:r>
                </w:p>
                <w:p w14:paraId="20D700D0">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等级</w:t>
                  </w:r>
                </w:p>
              </w:tc>
              <w:tc>
                <w:tcPr>
                  <w:tcW w:w="510" w:type="pct"/>
                  <w:vAlign w:val="center"/>
                </w:tcPr>
                <w:p w14:paraId="4E9D5C27">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处理</w:t>
                  </w:r>
                </w:p>
                <w:p w14:paraId="7346E0C2">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建议</w:t>
                  </w:r>
                </w:p>
              </w:tc>
            </w:tr>
            <w:tr w14:paraId="2AEC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Pr>
                <w:p w14:paraId="2DED9149">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1</w:t>
                  </w:r>
                </w:p>
              </w:tc>
              <w:tc>
                <w:tcPr>
                  <w:tcW w:w="1423" w:type="pct"/>
                </w:tcPr>
                <w:p w14:paraId="0DEB7B56">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90+760~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91+080</w:t>
                  </w:r>
                </w:p>
              </w:tc>
              <w:tc>
                <w:tcPr>
                  <w:tcW w:w="410" w:type="pct"/>
                </w:tcPr>
                <w:p w14:paraId="1DE73ABE">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320</w:t>
                  </w:r>
                </w:p>
              </w:tc>
              <w:tc>
                <w:tcPr>
                  <w:tcW w:w="492" w:type="pct"/>
                </w:tcPr>
                <w:p w14:paraId="4AC55876">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1.0</w:t>
                  </w:r>
                </w:p>
              </w:tc>
              <w:tc>
                <w:tcPr>
                  <w:tcW w:w="492" w:type="pct"/>
                  <w:vMerge w:val="restart"/>
                  <w:vAlign w:val="center"/>
                </w:tcPr>
                <w:p w14:paraId="0FDF895D">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轻微</w:t>
                  </w:r>
                </w:p>
              </w:tc>
              <w:tc>
                <w:tcPr>
                  <w:tcW w:w="625" w:type="pct"/>
                </w:tcPr>
                <w:p w14:paraId="0DA57288">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24.0</w:t>
                  </w:r>
                </w:p>
              </w:tc>
              <w:tc>
                <w:tcPr>
                  <w:tcW w:w="616" w:type="pct"/>
                  <w:vMerge w:val="restart"/>
                  <w:vAlign w:val="center"/>
                </w:tcPr>
                <w:p w14:paraId="793967CA">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I级</w:t>
                  </w:r>
                </w:p>
                <w:p w14:paraId="1F27724C">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（轻微）</w:t>
                  </w:r>
                </w:p>
              </w:tc>
              <w:tc>
                <w:tcPr>
                  <w:tcW w:w="510" w:type="pct"/>
                  <w:vMerge w:val="restart"/>
                  <w:vAlign w:val="center"/>
                </w:tcPr>
                <w:p w14:paraId="47588B80">
                  <w:pPr>
                    <w:widowControl/>
                    <w:jc w:val="both"/>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原土回填或强夯处理</w:t>
                  </w:r>
                </w:p>
              </w:tc>
            </w:tr>
            <w:tr w14:paraId="38AF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Pr>
                <w:p w14:paraId="4F44A3F3">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2</w:t>
                  </w:r>
                </w:p>
              </w:tc>
              <w:tc>
                <w:tcPr>
                  <w:tcW w:w="1423" w:type="pct"/>
                </w:tcPr>
                <w:p w14:paraId="17527D38">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91+740~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95+660</w:t>
                  </w:r>
                </w:p>
              </w:tc>
              <w:tc>
                <w:tcPr>
                  <w:tcW w:w="410" w:type="pct"/>
                </w:tcPr>
                <w:p w14:paraId="529A7BF3">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3920</w:t>
                  </w:r>
                </w:p>
              </w:tc>
              <w:tc>
                <w:tcPr>
                  <w:tcW w:w="492" w:type="pct"/>
                </w:tcPr>
                <w:p w14:paraId="0B91F25F">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2.0</w:t>
                  </w:r>
                </w:p>
              </w:tc>
              <w:tc>
                <w:tcPr>
                  <w:tcW w:w="492" w:type="pct"/>
                  <w:vMerge w:val="continue"/>
                </w:tcPr>
                <w:p w14:paraId="790BD8DC">
                  <w:pPr>
                    <w:widowControl/>
                    <w:jc w:val="center"/>
                    <w:rPr>
                      <w:rFonts w:ascii="Times New Roman" w:hAnsi="Times New Roman" w:cs="Times New Roman"/>
                      <w:sz w:val="21"/>
                      <w:szCs w:val="21"/>
                      <w:lang w:val="zh-CN" w:eastAsia="zh-CN"/>
                    </w:rPr>
                  </w:pPr>
                </w:p>
              </w:tc>
              <w:tc>
                <w:tcPr>
                  <w:tcW w:w="625" w:type="pct"/>
                </w:tcPr>
                <w:p w14:paraId="568B7285">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88.5</w:t>
                  </w:r>
                </w:p>
              </w:tc>
              <w:tc>
                <w:tcPr>
                  <w:tcW w:w="616" w:type="pct"/>
                  <w:vMerge w:val="continue"/>
                </w:tcPr>
                <w:p w14:paraId="3EB5493C">
                  <w:pPr>
                    <w:widowControl/>
                    <w:jc w:val="center"/>
                    <w:rPr>
                      <w:rFonts w:ascii="Times New Roman" w:hAnsi="Times New Roman" w:cs="Times New Roman"/>
                      <w:sz w:val="21"/>
                      <w:szCs w:val="21"/>
                      <w:lang w:val="zh-CN" w:eastAsia="zh-CN"/>
                    </w:rPr>
                  </w:pPr>
                </w:p>
              </w:tc>
              <w:tc>
                <w:tcPr>
                  <w:tcW w:w="510" w:type="pct"/>
                  <w:vMerge w:val="continue"/>
                </w:tcPr>
                <w:p w14:paraId="4BC7525F">
                  <w:pPr>
                    <w:widowControl/>
                    <w:jc w:val="center"/>
                    <w:rPr>
                      <w:rFonts w:ascii="Times New Roman" w:hAnsi="Times New Roman" w:cs="Times New Roman"/>
                      <w:sz w:val="21"/>
                      <w:szCs w:val="21"/>
                      <w:lang w:val="zh-CN" w:eastAsia="zh-CN"/>
                    </w:rPr>
                  </w:pPr>
                </w:p>
              </w:tc>
            </w:tr>
            <w:tr w14:paraId="39A4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Pr>
                <w:p w14:paraId="4DAEF4D5">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3</w:t>
                  </w:r>
                </w:p>
              </w:tc>
              <w:tc>
                <w:tcPr>
                  <w:tcW w:w="1423" w:type="pct"/>
                </w:tcPr>
                <w:p w14:paraId="4BF37701">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96+300~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97+960</w:t>
                  </w:r>
                </w:p>
              </w:tc>
              <w:tc>
                <w:tcPr>
                  <w:tcW w:w="410" w:type="pct"/>
                </w:tcPr>
                <w:p w14:paraId="56294338">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1660</w:t>
                  </w:r>
                </w:p>
              </w:tc>
              <w:tc>
                <w:tcPr>
                  <w:tcW w:w="492" w:type="pct"/>
                </w:tcPr>
                <w:p w14:paraId="08049DBA">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1.0</w:t>
                  </w:r>
                </w:p>
              </w:tc>
              <w:tc>
                <w:tcPr>
                  <w:tcW w:w="492" w:type="pct"/>
                  <w:vMerge w:val="continue"/>
                </w:tcPr>
                <w:p w14:paraId="3423AF01">
                  <w:pPr>
                    <w:widowControl/>
                    <w:jc w:val="center"/>
                    <w:rPr>
                      <w:rFonts w:ascii="Times New Roman" w:hAnsi="Times New Roman" w:cs="Times New Roman"/>
                      <w:sz w:val="21"/>
                      <w:szCs w:val="21"/>
                      <w:lang w:val="zh-CN" w:eastAsia="zh-CN"/>
                    </w:rPr>
                  </w:pPr>
                </w:p>
              </w:tc>
              <w:tc>
                <w:tcPr>
                  <w:tcW w:w="625" w:type="pct"/>
                </w:tcPr>
                <w:p w14:paraId="57FD8950">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42.0</w:t>
                  </w:r>
                </w:p>
              </w:tc>
              <w:tc>
                <w:tcPr>
                  <w:tcW w:w="616" w:type="pct"/>
                  <w:vMerge w:val="continue"/>
                </w:tcPr>
                <w:p w14:paraId="348994A2">
                  <w:pPr>
                    <w:widowControl/>
                    <w:jc w:val="center"/>
                    <w:rPr>
                      <w:rFonts w:ascii="Times New Roman" w:hAnsi="Times New Roman" w:cs="Times New Roman"/>
                      <w:sz w:val="21"/>
                      <w:szCs w:val="21"/>
                      <w:lang w:val="zh-CN" w:eastAsia="zh-CN"/>
                    </w:rPr>
                  </w:pPr>
                </w:p>
              </w:tc>
              <w:tc>
                <w:tcPr>
                  <w:tcW w:w="510" w:type="pct"/>
                  <w:vMerge w:val="continue"/>
                </w:tcPr>
                <w:p w14:paraId="1D17EB23">
                  <w:pPr>
                    <w:widowControl/>
                    <w:jc w:val="center"/>
                    <w:rPr>
                      <w:rFonts w:ascii="Times New Roman" w:hAnsi="Times New Roman" w:cs="Times New Roman"/>
                      <w:sz w:val="21"/>
                      <w:szCs w:val="21"/>
                      <w:lang w:val="zh-CN" w:eastAsia="zh-CN"/>
                    </w:rPr>
                  </w:pPr>
                </w:p>
              </w:tc>
            </w:tr>
            <w:tr w14:paraId="21B5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Pr>
                <w:p w14:paraId="72245B71">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4</w:t>
                  </w:r>
                </w:p>
              </w:tc>
              <w:tc>
                <w:tcPr>
                  <w:tcW w:w="1423" w:type="pct"/>
                </w:tcPr>
                <w:p w14:paraId="77D4EC7E">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99+160~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99+960</w:t>
                  </w:r>
                </w:p>
              </w:tc>
              <w:tc>
                <w:tcPr>
                  <w:tcW w:w="410" w:type="pct"/>
                </w:tcPr>
                <w:p w14:paraId="3E819416">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800</w:t>
                  </w:r>
                </w:p>
              </w:tc>
              <w:tc>
                <w:tcPr>
                  <w:tcW w:w="492" w:type="pct"/>
                </w:tcPr>
                <w:p w14:paraId="0C1AE2A4">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1.0</w:t>
                  </w:r>
                </w:p>
              </w:tc>
              <w:tc>
                <w:tcPr>
                  <w:tcW w:w="492" w:type="pct"/>
                  <w:vMerge w:val="continue"/>
                </w:tcPr>
                <w:p w14:paraId="7E756E76">
                  <w:pPr>
                    <w:widowControl/>
                    <w:jc w:val="center"/>
                    <w:rPr>
                      <w:rFonts w:ascii="Times New Roman" w:hAnsi="Times New Roman" w:cs="Times New Roman"/>
                      <w:sz w:val="21"/>
                      <w:szCs w:val="21"/>
                      <w:lang w:val="zh-CN" w:eastAsia="zh-CN"/>
                    </w:rPr>
                  </w:pPr>
                </w:p>
              </w:tc>
              <w:tc>
                <w:tcPr>
                  <w:tcW w:w="625" w:type="pct"/>
                </w:tcPr>
                <w:p w14:paraId="7A1BB09B">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40.5</w:t>
                  </w:r>
                </w:p>
              </w:tc>
              <w:tc>
                <w:tcPr>
                  <w:tcW w:w="616" w:type="pct"/>
                  <w:vMerge w:val="continue"/>
                </w:tcPr>
                <w:p w14:paraId="1353215F">
                  <w:pPr>
                    <w:widowControl/>
                    <w:jc w:val="center"/>
                    <w:rPr>
                      <w:rFonts w:ascii="Times New Roman" w:hAnsi="Times New Roman" w:cs="Times New Roman"/>
                      <w:sz w:val="21"/>
                      <w:szCs w:val="21"/>
                      <w:lang w:val="zh-CN" w:eastAsia="zh-CN"/>
                    </w:rPr>
                  </w:pPr>
                </w:p>
              </w:tc>
              <w:tc>
                <w:tcPr>
                  <w:tcW w:w="510" w:type="pct"/>
                  <w:vMerge w:val="continue"/>
                </w:tcPr>
                <w:p w14:paraId="7734051C">
                  <w:pPr>
                    <w:widowControl/>
                    <w:jc w:val="center"/>
                    <w:rPr>
                      <w:rFonts w:ascii="Times New Roman" w:hAnsi="Times New Roman" w:cs="Times New Roman"/>
                      <w:sz w:val="21"/>
                      <w:szCs w:val="21"/>
                      <w:lang w:val="zh-CN" w:eastAsia="zh-CN"/>
                    </w:rPr>
                  </w:pPr>
                </w:p>
              </w:tc>
            </w:tr>
            <w:tr w14:paraId="4272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Pr>
                <w:p w14:paraId="608F859F">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5</w:t>
                  </w:r>
                </w:p>
              </w:tc>
              <w:tc>
                <w:tcPr>
                  <w:tcW w:w="1423" w:type="pct"/>
                </w:tcPr>
                <w:p w14:paraId="7D061AC5">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103+120~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103+300</w:t>
                  </w:r>
                </w:p>
              </w:tc>
              <w:tc>
                <w:tcPr>
                  <w:tcW w:w="410" w:type="pct"/>
                </w:tcPr>
                <w:p w14:paraId="6E3DFAFD">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180</w:t>
                  </w:r>
                </w:p>
              </w:tc>
              <w:tc>
                <w:tcPr>
                  <w:tcW w:w="492" w:type="pct"/>
                </w:tcPr>
                <w:p w14:paraId="5AD2ACD3">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2.0</w:t>
                  </w:r>
                </w:p>
              </w:tc>
              <w:tc>
                <w:tcPr>
                  <w:tcW w:w="492" w:type="pct"/>
                  <w:vMerge w:val="continue"/>
                </w:tcPr>
                <w:p w14:paraId="5F3D10AA">
                  <w:pPr>
                    <w:widowControl/>
                    <w:jc w:val="center"/>
                    <w:rPr>
                      <w:rFonts w:ascii="Times New Roman" w:hAnsi="Times New Roman" w:cs="Times New Roman"/>
                      <w:sz w:val="21"/>
                      <w:szCs w:val="21"/>
                      <w:lang w:val="zh-CN" w:eastAsia="zh-CN"/>
                    </w:rPr>
                  </w:pPr>
                </w:p>
              </w:tc>
              <w:tc>
                <w:tcPr>
                  <w:tcW w:w="625" w:type="pct"/>
                </w:tcPr>
                <w:p w14:paraId="44B526D2">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60.0</w:t>
                  </w:r>
                </w:p>
              </w:tc>
              <w:tc>
                <w:tcPr>
                  <w:tcW w:w="616" w:type="pct"/>
                  <w:vMerge w:val="continue"/>
                </w:tcPr>
                <w:p w14:paraId="749F10B1">
                  <w:pPr>
                    <w:widowControl/>
                    <w:jc w:val="center"/>
                    <w:rPr>
                      <w:rFonts w:ascii="Times New Roman" w:hAnsi="Times New Roman" w:cs="Times New Roman"/>
                      <w:sz w:val="21"/>
                      <w:szCs w:val="21"/>
                      <w:lang w:val="zh-CN" w:eastAsia="zh-CN"/>
                    </w:rPr>
                  </w:pPr>
                </w:p>
              </w:tc>
              <w:tc>
                <w:tcPr>
                  <w:tcW w:w="510" w:type="pct"/>
                  <w:vMerge w:val="continue"/>
                </w:tcPr>
                <w:p w14:paraId="15503E4E">
                  <w:pPr>
                    <w:widowControl/>
                    <w:jc w:val="center"/>
                    <w:rPr>
                      <w:rFonts w:ascii="Times New Roman" w:hAnsi="Times New Roman" w:cs="Times New Roman"/>
                      <w:sz w:val="21"/>
                      <w:szCs w:val="21"/>
                      <w:lang w:val="zh-CN" w:eastAsia="zh-CN"/>
                    </w:rPr>
                  </w:pPr>
                </w:p>
              </w:tc>
            </w:tr>
            <w:tr w14:paraId="68C8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Pr>
                <w:p w14:paraId="4E2D1A79">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6</w:t>
                  </w:r>
                </w:p>
              </w:tc>
              <w:tc>
                <w:tcPr>
                  <w:tcW w:w="1423" w:type="pct"/>
                </w:tcPr>
                <w:p w14:paraId="335D82A1">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103+660~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109+060</w:t>
                  </w:r>
                </w:p>
              </w:tc>
              <w:tc>
                <w:tcPr>
                  <w:tcW w:w="410" w:type="pct"/>
                </w:tcPr>
                <w:p w14:paraId="256918D5">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5400</w:t>
                  </w:r>
                </w:p>
              </w:tc>
              <w:tc>
                <w:tcPr>
                  <w:tcW w:w="492" w:type="pct"/>
                </w:tcPr>
                <w:p w14:paraId="4BEA5BA6">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2.0</w:t>
                  </w:r>
                </w:p>
              </w:tc>
              <w:tc>
                <w:tcPr>
                  <w:tcW w:w="492" w:type="pct"/>
                  <w:vMerge w:val="continue"/>
                </w:tcPr>
                <w:p w14:paraId="78CAD8F3">
                  <w:pPr>
                    <w:widowControl/>
                    <w:jc w:val="center"/>
                    <w:rPr>
                      <w:rFonts w:ascii="Times New Roman" w:hAnsi="Times New Roman" w:cs="Times New Roman"/>
                      <w:sz w:val="21"/>
                      <w:szCs w:val="21"/>
                      <w:lang w:val="zh-CN" w:eastAsia="zh-CN"/>
                    </w:rPr>
                  </w:pPr>
                </w:p>
              </w:tc>
              <w:tc>
                <w:tcPr>
                  <w:tcW w:w="625" w:type="pct"/>
                </w:tcPr>
                <w:p w14:paraId="18F1E6D4">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87.0</w:t>
                  </w:r>
                </w:p>
              </w:tc>
              <w:tc>
                <w:tcPr>
                  <w:tcW w:w="616" w:type="pct"/>
                  <w:vMerge w:val="continue"/>
                </w:tcPr>
                <w:p w14:paraId="133112EF">
                  <w:pPr>
                    <w:widowControl/>
                    <w:jc w:val="center"/>
                    <w:rPr>
                      <w:rFonts w:ascii="Times New Roman" w:hAnsi="Times New Roman" w:cs="Times New Roman"/>
                      <w:sz w:val="21"/>
                      <w:szCs w:val="21"/>
                      <w:lang w:val="zh-CN" w:eastAsia="zh-CN"/>
                    </w:rPr>
                  </w:pPr>
                </w:p>
              </w:tc>
              <w:tc>
                <w:tcPr>
                  <w:tcW w:w="510" w:type="pct"/>
                  <w:vMerge w:val="continue"/>
                </w:tcPr>
                <w:p w14:paraId="5CB00BFA">
                  <w:pPr>
                    <w:widowControl/>
                    <w:jc w:val="center"/>
                    <w:rPr>
                      <w:rFonts w:ascii="Times New Roman" w:hAnsi="Times New Roman" w:cs="Times New Roman"/>
                      <w:sz w:val="21"/>
                      <w:szCs w:val="21"/>
                      <w:lang w:val="zh-CN" w:eastAsia="zh-CN"/>
                    </w:rPr>
                  </w:pPr>
                </w:p>
              </w:tc>
            </w:tr>
            <w:tr w14:paraId="51D9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Pr>
                <w:p w14:paraId="688ACDB8">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7</w:t>
                  </w:r>
                </w:p>
              </w:tc>
              <w:tc>
                <w:tcPr>
                  <w:tcW w:w="1423" w:type="pct"/>
                </w:tcPr>
                <w:p w14:paraId="3002F4D2">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110+260~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115+160</w:t>
                  </w:r>
                </w:p>
              </w:tc>
              <w:tc>
                <w:tcPr>
                  <w:tcW w:w="410" w:type="pct"/>
                </w:tcPr>
                <w:p w14:paraId="7C76E21E">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4900</w:t>
                  </w:r>
                </w:p>
              </w:tc>
              <w:tc>
                <w:tcPr>
                  <w:tcW w:w="492" w:type="pct"/>
                </w:tcPr>
                <w:p w14:paraId="77CDA430">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3.0</w:t>
                  </w:r>
                </w:p>
              </w:tc>
              <w:tc>
                <w:tcPr>
                  <w:tcW w:w="492" w:type="pct"/>
                  <w:vMerge w:val="continue"/>
                </w:tcPr>
                <w:p w14:paraId="2720B90E">
                  <w:pPr>
                    <w:widowControl/>
                    <w:jc w:val="center"/>
                    <w:rPr>
                      <w:rFonts w:ascii="Times New Roman" w:hAnsi="Times New Roman" w:cs="Times New Roman"/>
                      <w:sz w:val="21"/>
                      <w:szCs w:val="21"/>
                      <w:lang w:val="zh-CN" w:eastAsia="zh-CN"/>
                    </w:rPr>
                  </w:pPr>
                </w:p>
              </w:tc>
              <w:tc>
                <w:tcPr>
                  <w:tcW w:w="625" w:type="pct"/>
                </w:tcPr>
                <w:p w14:paraId="2D680C0E">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177.0</w:t>
                  </w:r>
                </w:p>
              </w:tc>
              <w:tc>
                <w:tcPr>
                  <w:tcW w:w="616" w:type="pct"/>
                  <w:vMerge w:val="continue"/>
                </w:tcPr>
                <w:p w14:paraId="0BA330E2">
                  <w:pPr>
                    <w:widowControl/>
                    <w:jc w:val="center"/>
                    <w:rPr>
                      <w:rFonts w:ascii="Times New Roman" w:hAnsi="Times New Roman" w:cs="Times New Roman"/>
                      <w:sz w:val="21"/>
                      <w:szCs w:val="21"/>
                      <w:lang w:val="zh-CN" w:eastAsia="zh-CN"/>
                    </w:rPr>
                  </w:pPr>
                </w:p>
              </w:tc>
              <w:tc>
                <w:tcPr>
                  <w:tcW w:w="510" w:type="pct"/>
                  <w:vMerge w:val="continue"/>
                </w:tcPr>
                <w:p w14:paraId="0E96FFA2">
                  <w:pPr>
                    <w:widowControl/>
                    <w:jc w:val="center"/>
                    <w:rPr>
                      <w:rFonts w:ascii="Times New Roman" w:hAnsi="Times New Roman" w:cs="Times New Roman"/>
                      <w:sz w:val="21"/>
                      <w:szCs w:val="21"/>
                      <w:lang w:val="zh-CN" w:eastAsia="zh-CN"/>
                    </w:rPr>
                  </w:pPr>
                </w:p>
              </w:tc>
            </w:tr>
            <w:tr w14:paraId="29CE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Pr>
                <w:p w14:paraId="4DC2CB88">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8</w:t>
                  </w:r>
                </w:p>
              </w:tc>
              <w:tc>
                <w:tcPr>
                  <w:tcW w:w="1423" w:type="pct"/>
                </w:tcPr>
                <w:p w14:paraId="45070C14">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116+160~k117+460</w:t>
                  </w:r>
                </w:p>
              </w:tc>
              <w:tc>
                <w:tcPr>
                  <w:tcW w:w="410" w:type="pct"/>
                </w:tcPr>
                <w:p w14:paraId="3A6735C8">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1300</w:t>
                  </w:r>
                </w:p>
              </w:tc>
              <w:tc>
                <w:tcPr>
                  <w:tcW w:w="492" w:type="pct"/>
                </w:tcPr>
                <w:p w14:paraId="2486FD52">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2.0</w:t>
                  </w:r>
                </w:p>
              </w:tc>
              <w:tc>
                <w:tcPr>
                  <w:tcW w:w="492" w:type="pct"/>
                  <w:vMerge w:val="continue"/>
                </w:tcPr>
                <w:p w14:paraId="69B0E716">
                  <w:pPr>
                    <w:widowControl/>
                    <w:jc w:val="center"/>
                    <w:rPr>
                      <w:rFonts w:ascii="Times New Roman" w:hAnsi="Times New Roman" w:cs="Times New Roman"/>
                      <w:sz w:val="21"/>
                      <w:szCs w:val="21"/>
                      <w:lang w:val="zh-CN" w:eastAsia="zh-CN"/>
                    </w:rPr>
                  </w:pPr>
                </w:p>
              </w:tc>
              <w:tc>
                <w:tcPr>
                  <w:tcW w:w="625" w:type="pct"/>
                </w:tcPr>
                <w:p w14:paraId="429E2EF4">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85.5</w:t>
                  </w:r>
                </w:p>
              </w:tc>
              <w:tc>
                <w:tcPr>
                  <w:tcW w:w="616" w:type="pct"/>
                  <w:vMerge w:val="continue"/>
                </w:tcPr>
                <w:p w14:paraId="497C1910">
                  <w:pPr>
                    <w:widowControl/>
                    <w:jc w:val="center"/>
                    <w:rPr>
                      <w:rFonts w:ascii="Times New Roman" w:hAnsi="Times New Roman" w:cs="Times New Roman"/>
                      <w:sz w:val="21"/>
                      <w:szCs w:val="21"/>
                      <w:lang w:val="zh-CN" w:eastAsia="zh-CN"/>
                    </w:rPr>
                  </w:pPr>
                </w:p>
              </w:tc>
              <w:tc>
                <w:tcPr>
                  <w:tcW w:w="510" w:type="pct"/>
                  <w:vMerge w:val="continue"/>
                </w:tcPr>
                <w:p w14:paraId="38DA4D29">
                  <w:pPr>
                    <w:widowControl/>
                    <w:jc w:val="center"/>
                    <w:rPr>
                      <w:rFonts w:ascii="Times New Roman" w:hAnsi="Times New Roman" w:cs="Times New Roman"/>
                      <w:sz w:val="21"/>
                      <w:szCs w:val="21"/>
                      <w:lang w:val="zh-CN" w:eastAsia="zh-CN"/>
                    </w:rPr>
                  </w:pPr>
                </w:p>
              </w:tc>
            </w:tr>
            <w:tr w14:paraId="3EC5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32" w:type="pct"/>
                </w:tcPr>
                <w:p w14:paraId="24D44CEC">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9</w:t>
                  </w:r>
                </w:p>
              </w:tc>
              <w:tc>
                <w:tcPr>
                  <w:tcW w:w="1423" w:type="pct"/>
                </w:tcPr>
                <w:p w14:paraId="7F97BE37">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117+920~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125+370</w:t>
                  </w:r>
                </w:p>
              </w:tc>
              <w:tc>
                <w:tcPr>
                  <w:tcW w:w="410" w:type="pct"/>
                </w:tcPr>
                <w:p w14:paraId="7B6944EE">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7450</w:t>
                  </w:r>
                </w:p>
              </w:tc>
              <w:tc>
                <w:tcPr>
                  <w:tcW w:w="492" w:type="pct"/>
                </w:tcPr>
                <w:p w14:paraId="10864F88">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2.0</w:t>
                  </w:r>
                </w:p>
              </w:tc>
              <w:tc>
                <w:tcPr>
                  <w:tcW w:w="492" w:type="pct"/>
                  <w:vMerge w:val="continue"/>
                </w:tcPr>
                <w:p w14:paraId="0BA5CBA2">
                  <w:pPr>
                    <w:widowControl/>
                    <w:jc w:val="center"/>
                    <w:rPr>
                      <w:rFonts w:ascii="Times New Roman" w:hAnsi="Times New Roman" w:cs="Times New Roman"/>
                      <w:sz w:val="21"/>
                      <w:szCs w:val="21"/>
                      <w:lang w:val="zh-CN" w:eastAsia="zh-CN"/>
                    </w:rPr>
                  </w:pPr>
                </w:p>
              </w:tc>
              <w:tc>
                <w:tcPr>
                  <w:tcW w:w="625" w:type="pct"/>
                </w:tcPr>
                <w:p w14:paraId="7281B44E">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229.5</w:t>
                  </w:r>
                </w:p>
              </w:tc>
              <w:tc>
                <w:tcPr>
                  <w:tcW w:w="616" w:type="pct"/>
                  <w:vMerge w:val="continue"/>
                </w:tcPr>
                <w:p w14:paraId="74EF05D9">
                  <w:pPr>
                    <w:widowControl/>
                    <w:jc w:val="center"/>
                    <w:rPr>
                      <w:rFonts w:ascii="Times New Roman" w:hAnsi="Times New Roman" w:cs="Times New Roman"/>
                      <w:sz w:val="21"/>
                      <w:szCs w:val="21"/>
                      <w:lang w:val="zh-CN" w:eastAsia="zh-CN"/>
                    </w:rPr>
                  </w:pPr>
                </w:p>
              </w:tc>
              <w:tc>
                <w:tcPr>
                  <w:tcW w:w="510" w:type="pct"/>
                  <w:vMerge w:val="continue"/>
                </w:tcPr>
                <w:p w14:paraId="10C05D3B">
                  <w:pPr>
                    <w:widowControl/>
                    <w:jc w:val="center"/>
                    <w:rPr>
                      <w:rFonts w:ascii="Times New Roman" w:hAnsi="Times New Roman" w:cs="Times New Roman"/>
                      <w:sz w:val="21"/>
                      <w:szCs w:val="21"/>
                      <w:lang w:val="zh-CN" w:eastAsia="zh-CN"/>
                    </w:rPr>
                  </w:pPr>
                </w:p>
              </w:tc>
            </w:tr>
          </w:tbl>
          <w:p w14:paraId="39E49950">
            <w:pPr>
              <w:widowControl/>
              <w:jc w:val="center"/>
              <w:rPr>
                <w:rFonts w:ascii="Times New Roman" w:hAnsi="Times New Roman" w:cs="Times New Roman"/>
                <w:b/>
                <w:szCs w:val="21"/>
                <w:lang w:val="zh-CN" w:eastAsia="zh-CN"/>
              </w:rPr>
            </w:pPr>
          </w:p>
          <w:p w14:paraId="11DA65D6">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在公路工程中，地表以下</w:t>
            </w:r>
            <w:r>
              <w:rPr>
                <w:rFonts w:ascii="Times New Roman" w:hAnsi="Times New Roman" w:cs="Times New Roman"/>
                <w:sz w:val="24"/>
                <w:szCs w:val="24"/>
                <w:lang w:eastAsia="zh-CN"/>
              </w:rPr>
              <w:t>1.0m范围内易溶盐含量平均大于0.3%的土称为盐渍土。</w:t>
            </w:r>
            <w:r>
              <w:rPr>
                <w:rFonts w:hint="eastAsia" w:ascii="Times New Roman" w:hAnsi="Times New Roman" w:cs="Times New Roman"/>
                <w:sz w:val="24"/>
                <w:szCs w:val="24"/>
                <w:lang w:eastAsia="zh-CN"/>
              </w:rPr>
              <w:t>盐渍土的成因为蒸发量远远大于降水量，在春季冰雪融化或夏季骤降暴雨后，易形成地表径流，在其溶解了沿途土体内的盐分后，成为含盐的矿化地表水，当流出山口或流速减慢，形成漫流时，在强烈的地表蒸发下，流程不长就被蒸发殆尽，水中的盐分即聚集在地表或地表以下一定深度范围内，形成盐渍土，其含盐成分与地表水所溶解的盐的成分直接相关。</w:t>
            </w:r>
            <w:r>
              <w:rPr>
                <w:rFonts w:ascii="Times New Roman" w:hAnsi="Times New Roman" w:cs="Times New Roman"/>
                <w:sz w:val="24"/>
                <w:szCs w:val="24"/>
                <w:lang w:eastAsia="zh-CN"/>
              </w:rPr>
              <w:t>盐渍土的轻重程度和其所处的位置有关，根据收集资料结合《公路工程地质勘察规范》（JTG C20-2011）表SK.0.3综合判定沿线场地环境类型为Ⅲ类。结合现场勘察土工试验综合分析，</w:t>
            </w:r>
            <w:r>
              <w:rPr>
                <w:rFonts w:hint="eastAsia" w:ascii="Times New Roman" w:hAnsi="Times New Roman" w:cs="Times New Roman"/>
                <w:sz w:val="24"/>
                <w:szCs w:val="24"/>
                <w:lang w:eastAsia="zh-CN"/>
              </w:rPr>
              <w:t>项目盐渍土段落长度共计</w:t>
            </w:r>
            <w:r>
              <w:rPr>
                <w:rFonts w:ascii="Times New Roman" w:hAnsi="Times New Roman" w:cs="Times New Roman"/>
                <w:sz w:val="24"/>
                <w:szCs w:val="24"/>
                <w:lang w:eastAsia="zh-CN"/>
              </w:rPr>
              <w:t>76.31km</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本项目路线盐渍土分布详见表</w:t>
            </w:r>
            <w:r>
              <w:rPr>
                <w:rFonts w:hint="eastAsia" w:ascii="Times New Roman" w:hAnsi="Times New Roman" w:cs="Times New Roman"/>
                <w:sz w:val="24"/>
                <w:szCs w:val="24"/>
                <w:lang w:eastAsia="zh-CN"/>
              </w:rPr>
              <w:t>3</w:t>
            </w:r>
            <w:r>
              <w:rPr>
                <w:rFonts w:ascii="Times New Roman" w:hAnsi="Times New Roman" w:cs="Times New Roman"/>
                <w:sz w:val="24"/>
                <w:szCs w:val="24"/>
                <w:lang w:eastAsia="zh-CN"/>
              </w:rPr>
              <w:t>.8。</w:t>
            </w:r>
          </w:p>
          <w:p w14:paraId="02817912">
            <w:pPr>
              <w:widowControl/>
              <w:jc w:val="center"/>
              <w:rPr>
                <w:rFonts w:ascii="Times New Roman" w:hAnsi="Times New Roman" w:cs="Times New Roman"/>
                <w:b/>
                <w:szCs w:val="21"/>
                <w:lang w:val="zh-CN" w:eastAsia="zh-CN"/>
              </w:rPr>
            </w:pPr>
            <w:r>
              <w:rPr>
                <w:rFonts w:ascii="Times New Roman" w:hAnsi="Times New Roman" w:cs="Times New Roman"/>
                <w:b/>
                <w:szCs w:val="21"/>
                <w:lang w:val="zh-CN" w:eastAsia="zh-CN"/>
              </w:rPr>
              <w:t xml:space="preserve">表3.8  </w:t>
            </w:r>
            <w:r>
              <w:rPr>
                <w:rFonts w:hint="eastAsia" w:ascii="Times New Roman" w:hAnsi="Times New Roman" w:cs="Times New Roman"/>
                <w:b/>
                <w:szCs w:val="21"/>
                <w:lang w:val="zh-CN" w:eastAsia="zh-CN"/>
              </w:rPr>
              <w:t xml:space="preserve">盐渍土分段统计表 </w:t>
            </w:r>
            <w:r>
              <w:rPr>
                <w:rFonts w:ascii="Times New Roman" w:hAnsi="Times New Roman" w:cs="Times New Roman"/>
                <w:b/>
                <w:szCs w:val="21"/>
                <w:lang w:val="zh-CN" w:eastAsia="zh-CN"/>
              </w:rPr>
              <w:t xml:space="preserve">   </w:t>
            </w:r>
            <w:r>
              <w:rPr>
                <w:rFonts w:hint="eastAsia" w:ascii="Times New Roman" w:hAnsi="Times New Roman" w:cs="Times New Roman"/>
                <w:b/>
                <w:szCs w:val="21"/>
                <w:lang w:val="zh-CN" w:eastAsia="zh-CN"/>
              </w:rPr>
              <w:t>单位：m</w:t>
            </w:r>
          </w:p>
          <w:tbl>
            <w:tblPr>
              <w:tblStyle w:val="12"/>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2116"/>
              <w:gridCol w:w="766"/>
              <w:gridCol w:w="2798"/>
              <w:gridCol w:w="709"/>
              <w:gridCol w:w="864"/>
              <w:gridCol w:w="876"/>
            </w:tblGrid>
            <w:tr w14:paraId="0F19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1" w:type="pct"/>
                  <w:vAlign w:val="center"/>
                </w:tcPr>
                <w:p w14:paraId="3C0E4F1A">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序号</w:t>
                  </w:r>
                </w:p>
              </w:tc>
              <w:tc>
                <w:tcPr>
                  <w:tcW w:w="1226" w:type="pct"/>
                  <w:vAlign w:val="center"/>
                </w:tcPr>
                <w:p w14:paraId="0BFD6EB2">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涉及桩号</w:t>
                  </w:r>
                </w:p>
              </w:tc>
              <w:tc>
                <w:tcPr>
                  <w:tcW w:w="444" w:type="pct"/>
                  <w:vAlign w:val="center"/>
                </w:tcPr>
                <w:p w14:paraId="148C4968">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长度</w:t>
                  </w:r>
                </w:p>
              </w:tc>
              <w:tc>
                <w:tcPr>
                  <w:tcW w:w="1621" w:type="pct"/>
                  <w:vAlign w:val="center"/>
                </w:tcPr>
                <w:p w14:paraId="64E8CABC">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类型</w:t>
                  </w:r>
                </w:p>
              </w:tc>
              <w:tc>
                <w:tcPr>
                  <w:tcW w:w="411" w:type="pct"/>
                  <w:vAlign w:val="center"/>
                </w:tcPr>
                <w:p w14:paraId="41CC93B8">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危害</w:t>
                  </w:r>
                </w:p>
                <w:p w14:paraId="51B671BA">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程度</w:t>
                  </w:r>
                </w:p>
              </w:tc>
              <w:tc>
                <w:tcPr>
                  <w:tcW w:w="500" w:type="pct"/>
                  <w:vAlign w:val="center"/>
                </w:tcPr>
                <w:p w14:paraId="368460E0">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处理</w:t>
                  </w:r>
                </w:p>
                <w:p w14:paraId="5F35C7D5">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措施</w:t>
                  </w:r>
                </w:p>
              </w:tc>
              <w:tc>
                <w:tcPr>
                  <w:tcW w:w="507" w:type="pct"/>
                  <w:vAlign w:val="center"/>
                </w:tcPr>
                <w:p w14:paraId="2D40195C">
                  <w:pPr>
                    <w:widowControl/>
                    <w:jc w:val="center"/>
                    <w:rPr>
                      <w:rFonts w:ascii="Times New Roman" w:hAnsi="Times New Roman" w:cs="Times New Roman"/>
                      <w:b/>
                      <w:sz w:val="21"/>
                      <w:szCs w:val="21"/>
                      <w:lang w:val="zh-CN" w:eastAsia="zh-CN"/>
                    </w:rPr>
                  </w:pPr>
                  <w:r>
                    <w:rPr>
                      <w:rFonts w:hint="eastAsia" w:ascii="Times New Roman" w:hAnsi="Times New Roman" w:cs="Times New Roman"/>
                      <w:b/>
                      <w:sz w:val="21"/>
                      <w:szCs w:val="21"/>
                      <w:lang w:val="zh-CN" w:eastAsia="zh-CN"/>
                    </w:rPr>
                    <w:t>盐胀性评价</w:t>
                  </w:r>
                </w:p>
              </w:tc>
            </w:tr>
            <w:tr w14:paraId="3B2E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68711780">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1</w:t>
                  </w:r>
                </w:p>
              </w:tc>
              <w:tc>
                <w:tcPr>
                  <w:tcW w:w="1226" w:type="pct"/>
                  <w:vAlign w:val="center"/>
                </w:tcPr>
                <w:p w14:paraId="559F856E">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49+060~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107+810</w:t>
                  </w:r>
                </w:p>
              </w:tc>
              <w:tc>
                <w:tcPr>
                  <w:tcW w:w="444" w:type="pct"/>
                  <w:vAlign w:val="center"/>
                </w:tcPr>
                <w:p w14:paraId="63CEB76F">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58750</w:t>
                  </w:r>
                </w:p>
              </w:tc>
              <w:tc>
                <w:tcPr>
                  <w:tcW w:w="1621" w:type="pct"/>
                  <w:vAlign w:val="center"/>
                </w:tcPr>
                <w:p w14:paraId="0C5FFB70">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氯</w:t>
                  </w:r>
                  <w:r>
                    <w:rPr>
                      <w:rFonts w:ascii="Times New Roman" w:hAnsi="Times New Roman" w:cs="Times New Roman"/>
                      <w:sz w:val="21"/>
                      <w:szCs w:val="21"/>
                      <w:lang w:val="zh-CN" w:eastAsia="zh-CN"/>
                    </w:rPr>
                    <w:t>-亚氯盐、</w:t>
                  </w:r>
                  <w:r>
                    <w:rPr>
                      <w:rFonts w:hint="eastAsia" w:ascii="Times New Roman" w:hAnsi="Times New Roman" w:cs="Times New Roman"/>
                      <w:sz w:val="21"/>
                      <w:szCs w:val="21"/>
                      <w:lang w:val="zh-CN" w:eastAsia="zh-CN"/>
                    </w:rPr>
                    <w:t>硫酸</w:t>
                  </w:r>
                  <w:r>
                    <w:rPr>
                      <w:rFonts w:ascii="Times New Roman" w:hAnsi="Times New Roman" w:cs="Times New Roman"/>
                      <w:sz w:val="21"/>
                      <w:szCs w:val="21"/>
                      <w:lang w:val="zh-CN" w:eastAsia="zh-CN"/>
                    </w:rPr>
                    <w:t>-亚硫酸盐</w:t>
                  </w:r>
                </w:p>
              </w:tc>
              <w:tc>
                <w:tcPr>
                  <w:tcW w:w="411" w:type="pct"/>
                  <w:vMerge w:val="restart"/>
                  <w:vAlign w:val="center"/>
                </w:tcPr>
                <w:p w14:paraId="593DB08F">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一般</w:t>
                  </w:r>
                </w:p>
              </w:tc>
              <w:tc>
                <w:tcPr>
                  <w:tcW w:w="500" w:type="pct"/>
                  <w:vMerge w:val="restart"/>
                  <w:vAlign w:val="center"/>
                </w:tcPr>
                <w:p w14:paraId="2EAB329F">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清表处理，换填并设置隔断层</w:t>
                  </w:r>
                </w:p>
              </w:tc>
              <w:tc>
                <w:tcPr>
                  <w:tcW w:w="507" w:type="pct"/>
                  <w:vAlign w:val="center"/>
                </w:tcPr>
                <w:p w14:paraId="78C1BAFA">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非盐胀</w:t>
                  </w:r>
                </w:p>
              </w:tc>
            </w:tr>
            <w:tr w14:paraId="1B23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1307848F">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2</w:t>
                  </w:r>
                </w:p>
              </w:tc>
              <w:tc>
                <w:tcPr>
                  <w:tcW w:w="1226" w:type="pct"/>
                  <w:vAlign w:val="center"/>
                </w:tcPr>
                <w:p w14:paraId="22751427">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107+810~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115+260</w:t>
                  </w:r>
                </w:p>
              </w:tc>
              <w:tc>
                <w:tcPr>
                  <w:tcW w:w="444" w:type="pct"/>
                  <w:vAlign w:val="center"/>
                </w:tcPr>
                <w:p w14:paraId="0092EA79">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7450</w:t>
                  </w:r>
                </w:p>
              </w:tc>
              <w:tc>
                <w:tcPr>
                  <w:tcW w:w="1621" w:type="pct"/>
                  <w:vAlign w:val="center"/>
                </w:tcPr>
                <w:p w14:paraId="1F39D051">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氯盐、</w:t>
                  </w:r>
                  <w:r>
                    <w:rPr>
                      <w:rFonts w:hint="eastAsia" w:ascii="Times New Roman" w:hAnsi="Times New Roman" w:cs="Times New Roman"/>
                      <w:sz w:val="21"/>
                      <w:szCs w:val="21"/>
                      <w:lang w:val="zh-CN" w:eastAsia="zh-CN"/>
                    </w:rPr>
                    <w:t>硫酸</w:t>
                  </w:r>
                  <w:r>
                    <w:rPr>
                      <w:rFonts w:ascii="Times New Roman" w:hAnsi="Times New Roman" w:cs="Times New Roman"/>
                      <w:sz w:val="21"/>
                      <w:szCs w:val="21"/>
                      <w:lang w:val="zh-CN" w:eastAsia="zh-CN"/>
                    </w:rPr>
                    <w:t>-亚硫酸盐</w:t>
                  </w:r>
                </w:p>
              </w:tc>
              <w:tc>
                <w:tcPr>
                  <w:tcW w:w="411" w:type="pct"/>
                  <w:vMerge w:val="continue"/>
                  <w:vAlign w:val="center"/>
                </w:tcPr>
                <w:p w14:paraId="07F97B49">
                  <w:pPr>
                    <w:widowControl/>
                    <w:jc w:val="center"/>
                    <w:rPr>
                      <w:rFonts w:ascii="Times New Roman" w:hAnsi="Times New Roman" w:cs="Times New Roman"/>
                      <w:sz w:val="21"/>
                      <w:szCs w:val="21"/>
                      <w:lang w:val="zh-CN" w:eastAsia="zh-CN"/>
                    </w:rPr>
                  </w:pPr>
                </w:p>
              </w:tc>
              <w:tc>
                <w:tcPr>
                  <w:tcW w:w="500" w:type="pct"/>
                  <w:vMerge w:val="continue"/>
                  <w:vAlign w:val="center"/>
                </w:tcPr>
                <w:p w14:paraId="08FB65EB">
                  <w:pPr>
                    <w:widowControl/>
                    <w:jc w:val="center"/>
                    <w:rPr>
                      <w:rFonts w:ascii="Times New Roman" w:hAnsi="Times New Roman" w:cs="Times New Roman"/>
                      <w:sz w:val="21"/>
                      <w:szCs w:val="21"/>
                      <w:lang w:val="zh-CN" w:eastAsia="zh-CN"/>
                    </w:rPr>
                  </w:pPr>
                </w:p>
              </w:tc>
              <w:tc>
                <w:tcPr>
                  <w:tcW w:w="507" w:type="pct"/>
                  <w:vAlign w:val="center"/>
                </w:tcPr>
                <w:p w14:paraId="2F81A1A8">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弱盐胀</w:t>
                  </w:r>
                </w:p>
              </w:tc>
            </w:tr>
            <w:tr w14:paraId="0E67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38DF2DC8">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3</w:t>
                  </w:r>
                </w:p>
              </w:tc>
              <w:tc>
                <w:tcPr>
                  <w:tcW w:w="1226" w:type="pct"/>
                  <w:vAlign w:val="center"/>
                </w:tcPr>
                <w:p w14:paraId="64EC168D">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115+260~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124+260</w:t>
                  </w:r>
                </w:p>
              </w:tc>
              <w:tc>
                <w:tcPr>
                  <w:tcW w:w="444" w:type="pct"/>
                  <w:vAlign w:val="center"/>
                </w:tcPr>
                <w:p w14:paraId="502A0CEB">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9000</w:t>
                  </w:r>
                </w:p>
              </w:tc>
              <w:tc>
                <w:tcPr>
                  <w:tcW w:w="1621" w:type="pct"/>
                  <w:vAlign w:val="center"/>
                </w:tcPr>
                <w:p w14:paraId="783E6A36">
                  <w:pPr>
                    <w:widowControl/>
                    <w:jc w:val="center"/>
                    <w:rPr>
                      <w:rFonts w:ascii="Times New Roman" w:hAnsi="Times New Roman" w:cs="Times New Roman"/>
                      <w:sz w:val="21"/>
                      <w:szCs w:val="21"/>
                      <w:lang w:val="zh-CN" w:eastAsia="zh-CN"/>
                    </w:rPr>
                  </w:pPr>
                  <w:r>
                    <w:rPr>
                      <w:rFonts w:ascii="Times New Roman" w:hAnsi="Times New Roman" w:cs="Times New Roman"/>
                      <w:sz w:val="21"/>
                      <w:szCs w:val="21"/>
                      <w:lang w:val="zh-CN" w:eastAsia="zh-CN"/>
                    </w:rPr>
                    <w:t>亚氯盐、亚硫酸盐</w:t>
                  </w:r>
                </w:p>
              </w:tc>
              <w:tc>
                <w:tcPr>
                  <w:tcW w:w="411" w:type="pct"/>
                  <w:vMerge w:val="continue"/>
                  <w:vAlign w:val="center"/>
                </w:tcPr>
                <w:p w14:paraId="0D7D8777">
                  <w:pPr>
                    <w:widowControl/>
                    <w:jc w:val="center"/>
                    <w:rPr>
                      <w:rFonts w:ascii="Times New Roman" w:hAnsi="Times New Roman" w:cs="Times New Roman"/>
                      <w:sz w:val="21"/>
                      <w:szCs w:val="21"/>
                      <w:lang w:val="zh-CN" w:eastAsia="zh-CN"/>
                    </w:rPr>
                  </w:pPr>
                </w:p>
              </w:tc>
              <w:tc>
                <w:tcPr>
                  <w:tcW w:w="500" w:type="pct"/>
                  <w:vMerge w:val="continue"/>
                  <w:vAlign w:val="center"/>
                </w:tcPr>
                <w:p w14:paraId="23C29ECC">
                  <w:pPr>
                    <w:widowControl/>
                    <w:jc w:val="center"/>
                    <w:rPr>
                      <w:rFonts w:ascii="Times New Roman" w:hAnsi="Times New Roman" w:cs="Times New Roman"/>
                      <w:sz w:val="21"/>
                      <w:szCs w:val="21"/>
                      <w:lang w:val="zh-CN" w:eastAsia="zh-CN"/>
                    </w:rPr>
                  </w:pPr>
                </w:p>
              </w:tc>
              <w:tc>
                <w:tcPr>
                  <w:tcW w:w="507" w:type="pct"/>
                  <w:vAlign w:val="center"/>
                </w:tcPr>
                <w:p w14:paraId="7C52C548">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弱盐胀</w:t>
                  </w:r>
                </w:p>
              </w:tc>
            </w:tr>
            <w:tr w14:paraId="79AD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2EACE439">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4</w:t>
                  </w:r>
                </w:p>
              </w:tc>
              <w:tc>
                <w:tcPr>
                  <w:tcW w:w="1226" w:type="pct"/>
                  <w:vAlign w:val="center"/>
                </w:tcPr>
                <w:p w14:paraId="39BC1AF3">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124+260~</w:t>
                  </w:r>
                  <w:r>
                    <w:rPr>
                      <w:rFonts w:hint="eastAsia" w:ascii="Times New Roman" w:hAnsi="Times New Roman" w:cs="Times New Roman"/>
                      <w:sz w:val="21"/>
                      <w:szCs w:val="21"/>
                      <w:lang w:val="zh-CN" w:eastAsia="zh-CN"/>
                    </w:rPr>
                    <w:t>k</w:t>
                  </w:r>
                  <w:r>
                    <w:rPr>
                      <w:rFonts w:ascii="Times New Roman" w:hAnsi="Times New Roman" w:cs="Times New Roman"/>
                      <w:sz w:val="21"/>
                      <w:szCs w:val="21"/>
                      <w:lang w:val="zh-CN" w:eastAsia="zh-CN"/>
                    </w:rPr>
                    <w:t>125+370</w:t>
                  </w:r>
                </w:p>
              </w:tc>
              <w:tc>
                <w:tcPr>
                  <w:tcW w:w="444" w:type="pct"/>
                  <w:vAlign w:val="center"/>
                </w:tcPr>
                <w:p w14:paraId="0062B79E">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1110</w:t>
                  </w:r>
                </w:p>
              </w:tc>
              <w:tc>
                <w:tcPr>
                  <w:tcW w:w="1621" w:type="pct"/>
                  <w:vAlign w:val="center"/>
                </w:tcPr>
                <w:p w14:paraId="662AEBFB">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氯</w:t>
                  </w:r>
                  <w:r>
                    <w:rPr>
                      <w:rFonts w:ascii="Times New Roman" w:hAnsi="Times New Roman" w:cs="Times New Roman"/>
                      <w:sz w:val="21"/>
                      <w:szCs w:val="21"/>
                      <w:lang w:val="zh-CN" w:eastAsia="zh-CN"/>
                    </w:rPr>
                    <w:t>-亚氯盐、</w:t>
                  </w:r>
                  <w:r>
                    <w:rPr>
                      <w:rFonts w:hint="eastAsia" w:ascii="Times New Roman" w:hAnsi="Times New Roman" w:cs="Times New Roman"/>
                      <w:sz w:val="21"/>
                      <w:szCs w:val="21"/>
                      <w:lang w:val="zh-CN" w:eastAsia="zh-CN"/>
                    </w:rPr>
                    <w:t>硫酸</w:t>
                  </w:r>
                  <w:r>
                    <w:rPr>
                      <w:rFonts w:ascii="Times New Roman" w:hAnsi="Times New Roman" w:cs="Times New Roman"/>
                      <w:sz w:val="21"/>
                      <w:szCs w:val="21"/>
                      <w:lang w:val="zh-CN" w:eastAsia="zh-CN"/>
                    </w:rPr>
                    <w:t>-亚硫酸盐</w:t>
                  </w:r>
                </w:p>
              </w:tc>
              <w:tc>
                <w:tcPr>
                  <w:tcW w:w="411" w:type="pct"/>
                  <w:vMerge w:val="continue"/>
                  <w:vAlign w:val="center"/>
                </w:tcPr>
                <w:p w14:paraId="17ABF63F">
                  <w:pPr>
                    <w:widowControl/>
                    <w:jc w:val="center"/>
                    <w:rPr>
                      <w:rFonts w:ascii="Times New Roman" w:hAnsi="Times New Roman" w:cs="Times New Roman"/>
                      <w:sz w:val="21"/>
                      <w:szCs w:val="21"/>
                      <w:lang w:val="zh-CN" w:eastAsia="zh-CN"/>
                    </w:rPr>
                  </w:pPr>
                </w:p>
              </w:tc>
              <w:tc>
                <w:tcPr>
                  <w:tcW w:w="500" w:type="pct"/>
                  <w:vMerge w:val="continue"/>
                  <w:vAlign w:val="center"/>
                </w:tcPr>
                <w:p w14:paraId="3B128CA1">
                  <w:pPr>
                    <w:widowControl/>
                    <w:jc w:val="center"/>
                    <w:rPr>
                      <w:rFonts w:ascii="Times New Roman" w:hAnsi="Times New Roman" w:cs="Times New Roman"/>
                      <w:sz w:val="21"/>
                      <w:szCs w:val="21"/>
                      <w:lang w:val="zh-CN" w:eastAsia="zh-CN"/>
                    </w:rPr>
                  </w:pPr>
                </w:p>
              </w:tc>
              <w:tc>
                <w:tcPr>
                  <w:tcW w:w="507" w:type="pct"/>
                  <w:vAlign w:val="center"/>
                </w:tcPr>
                <w:p w14:paraId="51A9C9BD">
                  <w:pPr>
                    <w:widowControl/>
                    <w:jc w:val="center"/>
                    <w:rPr>
                      <w:rFonts w:ascii="Times New Roman" w:hAnsi="Times New Roman" w:cs="Times New Roman"/>
                      <w:sz w:val="21"/>
                      <w:szCs w:val="21"/>
                      <w:lang w:val="zh-CN" w:eastAsia="zh-CN"/>
                    </w:rPr>
                  </w:pPr>
                  <w:r>
                    <w:rPr>
                      <w:rFonts w:hint="eastAsia" w:ascii="Times New Roman" w:hAnsi="Times New Roman" w:cs="Times New Roman"/>
                      <w:sz w:val="21"/>
                      <w:szCs w:val="21"/>
                      <w:lang w:val="zh-CN" w:eastAsia="zh-CN"/>
                    </w:rPr>
                    <w:t>弱盐胀</w:t>
                  </w:r>
                </w:p>
              </w:tc>
            </w:tr>
          </w:tbl>
          <w:p w14:paraId="3A9F5E3E">
            <w:pPr>
              <w:widowControl/>
              <w:jc w:val="center"/>
              <w:rPr>
                <w:rFonts w:ascii="Times New Roman" w:hAnsi="Times New Roman" w:cs="Times New Roman"/>
                <w:b/>
                <w:szCs w:val="21"/>
                <w:lang w:val="zh-CN" w:eastAsia="zh-CN"/>
              </w:rPr>
            </w:pPr>
          </w:p>
          <w:p w14:paraId="0EEF444C">
            <w:pPr>
              <w:spacing w:line="360" w:lineRule="auto"/>
              <w:jc w:val="both"/>
              <w:rPr>
                <w:rFonts w:ascii="Times New Roman" w:hAnsi="Times New Roman" w:cs="Times New Roman"/>
                <w:sz w:val="24"/>
                <w:szCs w:val="24"/>
                <w:lang w:eastAsia="zh-CN"/>
              </w:rPr>
            </w:pPr>
            <w:r>
              <w:rPr>
                <w:rFonts w:ascii="Times New Roman" w:hAnsi="Times New Roman" w:cs="Times New Roman"/>
                <w:b/>
                <w:bCs/>
                <w:sz w:val="28"/>
                <w:szCs w:val="28"/>
                <w:lang w:eastAsia="zh-CN"/>
              </w:rPr>
              <w:t>5、</w:t>
            </w:r>
            <w:r>
              <w:rPr>
                <w:rFonts w:ascii="Times New Roman" w:hAnsi="Times New Roman" w:cs="Times New Roman"/>
                <w:b/>
                <w:bCs/>
                <w:spacing w:val="4"/>
                <w:sz w:val="28"/>
                <w:szCs w:val="28"/>
                <w:lang w:eastAsia="zh-CN"/>
              </w:rPr>
              <w:t>生态环境现状调查</w:t>
            </w:r>
          </w:p>
          <w:p w14:paraId="2B5AEDAF">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本项目设置生态环境影响专项评价，生态环境现状调查相关内容见生态环境影响专项评价。</w:t>
            </w:r>
          </w:p>
        </w:tc>
      </w:tr>
      <w:tr w14:paraId="615029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7" w:hRule="atLeast"/>
        </w:trPr>
        <w:tc>
          <w:tcPr>
            <w:tcW w:w="423" w:type="pct"/>
            <w:tcBorders>
              <w:top w:val="single" w:color="000000" w:sz="4" w:space="0"/>
              <w:bottom w:val="single" w:color="000000" w:sz="4" w:space="0"/>
              <w:right w:val="single" w:color="000000" w:sz="4" w:space="0"/>
            </w:tcBorders>
            <w:vAlign w:val="center"/>
          </w:tcPr>
          <w:p w14:paraId="3F0E4344">
            <w:pPr>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与项目有关的原有环境污染和生态破坏问题</w:t>
            </w:r>
          </w:p>
        </w:tc>
        <w:tc>
          <w:tcPr>
            <w:tcW w:w="4577" w:type="pct"/>
            <w:tcBorders>
              <w:top w:val="single" w:color="000000" w:sz="4" w:space="0"/>
              <w:left w:val="single" w:color="000000" w:sz="4" w:space="0"/>
              <w:bottom w:val="single" w:color="000000" w:sz="4" w:space="0"/>
            </w:tcBorders>
            <w:vAlign w:val="center"/>
          </w:tcPr>
          <w:p w14:paraId="40AD68A7">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（1）原有道路回顾性评价</w:t>
            </w:r>
          </w:p>
          <w:p w14:paraId="0CBFD860">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现有S</w:t>
            </w:r>
            <w:r>
              <w:rPr>
                <w:rFonts w:ascii="Times New Roman" w:hAnsi="Times New Roman" w:cs="Times New Roman"/>
                <w:sz w:val="24"/>
                <w:szCs w:val="24"/>
                <w:lang w:eastAsia="zh-CN"/>
              </w:rPr>
              <w:t>239</w:t>
            </w:r>
            <w:r>
              <w:rPr>
                <w:rFonts w:hint="eastAsia" w:ascii="Times New Roman" w:hAnsi="Times New Roman" w:cs="Times New Roman"/>
                <w:sz w:val="24"/>
                <w:szCs w:val="24"/>
                <w:lang w:eastAsia="zh-CN"/>
              </w:rPr>
              <w:t>线建成于2</w:t>
            </w:r>
            <w:r>
              <w:rPr>
                <w:rFonts w:ascii="Times New Roman" w:hAnsi="Times New Roman" w:cs="Times New Roman"/>
                <w:sz w:val="24"/>
                <w:szCs w:val="24"/>
                <w:lang w:eastAsia="zh-CN"/>
              </w:rPr>
              <w:t>012</w:t>
            </w:r>
            <w:r>
              <w:rPr>
                <w:rFonts w:hint="eastAsia" w:ascii="Times New Roman" w:hAnsi="Times New Roman" w:cs="Times New Roman"/>
                <w:sz w:val="24"/>
                <w:szCs w:val="24"/>
                <w:lang w:eastAsia="zh-CN"/>
              </w:rPr>
              <w:t>年，按二级公路标准设计，设计速度为8</w:t>
            </w:r>
            <w:r>
              <w:rPr>
                <w:rFonts w:ascii="Times New Roman" w:hAnsi="Times New Roman" w:cs="Times New Roman"/>
                <w:sz w:val="24"/>
                <w:szCs w:val="24"/>
                <w:lang w:eastAsia="zh-CN"/>
              </w:rPr>
              <w:t>0</w:t>
            </w:r>
            <w:r>
              <w:rPr>
                <w:rFonts w:hint="eastAsia" w:ascii="Times New Roman" w:hAnsi="Times New Roman" w:cs="Times New Roman"/>
                <w:sz w:val="24"/>
                <w:szCs w:val="24"/>
                <w:lang w:eastAsia="zh-CN"/>
              </w:rPr>
              <w:t>km</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h，路基宽度1</w:t>
            </w:r>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m，路面宽1</w:t>
            </w:r>
            <w:r>
              <w:rPr>
                <w:rFonts w:ascii="Times New Roman" w:hAnsi="Times New Roman" w:cs="Times New Roman"/>
                <w:sz w:val="24"/>
                <w:szCs w:val="24"/>
                <w:lang w:eastAsia="zh-CN"/>
              </w:rPr>
              <w:t>0.5</w:t>
            </w:r>
            <w:r>
              <w:rPr>
                <w:rFonts w:hint="eastAsia" w:ascii="Times New Roman" w:hAnsi="Times New Roman" w:cs="Times New Roman"/>
                <w:sz w:val="24"/>
                <w:szCs w:val="24"/>
                <w:lang w:eastAsia="zh-CN"/>
              </w:rPr>
              <w:t>m。路线起于五彩湾（火烧山），向南途经红旗农场、北庭镇、吉木萨尔县城，止于</w:t>
            </w:r>
            <w:r>
              <w:rPr>
                <w:rFonts w:ascii="Times New Roman" w:hAnsi="Times New Roman" w:cs="Times New Roman"/>
                <w:sz w:val="24"/>
                <w:szCs w:val="24"/>
                <w:lang w:eastAsia="zh-CN"/>
              </w:rPr>
              <w:t>G7京新高速泉子街互通连接交叉处</w:t>
            </w:r>
            <w:r>
              <w:rPr>
                <w:rFonts w:hint="eastAsia" w:ascii="Times New Roman" w:hAnsi="Times New Roman" w:cs="Times New Roman"/>
                <w:sz w:val="24"/>
                <w:szCs w:val="24"/>
                <w:lang w:eastAsia="zh-CN"/>
              </w:rPr>
              <w:t>，路线全长1</w:t>
            </w:r>
            <w:r>
              <w:rPr>
                <w:rFonts w:ascii="Times New Roman" w:hAnsi="Times New Roman" w:cs="Times New Roman"/>
                <w:sz w:val="24"/>
                <w:szCs w:val="24"/>
                <w:lang w:eastAsia="zh-CN"/>
              </w:rPr>
              <w:t>26.242</w:t>
            </w:r>
            <w:r>
              <w:rPr>
                <w:rFonts w:hint="eastAsia" w:ascii="Times New Roman" w:hAnsi="Times New Roman" w:cs="Times New Roman"/>
                <w:sz w:val="24"/>
                <w:szCs w:val="24"/>
                <w:lang w:eastAsia="zh-CN"/>
              </w:rPr>
              <w:t>km。本次主要对</w:t>
            </w:r>
            <w:r>
              <w:rPr>
                <w:rFonts w:ascii="Times New Roman" w:hAnsi="Times New Roman" w:cs="Times New Roman"/>
                <w:sz w:val="24"/>
                <w:szCs w:val="24"/>
                <w:lang w:eastAsia="zh-CN"/>
              </w:rPr>
              <w:t>k37+060与S327线k23+500交叉处至G7京新高速泉子街互通连接交叉处之间的S239线现有路段进行改扩建</w:t>
            </w:r>
            <w:r>
              <w:rPr>
                <w:rFonts w:hint="eastAsia" w:ascii="Times New Roman" w:hAnsi="Times New Roman" w:cs="Times New Roman"/>
                <w:sz w:val="24"/>
                <w:szCs w:val="24"/>
                <w:lang w:eastAsia="zh-CN"/>
              </w:rPr>
              <w:t>，项目总长度</w:t>
            </w:r>
            <w:r>
              <w:rPr>
                <w:rFonts w:ascii="Times New Roman" w:hAnsi="Times New Roman" w:cs="Times New Roman"/>
                <w:sz w:val="24"/>
                <w:szCs w:val="24"/>
                <w:lang w:eastAsia="zh-CN"/>
              </w:rPr>
              <w:t>89.14km</w:t>
            </w:r>
            <w:r>
              <w:rPr>
                <w:rFonts w:hint="eastAsia" w:ascii="Times New Roman" w:hAnsi="Times New Roman" w:cs="Times New Roman"/>
                <w:sz w:val="24"/>
                <w:szCs w:val="24"/>
                <w:lang w:eastAsia="zh-CN"/>
              </w:rPr>
              <w:t>。</w:t>
            </w:r>
          </w:p>
          <w:p w14:paraId="51061F8C">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原有线路基本沿荒漠区、平原区布设，沿线地形开阔、地势平坦，路线选用了较高的平纵面指标，全线平曲线大小均衡、连续、无突变感，无断背曲线，最小半径为</w:t>
            </w:r>
            <w:r>
              <w:rPr>
                <w:rFonts w:ascii="Times New Roman" w:hAnsi="Times New Roman" w:cs="Times New Roman"/>
                <w:sz w:val="24"/>
                <w:szCs w:val="24"/>
                <w:lang w:eastAsia="zh-CN"/>
              </w:rPr>
              <w:t>900</w:t>
            </w:r>
            <w:r>
              <w:rPr>
                <w:rFonts w:hint="eastAsia" w:ascii="Times New Roman" w:hAnsi="Times New Roman" w:cs="Times New Roman"/>
                <w:sz w:val="24"/>
                <w:szCs w:val="24"/>
                <w:lang w:eastAsia="zh-CN"/>
              </w:rPr>
              <w:t>m</w:t>
            </w:r>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处，最小缓和曲线长度1</w:t>
            </w:r>
            <w:r>
              <w:rPr>
                <w:rFonts w:ascii="Times New Roman" w:hAnsi="Times New Roman" w:cs="Times New Roman"/>
                <w:sz w:val="24"/>
                <w:szCs w:val="24"/>
                <w:lang w:eastAsia="zh-CN"/>
              </w:rPr>
              <w:t>00</w:t>
            </w:r>
            <w:r>
              <w:rPr>
                <w:rFonts w:hint="eastAsia" w:ascii="Times New Roman" w:hAnsi="Times New Roman" w:cs="Times New Roman"/>
                <w:sz w:val="24"/>
                <w:szCs w:val="24"/>
                <w:lang w:eastAsia="zh-CN"/>
              </w:rPr>
              <w:t>m，反向曲线间最小间距2</w:t>
            </w:r>
            <w:r>
              <w:rPr>
                <w:rFonts w:ascii="Times New Roman" w:hAnsi="Times New Roman" w:cs="Times New Roman"/>
                <w:sz w:val="24"/>
                <w:szCs w:val="24"/>
                <w:lang w:eastAsia="zh-CN"/>
              </w:rPr>
              <w:t>02</w:t>
            </w:r>
            <w:r>
              <w:rPr>
                <w:rFonts w:hint="eastAsia" w:ascii="Times New Roman" w:hAnsi="Times New Roman" w:cs="Times New Roman"/>
                <w:sz w:val="24"/>
                <w:szCs w:val="24"/>
                <w:lang w:eastAsia="zh-CN"/>
              </w:rPr>
              <w:t>m，同向曲线间最小间距6</w:t>
            </w:r>
            <w:r>
              <w:rPr>
                <w:rFonts w:ascii="Times New Roman" w:hAnsi="Times New Roman" w:cs="Times New Roman"/>
                <w:sz w:val="24"/>
                <w:szCs w:val="24"/>
                <w:lang w:eastAsia="zh-CN"/>
              </w:rPr>
              <w:t>05</w:t>
            </w:r>
            <w:r>
              <w:rPr>
                <w:rFonts w:hint="eastAsia" w:ascii="Times New Roman" w:hAnsi="Times New Roman" w:cs="Times New Roman"/>
                <w:sz w:val="24"/>
                <w:szCs w:val="24"/>
                <w:lang w:eastAsia="zh-CN"/>
              </w:rPr>
              <w:t>m，平曲线长度占路线总长的2</w:t>
            </w:r>
            <w:r>
              <w:rPr>
                <w:rFonts w:ascii="Times New Roman" w:hAnsi="Times New Roman" w:cs="Times New Roman"/>
                <w:sz w:val="24"/>
                <w:szCs w:val="24"/>
                <w:lang w:eastAsia="zh-CN"/>
              </w:rPr>
              <w:t>8.83%</w:t>
            </w:r>
            <w:r>
              <w:rPr>
                <w:rFonts w:hint="eastAsia" w:ascii="Times New Roman" w:hAnsi="Times New Roman" w:cs="Times New Roman"/>
                <w:sz w:val="24"/>
                <w:szCs w:val="24"/>
                <w:lang w:eastAsia="zh-CN"/>
              </w:rPr>
              <w:t>。纵坡长度均衡，起伏平顺缓和，没有平纵组合不良的路段，最大纵坡1</w:t>
            </w:r>
            <w:r>
              <w:rPr>
                <w:rFonts w:ascii="Times New Roman" w:hAnsi="Times New Roman" w:cs="Times New Roman"/>
                <w:sz w:val="24"/>
                <w:szCs w:val="24"/>
                <w:lang w:eastAsia="zh-CN"/>
              </w:rPr>
              <w:t>.68%/1</w:t>
            </w:r>
            <w:r>
              <w:rPr>
                <w:rFonts w:hint="eastAsia" w:ascii="Times New Roman" w:hAnsi="Times New Roman" w:cs="Times New Roman"/>
                <w:sz w:val="24"/>
                <w:szCs w:val="24"/>
                <w:lang w:eastAsia="zh-CN"/>
              </w:rPr>
              <w:t>处、最小坡长4</w:t>
            </w:r>
            <w:r>
              <w:rPr>
                <w:rFonts w:ascii="Times New Roman" w:hAnsi="Times New Roman" w:cs="Times New Roman"/>
                <w:sz w:val="24"/>
                <w:szCs w:val="24"/>
                <w:lang w:eastAsia="zh-CN"/>
              </w:rPr>
              <w:t>71</w:t>
            </w:r>
            <w:r>
              <w:rPr>
                <w:rFonts w:hint="eastAsia" w:ascii="Times New Roman" w:hAnsi="Times New Roman" w:cs="Times New Roman"/>
                <w:sz w:val="24"/>
                <w:szCs w:val="24"/>
                <w:lang w:eastAsia="zh-CN"/>
              </w:rPr>
              <w:t>m，最小竖曲线半径6</w:t>
            </w:r>
            <w:r>
              <w:rPr>
                <w:rFonts w:ascii="Times New Roman" w:hAnsi="Times New Roman" w:cs="Times New Roman"/>
                <w:sz w:val="24"/>
                <w:szCs w:val="24"/>
                <w:lang w:eastAsia="zh-CN"/>
              </w:rPr>
              <w:t>500</w:t>
            </w:r>
            <w:r>
              <w:rPr>
                <w:rFonts w:hint="eastAsia" w:ascii="Times New Roman" w:hAnsi="Times New Roman" w:cs="Times New Roman"/>
                <w:sz w:val="24"/>
                <w:szCs w:val="24"/>
                <w:lang w:eastAsia="zh-CN"/>
              </w:rPr>
              <w:t>m，竖曲线长度占路线总长的1</w:t>
            </w:r>
            <w:r>
              <w:rPr>
                <w:rFonts w:ascii="Times New Roman" w:hAnsi="Times New Roman" w:cs="Times New Roman"/>
                <w:sz w:val="24"/>
                <w:szCs w:val="24"/>
                <w:lang w:eastAsia="zh-CN"/>
              </w:rPr>
              <w:t>5.27%</w:t>
            </w:r>
            <w:r>
              <w:rPr>
                <w:rFonts w:hint="eastAsia" w:ascii="Times New Roman" w:hAnsi="Times New Roman" w:cs="Times New Roman"/>
                <w:sz w:val="24"/>
                <w:szCs w:val="24"/>
                <w:lang w:eastAsia="zh-CN"/>
              </w:rPr>
              <w:t>。满足本次改扩建设计速度1</w:t>
            </w:r>
            <w:r>
              <w:rPr>
                <w:rFonts w:ascii="Times New Roman" w:hAnsi="Times New Roman" w:cs="Times New Roman"/>
                <w:sz w:val="24"/>
                <w:szCs w:val="24"/>
                <w:lang w:eastAsia="zh-CN"/>
              </w:rPr>
              <w:t>00</w:t>
            </w:r>
            <w:r>
              <w:rPr>
                <w:rFonts w:hint="eastAsia" w:ascii="Times New Roman" w:hAnsi="Times New Roman" w:cs="Times New Roman"/>
                <w:sz w:val="24"/>
                <w:szCs w:val="24"/>
                <w:lang w:eastAsia="zh-CN"/>
              </w:rPr>
              <w:t>km</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h分离式路基路段对老路依托利用的平、纵面指标要求，车辆按设计时速行驶，不存在道路自身安全隐患。原有公路修建时，对地基及路基采取了不同的处理措施，全线大多数路段为低填浅挖路段，全线路基填料以砂砾石、风积沙为主。根据连续几年的路基路面巡检资料，路基稳定性较好。荒漠路段路基边坡为1:4，平原耕地段路基边坡为1</w:t>
            </w:r>
            <w:r>
              <w:rPr>
                <w:rFonts w:ascii="Times New Roman" w:hAnsi="Times New Roman" w:cs="Times New Roman"/>
                <w:sz w:val="24"/>
                <w:szCs w:val="24"/>
                <w:lang w:eastAsia="zh-CN"/>
              </w:rPr>
              <w:t>:1.5</w:t>
            </w:r>
            <w:r>
              <w:rPr>
                <w:rFonts w:hint="eastAsia" w:ascii="Times New Roman" w:hAnsi="Times New Roman" w:cs="Times New Roman"/>
                <w:sz w:val="24"/>
                <w:szCs w:val="24"/>
                <w:lang w:eastAsia="zh-CN"/>
              </w:rPr>
              <w:t>。路基现状排水设施主要有边沟、排水沟等，使用效果基本良好。现有路面基本完好，部分路段存在裂缝，本次改扩建利旧路段将进行相应的修补处理。</w:t>
            </w:r>
          </w:p>
          <w:p w14:paraId="28ACDDF3">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原有道路建设期间的临时占地已全部进行了生态恢复，与周边生态环境景观协调一致，无历史遗留环境问题。原有道路沿线没有收费站、服务区等配套设施，无相关废气、废水、固废等排放。本次评价声环境现状质量监测，</w:t>
            </w:r>
            <w:r>
              <w:rPr>
                <w:rFonts w:ascii="Times New Roman" w:hAnsi="Times New Roman" w:cs="Times New Roman"/>
                <w:sz w:val="24"/>
                <w:szCs w:val="24"/>
                <w:lang w:eastAsia="zh-CN"/>
              </w:rPr>
              <w:t>项目</w:t>
            </w:r>
            <w:r>
              <w:rPr>
                <w:rFonts w:hint="eastAsia" w:ascii="Times New Roman" w:hAnsi="Times New Roman" w:cs="Times New Roman"/>
                <w:sz w:val="24"/>
                <w:szCs w:val="24"/>
                <w:lang w:eastAsia="zh-CN"/>
              </w:rPr>
              <w:t>道路</w:t>
            </w:r>
            <w:r>
              <w:rPr>
                <w:rFonts w:ascii="Times New Roman" w:hAnsi="Times New Roman" w:cs="Times New Roman"/>
                <w:sz w:val="24"/>
                <w:szCs w:val="24"/>
                <w:lang w:eastAsia="zh-CN"/>
              </w:rPr>
              <w:t>边界线两侧35m范围内的区域</w:t>
            </w:r>
            <w:r>
              <w:rPr>
                <w:rFonts w:hint="eastAsia" w:ascii="Times New Roman" w:hAnsi="Times New Roman" w:cs="Times New Roman"/>
                <w:sz w:val="24"/>
                <w:szCs w:val="24"/>
                <w:lang w:eastAsia="zh-CN"/>
              </w:rPr>
              <w:t>满足《声环境质量标准》（</w:t>
            </w:r>
            <w:r>
              <w:rPr>
                <w:rFonts w:ascii="Times New Roman" w:hAnsi="Times New Roman" w:cs="Times New Roman"/>
                <w:sz w:val="24"/>
                <w:szCs w:val="24"/>
                <w:lang w:eastAsia="zh-CN"/>
              </w:rPr>
              <w:t>GB 3096-2008）4a类声功能区环境噪声限值（即昼间≤70dB(A)，夜间≤55dB(A)）；</w:t>
            </w:r>
            <w:r>
              <w:rPr>
                <w:rFonts w:hint="eastAsia" w:ascii="Times New Roman" w:hAnsi="Times New Roman" w:cs="Times New Roman"/>
                <w:sz w:val="24"/>
                <w:szCs w:val="24"/>
                <w:lang w:eastAsia="zh-CN"/>
              </w:rPr>
              <w:t>道路</w:t>
            </w:r>
            <w:r>
              <w:rPr>
                <w:rFonts w:ascii="Times New Roman" w:hAnsi="Times New Roman" w:cs="Times New Roman"/>
                <w:sz w:val="24"/>
                <w:szCs w:val="24"/>
                <w:lang w:eastAsia="zh-CN"/>
              </w:rPr>
              <w:t>边界线两侧35m范围外</w:t>
            </w:r>
            <w:r>
              <w:rPr>
                <w:rFonts w:hint="eastAsia" w:ascii="Times New Roman" w:hAnsi="Times New Roman" w:cs="Times New Roman"/>
                <w:sz w:val="24"/>
                <w:szCs w:val="24"/>
                <w:lang w:eastAsia="zh-CN"/>
              </w:rPr>
              <w:t>满足</w:t>
            </w:r>
            <w:r>
              <w:rPr>
                <w:rFonts w:ascii="Times New Roman" w:hAnsi="Times New Roman" w:cs="Times New Roman"/>
                <w:sz w:val="24"/>
                <w:szCs w:val="24"/>
                <w:lang w:eastAsia="zh-CN"/>
              </w:rPr>
              <w:t>2类声功能区环境噪声限值（即昼间≤60dB(A)，夜间≤50dB(A)）</w:t>
            </w:r>
            <w:r>
              <w:rPr>
                <w:rFonts w:hint="eastAsia" w:ascii="Times New Roman" w:hAnsi="Times New Roman" w:cs="Times New Roman"/>
                <w:sz w:val="24"/>
                <w:szCs w:val="24"/>
                <w:lang w:eastAsia="zh-CN"/>
              </w:rPr>
              <w:t>，声环境质量现状良好。因此，项目不存在原有环境污染和生态破坏问题。</w:t>
            </w:r>
          </w:p>
          <w:p w14:paraId="3AE7472D">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S239线五彩湾至吉木萨尔县公路改扩建项目</w:t>
            </w:r>
            <w:r>
              <w:rPr>
                <w:rFonts w:hint="eastAsia" w:ascii="Times New Roman" w:hAnsi="Times New Roman" w:cs="Times New Roman"/>
                <w:sz w:val="24"/>
                <w:szCs w:val="24"/>
                <w:lang w:eastAsia="zh-CN"/>
              </w:rPr>
              <w:t>》已于2</w:t>
            </w:r>
            <w:r>
              <w:rPr>
                <w:rFonts w:ascii="Times New Roman" w:hAnsi="Times New Roman" w:cs="Times New Roman"/>
                <w:sz w:val="24"/>
                <w:szCs w:val="24"/>
                <w:lang w:eastAsia="zh-CN"/>
              </w:rPr>
              <w:t>017</w:t>
            </w:r>
            <w:r>
              <w:rPr>
                <w:rFonts w:hint="eastAsia" w:ascii="Times New Roman" w:hAnsi="Times New Roman" w:cs="Times New Roman"/>
                <w:sz w:val="24"/>
                <w:szCs w:val="24"/>
                <w:lang w:eastAsia="zh-CN"/>
              </w:rPr>
              <w:t>年取得环评批复，批复文号：昌州环评〔2</w:t>
            </w:r>
            <w:r>
              <w:rPr>
                <w:rFonts w:ascii="Times New Roman" w:hAnsi="Times New Roman" w:cs="Times New Roman"/>
                <w:sz w:val="24"/>
                <w:szCs w:val="24"/>
                <w:lang w:eastAsia="zh-CN"/>
              </w:rPr>
              <w:t>017</w:t>
            </w:r>
            <w:r>
              <w:rPr>
                <w:rFonts w:hint="eastAsia" w:ascii="Times New Roman" w:hAnsi="Times New Roman" w:cs="Times New Roman"/>
                <w:sz w:val="24"/>
                <w:szCs w:val="24"/>
                <w:lang w:eastAsia="zh-CN"/>
              </w:rPr>
              <w:t>〕5</w:t>
            </w:r>
            <w:r>
              <w:rPr>
                <w:rFonts w:ascii="Times New Roman" w:hAnsi="Times New Roman" w:cs="Times New Roman"/>
                <w:sz w:val="24"/>
                <w:szCs w:val="24"/>
                <w:lang w:eastAsia="zh-CN"/>
              </w:rPr>
              <w:t>4</w:t>
            </w:r>
            <w:r>
              <w:rPr>
                <w:rFonts w:hint="eastAsia" w:ascii="Times New Roman" w:hAnsi="Times New Roman" w:cs="Times New Roman"/>
                <w:sz w:val="24"/>
                <w:szCs w:val="24"/>
                <w:lang w:eastAsia="zh-CN"/>
              </w:rPr>
              <w:t>号，属于审批后超过5年未实施，本次评价属于重新报批环评情形。项目因</w:t>
            </w:r>
            <w:r>
              <w:rPr>
                <w:rFonts w:ascii="Times New Roman" w:hAnsi="Times New Roman" w:cs="Times New Roman"/>
                <w:sz w:val="24"/>
                <w:szCs w:val="24"/>
                <w:lang w:eastAsia="zh-CN"/>
              </w:rPr>
              <w:t>国家政策</w:t>
            </w:r>
            <w:r>
              <w:rPr>
                <w:rFonts w:hint="eastAsia" w:ascii="Times New Roman" w:hAnsi="Times New Roman" w:cs="Times New Roman"/>
                <w:sz w:val="24"/>
                <w:szCs w:val="24"/>
                <w:lang w:eastAsia="zh-CN"/>
              </w:rPr>
              <w:t>调整</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长期</w:t>
            </w:r>
            <w:r>
              <w:rPr>
                <w:rFonts w:ascii="Times New Roman" w:hAnsi="Times New Roman" w:cs="Times New Roman"/>
                <w:sz w:val="24"/>
                <w:szCs w:val="24"/>
                <w:lang w:eastAsia="zh-CN"/>
              </w:rPr>
              <w:t>未实施</w:t>
            </w:r>
            <w:r>
              <w:rPr>
                <w:rFonts w:hint="eastAsia" w:ascii="Times New Roman" w:hAnsi="Times New Roman" w:cs="Times New Roman"/>
                <w:sz w:val="24"/>
                <w:szCs w:val="24"/>
                <w:lang w:eastAsia="zh-CN"/>
              </w:rPr>
              <w:t>。工程沿线生态环境状况无明显变化。原有</w:t>
            </w:r>
            <w:r>
              <w:rPr>
                <w:rFonts w:ascii="Times New Roman" w:hAnsi="Times New Roman" w:cs="Times New Roman"/>
                <w:sz w:val="24"/>
                <w:szCs w:val="24"/>
                <w:lang w:eastAsia="zh-CN"/>
              </w:rPr>
              <w:t>环评</w:t>
            </w:r>
            <w:r>
              <w:rPr>
                <w:rFonts w:hint="eastAsia" w:ascii="Times New Roman" w:hAnsi="Times New Roman" w:cs="Times New Roman"/>
                <w:sz w:val="24"/>
                <w:szCs w:val="24"/>
                <w:lang w:eastAsia="zh-CN"/>
              </w:rPr>
              <w:t>主要环保措施及本次评价落实情况见表3</w:t>
            </w:r>
            <w:r>
              <w:rPr>
                <w:rFonts w:ascii="Times New Roman" w:hAnsi="Times New Roman" w:cs="Times New Roman"/>
                <w:sz w:val="24"/>
                <w:szCs w:val="24"/>
                <w:lang w:eastAsia="zh-CN"/>
              </w:rPr>
              <w:t>.9</w:t>
            </w:r>
            <w:r>
              <w:rPr>
                <w:rFonts w:hint="eastAsia" w:ascii="Times New Roman" w:hAnsi="Times New Roman" w:cs="Times New Roman"/>
                <w:sz w:val="24"/>
                <w:szCs w:val="24"/>
                <w:lang w:eastAsia="zh-CN"/>
              </w:rPr>
              <w:t>。</w:t>
            </w:r>
          </w:p>
          <w:p w14:paraId="4394A0E4">
            <w:pPr>
              <w:jc w:val="center"/>
              <w:rPr>
                <w:rFonts w:ascii="Times New Roman" w:hAnsi="Times New Roman" w:cs="Times New Roman"/>
                <w:spacing w:val="4"/>
                <w:sz w:val="24"/>
                <w:szCs w:val="24"/>
                <w:lang w:eastAsia="zh-CN"/>
              </w:rPr>
            </w:pPr>
            <w:r>
              <w:rPr>
                <w:rFonts w:ascii="Times New Roman" w:hAnsi="Times New Roman" w:cs="Times New Roman"/>
                <w:b/>
                <w:bCs/>
                <w:szCs w:val="21"/>
                <w:lang w:eastAsia="zh-CN"/>
              </w:rPr>
              <w:t xml:space="preserve">表3.9  </w:t>
            </w:r>
            <w:r>
              <w:rPr>
                <w:rFonts w:hint="eastAsia" w:ascii="Times New Roman" w:hAnsi="Times New Roman" w:cs="Times New Roman"/>
                <w:b/>
                <w:bCs/>
                <w:szCs w:val="21"/>
                <w:lang w:eastAsia="zh-CN"/>
              </w:rPr>
              <w:t>原有环评主要环保措施落实情况一览表</w:t>
            </w:r>
          </w:p>
          <w:tbl>
            <w:tblPr>
              <w:tblStyle w:val="11"/>
              <w:tblW w:w="493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019"/>
              <w:gridCol w:w="3535"/>
              <w:gridCol w:w="2127"/>
            </w:tblGrid>
            <w:tr w14:paraId="61ABA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39" w:type="pct"/>
                  <w:vAlign w:val="center"/>
                </w:tcPr>
                <w:p w14:paraId="1108CF73">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原有环评主要环保措施</w:t>
                  </w:r>
                </w:p>
              </w:tc>
              <w:tc>
                <w:tcPr>
                  <w:tcW w:w="2036" w:type="pct"/>
                  <w:vAlign w:val="center"/>
                </w:tcPr>
                <w:p w14:paraId="1A0B3523">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本次评价落实情况</w:t>
                  </w:r>
                </w:p>
              </w:tc>
              <w:tc>
                <w:tcPr>
                  <w:tcW w:w="1225" w:type="pct"/>
                  <w:vAlign w:val="center"/>
                </w:tcPr>
                <w:p w14:paraId="3B0248B2">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落实情况</w:t>
                  </w:r>
                </w:p>
              </w:tc>
            </w:tr>
            <w:tr w14:paraId="02F05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39" w:type="pct"/>
                  <w:vAlign w:val="center"/>
                </w:tcPr>
                <w:p w14:paraId="11D9A1F8">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制定施工期扬尘污染防治计划，减少施工扬尘对周围环境的影响。在施工场地周围采取围挡、围护、洒水降尘措施以减少扬尘扩散，大风天气</w:t>
                  </w:r>
                  <w:r>
                    <w:rPr>
                      <w:rFonts w:ascii="Times New Roman" w:hAnsi="Times New Roman" w:cs="Times New Roman"/>
                      <w:sz w:val="21"/>
                      <w:szCs w:val="21"/>
                      <w:lang w:eastAsia="zh-CN"/>
                    </w:rPr>
                    <w:t>严禁产生扬尘作业；对施工场地应经常洒水，最大限度的减少过往车辆造成的扬尘污染，运输建筑材料及建筑垃圾的车辆采取防止粉料和垃圾散落措施，运输土石方均要覆盖篷布；起尘原材料不得露天堆放。预制场、拌合站和沥青熬制时采取尾气处理措施，禁止露天焚烧沥青。</w:t>
                  </w:r>
                </w:p>
              </w:tc>
              <w:tc>
                <w:tcPr>
                  <w:tcW w:w="2036" w:type="pct"/>
                  <w:vAlign w:val="center"/>
                </w:tcPr>
                <w:p w14:paraId="65276DC0">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项目施工至有大气敏感目标路段时，实行围挡封闭施工，围挡封闭高度高出作业面</w:t>
                  </w:r>
                  <w:r>
                    <w:rPr>
                      <w:rFonts w:ascii="Times New Roman" w:hAnsi="Times New Roman" w:cs="Times New Roman"/>
                      <w:sz w:val="21"/>
                      <w:szCs w:val="21"/>
                      <w:lang w:eastAsia="zh-CN"/>
                    </w:rPr>
                    <w:t>1.5m以上并定期清洗、保持完好、重复使用。</w:t>
                  </w:r>
                  <w:r>
                    <w:rPr>
                      <w:rFonts w:hint="eastAsia" w:ascii="Times New Roman" w:hAnsi="Times New Roman" w:cs="Times New Roman"/>
                      <w:sz w:val="21"/>
                      <w:szCs w:val="21"/>
                      <w:lang w:eastAsia="zh-CN"/>
                    </w:rPr>
                    <w:t>施工过程中，通过洒水使作业面保持一定的湿度，对施工场地内松散、干涸的表土经常洒水，防治扬尘；项目全工期加强路面洒水，保持地面湿度，降低起尘对周边区域带来的影响。对于场地内易起尘的物料均采取袋装、覆盖等遮挡措施，必要时进行防尘布遮蔽。运输车辆驶离工地前，清洗车轮及车身，不得带泥上路。车斗用苫布遮蔽或者采用密闭车斗。本项目不设置料场，购买沿线既有商品料场的砂石料，商品料场不纳入本次评价范围。</w:t>
                  </w:r>
                </w:p>
              </w:tc>
              <w:tc>
                <w:tcPr>
                  <w:tcW w:w="1225" w:type="pct"/>
                  <w:vAlign w:val="center"/>
                </w:tcPr>
                <w:p w14:paraId="34AA439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已落实</w:t>
                  </w:r>
                </w:p>
              </w:tc>
            </w:tr>
            <w:tr w14:paraId="044E2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39" w:type="pct"/>
                  <w:vAlign w:val="center"/>
                </w:tcPr>
                <w:p w14:paraId="595A445C">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临时用地禁止占用公益林。弃土场严禁占用基本农田；设置合理的取土、弃土场。取土深度小于</w:t>
                  </w:r>
                  <w:r>
                    <w:rPr>
                      <w:rFonts w:ascii="Times New Roman" w:hAnsi="Times New Roman" w:cs="Times New Roman"/>
                      <w:sz w:val="21"/>
                      <w:szCs w:val="21"/>
                      <w:lang w:eastAsia="zh-CN"/>
                    </w:rPr>
                    <w:t>4m，取土（料）场取土完毕以后，及时对取土（料）场进行削坡和土地平整。施工结束后弃土场，采取土地平整和植被恢复措施。充分利用现有施工便道，控制施工便道的宽度在6.5m范围内，严禁车辆随意行驶，规范车辆行驶路线。对剥离的农田、林地表土进行单独收集，用于复垦，表土如不能及时清运，需设置临时堆土场。农业生产季节施工做好洒水降尘工作，减少扬尘对农作物的影响。禁止在农田增设施工营地、施工便道、预制厂、取弃土场等临时占地，规定运输车辆行</w:t>
                  </w:r>
                  <w:r>
                    <w:rPr>
                      <w:rFonts w:hint="eastAsia" w:ascii="Times New Roman" w:hAnsi="Times New Roman" w:cs="Times New Roman"/>
                      <w:sz w:val="21"/>
                      <w:szCs w:val="21"/>
                      <w:lang w:eastAsia="zh-CN"/>
                    </w:rPr>
                    <w:t>驶路线，不得随意碾压该段的农作物及植被。</w:t>
                  </w:r>
                </w:p>
              </w:tc>
              <w:tc>
                <w:tcPr>
                  <w:tcW w:w="2036" w:type="pct"/>
                  <w:vAlign w:val="center"/>
                </w:tcPr>
                <w:p w14:paraId="76FD5C5B">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本项目弃土场遵循分段集中弃土的原则，弃土运距较短，位于路线两侧荒漠区，土地利用类型为裸土地。施工结束</w:t>
                  </w:r>
                  <w:r>
                    <w:rPr>
                      <w:rFonts w:ascii="Times New Roman" w:hAnsi="Times New Roman" w:cs="Times New Roman"/>
                      <w:sz w:val="21"/>
                      <w:szCs w:val="21"/>
                      <w:lang w:eastAsia="zh-CN"/>
                    </w:rPr>
                    <w:t>后对弃土场进行植被恢复。</w:t>
                  </w:r>
                  <w:r>
                    <w:rPr>
                      <w:rFonts w:hint="eastAsia" w:ascii="Times New Roman" w:hAnsi="Times New Roman" w:cs="Times New Roman"/>
                      <w:sz w:val="21"/>
                      <w:szCs w:val="21"/>
                      <w:lang w:eastAsia="zh-CN"/>
                    </w:rPr>
                    <w:t>本项目施工便道</w:t>
                  </w:r>
                  <w:r>
                    <w:rPr>
                      <w:rFonts w:ascii="Times New Roman" w:hAnsi="Times New Roman" w:cs="Times New Roman"/>
                      <w:sz w:val="21"/>
                      <w:szCs w:val="21"/>
                      <w:lang w:eastAsia="zh-CN"/>
                    </w:rPr>
                    <w:t>占用地类均为荒地</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平均宽度</w:t>
                  </w:r>
                  <w:r>
                    <w:rPr>
                      <w:rFonts w:hint="eastAsia" w:ascii="Times New Roman" w:hAnsi="Times New Roman" w:cs="Times New Roman"/>
                      <w:sz w:val="21"/>
                      <w:szCs w:val="21"/>
                      <w:lang w:eastAsia="zh-CN"/>
                    </w:rPr>
                    <w:t>4.5</w:t>
                  </w:r>
                  <w:r>
                    <w:rPr>
                      <w:rFonts w:ascii="Times New Roman" w:hAnsi="Times New Roman" w:cs="Times New Roman"/>
                      <w:sz w:val="21"/>
                      <w:szCs w:val="21"/>
                      <w:lang w:eastAsia="zh-CN"/>
                    </w:rPr>
                    <w:t>m。</w:t>
                  </w:r>
                  <w:r>
                    <w:rPr>
                      <w:rFonts w:hint="eastAsia" w:ascii="Times New Roman" w:hAnsi="Times New Roman" w:cs="Times New Roman"/>
                      <w:sz w:val="21"/>
                      <w:szCs w:val="21"/>
                      <w:lang w:eastAsia="zh-CN"/>
                    </w:rPr>
                    <w:t>运输</w:t>
                  </w:r>
                  <w:r>
                    <w:rPr>
                      <w:rFonts w:ascii="Times New Roman" w:hAnsi="Times New Roman" w:cs="Times New Roman"/>
                      <w:sz w:val="21"/>
                      <w:szCs w:val="21"/>
                      <w:lang w:eastAsia="zh-CN"/>
                    </w:rPr>
                    <w:t>路线不</w:t>
                  </w:r>
                  <w:r>
                    <w:rPr>
                      <w:rFonts w:hint="eastAsia" w:ascii="Times New Roman" w:hAnsi="Times New Roman" w:cs="Times New Roman"/>
                      <w:sz w:val="21"/>
                      <w:szCs w:val="21"/>
                      <w:lang w:eastAsia="zh-CN"/>
                    </w:rPr>
                    <w:t>会</w:t>
                  </w:r>
                  <w:r>
                    <w:rPr>
                      <w:rFonts w:ascii="Times New Roman" w:hAnsi="Times New Roman" w:cs="Times New Roman"/>
                      <w:sz w:val="21"/>
                      <w:szCs w:val="21"/>
                      <w:lang w:eastAsia="zh-CN"/>
                    </w:rPr>
                    <w:t>碾压农作物和</w:t>
                  </w:r>
                  <w:r>
                    <w:rPr>
                      <w:rFonts w:hint="eastAsia" w:ascii="Times New Roman" w:hAnsi="Times New Roman" w:cs="Times New Roman"/>
                      <w:sz w:val="21"/>
                      <w:szCs w:val="21"/>
                      <w:lang w:eastAsia="zh-CN"/>
                    </w:rPr>
                    <w:t>植被</w:t>
                  </w:r>
                  <w:r>
                    <w:rPr>
                      <w:rFonts w:ascii="Times New Roman" w:hAnsi="Times New Roman" w:cs="Times New Roman"/>
                      <w:sz w:val="21"/>
                      <w:szCs w:val="21"/>
                      <w:lang w:eastAsia="zh-CN"/>
                    </w:rPr>
                    <w:t>。</w:t>
                  </w:r>
                </w:p>
              </w:tc>
              <w:tc>
                <w:tcPr>
                  <w:tcW w:w="1225" w:type="pct"/>
                  <w:vAlign w:val="center"/>
                </w:tcPr>
                <w:p w14:paraId="70CD0538">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已落实</w:t>
                  </w:r>
                </w:p>
              </w:tc>
            </w:tr>
            <w:tr w14:paraId="6958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39" w:type="pct"/>
                  <w:vAlign w:val="center"/>
                </w:tcPr>
                <w:p w14:paraId="443E7213">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项目建设的服务区、养护工区、主线收费站、治理超限站需采用电锅炉等清洁能源供暖，</w:t>
                  </w:r>
                  <w:r>
                    <w:rPr>
                      <w:rFonts w:ascii="Times New Roman" w:hAnsi="Times New Roman" w:cs="Times New Roman"/>
                      <w:sz w:val="21"/>
                      <w:szCs w:val="21"/>
                      <w:lang w:eastAsia="zh-CN"/>
                    </w:rPr>
                    <w:t xml:space="preserve"> 禁止采用燃煤锅炉供暖。</w:t>
                  </w:r>
                </w:p>
              </w:tc>
              <w:tc>
                <w:tcPr>
                  <w:tcW w:w="2036" w:type="pct"/>
                  <w:vAlign w:val="center"/>
                </w:tcPr>
                <w:p w14:paraId="2AAB2E80">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项目收费站、服务区、养护工区冬季均采用电采暖。</w:t>
                  </w:r>
                </w:p>
              </w:tc>
              <w:tc>
                <w:tcPr>
                  <w:tcW w:w="1225" w:type="pct"/>
                  <w:vAlign w:val="center"/>
                </w:tcPr>
                <w:p w14:paraId="0423B80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已落实</w:t>
                  </w:r>
                </w:p>
              </w:tc>
            </w:tr>
            <w:tr w14:paraId="26CF2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39" w:type="pct"/>
                  <w:vAlign w:val="center"/>
                </w:tcPr>
                <w:p w14:paraId="00397B5F">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施工废水和施工营地生活污水应排入临时防渗沉淀池，施工生产生活区设置临时旱厕，粪便定期清理用作农家肥田。项目建设的服务区、养护工区、主线收费站、治理超限站污水经处理后</w:t>
                  </w:r>
                  <w:r>
                    <w:rPr>
                      <w:rFonts w:ascii="Times New Roman" w:hAnsi="Times New Roman" w:cs="Times New Roman"/>
                      <w:sz w:val="21"/>
                      <w:szCs w:val="21"/>
                      <w:lang w:eastAsia="zh-CN"/>
                    </w:rPr>
                    <w:t>用于周边绿化，冬储夏灌不外排。</w:t>
                  </w:r>
                </w:p>
              </w:tc>
              <w:tc>
                <w:tcPr>
                  <w:tcW w:w="2036" w:type="pct"/>
                  <w:vAlign w:val="center"/>
                </w:tcPr>
                <w:p w14:paraId="383E9A45">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项目不设置施工营地，施工人员食宿依托依托项目综合场站的生活区解决</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运营期生活污水经污水处理站处理以后，用于站区绿化，冬储夏灌不外排。</w:t>
                  </w:r>
                </w:p>
              </w:tc>
              <w:tc>
                <w:tcPr>
                  <w:tcW w:w="1225" w:type="pct"/>
                  <w:vAlign w:val="center"/>
                </w:tcPr>
                <w:p w14:paraId="54B109B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已落实</w:t>
                  </w:r>
                </w:p>
              </w:tc>
            </w:tr>
            <w:tr w14:paraId="6F155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39" w:type="pct"/>
                  <w:vAlign w:val="center"/>
                </w:tcPr>
                <w:p w14:paraId="748328EF">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加强交通管理，严格执行限速和禁止超载等交通规则，在通过人口密度较大的村镇及学校路段设置禁鸣标志。运营期建设单位应加强声环境敏感点环境噪声监测。</w:t>
                  </w:r>
                </w:p>
              </w:tc>
              <w:tc>
                <w:tcPr>
                  <w:tcW w:w="2036" w:type="pct"/>
                  <w:vAlign w:val="center"/>
                </w:tcPr>
                <w:p w14:paraId="66C65102">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项目</w:t>
                  </w:r>
                  <w:r>
                    <w:rPr>
                      <w:rFonts w:ascii="Times New Roman" w:hAnsi="Times New Roman" w:cs="Times New Roman"/>
                      <w:sz w:val="21"/>
                      <w:szCs w:val="21"/>
                      <w:lang w:eastAsia="zh-CN"/>
                    </w:rPr>
                    <w:t>公路按相关要求设置标志，本次评价已制定运营期噪声监测计划。</w:t>
                  </w:r>
                </w:p>
              </w:tc>
              <w:tc>
                <w:tcPr>
                  <w:tcW w:w="1225" w:type="pct"/>
                  <w:vAlign w:val="center"/>
                </w:tcPr>
                <w:p w14:paraId="611EA10D">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已落实</w:t>
                  </w:r>
                </w:p>
              </w:tc>
            </w:tr>
            <w:tr w14:paraId="2EC48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739" w:type="pct"/>
                  <w:vAlign w:val="center"/>
                </w:tcPr>
                <w:p w14:paraId="2179EB0B">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弃土、弃渣全部送至弃土场；施工生活垃圾集中收集后运至垃圾填埋场。运营期服务区、养护工区、主线收费站、治理超限站生活垃圾集中收集后送至就近的城镇生活垃圾填埋场。</w:t>
                  </w:r>
                </w:p>
              </w:tc>
              <w:tc>
                <w:tcPr>
                  <w:tcW w:w="2036" w:type="pct"/>
                  <w:vAlign w:val="center"/>
                </w:tcPr>
                <w:p w14:paraId="5D3ACA01">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弃土、弃渣全部送至弃土场；施工人员生活垃圾收集后交由环卫部门处置；建筑垃圾定期由施工单位清运至城市管理部门指定地点处置；运输施工固废的车辆，车斗采取遮蔽措施，防治固废沿途洒落。</w:t>
                  </w:r>
                </w:p>
              </w:tc>
              <w:tc>
                <w:tcPr>
                  <w:tcW w:w="1225" w:type="pct"/>
                  <w:vAlign w:val="center"/>
                </w:tcPr>
                <w:p w14:paraId="33646D5E">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已落实</w:t>
                  </w:r>
                </w:p>
              </w:tc>
            </w:tr>
            <w:tr w14:paraId="40460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39" w:type="pct"/>
                  <w:vAlign w:val="center"/>
                </w:tcPr>
                <w:p w14:paraId="43EDAD69">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本项目涉及多处野生动物通道，要求严格落实野生动物保护措施，本项目不全封闭，路基平均填高</w:t>
                  </w:r>
                  <w:r>
                    <w:rPr>
                      <w:rFonts w:ascii="Times New Roman" w:hAnsi="Times New Roman" w:cs="Times New Roman"/>
                      <w:sz w:val="21"/>
                      <w:szCs w:val="21"/>
                      <w:lang w:eastAsia="zh-CN"/>
                    </w:rPr>
                    <w:t>1.5米，放缓边坡，填方边坡1:3。按规范要求设置动物通道，涵洞兼做动物通道，通道孔径6米，净高3.5米，确保动物能通过。</w:t>
                  </w:r>
                </w:p>
              </w:tc>
              <w:tc>
                <w:tcPr>
                  <w:tcW w:w="2036" w:type="pct"/>
                  <w:vAlign w:val="center"/>
                </w:tcPr>
                <w:p w14:paraId="102274D5">
                  <w:pPr>
                    <w:jc w:val="both"/>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11道（动物通道，放牧通行共用），跨径4m，净高3m。</w:t>
                  </w:r>
                </w:p>
              </w:tc>
              <w:tc>
                <w:tcPr>
                  <w:tcW w:w="1225" w:type="pct"/>
                  <w:vAlign w:val="center"/>
                </w:tcPr>
                <w:p w14:paraId="14E8C12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已落实</w:t>
                  </w:r>
                </w:p>
              </w:tc>
            </w:tr>
            <w:tr w14:paraId="329B2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39" w:type="pct"/>
                  <w:vAlign w:val="center"/>
                </w:tcPr>
                <w:p w14:paraId="5882B656">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开展施工期环境监理工作，在施工招标文件、施工合同中明确环保条款和责任，建立专项档案，定期向施工路段所在环保局提交环境监理报告。</w:t>
                  </w:r>
                </w:p>
              </w:tc>
              <w:tc>
                <w:tcPr>
                  <w:tcW w:w="2036" w:type="pct"/>
                  <w:vAlign w:val="center"/>
                </w:tcPr>
                <w:p w14:paraId="2999ED37">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本项目按现行</w:t>
                  </w:r>
                  <w:r>
                    <w:rPr>
                      <w:rFonts w:ascii="Times New Roman" w:hAnsi="Times New Roman" w:cs="Times New Roman"/>
                      <w:sz w:val="21"/>
                      <w:szCs w:val="21"/>
                      <w:lang w:eastAsia="zh-CN"/>
                    </w:rPr>
                    <w:t>施工期</w:t>
                  </w:r>
                  <w:r>
                    <w:rPr>
                      <w:rFonts w:hint="eastAsia" w:ascii="Times New Roman" w:hAnsi="Times New Roman" w:cs="Times New Roman"/>
                      <w:sz w:val="21"/>
                      <w:szCs w:val="21"/>
                      <w:lang w:eastAsia="zh-CN"/>
                    </w:rPr>
                    <w:t>环境管理相关要求</w:t>
                  </w:r>
                  <w:r>
                    <w:rPr>
                      <w:rFonts w:ascii="Times New Roman" w:hAnsi="Times New Roman" w:cs="Times New Roman"/>
                      <w:sz w:val="21"/>
                      <w:szCs w:val="21"/>
                      <w:lang w:eastAsia="zh-CN"/>
                    </w:rPr>
                    <w:t>执行。</w:t>
                  </w:r>
                </w:p>
              </w:tc>
              <w:tc>
                <w:tcPr>
                  <w:tcW w:w="1225" w:type="pct"/>
                  <w:vAlign w:val="center"/>
                </w:tcPr>
                <w:p w14:paraId="112E270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已落实</w:t>
                  </w:r>
                </w:p>
              </w:tc>
            </w:tr>
          </w:tbl>
          <w:p w14:paraId="384332F1">
            <w:pPr>
              <w:jc w:val="center"/>
              <w:rPr>
                <w:rFonts w:ascii="Times New Roman" w:hAnsi="Times New Roman" w:cs="Times New Roman"/>
                <w:sz w:val="21"/>
                <w:szCs w:val="21"/>
                <w:lang w:eastAsia="zh-CN"/>
              </w:rPr>
            </w:pPr>
          </w:p>
          <w:p w14:paraId="1FA9458E">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）原有道路利旧情况</w:t>
            </w:r>
          </w:p>
          <w:p w14:paraId="21374B4A">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原有道路利旧部分主要是：路面、涵洞、路线交叉、部分道路沿线设施。项目</w:t>
            </w:r>
            <w:r>
              <w:rPr>
                <w:rFonts w:ascii="Times New Roman" w:hAnsi="Times New Roman" w:cs="Times New Roman"/>
                <w:sz w:val="24"/>
                <w:szCs w:val="24"/>
                <w:lang w:eastAsia="zh-CN"/>
              </w:rPr>
              <w:t>k37+060-k48+500段（11.44km）和k90+134-k126+200段（36.086km）采用整体式路基，</w:t>
            </w:r>
            <w:r>
              <w:rPr>
                <w:rFonts w:hint="eastAsia" w:ascii="Times New Roman" w:hAnsi="Times New Roman" w:cs="Times New Roman"/>
                <w:sz w:val="24"/>
                <w:szCs w:val="24"/>
                <w:lang w:eastAsia="zh-CN"/>
              </w:rPr>
              <w:t>这部分路段需对现有路面进行清理改造，此过程产生的废沥青，收集后拉运至项目综合场站，回用作项目筑路材料。</w:t>
            </w:r>
            <w:r>
              <w:rPr>
                <w:rFonts w:ascii="Times New Roman" w:hAnsi="Times New Roman" w:cs="Times New Roman"/>
                <w:sz w:val="24"/>
                <w:szCs w:val="24"/>
                <w:lang w:eastAsia="zh-CN"/>
              </w:rPr>
              <w:t>k48+500-k90+134.4段采用分离式路基</w:t>
            </w:r>
            <w:r>
              <w:rPr>
                <w:rFonts w:hint="eastAsia" w:ascii="Times New Roman" w:hAnsi="Times New Roman" w:cs="Times New Roman"/>
                <w:sz w:val="24"/>
                <w:szCs w:val="24"/>
                <w:lang w:eastAsia="zh-CN"/>
              </w:rPr>
              <w:t>（利旧路段）</w:t>
            </w:r>
            <w:r>
              <w:rPr>
                <w:rFonts w:ascii="Times New Roman" w:hAnsi="Times New Roman" w:cs="Times New Roman"/>
                <w:sz w:val="24"/>
                <w:szCs w:val="24"/>
                <w:lang w:eastAsia="zh-CN"/>
              </w:rPr>
              <w:t>，路基宽度26m，东侧采用新建路基宽度13m，西侧利用老路加宽至13m，共计41.634km。</w:t>
            </w:r>
            <w:r>
              <w:rPr>
                <w:rFonts w:hint="eastAsia" w:ascii="Times New Roman" w:hAnsi="Times New Roman" w:cs="Times New Roman"/>
                <w:sz w:val="24"/>
                <w:szCs w:val="24"/>
                <w:lang w:eastAsia="zh-CN"/>
              </w:rPr>
              <w:t>现有道路路面路况总体较好，局部路段出现了不同程度的病害，如横纵向裂缝、车辙、龟裂、坑槽等，其中裂缝和车辙为主要病害，本次改扩建利旧会对利旧路段相关病害进行灌缝、封堵、补强等措施，使道路符合利旧强度技术标准要求。结合现场调查以及桥涵通道的定期养护记录、报告等基础资料，主线既有涵洞总体表观质量良好。大部分涵洞结构完整，少数涵洞进出水口有不同程度堵塞，洞口周围杂草丛生，洞内有淤塞及排水不畅现象，进出口锥坡有不同程度脱落损坏；部分盖板涵台帽顶部有不同程度砼面层腐蚀脱落病害，台帽有渗水痕迹。原涵采用技术标准为公路</w:t>
            </w:r>
            <w:r>
              <w:rPr>
                <w:rFonts w:ascii="Times New Roman" w:hAnsi="Times New Roman" w:cs="Times New Roman"/>
                <w:sz w:val="24"/>
                <w:szCs w:val="24"/>
                <w:lang w:eastAsia="zh-CN"/>
              </w:rPr>
              <w:t>I级，符合设计标准，且本路线涵洞结构完好，承重和过水功能完好，面层无脱落，</w:t>
            </w:r>
            <w:r>
              <w:rPr>
                <w:rFonts w:hint="eastAsia" w:ascii="Times New Roman" w:hAnsi="Times New Roman" w:cs="Times New Roman"/>
                <w:sz w:val="24"/>
                <w:szCs w:val="24"/>
                <w:lang w:eastAsia="zh-CN"/>
              </w:rPr>
              <w:t>可</w:t>
            </w:r>
            <w:r>
              <w:rPr>
                <w:rFonts w:ascii="Times New Roman" w:hAnsi="Times New Roman" w:cs="Times New Roman"/>
                <w:sz w:val="24"/>
                <w:szCs w:val="24"/>
                <w:lang w:eastAsia="zh-CN"/>
              </w:rPr>
              <w:t>满足接长利用</w:t>
            </w:r>
            <w:r>
              <w:rPr>
                <w:rFonts w:hint="eastAsia" w:ascii="Times New Roman" w:hAnsi="Times New Roman" w:cs="Times New Roman"/>
                <w:sz w:val="24"/>
                <w:szCs w:val="24"/>
                <w:lang w:eastAsia="zh-CN"/>
              </w:rPr>
              <w:t>要求</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现有道路沿线的波形梁护栏、标志牌等沿线设施，可以先行拆除，后期重复利旧使用。</w:t>
            </w:r>
          </w:p>
        </w:tc>
      </w:tr>
      <w:tr w14:paraId="214DA7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4" w:hRule="atLeast"/>
        </w:trPr>
        <w:tc>
          <w:tcPr>
            <w:tcW w:w="400" w:type="pct"/>
            <w:tcBorders>
              <w:top w:val="single" w:color="000000" w:sz="4" w:space="0"/>
              <w:bottom w:val="single" w:color="000000" w:sz="4" w:space="0"/>
              <w:right w:val="single" w:color="000000" w:sz="4" w:space="0"/>
            </w:tcBorders>
            <w:vAlign w:val="center"/>
          </w:tcPr>
          <w:p w14:paraId="5B57E87B">
            <w:pPr>
              <w:jc w:val="center"/>
              <w:rPr>
                <w:rFonts w:ascii="Times New Roman" w:hAnsi="Times New Roman" w:cs="Times New Roman"/>
                <w:b/>
                <w:sz w:val="24"/>
                <w:szCs w:val="24"/>
              </w:rPr>
            </w:pPr>
            <w:r>
              <w:rPr>
                <w:rFonts w:ascii="Times New Roman" w:hAnsi="Times New Roman" w:cs="Times New Roman"/>
                <w:b/>
                <w:sz w:val="24"/>
                <w:szCs w:val="24"/>
              </w:rPr>
              <w:t>生态环境保护目标</w:t>
            </w:r>
          </w:p>
        </w:tc>
        <w:tc>
          <w:tcPr>
            <w:tcW w:w="4577" w:type="pct"/>
            <w:tcBorders>
              <w:top w:val="single" w:color="000000" w:sz="4" w:space="0"/>
              <w:left w:val="single" w:color="000000" w:sz="4" w:space="0"/>
              <w:bottom w:val="single" w:color="000000" w:sz="4" w:space="0"/>
            </w:tcBorders>
          </w:tcPr>
          <w:p w14:paraId="567EAF18">
            <w:pPr>
              <w:spacing w:line="360" w:lineRule="auto"/>
              <w:ind w:firstLine="480" w:firstLineChars="200"/>
              <w:rPr>
                <w:rFonts w:ascii="Times New Roman" w:hAnsi="Times New Roman" w:cs="Times New Roman"/>
                <w:spacing w:val="4"/>
                <w:sz w:val="24"/>
                <w:szCs w:val="24"/>
                <w:lang w:eastAsia="zh-CN"/>
              </w:rPr>
            </w:pPr>
            <w:r>
              <w:rPr>
                <w:rFonts w:ascii="Times New Roman" w:hAnsi="Times New Roman" w:cs="Times New Roman"/>
                <w:sz w:val="24"/>
                <w:szCs w:val="24"/>
                <w:lang w:eastAsia="zh-CN"/>
              </w:rPr>
              <w:t>经现场踏勘</w:t>
            </w:r>
            <w:r>
              <w:rPr>
                <w:rFonts w:ascii="Times New Roman" w:hAnsi="Times New Roman" w:cs="Times New Roman"/>
                <w:spacing w:val="4"/>
                <w:sz w:val="24"/>
                <w:szCs w:val="24"/>
                <w:lang w:eastAsia="zh-CN"/>
              </w:rPr>
              <w:t>，项目周边环境保护目标情况如下</w:t>
            </w:r>
            <w:r>
              <w:rPr>
                <w:rFonts w:hint="eastAsia" w:ascii="Times New Roman" w:hAnsi="Times New Roman" w:cs="Times New Roman"/>
                <w:spacing w:val="4"/>
                <w:sz w:val="24"/>
                <w:szCs w:val="24"/>
                <w:lang w:eastAsia="zh-CN"/>
              </w:rPr>
              <w:t>：</w:t>
            </w:r>
          </w:p>
          <w:p w14:paraId="55100196">
            <w:pPr>
              <w:spacing w:line="360" w:lineRule="auto"/>
              <w:ind w:firstLine="496" w:firstLineChars="200"/>
              <w:rPr>
                <w:rFonts w:ascii="Times New Roman" w:hAnsi="Times New Roman" w:cs="Times New Roman"/>
                <w:spacing w:val="4"/>
                <w:sz w:val="24"/>
                <w:szCs w:val="24"/>
                <w:lang w:eastAsia="zh-CN"/>
              </w:rPr>
            </w:pPr>
            <w:r>
              <w:rPr>
                <w:rFonts w:ascii="Times New Roman" w:hAnsi="Times New Roman" w:cs="Times New Roman"/>
                <w:spacing w:val="4"/>
                <w:sz w:val="24"/>
                <w:szCs w:val="24"/>
                <w:lang w:eastAsia="zh-CN"/>
              </w:rPr>
              <w:t>（1）大气环境保护目标</w:t>
            </w:r>
          </w:p>
          <w:p w14:paraId="6D84FE5B">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项目沿线</w:t>
            </w:r>
            <w:r>
              <w:rPr>
                <w:rFonts w:ascii="Times New Roman" w:hAnsi="Times New Roman" w:cs="Times New Roman"/>
                <w:spacing w:val="4"/>
                <w:sz w:val="24"/>
                <w:szCs w:val="24"/>
                <w:lang w:eastAsia="zh-CN"/>
              </w:rPr>
              <w:t>500m范围内的大气环境保护目标为：</w:t>
            </w:r>
            <w:r>
              <w:rPr>
                <w:rFonts w:hint="eastAsia" w:ascii="Times New Roman" w:hAnsi="Times New Roman" w:cs="Times New Roman"/>
                <w:spacing w:val="4"/>
                <w:sz w:val="24"/>
                <w:szCs w:val="24"/>
                <w:lang w:eastAsia="zh-CN"/>
              </w:rPr>
              <w:t>红旗农场农9连居民点（</w:t>
            </w:r>
            <w:r>
              <w:rPr>
                <w:rFonts w:ascii="Times New Roman" w:hAnsi="Times New Roman" w:cs="Times New Roman"/>
                <w:spacing w:val="4"/>
                <w:sz w:val="24"/>
                <w:szCs w:val="24"/>
                <w:lang w:eastAsia="zh-CN"/>
              </w:rPr>
              <w:t>k108+200~k109+400</w:t>
            </w:r>
            <w:r>
              <w:rPr>
                <w:rFonts w:hint="eastAsia" w:ascii="Times New Roman" w:hAnsi="Times New Roman" w:cs="Times New Roman"/>
                <w:spacing w:val="4"/>
                <w:sz w:val="24"/>
                <w:szCs w:val="24"/>
                <w:lang w:eastAsia="zh-CN"/>
              </w:rPr>
              <w:t>西</w:t>
            </w:r>
            <w:r>
              <w:rPr>
                <w:rFonts w:ascii="Times New Roman" w:hAnsi="Times New Roman" w:cs="Times New Roman"/>
                <w:spacing w:val="4"/>
                <w:sz w:val="24"/>
                <w:szCs w:val="24"/>
                <w:lang w:eastAsia="zh-CN"/>
              </w:rPr>
              <w:t>侧）</w:t>
            </w:r>
            <w:r>
              <w:rPr>
                <w:rFonts w:hint="eastAsia" w:ascii="Times New Roman" w:hAnsi="Times New Roman" w:cs="Times New Roman"/>
                <w:spacing w:val="4"/>
                <w:sz w:val="24"/>
                <w:szCs w:val="24"/>
                <w:lang w:eastAsia="zh-CN"/>
              </w:rPr>
              <w:t>、张家庄子村居民点（k</w:t>
            </w:r>
            <w:r>
              <w:rPr>
                <w:rFonts w:ascii="Times New Roman" w:hAnsi="Times New Roman" w:cs="Times New Roman"/>
                <w:spacing w:val="4"/>
                <w:sz w:val="24"/>
                <w:szCs w:val="24"/>
                <w:lang w:eastAsia="zh-CN"/>
              </w:rPr>
              <w:t>110+590~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111+000</w:t>
            </w:r>
            <w:r>
              <w:rPr>
                <w:rFonts w:hint="eastAsia" w:ascii="Times New Roman" w:hAnsi="Times New Roman" w:cs="Times New Roman"/>
                <w:spacing w:val="4"/>
                <w:sz w:val="24"/>
                <w:szCs w:val="24"/>
                <w:lang w:eastAsia="zh-CN"/>
              </w:rPr>
              <w:t>东侧）、东二畦下村居民点（</w:t>
            </w:r>
            <w:r>
              <w:rPr>
                <w:rFonts w:ascii="Times New Roman" w:hAnsi="Times New Roman" w:cs="Times New Roman"/>
                <w:spacing w:val="4"/>
                <w:sz w:val="24"/>
                <w:szCs w:val="24"/>
                <w:lang w:eastAsia="zh-CN"/>
              </w:rPr>
              <w:t>k113+440~k115+400西侧）</w:t>
            </w:r>
            <w:r>
              <w:rPr>
                <w:rFonts w:hint="eastAsia" w:ascii="Times New Roman" w:hAnsi="Times New Roman" w:cs="Times New Roman"/>
                <w:spacing w:val="4"/>
                <w:sz w:val="24"/>
                <w:szCs w:val="24"/>
                <w:lang w:eastAsia="zh-CN"/>
              </w:rPr>
              <w:t>、东二畦上村居民点（</w:t>
            </w:r>
            <w:r>
              <w:rPr>
                <w:rFonts w:ascii="Times New Roman" w:hAnsi="Times New Roman" w:cs="Times New Roman"/>
                <w:spacing w:val="4"/>
                <w:sz w:val="24"/>
                <w:szCs w:val="24"/>
                <w:lang w:eastAsia="zh-CN"/>
              </w:rPr>
              <w:t>k115+760~k116+375西侧</w:t>
            </w:r>
            <w:r>
              <w:rPr>
                <w:rFonts w:hint="eastAsia" w:ascii="Times New Roman" w:hAnsi="Times New Roman" w:cs="Times New Roman"/>
                <w:spacing w:val="4"/>
                <w:sz w:val="24"/>
                <w:szCs w:val="24"/>
                <w:lang w:eastAsia="zh-CN"/>
              </w:rPr>
              <w:t>）、冉家湖村居民点（</w:t>
            </w:r>
            <w:r>
              <w:rPr>
                <w:rFonts w:ascii="Times New Roman" w:hAnsi="Times New Roman" w:cs="Times New Roman"/>
                <w:spacing w:val="4"/>
                <w:sz w:val="24"/>
                <w:szCs w:val="24"/>
                <w:lang w:eastAsia="zh-CN"/>
              </w:rPr>
              <w:t>k116+570~k118+200西侧）、</w:t>
            </w:r>
            <w:r>
              <w:rPr>
                <w:rFonts w:hint="eastAsia" w:ascii="Times New Roman" w:hAnsi="Times New Roman" w:cs="Times New Roman"/>
                <w:spacing w:val="4"/>
                <w:sz w:val="24"/>
                <w:szCs w:val="24"/>
                <w:lang w:eastAsia="zh-CN"/>
              </w:rPr>
              <w:t>泉水地上村居民点（</w:t>
            </w:r>
            <w:r>
              <w:rPr>
                <w:rFonts w:ascii="Times New Roman" w:hAnsi="Times New Roman" w:cs="Times New Roman"/>
                <w:spacing w:val="4"/>
                <w:sz w:val="24"/>
                <w:szCs w:val="24"/>
                <w:lang w:eastAsia="zh-CN"/>
              </w:rPr>
              <w:t>k119+450~k122+250</w:t>
            </w:r>
            <w:r>
              <w:rPr>
                <w:rFonts w:hint="eastAsia" w:ascii="Times New Roman" w:hAnsi="Times New Roman" w:cs="Times New Roman"/>
                <w:spacing w:val="4"/>
                <w:sz w:val="24"/>
                <w:szCs w:val="24"/>
                <w:lang w:eastAsia="zh-CN"/>
              </w:rPr>
              <w:t>东</w:t>
            </w:r>
            <w:r>
              <w:rPr>
                <w:rFonts w:ascii="Times New Roman" w:hAnsi="Times New Roman" w:cs="Times New Roman"/>
                <w:spacing w:val="4"/>
                <w:sz w:val="24"/>
                <w:szCs w:val="24"/>
                <w:lang w:eastAsia="zh-CN"/>
              </w:rPr>
              <w:t>侧）</w:t>
            </w:r>
            <w:r>
              <w:rPr>
                <w:rFonts w:hint="eastAsia" w:ascii="Times New Roman" w:hAnsi="Times New Roman" w:cs="Times New Roman"/>
                <w:spacing w:val="4"/>
                <w:sz w:val="24"/>
                <w:szCs w:val="24"/>
                <w:lang w:eastAsia="zh-CN"/>
              </w:rPr>
              <w:t>、昌吉公路管理局吉木萨尔分局（</w:t>
            </w:r>
            <w:r>
              <w:rPr>
                <w:rFonts w:ascii="Times New Roman" w:hAnsi="Times New Roman" w:cs="Times New Roman"/>
                <w:spacing w:val="4"/>
                <w:sz w:val="24"/>
                <w:szCs w:val="24"/>
                <w:lang w:eastAsia="zh-CN"/>
              </w:rPr>
              <w:t>k124+000~k124+200西侧）、</w:t>
            </w:r>
            <w:r>
              <w:rPr>
                <w:rFonts w:hint="eastAsia" w:ascii="Times New Roman" w:hAnsi="Times New Roman" w:cs="Times New Roman"/>
                <w:spacing w:val="4"/>
                <w:sz w:val="24"/>
                <w:szCs w:val="24"/>
                <w:lang w:eastAsia="zh-CN"/>
              </w:rPr>
              <w:t>东梁村</w:t>
            </w:r>
            <w:r>
              <w:rPr>
                <w:rFonts w:ascii="Times New Roman" w:hAnsi="Times New Roman" w:cs="Times New Roman"/>
                <w:spacing w:val="4"/>
                <w:sz w:val="24"/>
                <w:szCs w:val="24"/>
                <w:lang w:eastAsia="zh-CN"/>
              </w:rPr>
              <w:t>居民点（k125+193~k125+700西侧、k125+700~k126+200东侧）。</w:t>
            </w:r>
          </w:p>
          <w:p w14:paraId="0FA090F3">
            <w:pPr>
              <w:spacing w:line="360" w:lineRule="auto"/>
              <w:ind w:firstLine="496" w:firstLineChars="200"/>
              <w:rPr>
                <w:rFonts w:ascii="Times New Roman" w:hAnsi="Times New Roman" w:cs="Times New Roman"/>
                <w:spacing w:val="4"/>
                <w:sz w:val="24"/>
                <w:szCs w:val="24"/>
                <w:lang w:eastAsia="zh-CN"/>
              </w:rPr>
            </w:pPr>
            <w:r>
              <w:rPr>
                <w:rFonts w:ascii="Times New Roman" w:hAnsi="Times New Roman" w:cs="Times New Roman"/>
                <w:spacing w:val="4"/>
                <w:sz w:val="24"/>
                <w:szCs w:val="24"/>
                <w:lang w:eastAsia="zh-CN"/>
              </w:rPr>
              <w:t>（2）声环境保护目标</w:t>
            </w:r>
          </w:p>
          <w:p w14:paraId="271479A2">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项目沿线</w:t>
            </w:r>
            <w:r>
              <w:rPr>
                <w:rFonts w:ascii="Times New Roman" w:hAnsi="Times New Roman" w:cs="Times New Roman"/>
                <w:spacing w:val="4"/>
                <w:sz w:val="24"/>
                <w:szCs w:val="24"/>
                <w:lang w:eastAsia="zh-CN"/>
              </w:rPr>
              <w:t>200m范围内</w:t>
            </w:r>
            <w:r>
              <w:rPr>
                <w:rFonts w:hint="eastAsia" w:ascii="Times New Roman" w:hAnsi="Times New Roman" w:cs="Times New Roman"/>
                <w:spacing w:val="4"/>
                <w:sz w:val="24"/>
                <w:szCs w:val="24"/>
                <w:lang w:eastAsia="zh-CN"/>
              </w:rPr>
              <w:t>的</w:t>
            </w:r>
            <w:r>
              <w:rPr>
                <w:rFonts w:ascii="Times New Roman" w:hAnsi="Times New Roman" w:cs="Times New Roman"/>
                <w:spacing w:val="4"/>
                <w:sz w:val="24"/>
                <w:szCs w:val="24"/>
                <w:lang w:eastAsia="zh-CN"/>
              </w:rPr>
              <w:t>声环境保护目标</w:t>
            </w:r>
            <w:r>
              <w:rPr>
                <w:rFonts w:hint="eastAsia" w:ascii="Times New Roman" w:hAnsi="Times New Roman" w:cs="Times New Roman"/>
                <w:spacing w:val="4"/>
                <w:sz w:val="24"/>
                <w:szCs w:val="24"/>
                <w:lang w:eastAsia="zh-CN"/>
              </w:rPr>
              <w:t>为：张家庄子村居民点（</w:t>
            </w:r>
            <w:r>
              <w:rPr>
                <w:rFonts w:ascii="Times New Roman" w:hAnsi="Times New Roman" w:cs="Times New Roman"/>
                <w:spacing w:val="4"/>
                <w:sz w:val="24"/>
                <w:szCs w:val="24"/>
                <w:lang w:eastAsia="zh-CN"/>
              </w:rPr>
              <w:t>k110+590~k111+000东侧）、</w:t>
            </w:r>
            <w:r>
              <w:rPr>
                <w:rFonts w:hint="eastAsia" w:ascii="Times New Roman" w:hAnsi="Times New Roman" w:cs="Times New Roman"/>
                <w:spacing w:val="4"/>
                <w:sz w:val="24"/>
                <w:szCs w:val="24"/>
                <w:lang w:eastAsia="zh-CN"/>
              </w:rPr>
              <w:t>东二畦下村居民点（</w:t>
            </w:r>
            <w:r>
              <w:rPr>
                <w:rFonts w:ascii="Times New Roman" w:hAnsi="Times New Roman" w:cs="Times New Roman"/>
                <w:spacing w:val="4"/>
                <w:sz w:val="24"/>
                <w:szCs w:val="24"/>
                <w:lang w:eastAsia="zh-CN"/>
              </w:rPr>
              <w:t>k113+440~k115+400西侧</w:t>
            </w:r>
            <w:r>
              <w:rPr>
                <w:rFonts w:hint="eastAsia" w:ascii="Times New Roman" w:hAnsi="Times New Roman" w:cs="Times New Roman"/>
                <w:spacing w:val="4"/>
                <w:sz w:val="24"/>
                <w:szCs w:val="24"/>
                <w:lang w:eastAsia="zh-CN"/>
              </w:rPr>
              <w:t>）、东二畦上村居民点（</w:t>
            </w:r>
            <w:r>
              <w:rPr>
                <w:rFonts w:ascii="Times New Roman" w:hAnsi="Times New Roman" w:cs="Times New Roman"/>
                <w:spacing w:val="4"/>
                <w:sz w:val="24"/>
                <w:szCs w:val="24"/>
                <w:lang w:eastAsia="zh-CN"/>
              </w:rPr>
              <w:t>k116+023~k116+375西侧</w:t>
            </w:r>
            <w:r>
              <w:rPr>
                <w:rFonts w:hint="eastAsia" w:ascii="Times New Roman" w:hAnsi="Times New Roman" w:cs="Times New Roman"/>
                <w:spacing w:val="4"/>
                <w:sz w:val="24"/>
                <w:szCs w:val="24"/>
                <w:lang w:eastAsia="zh-CN"/>
              </w:rPr>
              <w:t>）、冉家湖村居民点（</w:t>
            </w:r>
            <w:r>
              <w:rPr>
                <w:rFonts w:ascii="Times New Roman" w:hAnsi="Times New Roman" w:cs="Times New Roman"/>
                <w:spacing w:val="4"/>
                <w:sz w:val="24"/>
                <w:szCs w:val="24"/>
                <w:lang w:eastAsia="zh-CN"/>
              </w:rPr>
              <w:t>k116+570~k118+200西侧</w:t>
            </w:r>
            <w:r>
              <w:rPr>
                <w:rFonts w:hint="eastAsia" w:ascii="Times New Roman" w:hAnsi="Times New Roman" w:cs="Times New Roman"/>
                <w:spacing w:val="4"/>
                <w:sz w:val="24"/>
                <w:szCs w:val="24"/>
                <w:lang w:eastAsia="zh-CN"/>
              </w:rPr>
              <w:t>）、泉水地上村居民点（</w:t>
            </w:r>
            <w:r>
              <w:rPr>
                <w:rFonts w:ascii="Times New Roman" w:hAnsi="Times New Roman" w:cs="Times New Roman"/>
                <w:spacing w:val="4"/>
                <w:sz w:val="24"/>
                <w:szCs w:val="24"/>
                <w:lang w:eastAsia="zh-CN"/>
              </w:rPr>
              <w:t>k119+450~k122+250东侧）</w:t>
            </w:r>
            <w:r>
              <w:rPr>
                <w:rFonts w:hint="eastAsia" w:ascii="Times New Roman" w:hAnsi="Times New Roman" w:cs="Times New Roman"/>
                <w:spacing w:val="4"/>
                <w:sz w:val="24"/>
                <w:szCs w:val="24"/>
                <w:lang w:eastAsia="zh-CN"/>
              </w:rPr>
              <w:t>、昌吉公路管理局吉木萨尔分局（k</w:t>
            </w:r>
            <w:r>
              <w:rPr>
                <w:rFonts w:ascii="Times New Roman" w:hAnsi="Times New Roman" w:cs="Times New Roman"/>
                <w:spacing w:val="4"/>
                <w:sz w:val="24"/>
                <w:szCs w:val="24"/>
                <w:lang w:eastAsia="zh-CN"/>
              </w:rPr>
              <w:t>124+000~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124+200</w:t>
            </w:r>
            <w:r>
              <w:rPr>
                <w:rFonts w:hint="eastAsia" w:ascii="Times New Roman" w:hAnsi="Times New Roman" w:cs="Times New Roman"/>
                <w:spacing w:val="4"/>
                <w:sz w:val="24"/>
                <w:szCs w:val="24"/>
                <w:lang w:eastAsia="zh-CN"/>
              </w:rPr>
              <w:t>东侧）、东梁村</w:t>
            </w:r>
            <w:r>
              <w:rPr>
                <w:rFonts w:ascii="Times New Roman" w:hAnsi="Times New Roman" w:cs="Times New Roman"/>
                <w:spacing w:val="4"/>
                <w:sz w:val="24"/>
                <w:szCs w:val="24"/>
                <w:lang w:eastAsia="zh-CN"/>
              </w:rPr>
              <w:t>居民点</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125+193~</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125+700</w:t>
            </w:r>
            <w:r>
              <w:rPr>
                <w:rFonts w:hint="eastAsia" w:ascii="Times New Roman" w:hAnsi="Times New Roman" w:cs="Times New Roman"/>
                <w:spacing w:val="4"/>
                <w:sz w:val="24"/>
                <w:szCs w:val="24"/>
                <w:lang w:eastAsia="zh-CN"/>
              </w:rPr>
              <w:t>西侧、k</w:t>
            </w:r>
            <w:r>
              <w:rPr>
                <w:rFonts w:ascii="Times New Roman" w:hAnsi="Times New Roman" w:cs="Times New Roman"/>
                <w:spacing w:val="4"/>
                <w:sz w:val="24"/>
                <w:szCs w:val="24"/>
                <w:lang w:eastAsia="zh-CN"/>
              </w:rPr>
              <w:t>125+700~</w:t>
            </w:r>
            <w:r>
              <w:rPr>
                <w:rFonts w:hint="eastAsia" w:ascii="Times New Roman" w:hAnsi="Times New Roman" w:cs="Times New Roman"/>
                <w:spacing w:val="4"/>
                <w:sz w:val="24"/>
                <w:szCs w:val="24"/>
                <w:lang w:eastAsia="zh-CN"/>
              </w:rPr>
              <w:t>k126+200东侧）。</w:t>
            </w:r>
          </w:p>
          <w:p w14:paraId="06B8CAE4">
            <w:pPr>
              <w:spacing w:line="360" w:lineRule="auto"/>
              <w:ind w:firstLine="496" w:firstLineChars="200"/>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（3）</w:t>
            </w:r>
            <w:r>
              <w:rPr>
                <w:rFonts w:ascii="Times New Roman" w:hAnsi="Times New Roman" w:cs="Times New Roman"/>
                <w:spacing w:val="4"/>
                <w:sz w:val="24"/>
                <w:szCs w:val="24"/>
                <w:lang w:eastAsia="zh-CN"/>
              </w:rPr>
              <w:t>地</w:t>
            </w:r>
            <w:r>
              <w:rPr>
                <w:rFonts w:hint="eastAsia" w:ascii="Times New Roman" w:hAnsi="Times New Roman" w:cs="Times New Roman"/>
                <w:spacing w:val="4"/>
                <w:sz w:val="24"/>
                <w:szCs w:val="24"/>
                <w:lang w:eastAsia="zh-CN"/>
              </w:rPr>
              <w:t>表</w:t>
            </w:r>
            <w:r>
              <w:rPr>
                <w:rFonts w:ascii="Times New Roman" w:hAnsi="Times New Roman" w:cs="Times New Roman"/>
                <w:spacing w:val="4"/>
                <w:sz w:val="24"/>
                <w:szCs w:val="24"/>
                <w:lang w:eastAsia="zh-CN"/>
              </w:rPr>
              <w:t>水环境保护目标</w:t>
            </w:r>
          </w:p>
          <w:p w14:paraId="7A4C4459">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项目沿线5</w:t>
            </w:r>
            <w:r>
              <w:rPr>
                <w:rFonts w:ascii="Times New Roman" w:hAnsi="Times New Roman" w:cs="Times New Roman"/>
                <w:spacing w:val="4"/>
                <w:sz w:val="24"/>
                <w:szCs w:val="24"/>
                <w:lang w:eastAsia="zh-CN"/>
              </w:rPr>
              <w:t>00</w:t>
            </w:r>
            <w:r>
              <w:rPr>
                <w:rFonts w:hint="eastAsia" w:ascii="Times New Roman" w:hAnsi="Times New Roman" w:cs="Times New Roman"/>
                <w:spacing w:val="4"/>
                <w:sz w:val="24"/>
                <w:szCs w:val="24"/>
                <w:lang w:eastAsia="zh-CN"/>
              </w:rPr>
              <w:t>m范围内主要地表水环境保护目标为：五彩湾水库（</w:t>
            </w:r>
            <w:r>
              <w:rPr>
                <w:rFonts w:ascii="Times New Roman" w:hAnsi="Times New Roman" w:cs="Times New Roman"/>
                <w:spacing w:val="4"/>
                <w:sz w:val="24"/>
                <w:szCs w:val="24"/>
                <w:lang w:eastAsia="zh-CN"/>
              </w:rPr>
              <w:t>k38+500~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39+900</w:t>
            </w:r>
            <w:r>
              <w:rPr>
                <w:rFonts w:hint="eastAsia" w:ascii="Times New Roman" w:hAnsi="Times New Roman" w:cs="Times New Roman"/>
                <w:spacing w:val="4"/>
                <w:sz w:val="24"/>
                <w:szCs w:val="24"/>
                <w:lang w:eastAsia="zh-CN"/>
              </w:rPr>
              <w:t>东侧，最近约1</w:t>
            </w:r>
            <w:r>
              <w:rPr>
                <w:rFonts w:ascii="Times New Roman" w:hAnsi="Times New Roman" w:cs="Times New Roman"/>
                <w:spacing w:val="4"/>
                <w:sz w:val="24"/>
                <w:szCs w:val="24"/>
                <w:lang w:eastAsia="zh-CN"/>
              </w:rPr>
              <w:t>70</w:t>
            </w:r>
            <w:r>
              <w:rPr>
                <w:rFonts w:hint="eastAsia" w:ascii="Times New Roman" w:hAnsi="Times New Roman" w:cs="Times New Roman"/>
                <w:spacing w:val="4"/>
                <w:sz w:val="24"/>
                <w:szCs w:val="24"/>
                <w:lang w:eastAsia="zh-CN"/>
              </w:rPr>
              <w:t>m）、东二畦水库（</w:t>
            </w:r>
            <w:r>
              <w:rPr>
                <w:rFonts w:ascii="Times New Roman" w:hAnsi="Times New Roman" w:cs="Times New Roman"/>
                <w:spacing w:val="4"/>
                <w:sz w:val="24"/>
                <w:szCs w:val="24"/>
                <w:lang w:eastAsia="zh-CN"/>
              </w:rPr>
              <w:t>k119+800~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120+700</w:t>
            </w:r>
            <w:r>
              <w:rPr>
                <w:rFonts w:hint="eastAsia" w:ascii="Times New Roman" w:hAnsi="Times New Roman" w:cs="Times New Roman"/>
                <w:spacing w:val="4"/>
                <w:sz w:val="24"/>
                <w:szCs w:val="24"/>
                <w:lang w:eastAsia="zh-CN"/>
              </w:rPr>
              <w:t>东侧，最近约</w:t>
            </w:r>
            <w:r>
              <w:rPr>
                <w:rFonts w:ascii="Times New Roman" w:hAnsi="Times New Roman" w:cs="Times New Roman"/>
                <w:spacing w:val="4"/>
                <w:sz w:val="24"/>
                <w:szCs w:val="24"/>
                <w:lang w:eastAsia="zh-CN"/>
              </w:rPr>
              <w:t>35</w:t>
            </w:r>
            <w:r>
              <w:rPr>
                <w:rFonts w:hint="eastAsia" w:ascii="Times New Roman" w:hAnsi="Times New Roman" w:cs="Times New Roman"/>
                <w:spacing w:val="4"/>
                <w:sz w:val="24"/>
                <w:szCs w:val="24"/>
                <w:lang w:eastAsia="zh-CN"/>
              </w:rPr>
              <w:t>m）、吉木萨尔北庭国家湿地公园（起始桩号位于</w:t>
            </w:r>
            <w:r>
              <w:rPr>
                <w:rFonts w:ascii="Times New Roman" w:hAnsi="Times New Roman" w:cs="Times New Roman"/>
                <w:spacing w:val="4"/>
                <w:sz w:val="24"/>
                <w:szCs w:val="24"/>
                <w:lang w:eastAsia="zh-CN"/>
              </w:rPr>
              <w:t>k118+480</w:t>
            </w:r>
            <w:r>
              <w:rPr>
                <w:rFonts w:hint="eastAsia" w:ascii="Times New Roman" w:hAnsi="Times New Roman" w:cs="Times New Roman"/>
                <w:spacing w:val="4"/>
                <w:sz w:val="24"/>
                <w:szCs w:val="24"/>
                <w:lang w:eastAsia="zh-CN"/>
              </w:rPr>
              <w:t>）。</w:t>
            </w:r>
          </w:p>
          <w:p w14:paraId="5AE6FB06">
            <w:pPr>
              <w:spacing w:line="360" w:lineRule="auto"/>
              <w:ind w:firstLine="496" w:firstLineChars="200"/>
              <w:rPr>
                <w:rFonts w:ascii="Times New Roman" w:hAnsi="Times New Roman" w:cs="Times New Roman"/>
                <w:spacing w:val="4"/>
                <w:sz w:val="24"/>
                <w:szCs w:val="24"/>
                <w:lang w:eastAsia="zh-CN"/>
              </w:rPr>
            </w:pPr>
            <w:r>
              <w:rPr>
                <w:rFonts w:ascii="Times New Roman" w:hAnsi="Times New Roman" w:cs="Times New Roman"/>
                <w:spacing w:val="4"/>
                <w:sz w:val="24"/>
                <w:szCs w:val="24"/>
                <w:lang w:eastAsia="zh-CN"/>
              </w:rPr>
              <w:t>（4）地下水环境保护目标</w:t>
            </w:r>
          </w:p>
          <w:p w14:paraId="6A38F636">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项目沿线</w:t>
            </w:r>
            <w:r>
              <w:rPr>
                <w:rFonts w:ascii="Times New Roman" w:hAnsi="Times New Roman" w:cs="Times New Roman"/>
                <w:spacing w:val="4"/>
                <w:sz w:val="24"/>
                <w:szCs w:val="24"/>
                <w:lang w:eastAsia="zh-CN"/>
              </w:rPr>
              <w:t>外500m范围内无地下水集中式饮用水水源和热水、矿泉水、温泉等特殊地下水资源环境保护目标。</w:t>
            </w:r>
          </w:p>
          <w:p w14:paraId="264A5813">
            <w:pPr>
              <w:spacing w:line="360" w:lineRule="auto"/>
              <w:ind w:firstLine="496" w:firstLineChars="200"/>
              <w:jc w:val="both"/>
              <w:rPr>
                <w:rFonts w:ascii="Times New Roman" w:hAnsi="Times New Roman" w:cs="Times New Roman"/>
                <w:spacing w:val="4"/>
                <w:sz w:val="24"/>
                <w:szCs w:val="24"/>
                <w:lang w:eastAsia="zh-CN"/>
              </w:rPr>
            </w:pPr>
            <w:r>
              <w:rPr>
                <w:rFonts w:ascii="Times New Roman" w:hAnsi="Times New Roman" w:cs="Times New Roman"/>
                <w:spacing w:val="4"/>
                <w:sz w:val="24"/>
                <w:szCs w:val="24"/>
                <w:lang w:eastAsia="zh-CN"/>
              </w:rPr>
              <w:t>项目周边主要环境保护目标情况见表3.10</w:t>
            </w:r>
            <w:r>
              <w:rPr>
                <w:rFonts w:hint="eastAsia" w:ascii="Times New Roman" w:hAnsi="Times New Roman" w:cs="Times New Roman"/>
                <w:spacing w:val="4"/>
                <w:sz w:val="24"/>
                <w:szCs w:val="24"/>
                <w:lang w:eastAsia="zh-CN"/>
              </w:rPr>
              <w:t>，和项目</w:t>
            </w:r>
            <w:r>
              <w:rPr>
                <w:rFonts w:ascii="Times New Roman" w:hAnsi="Times New Roman" w:cs="Times New Roman"/>
                <w:spacing w:val="4"/>
                <w:sz w:val="24"/>
                <w:szCs w:val="24"/>
                <w:lang w:eastAsia="zh-CN"/>
              </w:rPr>
              <w:t>相对位置关系见附图5。</w:t>
            </w:r>
          </w:p>
          <w:p w14:paraId="09F627C7">
            <w:pPr>
              <w:jc w:val="center"/>
              <w:rPr>
                <w:rFonts w:ascii="Times New Roman" w:hAnsi="Times New Roman" w:cs="Times New Roman"/>
                <w:b/>
                <w:bCs/>
                <w:color w:val="000000"/>
                <w:szCs w:val="21"/>
                <w:lang w:eastAsia="zh-CN"/>
              </w:rPr>
            </w:pPr>
          </w:p>
          <w:p w14:paraId="0D219E4F">
            <w:pPr>
              <w:jc w:val="center"/>
              <w:rPr>
                <w:rFonts w:ascii="Times New Roman" w:hAnsi="Times New Roman" w:cs="Times New Roman"/>
                <w:spacing w:val="4"/>
                <w:sz w:val="24"/>
                <w:szCs w:val="24"/>
                <w:lang w:eastAsia="zh-CN"/>
              </w:rPr>
            </w:pPr>
            <w:r>
              <w:rPr>
                <w:rFonts w:ascii="Times New Roman" w:hAnsi="Times New Roman" w:cs="Times New Roman"/>
                <w:b/>
                <w:bCs/>
                <w:color w:val="000000"/>
                <w:szCs w:val="21"/>
                <w:lang w:eastAsia="zh-CN"/>
              </w:rPr>
              <w:t>表3.10  大气及声环境主要环境保护目标</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2037"/>
              <w:gridCol w:w="454"/>
              <w:gridCol w:w="454"/>
              <w:gridCol w:w="4693"/>
              <w:gridCol w:w="716"/>
            </w:tblGrid>
            <w:tr w14:paraId="7239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5DC2E229">
                  <w:pPr>
                    <w:jc w:val="center"/>
                    <w:rPr>
                      <w:rFonts w:ascii="Times New Roman" w:hAnsi="Times New Roman" w:cs="Times New Roman"/>
                      <w:b/>
                      <w:bCs/>
                      <w:spacing w:val="4"/>
                      <w:szCs w:val="21"/>
                    </w:rPr>
                  </w:pPr>
                  <w:r>
                    <w:rPr>
                      <w:rFonts w:ascii="Times New Roman" w:hAnsi="Times New Roman" w:cs="Times New Roman"/>
                      <w:b/>
                      <w:bCs/>
                      <w:spacing w:val="4"/>
                      <w:szCs w:val="21"/>
                    </w:rPr>
                    <w:t>敏感目标</w:t>
                  </w:r>
                </w:p>
              </w:tc>
              <w:tc>
                <w:tcPr>
                  <w:tcW w:w="2037" w:type="dxa"/>
                  <w:vAlign w:val="center"/>
                </w:tcPr>
                <w:p w14:paraId="186B3835">
                  <w:pPr>
                    <w:jc w:val="center"/>
                    <w:rPr>
                      <w:rFonts w:ascii="Times New Roman" w:hAnsi="Times New Roman" w:cs="Times New Roman"/>
                      <w:b/>
                      <w:bCs/>
                      <w:spacing w:val="4"/>
                      <w:szCs w:val="21"/>
                    </w:rPr>
                  </w:pPr>
                  <w:r>
                    <w:rPr>
                      <w:rFonts w:ascii="Times New Roman" w:hAnsi="Times New Roman" w:cs="Times New Roman"/>
                      <w:b/>
                      <w:bCs/>
                      <w:spacing w:val="4"/>
                      <w:szCs w:val="21"/>
                    </w:rPr>
                    <w:t>位置</w:t>
                  </w:r>
                </w:p>
              </w:tc>
              <w:tc>
                <w:tcPr>
                  <w:tcW w:w="454" w:type="dxa"/>
                  <w:vAlign w:val="center"/>
                </w:tcPr>
                <w:p w14:paraId="6457FFA6">
                  <w:pPr>
                    <w:jc w:val="center"/>
                    <w:rPr>
                      <w:rFonts w:ascii="Times New Roman" w:hAnsi="Times New Roman" w:cs="Times New Roman"/>
                      <w:b/>
                      <w:bCs/>
                      <w:spacing w:val="4"/>
                      <w:szCs w:val="21"/>
                      <w:lang w:eastAsia="zh-CN"/>
                    </w:rPr>
                  </w:pPr>
                  <w:r>
                    <w:rPr>
                      <w:rFonts w:ascii="Times New Roman" w:hAnsi="Times New Roman" w:cs="Times New Roman"/>
                      <w:b/>
                      <w:bCs/>
                      <w:spacing w:val="4"/>
                      <w:szCs w:val="21"/>
                      <w:lang w:eastAsia="zh-CN"/>
                    </w:rPr>
                    <w:t>环境空气质量评价标准</w:t>
                  </w:r>
                </w:p>
              </w:tc>
              <w:tc>
                <w:tcPr>
                  <w:tcW w:w="454" w:type="dxa"/>
                  <w:vAlign w:val="center"/>
                </w:tcPr>
                <w:p w14:paraId="1EF77E90">
                  <w:pPr>
                    <w:jc w:val="center"/>
                    <w:rPr>
                      <w:rFonts w:ascii="Times New Roman" w:hAnsi="Times New Roman" w:cs="Times New Roman"/>
                      <w:b/>
                      <w:bCs/>
                      <w:spacing w:val="4"/>
                      <w:szCs w:val="21"/>
                    </w:rPr>
                  </w:pPr>
                  <w:r>
                    <w:rPr>
                      <w:rFonts w:ascii="Times New Roman" w:hAnsi="Times New Roman" w:cs="Times New Roman"/>
                      <w:b/>
                      <w:bCs/>
                      <w:spacing w:val="4"/>
                      <w:szCs w:val="21"/>
                    </w:rPr>
                    <w:t>声环境质量评价标准</w:t>
                  </w:r>
                </w:p>
              </w:tc>
              <w:tc>
                <w:tcPr>
                  <w:tcW w:w="4693" w:type="dxa"/>
                  <w:vAlign w:val="center"/>
                </w:tcPr>
                <w:p w14:paraId="17BF2C70">
                  <w:pPr>
                    <w:jc w:val="center"/>
                    <w:rPr>
                      <w:rFonts w:ascii="Times New Roman" w:hAnsi="Times New Roman" w:cs="Times New Roman"/>
                      <w:b/>
                      <w:bCs/>
                      <w:spacing w:val="4"/>
                      <w:szCs w:val="21"/>
                    </w:rPr>
                  </w:pPr>
                  <w:r>
                    <w:rPr>
                      <w:rFonts w:ascii="Times New Roman" w:hAnsi="Times New Roman" w:cs="Times New Roman"/>
                      <w:b/>
                      <w:bCs/>
                      <w:spacing w:val="4"/>
                      <w:szCs w:val="21"/>
                    </w:rPr>
                    <w:t>敏感点区域位置</w:t>
                  </w:r>
                </w:p>
              </w:tc>
              <w:tc>
                <w:tcPr>
                  <w:tcW w:w="716" w:type="dxa"/>
                  <w:vAlign w:val="center"/>
                </w:tcPr>
                <w:p w14:paraId="1C187B2A">
                  <w:pPr>
                    <w:jc w:val="center"/>
                    <w:rPr>
                      <w:rFonts w:ascii="Times New Roman" w:hAnsi="Times New Roman" w:cs="Times New Roman"/>
                      <w:b/>
                      <w:bCs/>
                      <w:spacing w:val="4"/>
                      <w:szCs w:val="21"/>
                      <w:lang w:eastAsia="zh-CN"/>
                    </w:rPr>
                  </w:pPr>
                  <w:r>
                    <w:rPr>
                      <w:rFonts w:ascii="Times New Roman" w:hAnsi="Times New Roman" w:cs="Times New Roman"/>
                      <w:b/>
                      <w:bCs/>
                      <w:spacing w:val="4"/>
                      <w:szCs w:val="21"/>
                      <w:lang w:eastAsia="zh-CN"/>
                    </w:rPr>
                    <w:t>敏感目标及周围环境特征</w:t>
                  </w:r>
                </w:p>
              </w:tc>
            </w:tr>
            <w:tr w14:paraId="209F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2A18737B">
                  <w:pPr>
                    <w:jc w:val="center"/>
                    <w:rPr>
                      <w:rFonts w:ascii="Times New Roman" w:hAnsi="Times New Roman" w:cs="Times New Roman"/>
                      <w:sz w:val="21"/>
                      <w:szCs w:val="21"/>
                    </w:rPr>
                  </w:pPr>
                  <w:r>
                    <w:rPr>
                      <w:rFonts w:hint="eastAsia" w:ascii="Times New Roman" w:hAnsi="Times New Roman" w:cs="Times New Roman"/>
                      <w:sz w:val="21"/>
                      <w:szCs w:val="21"/>
                    </w:rPr>
                    <w:t>红旗农场农</w:t>
                  </w:r>
                  <w:r>
                    <w:rPr>
                      <w:rFonts w:ascii="Times New Roman" w:hAnsi="Times New Roman" w:cs="Times New Roman"/>
                      <w:sz w:val="21"/>
                      <w:szCs w:val="21"/>
                    </w:rPr>
                    <w:t>9连居民点</w:t>
                  </w:r>
                </w:p>
              </w:tc>
              <w:tc>
                <w:tcPr>
                  <w:tcW w:w="2037" w:type="dxa"/>
                  <w:vAlign w:val="center"/>
                </w:tcPr>
                <w:p w14:paraId="0712EC9C">
                  <w:pPr>
                    <w:jc w:val="center"/>
                    <w:rPr>
                      <w:rFonts w:ascii="Times New Roman" w:hAnsi="Times New Roman" w:cs="Times New Roman"/>
                      <w:sz w:val="21"/>
                      <w:szCs w:val="21"/>
                    </w:rPr>
                  </w:pPr>
                  <w:r>
                    <w:rPr>
                      <w:rFonts w:ascii="Times New Roman" w:hAnsi="Times New Roman" w:cs="Times New Roman"/>
                      <w:sz w:val="21"/>
                      <w:szCs w:val="21"/>
                    </w:rPr>
                    <w:t>k108+200~k109+400西侧</w:t>
                  </w:r>
                </w:p>
              </w:tc>
              <w:tc>
                <w:tcPr>
                  <w:tcW w:w="454" w:type="dxa"/>
                  <w:vAlign w:val="center"/>
                </w:tcPr>
                <w:p w14:paraId="7C0BD59D">
                  <w:pPr>
                    <w:jc w:val="center"/>
                    <w:rPr>
                      <w:rFonts w:ascii="Times New Roman" w:hAnsi="Times New Roman" w:cs="Times New Roman"/>
                      <w:sz w:val="21"/>
                      <w:szCs w:val="21"/>
                    </w:rPr>
                  </w:pPr>
                  <w:r>
                    <w:rPr>
                      <w:rFonts w:ascii="Times New Roman" w:hAnsi="Times New Roman" w:cs="Times New Roman"/>
                      <w:sz w:val="21"/>
                      <w:szCs w:val="21"/>
                    </w:rPr>
                    <w:t>二级</w:t>
                  </w:r>
                </w:p>
              </w:tc>
              <w:tc>
                <w:tcPr>
                  <w:tcW w:w="454" w:type="dxa"/>
                  <w:vAlign w:val="center"/>
                </w:tcPr>
                <w:p w14:paraId="6D0EEA09">
                  <w:pPr>
                    <w:jc w:val="center"/>
                    <w:rPr>
                      <w:rFonts w:ascii="Times New Roman" w:hAnsi="Times New Roman" w:cs="Times New Roman"/>
                      <w:sz w:val="21"/>
                      <w:szCs w:val="21"/>
                    </w:rPr>
                  </w:pPr>
                  <w:r>
                    <w:rPr>
                      <w:rFonts w:hint="eastAsia" w:ascii="Times New Roman" w:hAnsi="Times New Roman" w:cs="Times New Roman"/>
                      <w:sz w:val="21"/>
                      <w:szCs w:val="21"/>
                      <w:lang w:eastAsia="zh-CN"/>
                    </w:rPr>
                    <w:t>2</w:t>
                  </w:r>
                  <w:r>
                    <w:rPr>
                      <w:rFonts w:ascii="Times New Roman" w:hAnsi="Times New Roman" w:cs="Times New Roman"/>
                      <w:sz w:val="21"/>
                      <w:szCs w:val="21"/>
                    </w:rPr>
                    <w:t>类</w:t>
                  </w:r>
                </w:p>
              </w:tc>
              <w:tc>
                <w:tcPr>
                  <w:tcW w:w="4693" w:type="dxa"/>
                  <w:vAlign w:val="center"/>
                </w:tcPr>
                <w:p w14:paraId="70353ACD">
                  <w:pPr>
                    <w:jc w:val="center"/>
                    <w:rPr>
                      <w:rFonts w:ascii="Times New Roman" w:hAnsi="Times New Roman" w:cs="Times New Roman"/>
                      <w:sz w:val="21"/>
                      <w:szCs w:val="21"/>
                    </w:rPr>
                  </w:pPr>
                  <w:r>
                    <w:rPr>
                      <w:rFonts w:ascii="Times New Roman" w:hAnsi="Times New Roman" w:cs="Times New Roman"/>
                      <w:sz w:val="21"/>
                      <w:szCs w:val="21"/>
                      <w:lang w:eastAsia="zh-CN"/>
                    </w:rPr>
                    <w:drawing>
                      <wp:inline distT="0" distB="0" distL="0" distR="0">
                        <wp:extent cx="2842895" cy="2647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70918" cy="2673662"/>
                                </a:xfrm>
                                <a:prstGeom prst="rect">
                                  <a:avLst/>
                                </a:prstGeom>
                                <a:noFill/>
                              </pic:spPr>
                            </pic:pic>
                          </a:graphicData>
                        </a:graphic>
                      </wp:inline>
                    </w:drawing>
                  </w:r>
                </w:p>
              </w:tc>
              <w:tc>
                <w:tcPr>
                  <w:tcW w:w="716" w:type="dxa"/>
                  <w:vAlign w:val="center"/>
                </w:tcPr>
                <w:p w14:paraId="451DBB17">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m范围内大气环境保护目标：</w:t>
                  </w:r>
                  <w:r>
                    <w:rPr>
                      <w:rFonts w:ascii="Times New Roman" w:hAnsi="Times New Roman" w:cs="Times New Roman"/>
                      <w:sz w:val="21"/>
                      <w:szCs w:val="21"/>
                      <w:lang w:eastAsia="zh-CN"/>
                    </w:rPr>
                    <w:t>40</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142</w:t>
                  </w:r>
                  <w:r>
                    <w:rPr>
                      <w:rFonts w:hint="eastAsia" w:ascii="Times New Roman" w:hAnsi="Times New Roman" w:cs="Times New Roman"/>
                      <w:sz w:val="21"/>
                      <w:szCs w:val="21"/>
                      <w:lang w:eastAsia="zh-CN"/>
                    </w:rPr>
                    <w:t>人。</w:t>
                  </w:r>
                </w:p>
              </w:tc>
            </w:tr>
            <w:tr w14:paraId="7183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17BA3E52">
                  <w:pPr>
                    <w:jc w:val="center"/>
                    <w:rPr>
                      <w:rFonts w:ascii="Times New Roman" w:hAnsi="Times New Roman" w:cs="Times New Roman"/>
                      <w:sz w:val="21"/>
                      <w:szCs w:val="21"/>
                    </w:rPr>
                  </w:pPr>
                  <w:r>
                    <w:rPr>
                      <w:rFonts w:hint="eastAsia" w:ascii="Times New Roman" w:hAnsi="Times New Roman" w:cs="Times New Roman"/>
                      <w:sz w:val="21"/>
                      <w:szCs w:val="21"/>
                    </w:rPr>
                    <w:t>张家庄子村居民点</w:t>
                  </w:r>
                </w:p>
              </w:tc>
              <w:tc>
                <w:tcPr>
                  <w:tcW w:w="2037" w:type="dxa"/>
                  <w:vAlign w:val="center"/>
                </w:tcPr>
                <w:p w14:paraId="5EF598B1">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k110+590~k111+000东侧</w:t>
                  </w:r>
                </w:p>
              </w:tc>
              <w:tc>
                <w:tcPr>
                  <w:tcW w:w="454" w:type="dxa"/>
                  <w:vAlign w:val="center"/>
                </w:tcPr>
                <w:p w14:paraId="0EEFB464">
                  <w:pPr>
                    <w:jc w:val="center"/>
                    <w:rPr>
                      <w:rFonts w:ascii="Times New Roman" w:hAnsi="Times New Roman" w:cs="Times New Roman"/>
                      <w:sz w:val="21"/>
                      <w:szCs w:val="21"/>
                    </w:rPr>
                  </w:pPr>
                  <w:r>
                    <w:rPr>
                      <w:rFonts w:ascii="Times New Roman" w:hAnsi="Times New Roman" w:cs="Times New Roman"/>
                      <w:sz w:val="21"/>
                      <w:szCs w:val="21"/>
                    </w:rPr>
                    <w:t>二级</w:t>
                  </w:r>
                </w:p>
              </w:tc>
              <w:tc>
                <w:tcPr>
                  <w:tcW w:w="454" w:type="dxa"/>
                  <w:vAlign w:val="center"/>
                </w:tcPr>
                <w:p w14:paraId="6BF18480">
                  <w:pPr>
                    <w:jc w:val="center"/>
                    <w:rPr>
                      <w:rFonts w:ascii="Times New Roman" w:hAnsi="Times New Roman" w:cs="Times New Roman"/>
                      <w:sz w:val="21"/>
                      <w:szCs w:val="21"/>
                    </w:rPr>
                  </w:pPr>
                  <w:r>
                    <w:rPr>
                      <w:rFonts w:ascii="Times New Roman" w:hAnsi="Times New Roman" w:cs="Times New Roman"/>
                      <w:sz w:val="21"/>
                      <w:szCs w:val="21"/>
                    </w:rPr>
                    <w:t>2类</w:t>
                  </w:r>
                </w:p>
                <w:p w14:paraId="5B2432B4">
                  <w:pPr>
                    <w:jc w:val="center"/>
                    <w:rPr>
                      <w:rFonts w:ascii="Times New Roman" w:hAnsi="Times New Roman" w:cs="Times New Roman"/>
                      <w:sz w:val="21"/>
                      <w:szCs w:val="21"/>
                    </w:rPr>
                  </w:pPr>
                  <w:r>
                    <w:rPr>
                      <w:rFonts w:hint="eastAsia" w:ascii="Times New Roman" w:hAnsi="Times New Roman" w:cs="Times New Roman"/>
                      <w:sz w:val="21"/>
                      <w:szCs w:val="21"/>
                      <w:lang w:eastAsia="zh-CN"/>
                    </w:rPr>
                    <w:t>、</w:t>
                  </w:r>
                </w:p>
                <w:p w14:paraId="1CE81DFF">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4a类</w:t>
                  </w:r>
                </w:p>
              </w:tc>
              <w:tc>
                <w:tcPr>
                  <w:tcW w:w="4693" w:type="dxa"/>
                  <w:vAlign w:val="center"/>
                </w:tcPr>
                <w:p w14:paraId="0FD385EC">
                  <w:pPr>
                    <w:rPr>
                      <w:rFonts w:ascii="Times New Roman" w:hAnsi="Times New Roman" w:cs="Times New Roman"/>
                      <w:sz w:val="21"/>
                      <w:szCs w:val="21"/>
                    </w:rPr>
                  </w:pPr>
                  <w:r>
                    <w:rPr>
                      <w:rFonts w:ascii="Times New Roman" w:hAnsi="Times New Roman" w:cs="Times New Roman"/>
                      <w:sz w:val="21"/>
                      <w:szCs w:val="21"/>
                      <w:lang w:eastAsia="zh-CN"/>
                    </w:rPr>
                    <w:drawing>
                      <wp:inline distT="0" distB="0" distL="0" distR="0">
                        <wp:extent cx="2807335" cy="20434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34323" cy="2062822"/>
                                </a:xfrm>
                                <a:prstGeom prst="rect">
                                  <a:avLst/>
                                </a:prstGeom>
                                <a:noFill/>
                              </pic:spPr>
                            </pic:pic>
                          </a:graphicData>
                        </a:graphic>
                      </wp:inline>
                    </w:drawing>
                  </w:r>
                </w:p>
              </w:tc>
              <w:tc>
                <w:tcPr>
                  <w:tcW w:w="716" w:type="dxa"/>
                  <w:vAlign w:val="center"/>
                </w:tcPr>
                <w:p w14:paraId="40C570BF">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m范围内大气环境保护目标：</w:t>
                  </w:r>
                  <w:r>
                    <w:rPr>
                      <w:rFonts w:ascii="Times New Roman" w:hAnsi="Times New Roman" w:cs="Times New Roman"/>
                      <w:sz w:val="21"/>
                      <w:szCs w:val="21"/>
                      <w:lang w:eastAsia="zh-CN"/>
                    </w:rPr>
                    <w:t>33</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135</w:t>
                  </w:r>
                  <w:r>
                    <w:rPr>
                      <w:rFonts w:hint="eastAsia" w:ascii="Times New Roman" w:hAnsi="Times New Roman" w:cs="Times New Roman"/>
                      <w:sz w:val="21"/>
                      <w:szCs w:val="21"/>
                      <w:lang w:eastAsia="zh-CN"/>
                    </w:rPr>
                    <w:t>人。2</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m范围内声环境保护目标：</w:t>
                  </w:r>
                  <w:r>
                    <w:rPr>
                      <w:rFonts w:ascii="Times New Roman" w:hAnsi="Times New Roman" w:cs="Times New Roman"/>
                      <w:sz w:val="21"/>
                      <w:szCs w:val="21"/>
                      <w:lang w:eastAsia="zh-CN"/>
                    </w:rPr>
                    <w:t>33</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135</w:t>
                  </w:r>
                  <w:r>
                    <w:rPr>
                      <w:rFonts w:hint="eastAsia" w:ascii="Times New Roman" w:hAnsi="Times New Roman" w:cs="Times New Roman"/>
                      <w:sz w:val="21"/>
                      <w:szCs w:val="21"/>
                      <w:lang w:eastAsia="zh-CN"/>
                    </w:rPr>
                    <w:t>人。</w:t>
                  </w:r>
                </w:p>
              </w:tc>
            </w:tr>
            <w:tr w14:paraId="229D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4FF6C60F">
                  <w:pPr>
                    <w:jc w:val="center"/>
                    <w:rPr>
                      <w:rFonts w:ascii="Times New Roman" w:hAnsi="Times New Roman" w:cs="Times New Roman"/>
                      <w:sz w:val="21"/>
                      <w:szCs w:val="21"/>
                    </w:rPr>
                  </w:pPr>
                  <w:r>
                    <w:rPr>
                      <w:rFonts w:hint="eastAsia" w:ascii="Times New Roman" w:hAnsi="Times New Roman" w:cs="Times New Roman"/>
                      <w:sz w:val="21"/>
                      <w:szCs w:val="21"/>
                    </w:rPr>
                    <w:t>东二畦下村居民点</w:t>
                  </w:r>
                </w:p>
              </w:tc>
              <w:tc>
                <w:tcPr>
                  <w:tcW w:w="2037" w:type="dxa"/>
                  <w:vAlign w:val="center"/>
                </w:tcPr>
                <w:p w14:paraId="49191E11">
                  <w:pPr>
                    <w:jc w:val="center"/>
                    <w:rPr>
                      <w:rFonts w:ascii="Times New Roman" w:hAnsi="Times New Roman" w:cs="Times New Roman"/>
                      <w:sz w:val="21"/>
                      <w:szCs w:val="21"/>
                    </w:rPr>
                  </w:pPr>
                  <w:r>
                    <w:rPr>
                      <w:rFonts w:ascii="Times New Roman" w:hAnsi="Times New Roman" w:cs="Times New Roman"/>
                      <w:sz w:val="21"/>
                      <w:szCs w:val="21"/>
                    </w:rPr>
                    <w:t>k113+440~k115+400西侧</w:t>
                  </w:r>
                </w:p>
              </w:tc>
              <w:tc>
                <w:tcPr>
                  <w:tcW w:w="454" w:type="dxa"/>
                  <w:vAlign w:val="center"/>
                </w:tcPr>
                <w:p w14:paraId="63A34C3D">
                  <w:pPr>
                    <w:jc w:val="center"/>
                    <w:rPr>
                      <w:rFonts w:ascii="Times New Roman" w:hAnsi="Times New Roman" w:cs="Times New Roman"/>
                      <w:sz w:val="21"/>
                      <w:szCs w:val="21"/>
                    </w:rPr>
                  </w:pPr>
                  <w:r>
                    <w:rPr>
                      <w:rFonts w:ascii="Times New Roman" w:hAnsi="Times New Roman" w:cs="Times New Roman"/>
                      <w:sz w:val="21"/>
                      <w:szCs w:val="21"/>
                    </w:rPr>
                    <w:t>二级</w:t>
                  </w:r>
                </w:p>
              </w:tc>
              <w:tc>
                <w:tcPr>
                  <w:tcW w:w="454" w:type="dxa"/>
                  <w:vAlign w:val="center"/>
                </w:tcPr>
                <w:p w14:paraId="7575E1D8">
                  <w:pPr>
                    <w:jc w:val="center"/>
                    <w:rPr>
                      <w:rFonts w:ascii="Times New Roman" w:hAnsi="Times New Roman" w:cs="Times New Roman"/>
                      <w:sz w:val="21"/>
                      <w:szCs w:val="21"/>
                    </w:rPr>
                  </w:pPr>
                  <w:r>
                    <w:rPr>
                      <w:rFonts w:ascii="Times New Roman" w:hAnsi="Times New Roman" w:cs="Times New Roman"/>
                      <w:sz w:val="21"/>
                      <w:szCs w:val="21"/>
                    </w:rPr>
                    <w:t>2类</w:t>
                  </w:r>
                </w:p>
                <w:p w14:paraId="46661FA4">
                  <w:pPr>
                    <w:jc w:val="center"/>
                    <w:rPr>
                      <w:rFonts w:ascii="Times New Roman" w:hAnsi="Times New Roman" w:cs="Times New Roman"/>
                      <w:sz w:val="21"/>
                      <w:szCs w:val="21"/>
                    </w:rPr>
                  </w:pPr>
                  <w:r>
                    <w:rPr>
                      <w:rFonts w:hint="eastAsia" w:ascii="Times New Roman" w:hAnsi="Times New Roman" w:cs="Times New Roman"/>
                      <w:sz w:val="21"/>
                      <w:szCs w:val="21"/>
                      <w:lang w:eastAsia="zh-CN"/>
                    </w:rPr>
                    <w:t>、</w:t>
                  </w:r>
                </w:p>
                <w:p w14:paraId="0AB0A6BE">
                  <w:pPr>
                    <w:jc w:val="center"/>
                    <w:rPr>
                      <w:rFonts w:ascii="Times New Roman" w:hAnsi="Times New Roman" w:cs="Times New Roman"/>
                      <w:sz w:val="21"/>
                      <w:szCs w:val="21"/>
                    </w:rPr>
                  </w:pPr>
                  <w:r>
                    <w:rPr>
                      <w:rFonts w:hint="eastAsia" w:ascii="Times New Roman" w:hAnsi="Times New Roman" w:cs="Times New Roman"/>
                      <w:sz w:val="21"/>
                      <w:szCs w:val="21"/>
                      <w:lang w:eastAsia="zh-CN"/>
                    </w:rPr>
                    <w:t>4a类</w:t>
                  </w:r>
                </w:p>
              </w:tc>
              <w:tc>
                <w:tcPr>
                  <w:tcW w:w="4693" w:type="dxa"/>
                  <w:vAlign w:val="center"/>
                </w:tcPr>
                <w:p w14:paraId="35F96DB0">
                  <w:pPr>
                    <w:jc w:val="center"/>
                    <w:rPr>
                      <w:rFonts w:ascii="Times New Roman" w:hAnsi="Times New Roman" w:cs="Times New Roman"/>
                      <w:sz w:val="21"/>
                      <w:szCs w:val="21"/>
                    </w:rPr>
                  </w:pPr>
                  <w:r>
                    <w:rPr>
                      <w:lang w:eastAsia="zh-CN"/>
                    </w:rPr>
                    <w:drawing>
                      <wp:inline distT="0" distB="0" distL="0" distR="0">
                        <wp:extent cx="2517775" cy="40125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2527515" cy="4027525"/>
                                </a:xfrm>
                                <a:prstGeom prst="rect">
                                  <a:avLst/>
                                </a:prstGeom>
                              </pic:spPr>
                            </pic:pic>
                          </a:graphicData>
                        </a:graphic>
                      </wp:inline>
                    </w:drawing>
                  </w:r>
                </w:p>
              </w:tc>
              <w:tc>
                <w:tcPr>
                  <w:tcW w:w="716" w:type="dxa"/>
                  <w:vAlign w:val="center"/>
                </w:tcPr>
                <w:p w14:paraId="3CF1C849">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m范围内大气环境保护目标：</w:t>
                  </w:r>
                  <w:r>
                    <w:rPr>
                      <w:rFonts w:ascii="Times New Roman" w:hAnsi="Times New Roman" w:cs="Times New Roman"/>
                      <w:sz w:val="21"/>
                      <w:szCs w:val="21"/>
                      <w:lang w:eastAsia="zh-CN"/>
                    </w:rPr>
                    <w:t>135</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446</w:t>
                  </w:r>
                  <w:r>
                    <w:rPr>
                      <w:rFonts w:hint="eastAsia" w:ascii="Times New Roman" w:hAnsi="Times New Roman" w:cs="Times New Roman"/>
                      <w:sz w:val="21"/>
                      <w:szCs w:val="21"/>
                      <w:lang w:eastAsia="zh-CN"/>
                    </w:rPr>
                    <w:t>人。2</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m范围内声环境保护目标：</w:t>
                  </w:r>
                  <w:r>
                    <w:rPr>
                      <w:rFonts w:ascii="Times New Roman" w:hAnsi="Times New Roman" w:cs="Times New Roman"/>
                      <w:sz w:val="21"/>
                      <w:szCs w:val="21"/>
                      <w:lang w:eastAsia="zh-CN"/>
                    </w:rPr>
                    <w:t>83</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256</w:t>
                  </w:r>
                  <w:r>
                    <w:rPr>
                      <w:rFonts w:hint="eastAsia" w:ascii="Times New Roman" w:hAnsi="Times New Roman" w:cs="Times New Roman"/>
                      <w:sz w:val="21"/>
                      <w:szCs w:val="21"/>
                      <w:lang w:eastAsia="zh-CN"/>
                    </w:rPr>
                    <w:t>人。</w:t>
                  </w:r>
                </w:p>
              </w:tc>
            </w:tr>
            <w:tr w14:paraId="1C83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68B438C5">
                  <w:pPr>
                    <w:jc w:val="center"/>
                    <w:rPr>
                      <w:rFonts w:ascii="Times New Roman" w:hAnsi="Times New Roman" w:cs="Times New Roman"/>
                      <w:sz w:val="21"/>
                      <w:szCs w:val="21"/>
                    </w:rPr>
                  </w:pPr>
                  <w:r>
                    <w:rPr>
                      <w:rFonts w:hint="eastAsia" w:ascii="Times New Roman" w:hAnsi="Times New Roman" w:cs="Times New Roman"/>
                      <w:sz w:val="21"/>
                      <w:szCs w:val="21"/>
                    </w:rPr>
                    <w:t>东二畦</w:t>
                  </w:r>
                  <w:r>
                    <w:rPr>
                      <w:rFonts w:hint="eastAsia" w:ascii="Times New Roman" w:hAnsi="Times New Roman" w:cs="Times New Roman"/>
                      <w:sz w:val="21"/>
                      <w:szCs w:val="21"/>
                      <w:lang w:eastAsia="zh-CN"/>
                    </w:rPr>
                    <w:t>上</w:t>
                  </w:r>
                  <w:r>
                    <w:rPr>
                      <w:rFonts w:hint="eastAsia" w:ascii="Times New Roman" w:hAnsi="Times New Roman" w:cs="Times New Roman"/>
                      <w:sz w:val="21"/>
                      <w:szCs w:val="21"/>
                    </w:rPr>
                    <w:t>村居民点</w:t>
                  </w:r>
                </w:p>
              </w:tc>
              <w:tc>
                <w:tcPr>
                  <w:tcW w:w="2037" w:type="dxa"/>
                  <w:vAlign w:val="center"/>
                </w:tcPr>
                <w:p w14:paraId="76D077F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k115+760~k116+375西侧</w:t>
                  </w:r>
                  <w:r>
                    <w:rPr>
                      <w:rFonts w:hint="eastAsia" w:ascii="Times New Roman" w:hAnsi="Times New Roman" w:cs="Times New Roman"/>
                      <w:sz w:val="21"/>
                      <w:szCs w:val="21"/>
                      <w:lang w:eastAsia="zh-CN"/>
                    </w:rPr>
                    <w:t>（大气）</w:t>
                  </w:r>
                </w:p>
                <w:p w14:paraId="53919A2E">
                  <w:pPr>
                    <w:jc w:val="center"/>
                    <w:rPr>
                      <w:rFonts w:ascii="Times New Roman" w:hAnsi="Times New Roman" w:cs="Times New Roman"/>
                      <w:sz w:val="21"/>
                      <w:szCs w:val="21"/>
                      <w:lang w:eastAsia="zh-CN"/>
                    </w:rPr>
                  </w:pPr>
                </w:p>
                <w:p w14:paraId="64F2C87D">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k116+023~k116+375西侧</w:t>
                  </w:r>
                  <w:r>
                    <w:rPr>
                      <w:rFonts w:hint="eastAsia" w:ascii="Times New Roman" w:hAnsi="Times New Roman" w:cs="Times New Roman"/>
                      <w:sz w:val="21"/>
                      <w:szCs w:val="21"/>
                      <w:lang w:eastAsia="zh-CN"/>
                    </w:rPr>
                    <w:t>（声）</w:t>
                  </w:r>
                </w:p>
              </w:tc>
              <w:tc>
                <w:tcPr>
                  <w:tcW w:w="454" w:type="dxa"/>
                  <w:vAlign w:val="center"/>
                </w:tcPr>
                <w:p w14:paraId="510244F7">
                  <w:pPr>
                    <w:jc w:val="center"/>
                    <w:rPr>
                      <w:rFonts w:ascii="Times New Roman" w:hAnsi="Times New Roman" w:cs="Times New Roman"/>
                      <w:sz w:val="21"/>
                      <w:szCs w:val="21"/>
                    </w:rPr>
                  </w:pPr>
                  <w:r>
                    <w:rPr>
                      <w:rFonts w:hint="eastAsia" w:ascii="Times New Roman" w:hAnsi="Times New Roman" w:cs="Times New Roman"/>
                      <w:sz w:val="21"/>
                      <w:szCs w:val="21"/>
                    </w:rPr>
                    <w:t>二级</w:t>
                  </w:r>
                </w:p>
              </w:tc>
              <w:tc>
                <w:tcPr>
                  <w:tcW w:w="454" w:type="dxa"/>
                  <w:vAlign w:val="center"/>
                </w:tcPr>
                <w:p w14:paraId="11612ED7">
                  <w:pPr>
                    <w:jc w:val="center"/>
                    <w:rPr>
                      <w:rFonts w:ascii="Times New Roman" w:hAnsi="Times New Roman" w:cs="Times New Roman"/>
                      <w:sz w:val="21"/>
                      <w:szCs w:val="21"/>
                    </w:rPr>
                  </w:pPr>
                  <w:r>
                    <w:rPr>
                      <w:rFonts w:ascii="Times New Roman" w:hAnsi="Times New Roman" w:cs="Times New Roman"/>
                      <w:sz w:val="21"/>
                      <w:szCs w:val="21"/>
                    </w:rPr>
                    <w:t>2类</w:t>
                  </w:r>
                </w:p>
                <w:p w14:paraId="584EB549">
                  <w:pPr>
                    <w:jc w:val="center"/>
                    <w:rPr>
                      <w:rFonts w:ascii="Times New Roman" w:hAnsi="Times New Roman" w:cs="Times New Roman"/>
                      <w:sz w:val="21"/>
                      <w:szCs w:val="21"/>
                    </w:rPr>
                  </w:pPr>
                  <w:r>
                    <w:rPr>
                      <w:rFonts w:hint="eastAsia" w:ascii="Times New Roman" w:hAnsi="Times New Roman" w:cs="Times New Roman"/>
                      <w:sz w:val="21"/>
                      <w:szCs w:val="21"/>
                      <w:lang w:eastAsia="zh-CN"/>
                    </w:rPr>
                    <w:t>、</w:t>
                  </w:r>
                </w:p>
                <w:p w14:paraId="5F1CA49A">
                  <w:pPr>
                    <w:jc w:val="center"/>
                    <w:rPr>
                      <w:rFonts w:ascii="Times New Roman" w:hAnsi="Times New Roman" w:cs="Times New Roman"/>
                      <w:sz w:val="21"/>
                      <w:szCs w:val="21"/>
                    </w:rPr>
                  </w:pPr>
                  <w:r>
                    <w:rPr>
                      <w:rFonts w:hint="eastAsia" w:ascii="Times New Roman" w:hAnsi="Times New Roman" w:cs="Times New Roman"/>
                      <w:sz w:val="21"/>
                      <w:szCs w:val="21"/>
                      <w:lang w:eastAsia="zh-CN"/>
                    </w:rPr>
                    <w:t>4a类</w:t>
                  </w:r>
                </w:p>
              </w:tc>
              <w:tc>
                <w:tcPr>
                  <w:tcW w:w="4693" w:type="dxa"/>
                  <w:vAlign w:val="center"/>
                </w:tcPr>
                <w:p w14:paraId="68E37EDC">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drawing>
                      <wp:inline distT="0" distB="0" distL="0" distR="0">
                        <wp:extent cx="2731770" cy="1781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50449" cy="1792992"/>
                                </a:xfrm>
                                <a:prstGeom prst="rect">
                                  <a:avLst/>
                                </a:prstGeom>
                                <a:noFill/>
                              </pic:spPr>
                            </pic:pic>
                          </a:graphicData>
                        </a:graphic>
                      </wp:inline>
                    </w:drawing>
                  </w:r>
                </w:p>
              </w:tc>
              <w:tc>
                <w:tcPr>
                  <w:tcW w:w="716" w:type="dxa"/>
                  <w:vAlign w:val="center"/>
                </w:tcPr>
                <w:p w14:paraId="7A86B2BB">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m范围内大气环境保护目标：</w:t>
                  </w:r>
                  <w:r>
                    <w:rPr>
                      <w:rFonts w:ascii="Times New Roman" w:hAnsi="Times New Roman" w:cs="Times New Roman"/>
                      <w:sz w:val="21"/>
                      <w:szCs w:val="21"/>
                      <w:lang w:eastAsia="zh-CN"/>
                    </w:rPr>
                    <w:t>46</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159</w:t>
                  </w:r>
                  <w:r>
                    <w:rPr>
                      <w:rFonts w:hint="eastAsia" w:ascii="Times New Roman" w:hAnsi="Times New Roman" w:cs="Times New Roman"/>
                      <w:sz w:val="21"/>
                      <w:szCs w:val="21"/>
                      <w:lang w:eastAsia="zh-CN"/>
                    </w:rPr>
                    <w:t>人。2</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m范围内声环境保护目标：</w:t>
                  </w:r>
                  <w:r>
                    <w:rPr>
                      <w:rFonts w:ascii="Times New Roman" w:hAnsi="Times New Roman" w:cs="Times New Roman"/>
                      <w:sz w:val="21"/>
                      <w:szCs w:val="21"/>
                      <w:lang w:eastAsia="zh-CN"/>
                    </w:rPr>
                    <w:t>33</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116</w:t>
                  </w:r>
                  <w:r>
                    <w:rPr>
                      <w:rFonts w:hint="eastAsia" w:ascii="Times New Roman" w:hAnsi="Times New Roman" w:cs="Times New Roman"/>
                      <w:sz w:val="21"/>
                      <w:szCs w:val="21"/>
                      <w:lang w:eastAsia="zh-CN"/>
                    </w:rPr>
                    <w:t>人。</w:t>
                  </w:r>
                </w:p>
              </w:tc>
            </w:tr>
            <w:tr w14:paraId="6262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19AB5F5B">
                  <w:pPr>
                    <w:jc w:val="center"/>
                    <w:rPr>
                      <w:rFonts w:ascii="Times New Roman" w:hAnsi="Times New Roman" w:cs="Times New Roman"/>
                      <w:sz w:val="21"/>
                      <w:szCs w:val="21"/>
                    </w:rPr>
                  </w:pPr>
                  <w:r>
                    <w:rPr>
                      <w:rFonts w:hint="eastAsia" w:ascii="Times New Roman" w:hAnsi="Times New Roman" w:cs="Times New Roman"/>
                      <w:sz w:val="21"/>
                      <w:szCs w:val="21"/>
                    </w:rPr>
                    <w:t>冉家湖村居民点</w:t>
                  </w:r>
                </w:p>
              </w:tc>
              <w:tc>
                <w:tcPr>
                  <w:tcW w:w="2037" w:type="dxa"/>
                  <w:vAlign w:val="center"/>
                </w:tcPr>
                <w:p w14:paraId="5E75F841">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k116+570~k118+200西侧</w:t>
                  </w:r>
                </w:p>
              </w:tc>
              <w:tc>
                <w:tcPr>
                  <w:tcW w:w="454" w:type="dxa"/>
                  <w:vAlign w:val="center"/>
                </w:tcPr>
                <w:p w14:paraId="6EC1B96A">
                  <w:pPr>
                    <w:jc w:val="center"/>
                    <w:rPr>
                      <w:rFonts w:ascii="Times New Roman" w:hAnsi="Times New Roman" w:cs="Times New Roman"/>
                      <w:sz w:val="21"/>
                      <w:szCs w:val="21"/>
                    </w:rPr>
                  </w:pPr>
                  <w:r>
                    <w:rPr>
                      <w:rFonts w:hint="eastAsia" w:ascii="Times New Roman" w:hAnsi="Times New Roman" w:cs="Times New Roman"/>
                      <w:sz w:val="21"/>
                      <w:szCs w:val="21"/>
                    </w:rPr>
                    <w:t>二级</w:t>
                  </w:r>
                </w:p>
              </w:tc>
              <w:tc>
                <w:tcPr>
                  <w:tcW w:w="454" w:type="dxa"/>
                  <w:vAlign w:val="center"/>
                </w:tcPr>
                <w:p w14:paraId="22F3783D">
                  <w:pPr>
                    <w:jc w:val="center"/>
                    <w:rPr>
                      <w:rFonts w:ascii="Times New Roman" w:hAnsi="Times New Roman" w:cs="Times New Roman"/>
                      <w:sz w:val="21"/>
                      <w:szCs w:val="21"/>
                    </w:rPr>
                  </w:pPr>
                  <w:r>
                    <w:rPr>
                      <w:rFonts w:ascii="Times New Roman" w:hAnsi="Times New Roman" w:cs="Times New Roman"/>
                      <w:sz w:val="21"/>
                      <w:szCs w:val="21"/>
                    </w:rPr>
                    <w:t>2类</w:t>
                  </w:r>
                </w:p>
                <w:p w14:paraId="71588C55">
                  <w:pPr>
                    <w:jc w:val="center"/>
                    <w:rPr>
                      <w:rFonts w:ascii="Times New Roman" w:hAnsi="Times New Roman" w:cs="Times New Roman"/>
                      <w:sz w:val="21"/>
                      <w:szCs w:val="21"/>
                    </w:rPr>
                  </w:pPr>
                  <w:r>
                    <w:rPr>
                      <w:rFonts w:hint="eastAsia" w:ascii="Times New Roman" w:hAnsi="Times New Roman" w:cs="Times New Roman"/>
                      <w:sz w:val="21"/>
                      <w:szCs w:val="21"/>
                      <w:lang w:eastAsia="zh-CN"/>
                    </w:rPr>
                    <w:t>、</w:t>
                  </w:r>
                </w:p>
                <w:p w14:paraId="18F3159D">
                  <w:pPr>
                    <w:jc w:val="center"/>
                    <w:rPr>
                      <w:rFonts w:ascii="Times New Roman" w:hAnsi="Times New Roman" w:cs="Times New Roman"/>
                      <w:sz w:val="21"/>
                      <w:szCs w:val="21"/>
                    </w:rPr>
                  </w:pPr>
                  <w:r>
                    <w:rPr>
                      <w:rFonts w:hint="eastAsia" w:ascii="Times New Roman" w:hAnsi="Times New Roman" w:cs="Times New Roman"/>
                      <w:sz w:val="21"/>
                      <w:szCs w:val="21"/>
                      <w:lang w:eastAsia="zh-CN"/>
                    </w:rPr>
                    <w:t>4a类</w:t>
                  </w:r>
                </w:p>
              </w:tc>
              <w:tc>
                <w:tcPr>
                  <w:tcW w:w="4693" w:type="dxa"/>
                  <w:vAlign w:val="center"/>
                </w:tcPr>
                <w:p w14:paraId="4090F67C">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drawing>
                      <wp:inline distT="0" distB="0" distL="0" distR="0">
                        <wp:extent cx="2091055" cy="25666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91055" cy="2566670"/>
                                </a:xfrm>
                                <a:prstGeom prst="rect">
                                  <a:avLst/>
                                </a:prstGeom>
                                <a:noFill/>
                              </pic:spPr>
                            </pic:pic>
                          </a:graphicData>
                        </a:graphic>
                      </wp:inline>
                    </w:drawing>
                  </w:r>
                </w:p>
              </w:tc>
              <w:tc>
                <w:tcPr>
                  <w:tcW w:w="716" w:type="dxa"/>
                  <w:vAlign w:val="center"/>
                </w:tcPr>
                <w:p w14:paraId="144CD3B5">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m范围内大气环境保护目标：</w:t>
                  </w:r>
                  <w:r>
                    <w:rPr>
                      <w:rFonts w:ascii="Times New Roman" w:hAnsi="Times New Roman" w:cs="Times New Roman"/>
                      <w:sz w:val="21"/>
                      <w:szCs w:val="21"/>
                      <w:lang w:eastAsia="zh-CN"/>
                    </w:rPr>
                    <w:t>68</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232</w:t>
                  </w:r>
                  <w:r>
                    <w:rPr>
                      <w:rFonts w:hint="eastAsia" w:ascii="Times New Roman" w:hAnsi="Times New Roman" w:cs="Times New Roman"/>
                      <w:sz w:val="21"/>
                      <w:szCs w:val="21"/>
                      <w:lang w:eastAsia="zh-CN"/>
                    </w:rPr>
                    <w:t>人。2</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m范围内声环境保护目标：</w:t>
                  </w:r>
                  <w:r>
                    <w:rPr>
                      <w:rFonts w:ascii="Times New Roman" w:hAnsi="Times New Roman" w:cs="Times New Roman"/>
                      <w:sz w:val="21"/>
                      <w:szCs w:val="21"/>
                      <w:lang w:eastAsia="zh-CN"/>
                    </w:rPr>
                    <w:t>47</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169</w:t>
                  </w:r>
                  <w:r>
                    <w:rPr>
                      <w:rFonts w:hint="eastAsia" w:ascii="Times New Roman" w:hAnsi="Times New Roman" w:cs="Times New Roman"/>
                      <w:sz w:val="21"/>
                      <w:szCs w:val="21"/>
                      <w:lang w:eastAsia="zh-CN"/>
                    </w:rPr>
                    <w:t>人。</w:t>
                  </w:r>
                </w:p>
              </w:tc>
            </w:tr>
            <w:tr w14:paraId="35E6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0F470D6E">
                  <w:pPr>
                    <w:jc w:val="center"/>
                    <w:rPr>
                      <w:rFonts w:ascii="Times New Roman" w:hAnsi="Times New Roman" w:cs="Times New Roman"/>
                      <w:sz w:val="21"/>
                      <w:szCs w:val="21"/>
                    </w:rPr>
                  </w:pPr>
                  <w:r>
                    <w:rPr>
                      <w:rFonts w:hint="eastAsia" w:ascii="Times New Roman" w:hAnsi="Times New Roman" w:cs="Times New Roman"/>
                      <w:sz w:val="21"/>
                      <w:szCs w:val="21"/>
                    </w:rPr>
                    <w:t>泉水地上村居民点</w:t>
                  </w:r>
                </w:p>
              </w:tc>
              <w:tc>
                <w:tcPr>
                  <w:tcW w:w="2037" w:type="dxa"/>
                  <w:vAlign w:val="center"/>
                </w:tcPr>
                <w:p w14:paraId="33DAF51A">
                  <w:pPr>
                    <w:jc w:val="center"/>
                    <w:rPr>
                      <w:rFonts w:ascii="Times New Roman" w:hAnsi="Times New Roman" w:cs="Times New Roman"/>
                      <w:sz w:val="21"/>
                      <w:szCs w:val="21"/>
                    </w:rPr>
                  </w:pPr>
                  <w:r>
                    <w:rPr>
                      <w:rFonts w:ascii="Times New Roman" w:hAnsi="Times New Roman" w:cs="Times New Roman"/>
                      <w:sz w:val="21"/>
                      <w:szCs w:val="21"/>
                    </w:rPr>
                    <w:t>k119+450~k122+250东侧</w:t>
                  </w:r>
                </w:p>
              </w:tc>
              <w:tc>
                <w:tcPr>
                  <w:tcW w:w="454" w:type="dxa"/>
                  <w:vAlign w:val="center"/>
                </w:tcPr>
                <w:p w14:paraId="71F9AC80">
                  <w:pPr>
                    <w:jc w:val="center"/>
                    <w:rPr>
                      <w:rFonts w:ascii="Times New Roman" w:hAnsi="Times New Roman" w:cs="Times New Roman"/>
                      <w:sz w:val="21"/>
                      <w:szCs w:val="21"/>
                    </w:rPr>
                  </w:pPr>
                  <w:r>
                    <w:rPr>
                      <w:rFonts w:ascii="Times New Roman" w:hAnsi="Times New Roman" w:cs="Times New Roman"/>
                      <w:sz w:val="21"/>
                      <w:szCs w:val="21"/>
                    </w:rPr>
                    <w:t>二级</w:t>
                  </w:r>
                </w:p>
              </w:tc>
              <w:tc>
                <w:tcPr>
                  <w:tcW w:w="454" w:type="dxa"/>
                  <w:vAlign w:val="center"/>
                </w:tcPr>
                <w:p w14:paraId="145948F1">
                  <w:pPr>
                    <w:jc w:val="center"/>
                    <w:rPr>
                      <w:rFonts w:ascii="Times New Roman" w:hAnsi="Times New Roman" w:cs="Times New Roman"/>
                      <w:sz w:val="21"/>
                      <w:szCs w:val="21"/>
                    </w:rPr>
                  </w:pPr>
                  <w:r>
                    <w:rPr>
                      <w:rFonts w:ascii="Times New Roman" w:hAnsi="Times New Roman" w:cs="Times New Roman"/>
                      <w:sz w:val="21"/>
                      <w:szCs w:val="21"/>
                    </w:rPr>
                    <w:t>2类</w:t>
                  </w:r>
                </w:p>
                <w:p w14:paraId="404FF07C">
                  <w:pPr>
                    <w:jc w:val="center"/>
                    <w:rPr>
                      <w:rFonts w:ascii="Times New Roman" w:hAnsi="Times New Roman" w:cs="Times New Roman"/>
                      <w:sz w:val="21"/>
                      <w:szCs w:val="21"/>
                    </w:rPr>
                  </w:pPr>
                  <w:r>
                    <w:rPr>
                      <w:rFonts w:hint="eastAsia" w:ascii="Times New Roman" w:hAnsi="Times New Roman" w:cs="Times New Roman"/>
                      <w:sz w:val="21"/>
                      <w:szCs w:val="21"/>
                      <w:lang w:eastAsia="zh-CN"/>
                    </w:rPr>
                    <w:t>、</w:t>
                  </w:r>
                </w:p>
                <w:p w14:paraId="125BA456">
                  <w:pPr>
                    <w:jc w:val="center"/>
                    <w:rPr>
                      <w:rFonts w:ascii="Times New Roman" w:hAnsi="Times New Roman" w:cs="Times New Roman"/>
                      <w:sz w:val="21"/>
                      <w:szCs w:val="21"/>
                    </w:rPr>
                  </w:pPr>
                  <w:r>
                    <w:rPr>
                      <w:rFonts w:hint="eastAsia" w:ascii="Times New Roman" w:hAnsi="Times New Roman" w:cs="Times New Roman"/>
                      <w:sz w:val="21"/>
                      <w:szCs w:val="21"/>
                      <w:lang w:eastAsia="zh-CN"/>
                    </w:rPr>
                    <w:t>4a类</w:t>
                  </w:r>
                </w:p>
              </w:tc>
              <w:tc>
                <w:tcPr>
                  <w:tcW w:w="4693" w:type="dxa"/>
                  <w:vAlign w:val="center"/>
                </w:tcPr>
                <w:p w14:paraId="60BC3834">
                  <w:pPr>
                    <w:rPr>
                      <w:rFonts w:ascii="Times New Roman" w:hAnsi="Times New Roman" w:cs="Times New Roman"/>
                      <w:sz w:val="21"/>
                      <w:szCs w:val="21"/>
                    </w:rPr>
                  </w:pPr>
                  <w:r>
                    <w:rPr>
                      <w:rFonts w:ascii="Times New Roman" w:hAnsi="Times New Roman" w:cs="Times New Roman"/>
                      <w:sz w:val="21"/>
                      <w:szCs w:val="21"/>
                      <w:lang w:eastAsia="zh-CN"/>
                    </w:rPr>
                    <w:drawing>
                      <wp:inline distT="0" distB="0" distL="0" distR="0">
                        <wp:extent cx="2755900" cy="6480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2761073" cy="6491854"/>
                                </a:xfrm>
                                <a:prstGeom prst="rect">
                                  <a:avLst/>
                                </a:prstGeom>
                              </pic:spPr>
                            </pic:pic>
                          </a:graphicData>
                        </a:graphic>
                      </wp:inline>
                    </w:drawing>
                  </w:r>
                </w:p>
              </w:tc>
              <w:tc>
                <w:tcPr>
                  <w:tcW w:w="716" w:type="dxa"/>
                  <w:vAlign w:val="center"/>
                </w:tcPr>
                <w:p w14:paraId="2FC50F3D">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m范围内大气环境保护目标：</w:t>
                  </w:r>
                  <w:r>
                    <w:rPr>
                      <w:rFonts w:ascii="Times New Roman" w:hAnsi="Times New Roman" w:cs="Times New Roman"/>
                      <w:sz w:val="21"/>
                      <w:szCs w:val="21"/>
                      <w:lang w:eastAsia="zh-CN"/>
                    </w:rPr>
                    <w:t>74</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259</w:t>
                  </w:r>
                  <w:r>
                    <w:rPr>
                      <w:rFonts w:hint="eastAsia" w:ascii="Times New Roman" w:hAnsi="Times New Roman" w:cs="Times New Roman"/>
                      <w:sz w:val="21"/>
                      <w:szCs w:val="21"/>
                      <w:lang w:eastAsia="zh-CN"/>
                    </w:rPr>
                    <w:t>人。2</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m范围内声环境保护目标：</w:t>
                  </w:r>
                  <w:r>
                    <w:rPr>
                      <w:rFonts w:ascii="Times New Roman" w:hAnsi="Times New Roman" w:cs="Times New Roman"/>
                      <w:sz w:val="21"/>
                      <w:szCs w:val="21"/>
                      <w:lang w:eastAsia="zh-CN"/>
                    </w:rPr>
                    <w:t>25</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81</w:t>
                  </w:r>
                  <w:r>
                    <w:rPr>
                      <w:rFonts w:hint="eastAsia" w:ascii="Times New Roman" w:hAnsi="Times New Roman" w:cs="Times New Roman"/>
                      <w:sz w:val="21"/>
                      <w:szCs w:val="21"/>
                      <w:lang w:eastAsia="zh-CN"/>
                    </w:rPr>
                    <w:t>人。</w:t>
                  </w:r>
                </w:p>
              </w:tc>
            </w:tr>
            <w:tr w14:paraId="30C2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0A4C50A6">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昌吉公路管理局吉木萨尔分局</w:t>
                  </w:r>
                </w:p>
              </w:tc>
              <w:tc>
                <w:tcPr>
                  <w:tcW w:w="2037" w:type="dxa"/>
                  <w:vAlign w:val="center"/>
                </w:tcPr>
                <w:p w14:paraId="2CBEB22B">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k124+000~k124+200</w:t>
                  </w:r>
                  <w:r>
                    <w:rPr>
                      <w:rFonts w:hint="eastAsia" w:ascii="Times New Roman" w:hAnsi="Times New Roman" w:cs="Times New Roman"/>
                      <w:sz w:val="21"/>
                      <w:szCs w:val="21"/>
                      <w:lang w:eastAsia="zh-CN"/>
                    </w:rPr>
                    <w:t>东</w:t>
                  </w:r>
                  <w:r>
                    <w:rPr>
                      <w:rFonts w:ascii="Times New Roman" w:hAnsi="Times New Roman" w:cs="Times New Roman"/>
                      <w:sz w:val="21"/>
                      <w:szCs w:val="21"/>
                      <w:lang w:eastAsia="zh-CN"/>
                    </w:rPr>
                    <w:t>侧</w:t>
                  </w:r>
                </w:p>
              </w:tc>
              <w:tc>
                <w:tcPr>
                  <w:tcW w:w="454" w:type="dxa"/>
                  <w:vAlign w:val="center"/>
                </w:tcPr>
                <w:p w14:paraId="2AC5E880">
                  <w:pPr>
                    <w:jc w:val="center"/>
                    <w:rPr>
                      <w:rFonts w:ascii="Times New Roman" w:hAnsi="Times New Roman" w:cs="Times New Roman"/>
                      <w:sz w:val="21"/>
                      <w:szCs w:val="21"/>
                      <w:lang w:eastAsia="zh-CN"/>
                    </w:rPr>
                  </w:pPr>
                  <w:r>
                    <w:rPr>
                      <w:rFonts w:ascii="Times New Roman" w:hAnsi="Times New Roman" w:cs="Times New Roman"/>
                      <w:sz w:val="21"/>
                      <w:szCs w:val="21"/>
                    </w:rPr>
                    <w:t>二级</w:t>
                  </w:r>
                </w:p>
              </w:tc>
              <w:tc>
                <w:tcPr>
                  <w:tcW w:w="454" w:type="dxa"/>
                  <w:vAlign w:val="center"/>
                </w:tcPr>
                <w:p w14:paraId="1B9FA7E7">
                  <w:pPr>
                    <w:jc w:val="center"/>
                    <w:rPr>
                      <w:rFonts w:ascii="Times New Roman" w:hAnsi="Times New Roman" w:cs="Times New Roman"/>
                      <w:sz w:val="21"/>
                      <w:szCs w:val="21"/>
                    </w:rPr>
                  </w:pPr>
                  <w:r>
                    <w:rPr>
                      <w:rFonts w:ascii="Times New Roman" w:hAnsi="Times New Roman" w:cs="Times New Roman"/>
                      <w:sz w:val="21"/>
                      <w:szCs w:val="21"/>
                    </w:rPr>
                    <w:t>2类</w:t>
                  </w:r>
                </w:p>
                <w:p w14:paraId="56F8F6D9">
                  <w:pPr>
                    <w:jc w:val="center"/>
                    <w:rPr>
                      <w:rFonts w:ascii="Times New Roman" w:hAnsi="Times New Roman" w:cs="Times New Roman"/>
                      <w:sz w:val="21"/>
                      <w:szCs w:val="21"/>
                    </w:rPr>
                  </w:pPr>
                  <w:r>
                    <w:rPr>
                      <w:rFonts w:hint="eastAsia" w:ascii="Times New Roman" w:hAnsi="Times New Roman" w:cs="Times New Roman"/>
                      <w:sz w:val="21"/>
                      <w:szCs w:val="21"/>
                      <w:lang w:eastAsia="zh-CN"/>
                    </w:rPr>
                    <w:t>、</w:t>
                  </w:r>
                </w:p>
                <w:p w14:paraId="057537E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4a类</w:t>
                  </w:r>
                </w:p>
              </w:tc>
              <w:tc>
                <w:tcPr>
                  <w:tcW w:w="4693" w:type="dxa"/>
                  <w:vAlign w:val="center"/>
                </w:tcPr>
                <w:p w14:paraId="7CEED56F">
                  <w:pPr>
                    <w:rPr>
                      <w:rFonts w:ascii="Times New Roman" w:hAnsi="Times New Roman" w:cs="Times New Roman"/>
                      <w:sz w:val="21"/>
                      <w:szCs w:val="21"/>
                      <w:lang w:eastAsia="zh-CN"/>
                    </w:rPr>
                  </w:pPr>
                  <w:r>
                    <w:rPr>
                      <w:rFonts w:ascii="Times New Roman" w:hAnsi="Times New Roman" w:cs="Times New Roman"/>
                      <w:sz w:val="21"/>
                      <w:szCs w:val="21"/>
                      <w:lang w:eastAsia="zh-CN"/>
                    </w:rPr>
                    <w:drawing>
                      <wp:inline distT="0" distB="0" distL="0" distR="0">
                        <wp:extent cx="2773680" cy="16687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97740" cy="1683377"/>
                                </a:xfrm>
                                <a:prstGeom prst="rect">
                                  <a:avLst/>
                                </a:prstGeom>
                                <a:noFill/>
                              </pic:spPr>
                            </pic:pic>
                          </a:graphicData>
                        </a:graphic>
                      </wp:inline>
                    </w:drawing>
                  </w:r>
                </w:p>
              </w:tc>
              <w:tc>
                <w:tcPr>
                  <w:tcW w:w="716" w:type="dxa"/>
                  <w:vAlign w:val="center"/>
                </w:tcPr>
                <w:p w14:paraId="717F03D3">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约45人</w:t>
                  </w:r>
                </w:p>
              </w:tc>
            </w:tr>
            <w:tr w14:paraId="5453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14:paraId="41644403">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东梁村居民点</w:t>
                  </w:r>
                </w:p>
              </w:tc>
              <w:tc>
                <w:tcPr>
                  <w:tcW w:w="2037" w:type="dxa"/>
                  <w:vAlign w:val="center"/>
                </w:tcPr>
                <w:p w14:paraId="3E91FC5C">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k125+193~k125+700西侧、k125+700~k126+200东侧</w:t>
                  </w:r>
                </w:p>
              </w:tc>
              <w:tc>
                <w:tcPr>
                  <w:tcW w:w="454" w:type="dxa"/>
                  <w:vAlign w:val="center"/>
                </w:tcPr>
                <w:p w14:paraId="018B2407">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二级</w:t>
                  </w:r>
                </w:p>
              </w:tc>
              <w:tc>
                <w:tcPr>
                  <w:tcW w:w="454" w:type="dxa"/>
                  <w:vAlign w:val="center"/>
                </w:tcPr>
                <w:p w14:paraId="12B127D0">
                  <w:pPr>
                    <w:jc w:val="center"/>
                    <w:rPr>
                      <w:rFonts w:ascii="Times New Roman" w:hAnsi="Times New Roman" w:cs="Times New Roman"/>
                      <w:sz w:val="21"/>
                      <w:szCs w:val="21"/>
                    </w:rPr>
                  </w:pPr>
                  <w:r>
                    <w:rPr>
                      <w:rFonts w:ascii="Times New Roman" w:hAnsi="Times New Roman" w:cs="Times New Roman"/>
                      <w:sz w:val="21"/>
                      <w:szCs w:val="21"/>
                    </w:rPr>
                    <w:t>2类</w:t>
                  </w:r>
                </w:p>
                <w:p w14:paraId="315116ED">
                  <w:pPr>
                    <w:jc w:val="center"/>
                    <w:rPr>
                      <w:rFonts w:ascii="Times New Roman" w:hAnsi="Times New Roman" w:cs="Times New Roman"/>
                      <w:sz w:val="21"/>
                      <w:szCs w:val="21"/>
                    </w:rPr>
                  </w:pPr>
                  <w:r>
                    <w:rPr>
                      <w:rFonts w:hint="eastAsia" w:ascii="Times New Roman" w:hAnsi="Times New Roman" w:cs="Times New Roman"/>
                      <w:sz w:val="21"/>
                      <w:szCs w:val="21"/>
                      <w:lang w:eastAsia="zh-CN"/>
                    </w:rPr>
                    <w:t>、</w:t>
                  </w:r>
                </w:p>
                <w:p w14:paraId="51F1C26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4a类</w:t>
                  </w:r>
                </w:p>
              </w:tc>
              <w:tc>
                <w:tcPr>
                  <w:tcW w:w="4693" w:type="dxa"/>
                  <w:vAlign w:val="center"/>
                </w:tcPr>
                <w:p w14:paraId="42BC13E2">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drawing>
                      <wp:inline distT="0" distB="0" distL="0" distR="0">
                        <wp:extent cx="2827655" cy="42214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02427" cy="4332243"/>
                                </a:xfrm>
                                <a:prstGeom prst="rect">
                                  <a:avLst/>
                                </a:prstGeom>
                                <a:noFill/>
                              </pic:spPr>
                            </pic:pic>
                          </a:graphicData>
                        </a:graphic>
                      </wp:inline>
                    </w:drawing>
                  </w:r>
                </w:p>
              </w:tc>
              <w:tc>
                <w:tcPr>
                  <w:tcW w:w="716" w:type="dxa"/>
                  <w:vAlign w:val="center"/>
                </w:tcPr>
                <w:p w14:paraId="44538CF5">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m范围内大气环境保护目标：</w:t>
                  </w:r>
                  <w:r>
                    <w:rPr>
                      <w:rFonts w:ascii="Times New Roman" w:hAnsi="Times New Roman" w:cs="Times New Roman"/>
                      <w:sz w:val="21"/>
                      <w:szCs w:val="21"/>
                      <w:lang w:eastAsia="zh-CN"/>
                    </w:rPr>
                    <w:t>69</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294</w:t>
                  </w:r>
                  <w:r>
                    <w:rPr>
                      <w:rFonts w:hint="eastAsia" w:ascii="Times New Roman" w:hAnsi="Times New Roman" w:cs="Times New Roman"/>
                      <w:sz w:val="21"/>
                      <w:szCs w:val="21"/>
                      <w:lang w:eastAsia="zh-CN"/>
                    </w:rPr>
                    <w:t>人。2</w:t>
                  </w:r>
                  <w:r>
                    <w:rPr>
                      <w:rFonts w:ascii="Times New Roman" w:hAnsi="Times New Roman" w:cs="Times New Roman"/>
                      <w:sz w:val="21"/>
                      <w:szCs w:val="21"/>
                      <w:lang w:eastAsia="zh-CN"/>
                    </w:rPr>
                    <w:t>00</w:t>
                  </w:r>
                  <w:r>
                    <w:rPr>
                      <w:rFonts w:hint="eastAsia" w:ascii="Times New Roman" w:hAnsi="Times New Roman" w:cs="Times New Roman"/>
                      <w:sz w:val="21"/>
                      <w:szCs w:val="21"/>
                      <w:lang w:eastAsia="zh-CN"/>
                    </w:rPr>
                    <w:t>m范围内声环境保护目标：</w:t>
                  </w:r>
                  <w:r>
                    <w:rPr>
                      <w:rFonts w:ascii="Times New Roman" w:hAnsi="Times New Roman" w:cs="Times New Roman"/>
                      <w:sz w:val="21"/>
                      <w:szCs w:val="21"/>
                      <w:lang w:eastAsia="zh-CN"/>
                    </w:rPr>
                    <w:t>49</w:t>
                  </w:r>
                  <w:r>
                    <w:rPr>
                      <w:rFonts w:hint="eastAsia" w:ascii="Times New Roman" w:hAnsi="Times New Roman" w:cs="Times New Roman"/>
                      <w:sz w:val="21"/>
                      <w:szCs w:val="21"/>
                      <w:lang w:eastAsia="zh-CN"/>
                    </w:rPr>
                    <w:t>户，约</w:t>
                  </w:r>
                  <w:r>
                    <w:rPr>
                      <w:rFonts w:ascii="Times New Roman" w:hAnsi="Times New Roman" w:cs="Times New Roman"/>
                      <w:sz w:val="21"/>
                      <w:szCs w:val="21"/>
                      <w:lang w:eastAsia="zh-CN"/>
                    </w:rPr>
                    <w:t>177</w:t>
                  </w:r>
                  <w:r>
                    <w:rPr>
                      <w:rFonts w:hint="eastAsia" w:ascii="Times New Roman" w:hAnsi="Times New Roman" w:cs="Times New Roman"/>
                      <w:sz w:val="21"/>
                      <w:szCs w:val="21"/>
                      <w:lang w:eastAsia="zh-CN"/>
                    </w:rPr>
                    <w:t>人。</w:t>
                  </w:r>
                </w:p>
              </w:tc>
            </w:tr>
          </w:tbl>
          <w:p w14:paraId="628A35B1">
            <w:pPr>
              <w:jc w:val="center"/>
              <w:rPr>
                <w:rFonts w:ascii="Times New Roman" w:hAnsi="Times New Roman" w:cs="Times New Roman"/>
                <w:spacing w:val="4"/>
                <w:sz w:val="24"/>
                <w:szCs w:val="24"/>
                <w:lang w:eastAsia="zh-CN"/>
              </w:rPr>
            </w:pPr>
          </w:p>
          <w:p w14:paraId="4304AE66">
            <w:pPr>
              <w:spacing w:line="360" w:lineRule="auto"/>
              <w:ind w:firstLine="496" w:firstLineChars="200"/>
              <w:rPr>
                <w:rFonts w:ascii="Times New Roman" w:hAnsi="Times New Roman" w:cs="Times New Roman"/>
                <w:spacing w:val="4"/>
                <w:sz w:val="24"/>
                <w:szCs w:val="24"/>
                <w:lang w:eastAsia="zh-CN"/>
              </w:rPr>
            </w:pPr>
            <w:r>
              <w:rPr>
                <w:rFonts w:ascii="Times New Roman" w:hAnsi="Times New Roman" w:cs="Times New Roman"/>
                <w:spacing w:val="4"/>
                <w:sz w:val="24"/>
                <w:szCs w:val="24"/>
                <w:lang w:eastAsia="zh-CN"/>
              </w:rPr>
              <w:t>（5）</w:t>
            </w:r>
            <w:r>
              <w:rPr>
                <w:rFonts w:hint="eastAsia" w:ascii="Times New Roman" w:hAnsi="Times New Roman" w:cs="Times New Roman"/>
                <w:spacing w:val="4"/>
                <w:sz w:val="24"/>
                <w:szCs w:val="24"/>
                <w:lang w:eastAsia="zh-CN"/>
              </w:rPr>
              <w:t>新疆吉木萨尔县国家沙化土地封禁保护区</w:t>
            </w:r>
          </w:p>
          <w:p w14:paraId="6168FB58">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新疆吉木萨尔县国家沙化土地封禁保护区位于吉木萨尔县北庭镇和红旗农场以北，东方新希望企业以南区域，地处古尔班通古特沙漠中南部，沿S</w:t>
            </w:r>
            <w:r>
              <w:rPr>
                <w:rFonts w:ascii="Times New Roman" w:hAnsi="Times New Roman" w:cs="Times New Roman"/>
                <w:spacing w:val="4"/>
                <w:sz w:val="24"/>
                <w:szCs w:val="24"/>
                <w:lang w:eastAsia="zh-CN"/>
              </w:rPr>
              <w:t>239</w:t>
            </w:r>
            <w:r>
              <w:rPr>
                <w:rFonts w:hint="eastAsia" w:ascii="Times New Roman" w:hAnsi="Times New Roman" w:cs="Times New Roman"/>
                <w:spacing w:val="4"/>
                <w:sz w:val="24"/>
                <w:szCs w:val="24"/>
                <w:lang w:eastAsia="zh-CN"/>
              </w:rPr>
              <w:t>线老路两侧由绿洲边缘延伸至工业园区边界。封禁保护区于2</w:t>
            </w:r>
            <w:r>
              <w:rPr>
                <w:rFonts w:ascii="Times New Roman" w:hAnsi="Times New Roman" w:cs="Times New Roman"/>
                <w:spacing w:val="4"/>
                <w:sz w:val="24"/>
                <w:szCs w:val="24"/>
                <w:lang w:eastAsia="zh-CN"/>
              </w:rPr>
              <w:t>014</w:t>
            </w:r>
            <w:r>
              <w:rPr>
                <w:rFonts w:hint="eastAsia" w:ascii="Times New Roman" w:hAnsi="Times New Roman" w:cs="Times New Roman"/>
                <w:spacing w:val="4"/>
                <w:sz w:val="24"/>
                <w:szCs w:val="24"/>
                <w:lang w:eastAsia="zh-CN"/>
              </w:rPr>
              <w:t>年建成，总面积1</w:t>
            </w:r>
            <w:r>
              <w:rPr>
                <w:rFonts w:ascii="Times New Roman" w:hAnsi="Times New Roman" w:cs="Times New Roman"/>
                <w:spacing w:val="4"/>
                <w:sz w:val="24"/>
                <w:szCs w:val="24"/>
                <w:lang w:eastAsia="zh-CN"/>
              </w:rPr>
              <w:t>.55</w:t>
            </w:r>
            <w:r>
              <w:rPr>
                <w:rFonts w:hint="eastAsia" w:ascii="Times New Roman" w:hAnsi="Times New Roman" w:cs="Times New Roman"/>
                <w:spacing w:val="4"/>
                <w:sz w:val="24"/>
                <w:szCs w:val="24"/>
                <w:lang w:eastAsia="zh-CN"/>
              </w:rPr>
              <w:t>万hm²，主要建设工程如下：</w:t>
            </w:r>
          </w:p>
          <w:p w14:paraId="6B3AA555">
            <w:pPr>
              <w:spacing w:line="360" w:lineRule="auto"/>
              <w:ind w:firstLine="496" w:firstLineChars="200"/>
              <w:jc w:val="both"/>
              <w:rPr>
                <w:rFonts w:ascii="Times New Roman" w:hAnsi="Times New Roman" w:cs="Times New Roman"/>
                <w:spacing w:val="4"/>
                <w:sz w:val="24"/>
                <w:szCs w:val="24"/>
                <w:lang w:eastAsia="zh-CN"/>
              </w:rPr>
            </w:pPr>
            <w:r>
              <w:rPr>
                <w:spacing w:val="4"/>
                <w:sz w:val="24"/>
                <w:szCs w:val="24"/>
                <w:lang w:eastAsia="zh-CN"/>
              </w:rPr>
              <w:t>①</w:t>
            </w:r>
            <w:r>
              <w:rPr>
                <w:rFonts w:hint="eastAsia" w:ascii="Times New Roman" w:hAnsi="Times New Roman" w:cs="Times New Roman"/>
                <w:spacing w:val="4"/>
                <w:sz w:val="24"/>
                <w:szCs w:val="24"/>
                <w:lang w:eastAsia="zh-CN"/>
              </w:rPr>
              <w:t>围栏工程</w:t>
            </w:r>
          </w:p>
          <w:p w14:paraId="3A4E59C3">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封禁保护区沿着S</w:t>
            </w:r>
            <w:r>
              <w:rPr>
                <w:rFonts w:ascii="Times New Roman" w:hAnsi="Times New Roman" w:cs="Times New Roman"/>
                <w:spacing w:val="4"/>
                <w:sz w:val="24"/>
                <w:szCs w:val="24"/>
                <w:lang w:eastAsia="zh-CN"/>
              </w:rPr>
              <w:t>239</w:t>
            </w:r>
            <w:r>
              <w:rPr>
                <w:rFonts w:hint="eastAsia" w:ascii="Times New Roman" w:hAnsi="Times New Roman" w:cs="Times New Roman"/>
                <w:spacing w:val="4"/>
                <w:sz w:val="24"/>
                <w:szCs w:val="24"/>
                <w:lang w:eastAsia="zh-CN"/>
              </w:rPr>
              <w:t>线老路东西两侧各建有长度3</w:t>
            </w:r>
            <w:r>
              <w:rPr>
                <w:rFonts w:ascii="Times New Roman" w:hAnsi="Times New Roman" w:cs="Times New Roman"/>
                <w:spacing w:val="4"/>
                <w:sz w:val="24"/>
                <w:szCs w:val="24"/>
                <w:lang w:eastAsia="zh-CN"/>
              </w:rPr>
              <w:t>5.5</w:t>
            </w:r>
            <w:r>
              <w:rPr>
                <w:rFonts w:hint="eastAsia" w:ascii="Times New Roman" w:hAnsi="Times New Roman" w:cs="Times New Roman"/>
                <w:spacing w:val="4"/>
                <w:sz w:val="24"/>
                <w:szCs w:val="24"/>
                <w:lang w:eastAsia="zh-CN"/>
              </w:rPr>
              <w:t>km的围栏，在沙漠前沿红旗农场交界东西方向建设7km围栏，围栏总长度7</w:t>
            </w:r>
            <w:r>
              <w:rPr>
                <w:rFonts w:ascii="Times New Roman" w:hAnsi="Times New Roman" w:cs="Times New Roman"/>
                <w:spacing w:val="4"/>
                <w:sz w:val="24"/>
                <w:szCs w:val="24"/>
                <w:lang w:eastAsia="zh-CN"/>
              </w:rPr>
              <w:t>8</w:t>
            </w:r>
            <w:r>
              <w:rPr>
                <w:rFonts w:hint="eastAsia" w:ascii="Times New Roman" w:hAnsi="Times New Roman" w:cs="Times New Roman"/>
                <w:spacing w:val="4"/>
                <w:sz w:val="24"/>
                <w:szCs w:val="24"/>
                <w:lang w:eastAsia="zh-CN"/>
              </w:rPr>
              <w:t>km。</w:t>
            </w:r>
          </w:p>
          <w:p w14:paraId="1C895AAD">
            <w:pPr>
              <w:spacing w:line="360" w:lineRule="auto"/>
              <w:ind w:firstLine="496" w:firstLineChars="200"/>
              <w:jc w:val="both"/>
              <w:rPr>
                <w:rFonts w:ascii="Times New Roman" w:hAnsi="Times New Roman" w:cs="Times New Roman"/>
                <w:spacing w:val="4"/>
                <w:sz w:val="24"/>
                <w:szCs w:val="24"/>
                <w:lang w:eastAsia="zh-CN"/>
              </w:rPr>
            </w:pPr>
            <w:r>
              <w:rPr>
                <w:spacing w:val="4"/>
                <w:sz w:val="24"/>
                <w:szCs w:val="24"/>
                <w:lang w:eastAsia="zh-CN"/>
              </w:rPr>
              <w:t>②</w:t>
            </w:r>
            <w:r>
              <w:rPr>
                <w:rFonts w:hint="eastAsia" w:ascii="Times New Roman" w:hAnsi="Times New Roman" w:cs="Times New Roman"/>
                <w:spacing w:val="4"/>
                <w:sz w:val="24"/>
                <w:szCs w:val="24"/>
                <w:lang w:eastAsia="zh-CN"/>
              </w:rPr>
              <w:t>固沙压沙工程</w:t>
            </w:r>
          </w:p>
          <w:p w14:paraId="300584B1">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封禁保护区在S</w:t>
            </w:r>
            <w:r>
              <w:rPr>
                <w:rFonts w:ascii="Times New Roman" w:hAnsi="Times New Roman" w:cs="Times New Roman"/>
                <w:spacing w:val="4"/>
                <w:sz w:val="24"/>
                <w:szCs w:val="24"/>
                <w:lang w:eastAsia="zh-CN"/>
              </w:rPr>
              <w:t>239</w:t>
            </w:r>
            <w:r>
              <w:rPr>
                <w:rFonts w:hint="eastAsia" w:ascii="Times New Roman" w:hAnsi="Times New Roman" w:cs="Times New Roman"/>
                <w:spacing w:val="4"/>
                <w:sz w:val="24"/>
                <w:szCs w:val="24"/>
                <w:lang w:eastAsia="zh-CN"/>
              </w:rPr>
              <w:t>老路两侧风沙活动频繁的半固定沙漠活化沙丘建有平均宽度为6</w:t>
            </w:r>
            <w:r>
              <w:rPr>
                <w:rFonts w:ascii="Times New Roman" w:hAnsi="Times New Roman" w:cs="Times New Roman"/>
                <w:spacing w:val="4"/>
                <w:sz w:val="24"/>
                <w:szCs w:val="24"/>
                <w:lang w:eastAsia="zh-CN"/>
              </w:rPr>
              <w:t>0</w:t>
            </w:r>
            <w:r>
              <w:rPr>
                <w:rFonts w:hint="eastAsia" w:ascii="Times New Roman" w:hAnsi="Times New Roman" w:cs="Times New Roman"/>
                <w:spacing w:val="4"/>
                <w:sz w:val="24"/>
                <w:szCs w:val="24"/>
                <w:lang w:eastAsia="zh-CN"/>
              </w:rPr>
              <w:t>m的草方格沙障，其中，路西侧平均宽度8</w:t>
            </w:r>
            <w:r>
              <w:rPr>
                <w:rFonts w:ascii="Times New Roman" w:hAnsi="Times New Roman" w:cs="Times New Roman"/>
                <w:spacing w:val="4"/>
                <w:sz w:val="24"/>
                <w:szCs w:val="24"/>
                <w:lang w:eastAsia="zh-CN"/>
              </w:rPr>
              <w:t>0</w:t>
            </w:r>
            <w:r>
              <w:rPr>
                <w:rFonts w:hint="eastAsia" w:ascii="Times New Roman" w:hAnsi="Times New Roman" w:cs="Times New Roman"/>
                <w:spacing w:val="4"/>
                <w:sz w:val="24"/>
                <w:szCs w:val="24"/>
                <w:lang w:eastAsia="zh-CN"/>
              </w:rPr>
              <w:t>m，路东侧平均宽度4</w:t>
            </w:r>
            <w:r>
              <w:rPr>
                <w:rFonts w:ascii="Times New Roman" w:hAnsi="Times New Roman" w:cs="Times New Roman"/>
                <w:spacing w:val="4"/>
                <w:sz w:val="24"/>
                <w:szCs w:val="24"/>
                <w:lang w:eastAsia="zh-CN"/>
              </w:rPr>
              <w:t>0</w:t>
            </w:r>
            <w:r>
              <w:rPr>
                <w:rFonts w:hint="eastAsia" w:ascii="Times New Roman" w:hAnsi="Times New Roman" w:cs="Times New Roman"/>
                <w:spacing w:val="4"/>
                <w:sz w:val="24"/>
                <w:szCs w:val="24"/>
                <w:lang w:eastAsia="zh-CN"/>
              </w:rPr>
              <w:t>m。在红旗农场边界以北活化沙丘建有宽度5</w:t>
            </w:r>
            <w:r>
              <w:rPr>
                <w:rFonts w:ascii="Times New Roman" w:hAnsi="Times New Roman" w:cs="Times New Roman"/>
                <w:spacing w:val="4"/>
                <w:sz w:val="24"/>
                <w:szCs w:val="24"/>
                <w:lang w:eastAsia="zh-CN"/>
              </w:rPr>
              <w:t>0</w:t>
            </w:r>
            <w:r>
              <w:rPr>
                <w:rFonts w:hint="eastAsia" w:ascii="Times New Roman" w:hAnsi="Times New Roman" w:cs="Times New Roman"/>
                <w:spacing w:val="4"/>
                <w:sz w:val="24"/>
                <w:szCs w:val="24"/>
                <w:lang w:eastAsia="zh-CN"/>
              </w:rPr>
              <w:t>m的草方格沙障7km，草方格沙障总面积5</w:t>
            </w:r>
            <w:r>
              <w:rPr>
                <w:rFonts w:ascii="Times New Roman" w:hAnsi="Times New Roman" w:cs="Times New Roman"/>
                <w:spacing w:val="4"/>
                <w:sz w:val="24"/>
                <w:szCs w:val="24"/>
                <w:lang w:eastAsia="zh-CN"/>
              </w:rPr>
              <w:t>2</w:t>
            </w:r>
            <w:r>
              <w:rPr>
                <w:rFonts w:hint="eastAsia" w:ascii="Times New Roman" w:hAnsi="Times New Roman" w:cs="Times New Roman"/>
                <w:spacing w:val="4"/>
                <w:sz w:val="24"/>
                <w:szCs w:val="24"/>
                <w:lang w:eastAsia="zh-CN"/>
              </w:rPr>
              <w:t>hm²。</w:t>
            </w:r>
          </w:p>
          <w:p w14:paraId="51AB8043">
            <w:pPr>
              <w:spacing w:line="360" w:lineRule="auto"/>
              <w:ind w:firstLine="496" w:firstLineChars="200"/>
              <w:jc w:val="both"/>
              <w:rPr>
                <w:rFonts w:ascii="Times New Roman" w:hAnsi="Times New Roman" w:cs="Times New Roman"/>
                <w:spacing w:val="4"/>
                <w:sz w:val="24"/>
                <w:szCs w:val="24"/>
                <w:lang w:eastAsia="zh-CN"/>
              </w:rPr>
            </w:pPr>
            <w:r>
              <w:rPr>
                <w:spacing w:val="4"/>
                <w:sz w:val="24"/>
                <w:szCs w:val="24"/>
                <w:lang w:eastAsia="zh-CN"/>
              </w:rPr>
              <w:t>③</w:t>
            </w:r>
            <w:r>
              <w:rPr>
                <w:rFonts w:hint="eastAsia" w:ascii="Times New Roman" w:hAnsi="Times New Roman" w:cs="Times New Roman"/>
                <w:spacing w:val="4"/>
                <w:sz w:val="24"/>
                <w:szCs w:val="24"/>
                <w:lang w:eastAsia="zh-CN"/>
              </w:rPr>
              <w:t>固定界碑、警示标志</w:t>
            </w:r>
          </w:p>
          <w:p w14:paraId="709D4489">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封禁保护区边界设置有界碑作为边界标识，共设置水泥界碑6个，界桩3</w:t>
            </w:r>
            <w:r>
              <w:rPr>
                <w:rFonts w:ascii="Times New Roman" w:hAnsi="Times New Roman" w:cs="Times New Roman"/>
                <w:spacing w:val="4"/>
                <w:sz w:val="24"/>
                <w:szCs w:val="24"/>
                <w:lang w:eastAsia="zh-CN"/>
              </w:rPr>
              <w:t>6</w:t>
            </w:r>
            <w:r>
              <w:rPr>
                <w:rFonts w:hint="eastAsia" w:ascii="Times New Roman" w:hAnsi="Times New Roman" w:cs="Times New Roman"/>
                <w:spacing w:val="4"/>
                <w:sz w:val="24"/>
                <w:szCs w:val="24"/>
                <w:lang w:eastAsia="zh-CN"/>
              </w:rPr>
              <w:t>个，5</w:t>
            </w:r>
            <w:r>
              <w:rPr>
                <w:rFonts w:ascii="Times New Roman" w:hAnsi="Times New Roman" w:cs="Times New Roman"/>
                <w:spacing w:val="4"/>
                <w:sz w:val="24"/>
                <w:szCs w:val="24"/>
                <w:lang w:eastAsia="zh-CN"/>
              </w:rPr>
              <w:t>5</w:t>
            </w:r>
            <w:r>
              <w:rPr>
                <w:rFonts w:hint="eastAsia" w:ascii="Times New Roman" w:hAnsi="Times New Roman" w:cs="Times New Roman"/>
                <w:spacing w:val="4"/>
                <w:sz w:val="24"/>
                <w:szCs w:val="24"/>
                <w:lang w:eastAsia="zh-CN"/>
              </w:rPr>
              <w:t>km处设置有大型宣传警示牌1个，管护站和9</w:t>
            </w:r>
            <w:r>
              <w:rPr>
                <w:rFonts w:ascii="Times New Roman" w:hAnsi="Times New Roman" w:cs="Times New Roman"/>
                <w:spacing w:val="4"/>
                <w:sz w:val="24"/>
                <w:szCs w:val="24"/>
                <w:lang w:eastAsia="zh-CN"/>
              </w:rPr>
              <w:t>0</w:t>
            </w:r>
            <w:r>
              <w:rPr>
                <w:rFonts w:hint="eastAsia" w:ascii="Times New Roman" w:hAnsi="Times New Roman" w:cs="Times New Roman"/>
                <w:spacing w:val="4"/>
                <w:sz w:val="24"/>
                <w:szCs w:val="24"/>
                <w:lang w:eastAsia="zh-CN"/>
              </w:rPr>
              <w:t>km处各设有警示牌1个。</w:t>
            </w:r>
          </w:p>
          <w:p w14:paraId="3061FB3B">
            <w:pPr>
              <w:spacing w:line="360" w:lineRule="auto"/>
              <w:ind w:firstLine="496" w:firstLineChars="200"/>
              <w:jc w:val="both"/>
              <w:rPr>
                <w:rFonts w:ascii="Times New Roman" w:hAnsi="Times New Roman" w:cs="Times New Roman"/>
                <w:spacing w:val="4"/>
                <w:sz w:val="24"/>
                <w:szCs w:val="24"/>
                <w:lang w:eastAsia="zh-CN"/>
              </w:rPr>
            </w:pPr>
            <w:r>
              <w:rPr>
                <w:spacing w:val="4"/>
                <w:sz w:val="24"/>
                <w:szCs w:val="24"/>
                <w:lang w:eastAsia="zh-CN"/>
              </w:rPr>
              <w:t>④</w:t>
            </w:r>
            <w:r>
              <w:rPr>
                <w:rFonts w:hint="eastAsia" w:ascii="Times New Roman" w:hAnsi="Times New Roman" w:cs="Times New Roman"/>
                <w:spacing w:val="4"/>
                <w:sz w:val="24"/>
                <w:szCs w:val="24"/>
                <w:lang w:eastAsia="zh-CN"/>
              </w:rPr>
              <w:t>其他</w:t>
            </w:r>
          </w:p>
          <w:p w14:paraId="3227CA14">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2</w:t>
            </w:r>
            <w:r>
              <w:rPr>
                <w:rFonts w:ascii="Times New Roman" w:hAnsi="Times New Roman" w:cs="Times New Roman"/>
                <w:spacing w:val="4"/>
                <w:sz w:val="24"/>
                <w:szCs w:val="24"/>
                <w:lang w:eastAsia="zh-CN"/>
              </w:rPr>
              <w:t>8</w:t>
            </w:r>
            <w:r>
              <w:rPr>
                <w:rFonts w:hint="eastAsia" w:ascii="Times New Roman" w:hAnsi="Times New Roman" w:cs="Times New Roman"/>
                <w:spacing w:val="4"/>
                <w:sz w:val="24"/>
                <w:szCs w:val="24"/>
                <w:lang w:eastAsia="zh-CN"/>
              </w:rPr>
              <w:t>m高钢结构瞭望塔1座，砖混结构管护站1座（面积3</w:t>
            </w:r>
            <w:r>
              <w:rPr>
                <w:rFonts w:ascii="Times New Roman" w:hAnsi="Times New Roman" w:cs="Times New Roman"/>
                <w:spacing w:val="4"/>
                <w:sz w:val="24"/>
                <w:szCs w:val="24"/>
                <w:lang w:eastAsia="zh-CN"/>
              </w:rPr>
              <w:t>25</w:t>
            </w:r>
            <w:r>
              <w:rPr>
                <w:rFonts w:hint="eastAsia" w:ascii="Times New Roman" w:hAnsi="Times New Roman" w:cs="Times New Roman"/>
                <w:spacing w:val="4"/>
                <w:sz w:val="24"/>
                <w:szCs w:val="24"/>
                <w:lang w:eastAsia="zh-CN"/>
              </w:rPr>
              <w:t>m²），1辆巡护车辆，4辆摩托车，2辆全地形车，望远镜和对讲机各7部。</w:t>
            </w:r>
          </w:p>
          <w:p w14:paraId="680FD0E4">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本项目涉及穿越新疆吉木萨尔县国家沙化土地封禁保护区的桩号区间为：</w:t>
            </w:r>
            <w:r>
              <w:rPr>
                <w:rFonts w:ascii="Times New Roman" w:hAnsi="Times New Roman" w:cs="Times New Roman"/>
                <w:spacing w:val="4"/>
                <w:sz w:val="24"/>
                <w:szCs w:val="24"/>
                <w:lang w:eastAsia="zh-CN"/>
              </w:rPr>
              <w:t>k49+550-k85+360段</w:t>
            </w:r>
            <w:r>
              <w:rPr>
                <w:rFonts w:hint="eastAsia" w:ascii="Times New Roman" w:hAnsi="Times New Roman" w:cs="Times New Roman"/>
                <w:spacing w:val="4"/>
                <w:sz w:val="24"/>
                <w:szCs w:val="24"/>
                <w:lang w:eastAsia="zh-CN"/>
              </w:rPr>
              <w:t>，共3</w:t>
            </w:r>
            <w:r>
              <w:rPr>
                <w:rFonts w:ascii="Times New Roman" w:hAnsi="Times New Roman" w:cs="Times New Roman"/>
                <w:spacing w:val="4"/>
                <w:sz w:val="24"/>
                <w:szCs w:val="24"/>
                <w:lang w:eastAsia="zh-CN"/>
              </w:rPr>
              <w:t>5.81</w:t>
            </w:r>
            <w:r>
              <w:rPr>
                <w:rFonts w:hint="eastAsia" w:ascii="Times New Roman" w:hAnsi="Times New Roman" w:cs="Times New Roman"/>
                <w:spacing w:val="4"/>
                <w:sz w:val="24"/>
                <w:szCs w:val="24"/>
                <w:lang w:eastAsia="zh-CN"/>
              </w:rPr>
              <w:t>km，占用封禁保护区面积1</w:t>
            </w:r>
            <w:r>
              <w:rPr>
                <w:rFonts w:ascii="Times New Roman" w:hAnsi="Times New Roman" w:cs="Times New Roman"/>
                <w:spacing w:val="4"/>
                <w:sz w:val="24"/>
                <w:szCs w:val="24"/>
                <w:lang w:eastAsia="zh-CN"/>
              </w:rPr>
              <w:t>17.8839</w:t>
            </w:r>
            <w:r>
              <w:rPr>
                <w:rFonts w:hint="eastAsia" w:ascii="Times New Roman" w:hAnsi="Times New Roman" w:cs="Times New Roman"/>
                <w:spacing w:val="4"/>
                <w:sz w:val="24"/>
                <w:szCs w:val="24"/>
                <w:lang w:eastAsia="zh-CN"/>
              </w:rPr>
              <w:t>hm²。建设单位应严格控制施工对封禁区扰动范围，对占用破坏的封禁保护区原有草方格沙障按照“占一补一”的原则实施生态补偿，补偿区域位于项目</w:t>
            </w:r>
            <w:r>
              <w:rPr>
                <w:rFonts w:ascii="Times New Roman" w:hAnsi="Times New Roman" w:cs="Times New Roman"/>
                <w:spacing w:val="4"/>
                <w:sz w:val="24"/>
                <w:szCs w:val="24"/>
                <w:lang w:eastAsia="zh-CN"/>
              </w:rPr>
              <w:t>k49+550-k85+360段</w:t>
            </w:r>
            <w:r>
              <w:rPr>
                <w:rFonts w:hint="eastAsia" w:ascii="Times New Roman" w:hAnsi="Times New Roman" w:cs="Times New Roman"/>
                <w:spacing w:val="4"/>
                <w:sz w:val="24"/>
                <w:szCs w:val="24"/>
                <w:lang w:eastAsia="zh-CN"/>
              </w:rPr>
              <w:t>封禁保护区原有草方格沙障边界外围。建设单位应严格按照《中华人民共和国防沙治沙法》和《在国家沙化土地封禁保护区范围内进行修建铁路、公路等建设活动监督管理办法》（林沙规[</w:t>
            </w:r>
            <w:r>
              <w:rPr>
                <w:rFonts w:ascii="Times New Roman" w:hAnsi="Times New Roman" w:cs="Times New Roman"/>
                <w:spacing w:val="4"/>
                <w:sz w:val="24"/>
                <w:szCs w:val="24"/>
                <w:lang w:eastAsia="zh-CN"/>
              </w:rPr>
              <w:t>2019</w:t>
            </w:r>
            <w:r>
              <w:rPr>
                <w:rFonts w:hint="eastAsia" w:ascii="Times New Roman" w:hAnsi="Times New Roman" w:cs="Times New Roman"/>
                <w:spacing w:val="4"/>
                <w:sz w:val="24"/>
                <w:szCs w:val="24"/>
                <w:lang w:eastAsia="zh-CN"/>
              </w:rPr>
              <w:t>]</w:t>
            </w:r>
            <w:r>
              <w:rPr>
                <w:rFonts w:ascii="Times New Roman" w:hAnsi="Times New Roman" w:cs="Times New Roman"/>
                <w:spacing w:val="4"/>
                <w:sz w:val="24"/>
                <w:szCs w:val="24"/>
                <w:lang w:eastAsia="zh-CN"/>
              </w:rPr>
              <w:t xml:space="preserve"> 2</w:t>
            </w:r>
            <w:r>
              <w:rPr>
                <w:rFonts w:hint="eastAsia" w:ascii="Times New Roman" w:hAnsi="Times New Roman" w:cs="Times New Roman"/>
                <w:spacing w:val="4"/>
                <w:sz w:val="24"/>
                <w:szCs w:val="24"/>
                <w:lang w:eastAsia="zh-CN"/>
              </w:rPr>
              <w:t>号）的相关规定，将项目施工对生态的影响降到最低。项目穿越新疆吉木萨尔县国家沙化土地封禁保护区位置示意图见图3</w:t>
            </w:r>
            <w:r>
              <w:rPr>
                <w:rFonts w:ascii="Times New Roman" w:hAnsi="Times New Roman" w:cs="Times New Roman"/>
                <w:spacing w:val="4"/>
                <w:sz w:val="24"/>
                <w:szCs w:val="24"/>
                <w:lang w:eastAsia="zh-CN"/>
              </w:rPr>
              <w:t>.2</w:t>
            </w:r>
            <w:r>
              <w:rPr>
                <w:rFonts w:hint="eastAsia" w:ascii="Times New Roman" w:hAnsi="Times New Roman" w:cs="Times New Roman"/>
                <w:spacing w:val="4"/>
                <w:sz w:val="24"/>
                <w:szCs w:val="24"/>
                <w:lang w:eastAsia="zh-CN"/>
              </w:rPr>
              <w:t>，国家林业和草原局同意项目占用新疆吉木萨尔县国家沙化土地封禁保护区的复函见附件。</w:t>
            </w:r>
          </w:p>
          <w:p w14:paraId="43E5AC82">
            <w:pPr>
              <w:jc w:val="center"/>
              <w:rPr>
                <w:rFonts w:ascii="Times New Roman" w:hAnsi="Times New Roman" w:cs="Times New Roman"/>
                <w:spacing w:val="4"/>
                <w:sz w:val="24"/>
                <w:szCs w:val="24"/>
                <w:lang w:eastAsia="zh-CN"/>
              </w:rPr>
            </w:pPr>
            <w:r>
              <w:rPr>
                <w:rFonts w:ascii="Times New Roman" w:hAnsi="Times New Roman" w:cs="Times New Roman"/>
                <w:spacing w:val="4"/>
                <w:sz w:val="24"/>
                <w:szCs w:val="24"/>
                <w:lang w:eastAsia="zh-CN"/>
              </w:rPr>
              <w:drawing>
                <wp:inline distT="0" distB="0" distL="0" distR="0">
                  <wp:extent cx="5542280" cy="36099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96542" cy="3644929"/>
                          </a:xfrm>
                          <a:prstGeom prst="rect">
                            <a:avLst/>
                          </a:prstGeom>
                          <a:noFill/>
                        </pic:spPr>
                      </pic:pic>
                    </a:graphicData>
                  </a:graphic>
                </wp:inline>
              </w:drawing>
            </w:r>
          </w:p>
          <w:p w14:paraId="5D17D02A">
            <w:pPr>
              <w:jc w:val="center"/>
              <w:rPr>
                <w:rFonts w:ascii="Times New Roman" w:hAnsi="Times New Roman" w:cs="Times New Roman"/>
                <w:b/>
                <w:spacing w:val="4"/>
                <w:sz w:val="21"/>
                <w:szCs w:val="21"/>
                <w:lang w:eastAsia="zh-CN"/>
              </w:rPr>
            </w:pPr>
            <w:r>
              <w:rPr>
                <w:rFonts w:hint="eastAsia" w:ascii="Times New Roman" w:hAnsi="Times New Roman" w:cs="Times New Roman"/>
                <w:b/>
                <w:spacing w:val="4"/>
                <w:sz w:val="21"/>
                <w:szCs w:val="21"/>
                <w:lang w:eastAsia="zh-CN"/>
              </w:rPr>
              <w:t>图3</w:t>
            </w:r>
            <w:r>
              <w:rPr>
                <w:rFonts w:ascii="Times New Roman" w:hAnsi="Times New Roman" w:cs="Times New Roman"/>
                <w:b/>
                <w:spacing w:val="4"/>
                <w:sz w:val="21"/>
                <w:szCs w:val="21"/>
                <w:lang w:eastAsia="zh-CN"/>
              </w:rPr>
              <w:t xml:space="preserve">.2  </w:t>
            </w:r>
            <w:r>
              <w:rPr>
                <w:rFonts w:hint="eastAsia" w:ascii="Times New Roman" w:hAnsi="Times New Roman" w:cs="Times New Roman"/>
                <w:b/>
                <w:spacing w:val="4"/>
                <w:sz w:val="21"/>
                <w:szCs w:val="21"/>
                <w:lang w:eastAsia="zh-CN"/>
              </w:rPr>
              <w:t>项目穿越新疆吉木萨尔县国家沙化土地封禁保护区位置示意图</w:t>
            </w:r>
          </w:p>
          <w:p w14:paraId="07494F19">
            <w:pPr>
              <w:jc w:val="center"/>
              <w:rPr>
                <w:rFonts w:ascii="Times New Roman" w:hAnsi="Times New Roman" w:cs="Times New Roman"/>
                <w:b/>
                <w:spacing w:val="4"/>
                <w:sz w:val="21"/>
                <w:szCs w:val="21"/>
                <w:lang w:eastAsia="zh-CN"/>
              </w:rPr>
            </w:pPr>
          </w:p>
          <w:p w14:paraId="7599CC66">
            <w:pPr>
              <w:spacing w:line="360" w:lineRule="auto"/>
              <w:ind w:firstLine="496" w:firstLineChars="200"/>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（6）吉木萨尔北庭国家湿地公园</w:t>
            </w:r>
          </w:p>
          <w:p w14:paraId="12A5E4E4">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湿地公园是指以保护湿地生态系统、合理利用湿地资源为目的，可供开展湿地保护、恢复、宣传、教育、科研、监测、生态旅游等活动的特定区域。国家湿地公园可分为湿地保育区、恢复重建区、宣教展示区、合理利用区和管理服务区等，实行分区管理。吉木萨尔北庭国家湿地公园位于吉木萨尔县域内中南部，跨越山区至平原</w:t>
            </w:r>
            <w:r>
              <w:rPr>
                <w:rFonts w:ascii="Times New Roman" w:hAnsi="Times New Roman" w:cs="Times New Roman"/>
                <w:spacing w:val="4"/>
                <w:sz w:val="24"/>
                <w:szCs w:val="24"/>
                <w:lang w:eastAsia="zh-CN"/>
              </w:rPr>
              <w:t>5个乡镇，长40公里，</w:t>
            </w:r>
            <w:r>
              <w:rPr>
                <w:rFonts w:hint="eastAsia" w:ascii="Times New Roman" w:hAnsi="Times New Roman" w:cs="Times New Roman"/>
                <w:spacing w:val="4"/>
                <w:sz w:val="24"/>
                <w:szCs w:val="24"/>
                <w:lang w:eastAsia="zh-CN"/>
              </w:rPr>
              <w:t>南起东大龙口河（天保区以北），北至北庭故城遗址公园，西以东大龙口河沿河道路为界，东包括沿河岸沼泽湿地，规划面积</w:t>
            </w:r>
            <w:r>
              <w:rPr>
                <w:rFonts w:ascii="Times New Roman" w:hAnsi="Times New Roman" w:cs="Times New Roman"/>
                <w:spacing w:val="4"/>
                <w:sz w:val="24"/>
                <w:szCs w:val="24"/>
                <w:lang w:eastAsia="zh-CN"/>
              </w:rPr>
              <w:t>1492公顷，分保育、生态恢复、宣教展示、合理利用四个区域，核心建设区103.96公顷。该公园是推进吉木萨尔县全域旅游的重点项目之一，与北庭故城遗址公园接壤，也在北庭特色小镇的区域内，对吉木萨尔县湿地生态恢复，人居环境改善，以及助推全域旅游的发展起到积极作用。</w:t>
            </w:r>
          </w:p>
          <w:p w14:paraId="506B9CDA">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湿地保育区除开展保护、监测等必需的保护管理活动外，不得进行任何与湿地生态系统保护和管理无关的其他活动。恢复重建区仅能开展培育和恢复湿地的相关活动。宣教展示区可开展以生态展示、科普教育为主的活动。合理利用区可开展不损害湿地生态系统功能的生态旅游等活动。管理服务区可开展管理、接待和服务等活动。禁止擅自占用、征用国家湿地公园的土地。确需占用、征用的，用地单位应当征求林业和草原主管部门意见后，方可依法办理相关手续。</w:t>
            </w:r>
          </w:p>
          <w:p w14:paraId="398A890B">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本项目涉及穿越吉木萨尔北庭国家湿地公园的桩号区间为：</w:t>
            </w:r>
            <w:r>
              <w:rPr>
                <w:rFonts w:ascii="Times New Roman" w:hAnsi="Times New Roman" w:cs="Times New Roman"/>
                <w:spacing w:val="4"/>
                <w:sz w:val="24"/>
                <w:szCs w:val="24"/>
                <w:lang w:eastAsia="zh-CN"/>
              </w:rPr>
              <w:t>k118+480- k119+370</w:t>
            </w:r>
            <w:r>
              <w:rPr>
                <w:rFonts w:hint="eastAsia" w:ascii="Times New Roman" w:hAnsi="Times New Roman" w:cs="Times New Roman"/>
                <w:spacing w:val="4"/>
                <w:sz w:val="24"/>
                <w:szCs w:val="24"/>
                <w:lang w:eastAsia="zh-CN"/>
              </w:rPr>
              <w:t>，占用湿地公园总面积为</w:t>
            </w:r>
            <w:r>
              <w:rPr>
                <w:rFonts w:ascii="Times New Roman" w:hAnsi="Times New Roman" w:cs="Times New Roman"/>
                <w:spacing w:val="4"/>
                <w:sz w:val="24"/>
                <w:szCs w:val="24"/>
                <w:lang w:eastAsia="zh-CN"/>
              </w:rPr>
              <w:t>0.8455</w:t>
            </w:r>
            <w:r>
              <w:rPr>
                <w:rFonts w:hint="eastAsia" w:ascii="Times New Roman" w:hAnsi="Times New Roman" w:cs="Times New Roman"/>
                <w:spacing w:val="4"/>
                <w:sz w:val="24"/>
                <w:szCs w:val="24"/>
                <w:lang w:eastAsia="zh-CN"/>
              </w:rPr>
              <w:t>hm²（恢复重建区0</w:t>
            </w:r>
            <w:r>
              <w:rPr>
                <w:rFonts w:ascii="Times New Roman" w:hAnsi="Times New Roman" w:cs="Times New Roman"/>
                <w:spacing w:val="4"/>
                <w:sz w:val="24"/>
                <w:szCs w:val="24"/>
                <w:lang w:eastAsia="zh-CN"/>
              </w:rPr>
              <w:t>.7562</w:t>
            </w:r>
            <w:r>
              <w:rPr>
                <w:rFonts w:hint="eastAsia" w:ascii="Times New Roman" w:hAnsi="Times New Roman" w:cs="Times New Roman"/>
                <w:spacing w:val="4"/>
                <w:sz w:val="24"/>
                <w:szCs w:val="24"/>
                <w:lang w:eastAsia="zh-CN"/>
              </w:rPr>
              <w:t>hm²、生态保育区0</w:t>
            </w:r>
            <w:r>
              <w:rPr>
                <w:rFonts w:ascii="Times New Roman" w:hAnsi="Times New Roman" w:cs="Times New Roman"/>
                <w:spacing w:val="4"/>
                <w:sz w:val="24"/>
                <w:szCs w:val="24"/>
                <w:lang w:eastAsia="zh-CN"/>
              </w:rPr>
              <w:t>.0893</w:t>
            </w:r>
            <w:r>
              <w:rPr>
                <w:rFonts w:hint="eastAsia" w:ascii="Times New Roman" w:hAnsi="Times New Roman" w:cs="Times New Roman"/>
                <w:spacing w:val="4"/>
                <w:sz w:val="24"/>
                <w:szCs w:val="24"/>
                <w:lang w:eastAsia="zh-CN"/>
              </w:rPr>
              <w:t>hm²），均为永久占用，恢复重建区内包括河流水面0</w:t>
            </w:r>
            <w:r>
              <w:rPr>
                <w:rFonts w:ascii="Times New Roman" w:hAnsi="Times New Roman" w:cs="Times New Roman"/>
                <w:spacing w:val="4"/>
                <w:sz w:val="24"/>
                <w:szCs w:val="24"/>
                <w:lang w:eastAsia="zh-CN"/>
              </w:rPr>
              <w:t>.005</w:t>
            </w:r>
            <w:r>
              <w:rPr>
                <w:rFonts w:hint="eastAsia" w:ascii="Times New Roman" w:hAnsi="Times New Roman" w:cs="Times New Roman"/>
                <w:spacing w:val="4"/>
                <w:sz w:val="24"/>
                <w:szCs w:val="24"/>
                <w:lang w:eastAsia="zh-CN"/>
              </w:rPr>
              <w:t>hm²、坑塘水面0</w:t>
            </w:r>
            <w:r>
              <w:rPr>
                <w:rFonts w:ascii="Times New Roman" w:hAnsi="Times New Roman" w:cs="Times New Roman"/>
                <w:spacing w:val="4"/>
                <w:sz w:val="24"/>
                <w:szCs w:val="24"/>
                <w:lang w:eastAsia="zh-CN"/>
              </w:rPr>
              <w:t>.1933</w:t>
            </w:r>
            <w:r>
              <w:rPr>
                <w:rFonts w:hint="eastAsia" w:ascii="Times New Roman" w:hAnsi="Times New Roman" w:cs="Times New Roman"/>
                <w:spacing w:val="4"/>
                <w:sz w:val="24"/>
                <w:szCs w:val="24"/>
                <w:lang w:eastAsia="zh-CN"/>
              </w:rPr>
              <w:t>hm²、养殖坑塘0</w:t>
            </w:r>
            <w:r>
              <w:rPr>
                <w:rFonts w:ascii="Times New Roman" w:hAnsi="Times New Roman" w:cs="Times New Roman"/>
                <w:spacing w:val="4"/>
                <w:sz w:val="24"/>
                <w:szCs w:val="24"/>
                <w:lang w:eastAsia="zh-CN"/>
              </w:rPr>
              <w:t>.0321</w:t>
            </w:r>
            <w:r>
              <w:rPr>
                <w:rFonts w:hint="eastAsia" w:ascii="Times New Roman" w:hAnsi="Times New Roman" w:cs="Times New Roman"/>
                <w:spacing w:val="4"/>
                <w:sz w:val="24"/>
                <w:szCs w:val="24"/>
                <w:lang w:eastAsia="zh-CN"/>
              </w:rPr>
              <w:t>hm²、乔木林地0</w:t>
            </w:r>
            <w:r>
              <w:rPr>
                <w:rFonts w:ascii="Times New Roman" w:hAnsi="Times New Roman" w:cs="Times New Roman"/>
                <w:spacing w:val="4"/>
                <w:sz w:val="24"/>
                <w:szCs w:val="24"/>
                <w:lang w:eastAsia="zh-CN"/>
              </w:rPr>
              <w:t>.0615</w:t>
            </w:r>
            <w:r>
              <w:rPr>
                <w:rFonts w:hint="eastAsia" w:ascii="Times New Roman" w:hAnsi="Times New Roman" w:cs="Times New Roman"/>
                <w:spacing w:val="4"/>
                <w:sz w:val="24"/>
                <w:szCs w:val="24"/>
                <w:lang w:eastAsia="zh-CN"/>
              </w:rPr>
              <w:t>hm²、其他草地0</w:t>
            </w:r>
            <w:r>
              <w:rPr>
                <w:rFonts w:ascii="Times New Roman" w:hAnsi="Times New Roman" w:cs="Times New Roman"/>
                <w:spacing w:val="4"/>
                <w:sz w:val="24"/>
                <w:szCs w:val="24"/>
                <w:lang w:eastAsia="zh-CN"/>
              </w:rPr>
              <w:t>.4435</w:t>
            </w:r>
            <w:r>
              <w:rPr>
                <w:rFonts w:hint="eastAsia" w:ascii="Times New Roman" w:hAnsi="Times New Roman" w:cs="Times New Roman"/>
                <w:spacing w:val="4"/>
                <w:sz w:val="24"/>
                <w:szCs w:val="24"/>
                <w:lang w:eastAsia="zh-CN"/>
              </w:rPr>
              <w:t>hm²，设施农用地0</w:t>
            </w:r>
            <w:r>
              <w:rPr>
                <w:rFonts w:ascii="Times New Roman" w:hAnsi="Times New Roman" w:cs="Times New Roman"/>
                <w:spacing w:val="4"/>
                <w:sz w:val="24"/>
                <w:szCs w:val="24"/>
                <w:lang w:eastAsia="zh-CN"/>
              </w:rPr>
              <w:t>.0208</w:t>
            </w:r>
            <w:r>
              <w:rPr>
                <w:rFonts w:hint="eastAsia" w:ascii="Times New Roman" w:hAnsi="Times New Roman" w:cs="Times New Roman"/>
                <w:spacing w:val="4"/>
                <w:sz w:val="24"/>
                <w:szCs w:val="24"/>
                <w:lang w:eastAsia="zh-CN"/>
              </w:rPr>
              <w:t>hm²；生态保育区内包括其他草地0</w:t>
            </w:r>
            <w:r>
              <w:rPr>
                <w:rFonts w:ascii="Times New Roman" w:hAnsi="Times New Roman" w:cs="Times New Roman"/>
                <w:spacing w:val="4"/>
                <w:sz w:val="24"/>
                <w:szCs w:val="24"/>
                <w:lang w:eastAsia="zh-CN"/>
              </w:rPr>
              <w:t>.0893</w:t>
            </w:r>
            <w:r>
              <w:rPr>
                <w:rFonts w:hint="eastAsia" w:ascii="Times New Roman" w:hAnsi="Times New Roman" w:cs="Times New Roman"/>
                <w:spacing w:val="4"/>
                <w:sz w:val="24"/>
                <w:szCs w:val="24"/>
                <w:lang w:eastAsia="zh-CN"/>
              </w:rPr>
              <w:t>hm²。占用湿地资源面积0</w:t>
            </w:r>
            <w:r>
              <w:rPr>
                <w:rFonts w:ascii="Times New Roman" w:hAnsi="Times New Roman" w:cs="Times New Roman"/>
                <w:spacing w:val="4"/>
                <w:sz w:val="24"/>
                <w:szCs w:val="24"/>
                <w:lang w:eastAsia="zh-CN"/>
              </w:rPr>
              <w:t>.1933</w:t>
            </w:r>
            <w:r>
              <w:rPr>
                <w:rFonts w:hint="eastAsia" w:ascii="Times New Roman" w:hAnsi="Times New Roman" w:cs="Times New Roman"/>
                <w:spacing w:val="4"/>
                <w:sz w:val="24"/>
                <w:szCs w:val="24"/>
                <w:lang w:eastAsia="zh-CN"/>
              </w:rPr>
              <w:t>hm²，其中：河流水面0</w:t>
            </w:r>
            <w:r>
              <w:rPr>
                <w:rFonts w:ascii="Times New Roman" w:hAnsi="Times New Roman" w:cs="Times New Roman"/>
                <w:spacing w:val="4"/>
                <w:sz w:val="24"/>
                <w:szCs w:val="24"/>
                <w:lang w:eastAsia="zh-CN"/>
              </w:rPr>
              <w:t>.005</w:t>
            </w:r>
            <w:r>
              <w:rPr>
                <w:rFonts w:hint="eastAsia" w:ascii="Times New Roman" w:hAnsi="Times New Roman" w:cs="Times New Roman"/>
                <w:spacing w:val="4"/>
                <w:sz w:val="24"/>
                <w:szCs w:val="24"/>
                <w:lang w:eastAsia="zh-CN"/>
              </w:rPr>
              <w:t>hm²、坑塘水面0</w:t>
            </w:r>
            <w:r>
              <w:rPr>
                <w:rFonts w:ascii="Times New Roman" w:hAnsi="Times New Roman" w:cs="Times New Roman"/>
                <w:spacing w:val="4"/>
                <w:sz w:val="24"/>
                <w:szCs w:val="24"/>
                <w:lang w:eastAsia="zh-CN"/>
              </w:rPr>
              <w:t>.1933</w:t>
            </w:r>
            <w:r>
              <w:rPr>
                <w:rFonts w:hint="eastAsia" w:ascii="Times New Roman" w:hAnsi="Times New Roman" w:cs="Times New Roman"/>
                <w:spacing w:val="4"/>
                <w:sz w:val="24"/>
                <w:szCs w:val="24"/>
                <w:lang w:eastAsia="zh-CN"/>
              </w:rPr>
              <w:t>hm²，均为一般湿地。已取得自治区林业和草原局同意穿越的复函，见附件。穿越吉木萨尔北庭国家湿地公园位置示意图见图3</w:t>
            </w:r>
            <w:r>
              <w:rPr>
                <w:rFonts w:ascii="Times New Roman" w:hAnsi="Times New Roman" w:cs="Times New Roman"/>
                <w:spacing w:val="4"/>
                <w:sz w:val="24"/>
                <w:szCs w:val="24"/>
                <w:lang w:eastAsia="zh-CN"/>
              </w:rPr>
              <w:t>.3</w:t>
            </w:r>
            <w:r>
              <w:rPr>
                <w:rFonts w:hint="eastAsia" w:ascii="Times New Roman" w:hAnsi="Times New Roman" w:cs="Times New Roman"/>
                <w:spacing w:val="4"/>
                <w:sz w:val="24"/>
                <w:szCs w:val="24"/>
                <w:lang w:eastAsia="zh-CN"/>
              </w:rPr>
              <w:t>。</w:t>
            </w:r>
          </w:p>
          <w:p w14:paraId="1FE64A07">
            <w:pPr>
              <w:spacing w:line="360" w:lineRule="auto"/>
              <w:ind w:firstLine="496" w:firstLineChars="200"/>
              <w:jc w:val="both"/>
              <w:rPr>
                <w:rFonts w:ascii="Times New Roman" w:hAnsi="Times New Roman" w:cs="Times New Roman"/>
                <w:spacing w:val="4"/>
                <w:sz w:val="24"/>
                <w:szCs w:val="24"/>
                <w:lang w:eastAsia="zh-CN"/>
              </w:rPr>
            </w:pPr>
          </w:p>
          <w:p w14:paraId="4906508F">
            <w:pPr>
              <w:spacing w:line="360" w:lineRule="auto"/>
              <w:ind w:firstLine="496" w:firstLineChars="200"/>
              <w:jc w:val="both"/>
              <w:rPr>
                <w:rFonts w:ascii="Times New Roman" w:hAnsi="Times New Roman" w:cs="Times New Roman"/>
                <w:spacing w:val="4"/>
                <w:sz w:val="24"/>
                <w:szCs w:val="24"/>
                <w:lang w:eastAsia="zh-CN"/>
              </w:rPr>
            </w:pPr>
          </w:p>
          <w:p w14:paraId="6516CBCC">
            <w:pPr>
              <w:spacing w:line="360" w:lineRule="auto"/>
              <w:ind w:firstLine="496" w:firstLineChars="200"/>
              <w:jc w:val="both"/>
              <w:rPr>
                <w:rFonts w:ascii="Times New Roman" w:hAnsi="Times New Roman" w:cs="Times New Roman"/>
                <w:spacing w:val="4"/>
                <w:sz w:val="24"/>
                <w:szCs w:val="24"/>
                <w:lang w:eastAsia="zh-CN"/>
              </w:rPr>
            </w:pPr>
          </w:p>
          <w:p w14:paraId="5E232B61">
            <w:pPr>
              <w:spacing w:line="360" w:lineRule="auto"/>
              <w:ind w:firstLine="496" w:firstLineChars="200"/>
              <w:jc w:val="both"/>
              <w:rPr>
                <w:rFonts w:ascii="Times New Roman" w:hAnsi="Times New Roman" w:cs="Times New Roman"/>
                <w:spacing w:val="4"/>
                <w:sz w:val="24"/>
                <w:szCs w:val="24"/>
                <w:lang w:eastAsia="zh-CN"/>
              </w:rPr>
            </w:pPr>
          </w:p>
          <w:p w14:paraId="2F2F2219">
            <w:pPr>
              <w:spacing w:line="360" w:lineRule="auto"/>
              <w:ind w:firstLine="496" w:firstLineChars="200"/>
              <w:jc w:val="both"/>
              <w:rPr>
                <w:rFonts w:ascii="Times New Roman" w:hAnsi="Times New Roman" w:cs="Times New Roman"/>
                <w:spacing w:val="4"/>
                <w:sz w:val="24"/>
                <w:szCs w:val="24"/>
                <w:lang w:eastAsia="zh-CN"/>
              </w:rPr>
            </w:pPr>
          </w:p>
          <w:p w14:paraId="0D3DB8D7">
            <w:pPr>
              <w:spacing w:line="360" w:lineRule="auto"/>
              <w:ind w:firstLine="496" w:firstLineChars="200"/>
              <w:jc w:val="both"/>
              <w:rPr>
                <w:rFonts w:ascii="Times New Roman" w:hAnsi="Times New Roman" w:cs="Times New Roman"/>
                <w:spacing w:val="4"/>
                <w:sz w:val="24"/>
                <w:szCs w:val="24"/>
                <w:lang w:eastAsia="zh-CN"/>
              </w:rPr>
            </w:pPr>
          </w:p>
          <w:p w14:paraId="62B5CAB6">
            <w:pPr>
              <w:spacing w:line="360" w:lineRule="auto"/>
              <w:ind w:firstLine="496" w:firstLineChars="200"/>
              <w:jc w:val="both"/>
              <w:rPr>
                <w:rFonts w:ascii="Times New Roman" w:hAnsi="Times New Roman" w:cs="Times New Roman"/>
                <w:spacing w:val="4"/>
                <w:sz w:val="24"/>
                <w:szCs w:val="24"/>
                <w:lang w:eastAsia="zh-CN"/>
              </w:rPr>
            </w:pPr>
          </w:p>
          <w:p w14:paraId="0472119B">
            <w:pPr>
              <w:spacing w:line="360" w:lineRule="auto"/>
              <w:ind w:firstLine="496" w:firstLineChars="200"/>
              <w:jc w:val="both"/>
              <w:rPr>
                <w:rFonts w:ascii="Times New Roman" w:hAnsi="Times New Roman" w:cs="Times New Roman"/>
                <w:spacing w:val="4"/>
                <w:sz w:val="24"/>
                <w:szCs w:val="24"/>
                <w:lang w:eastAsia="zh-CN"/>
              </w:rPr>
            </w:pPr>
          </w:p>
          <w:p w14:paraId="4A9ABA5F">
            <w:pPr>
              <w:spacing w:line="360" w:lineRule="auto"/>
              <w:ind w:firstLine="496" w:firstLineChars="200"/>
              <w:jc w:val="both"/>
              <w:rPr>
                <w:rFonts w:ascii="Times New Roman" w:hAnsi="Times New Roman" w:cs="Times New Roman"/>
                <w:spacing w:val="4"/>
                <w:sz w:val="24"/>
                <w:szCs w:val="24"/>
                <w:lang w:eastAsia="zh-CN"/>
              </w:rPr>
            </w:pPr>
          </w:p>
          <w:p w14:paraId="78968064">
            <w:pPr>
              <w:spacing w:line="360" w:lineRule="auto"/>
              <w:ind w:firstLine="496" w:firstLineChars="200"/>
              <w:jc w:val="both"/>
              <w:rPr>
                <w:rFonts w:ascii="Times New Roman" w:hAnsi="Times New Roman" w:cs="Times New Roman"/>
                <w:spacing w:val="4"/>
                <w:sz w:val="24"/>
                <w:szCs w:val="24"/>
                <w:lang w:eastAsia="zh-CN"/>
              </w:rPr>
            </w:pPr>
          </w:p>
          <w:p w14:paraId="28CB7DFA">
            <w:pPr>
              <w:spacing w:line="360" w:lineRule="auto"/>
              <w:ind w:firstLine="496" w:firstLineChars="200"/>
              <w:jc w:val="both"/>
              <w:rPr>
                <w:rFonts w:ascii="Times New Roman" w:hAnsi="Times New Roman" w:cs="Times New Roman"/>
                <w:spacing w:val="4"/>
                <w:sz w:val="24"/>
                <w:szCs w:val="24"/>
                <w:lang w:eastAsia="zh-CN"/>
              </w:rPr>
            </w:pPr>
          </w:p>
          <w:p w14:paraId="1088F145">
            <w:pPr>
              <w:spacing w:line="360" w:lineRule="auto"/>
              <w:ind w:firstLine="496" w:firstLineChars="200"/>
              <w:jc w:val="both"/>
              <w:rPr>
                <w:rFonts w:ascii="Times New Roman" w:hAnsi="Times New Roman" w:cs="Times New Roman"/>
                <w:spacing w:val="4"/>
                <w:sz w:val="24"/>
                <w:szCs w:val="24"/>
                <w:lang w:eastAsia="zh-CN"/>
              </w:rPr>
            </w:pPr>
          </w:p>
          <w:p w14:paraId="49A97349">
            <w:pPr>
              <w:jc w:val="center"/>
              <w:rPr>
                <w:rFonts w:ascii="Times New Roman" w:hAnsi="Times New Roman" w:cs="Times New Roman"/>
                <w:spacing w:val="4"/>
                <w:sz w:val="24"/>
                <w:szCs w:val="24"/>
                <w:lang w:eastAsia="zh-CN"/>
              </w:rPr>
            </w:pPr>
            <w:r>
              <w:rPr>
                <w:rFonts w:ascii="Times New Roman" w:hAnsi="Times New Roman" w:eastAsia="等线" w:cs="Times New Roman"/>
                <w:spacing w:val="4"/>
                <w:kern w:val="2"/>
                <w:sz w:val="24"/>
                <w:szCs w:val="24"/>
                <w:lang w:eastAsia="zh-CN"/>
              </w:rPr>
              <w:drawing>
                <wp:inline distT="0" distB="0" distL="0" distR="0">
                  <wp:extent cx="5486400" cy="3632835"/>
                  <wp:effectExtent l="0" t="0" r="0" b="0"/>
                  <wp:docPr id="7" name="图片 7" descr="C:\Users\Administrator\Desktop\项目穿湿地公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项目穿湿地公园.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510246" cy="3648831"/>
                          </a:xfrm>
                          <a:prstGeom prst="rect">
                            <a:avLst/>
                          </a:prstGeom>
                          <a:noFill/>
                          <a:ln>
                            <a:noFill/>
                          </a:ln>
                        </pic:spPr>
                      </pic:pic>
                    </a:graphicData>
                  </a:graphic>
                </wp:inline>
              </w:drawing>
            </w:r>
          </w:p>
          <w:p w14:paraId="3AD1439F">
            <w:pPr>
              <w:jc w:val="center"/>
              <w:rPr>
                <w:rFonts w:ascii="Times New Roman" w:hAnsi="Times New Roman" w:cs="Times New Roman"/>
                <w:b/>
                <w:spacing w:val="4"/>
                <w:sz w:val="21"/>
                <w:szCs w:val="21"/>
                <w:lang w:eastAsia="zh-CN"/>
              </w:rPr>
            </w:pPr>
            <w:r>
              <w:rPr>
                <w:rFonts w:hint="eastAsia" w:ascii="Times New Roman" w:hAnsi="Times New Roman" w:cs="Times New Roman"/>
                <w:b/>
                <w:spacing w:val="4"/>
                <w:sz w:val="21"/>
                <w:szCs w:val="21"/>
                <w:lang w:eastAsia="zh-CN"/>
              </w:rPr>
              <w:t>图3</w:t>
            </w:r>
            <w:r>
              <w:rPr>
                <w:rFonts w:ascii="Times New Roman" w:hAnsi="Times New Roman" w:cs="Times New Roman"/>
                <w:b/>
                <w:spacing w:val="4"/>
                <w:sz w:val="21"/>
                <w:szCs w:val="21"/>
                <w:lang w:eastAsia="zh-CN"/>
              </w:rPr>
              <w:t xml:space="preserve">.3  </w:t>
            </w:r>
            <w:r>
              <w:rPr>
                <w:rFonts w:hint="eastAsia" w:ascii="Times New Roman" w:hAnsi="Times New Roman" w:cs="Times New Roman"/>
                <w:b/>
                <w:spacing w:val="4"/>
                <w:sz w:val="21"/>
                <w:szCs w:val="21"/>
                <w:lang w:eastAsia="zh-CN"/>
              </w:rPr>
              <w:t>项目穿越吉木萨尔北庭国家湿地公园位置示意图</w:t>
            </w:r>
          </w:p>
          <w:p w14:paraId="61576C4B">
            <w:pPr>
              <w:jc w:val="center"/>
              <w:rPr>
                <w:rFonts w:ascii="Times New Roman" w:hAnsi="Times New Roman" w:cs="Times New Roman"/>
                <w:spacing w:val="4"/>
                <w:sz w:val="24"/>
                <w:szCs w:val="24"/>
                <w:lang w:eastAsia="zh-CN"/>
              </w:rPr>
            </w:pPr>
          </w:p>
          <w:p w14:paraId="63E251C2">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（7）项目沿线永久基本农田情况</w:t>
            </w:r>
          </w:p>
          <w:p w14:paraId="3FD32500">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本项目k</w:t>
            </w:r>
            <w:r>
              <w:rPr>
                <w:rFonts w:ascii="Times New Roman" w:hAnsi="Times New Roman" w:cs="Times New Roman"/>
                <w:spacing w:val="4"/>
                <w:sz w:val="24"/>
                <w:szCs w:val="24"/>
                <w:lang w:eastAsia="zh-CN"/>
              </w:rPr>
              <w:t>91+000～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112+700段两侧零星分布有第六师红旗农场永久基本农田，其中</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110+300～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 xml:space="preserve">112+700段西侧距离老路边缘最近为10～15m，为避免占用基本农田，本段采用左侧加宽。 </w:t>
            </w:r>
          </w:p>
          <w:p w14:paraId="7403A762">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本项目k</w:t>
            </w:r>
            <w:r>
              <w:rPr>
                <w:rFonts w:ascii="Times New Roman" w:hAnsi="Times New Roman" w:cs="Times New Roman"/>
                <w:spacing w:val="4"/>
                <w:sz w:val="24"/>
                <w:szCs w:val="24"/>
                <w:lang w:eastAsia="zh-CN"/>
              </w:rPr>
              <w:t>110+600～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125+404段两侧零星分布有吉木萨尔县永久基本农田，其中</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110+600～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104+000段东侧距离老路边缘最近为100m，</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116+600～</w:t>
            </w:r>
            <w:r>
              <w:rPr>
                <w:rFonts w:hint="eastAsia" w:ascii="Times New Roman" w:hAnsi="Times New Roman" w:cs="Times New Roman"/>
                <w:spacing w:val="4"/>
                <w:sz w:val="24"/>
                <w:szCs w:val="24"/>
                <w:lang w:eastAsia="zh-CN"/>
              </w:rPr>
              <w:t>k</w:t>
            </w:r>
            <w:r>
              <w:rPr>
                <w:rFonts w:ascii="Times New Roman" w:hAnsi="Times New Roman" w:cs="Times New Roman"/>
                <w:spacing w:val="4"/>
                <w:sz w:val="24"/>
                <w:szCs w:val="24"/>
                <w:lang w:eastAsia="zh-CN"/>
              </w:rPr>
              <w:t>117+500段西侧距离老路边缘最近为30～100m</w:t>
            </w:r>
            <w:r>
              <w:rPr>
                <w:rFonts w:hint="eastAsia" w:ascii="Times New Roman" w:hAnsi="Times New Roman" w:cs="Times New Roman"/>
                <w:spacing w:val="4"/>
                <w:sz w:val="24"/>
                <w:szCs w:val="24"/>
                <w:lang w:eastAsia="zh-CN"/>
              </w:rPr>
              <w:t>，</w:t>
            </w:r>
            <w:r>
              <w:rPr>
                <w:rFonts w:ascii="Times New Roman" w:hAnsi="Times New Roman" w:cs="Times New Roman"/>
                <w:spacing w:val="4"/>
                <w:sz w:val="24"/>
                <w:szCs w:val="24"/>
                <w:lang w:eastAsia="zh-CN"/>
              </w:rPr>
              <w:t>距离永久基本农田边界较远，无影响。</w:t>
            </w:r>
          </w:p>
          <w:p w14:paraId="615AF931">
            <w:pPr>
              <w:spacing w:line="360" w:lineRule="auto"/>
              <w:ind w:firstLine="496" w:firstLineChars="200"/>
              <w:jc w:val="both"/>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综上所述，本项目不涉及占用永久基本农田，项目与沿线永久基本农田位置关系见图3</w:t>
            </w:r>
            <w:r>
              <w:rPr>
                <w:rFonts w:ascii="Times New Roman" w:hAnsi="Times New Roman" w:cs="Times New Roman"/>
                <w:spacing w:val="4"/>
                <w:sz w:val="24"/>
                <w:szCs w:val="24"/>
                <w:lang w:eastAsia="zh-CN"/>
              </w:rPr>
              <w:t>.4</w:t>
            </w:r>
            <w:r>
              <w:rPr>
                <w:rFonts w:hint="eastAsia" w:ascii="Times New Roman" w:hAnsi="Times New Roman" w:cs="Times New Roman"/>
                <w:spacing w:val="4"/>
                <w:sz w:val="24"/>
                <w:szCs w:val="24"/>
                <w:lang w:eastAsia="zh-CN"/>
              </w:rPr>
              <w:t>、图3</w:t>
            </w:r>
            <w:r>
              <w:rPr>
                <w:rFonts w:ascii="Times New Roman" w:hAnsi="Times New Roman" w:cs="Times New Roman"/>
                <w:spacing w:val="4"/>
                <w:sz w:val="24"/>
                <w:szCs w:val="24"/>
                <w:lang w:eastAsia="zh-CN"/>
              </w:rPr>
              <w:t>.5</w:t>
            </w:r>
            <w:r>
              <w:rPr>
                <w:rFonts w:hint="eastAsia" w:ascii="Times New Roman" w:hAnsi="Times New Roman" w:cs="Times New Roman"/>
                <w:spacing w:val="4"/>
                <w:sz w:val="24"/>
                <w:szCs w:val="24"/>
                <w:lang w:eastAsia="zh-CN"/>
              </w:rPr>
              <w:t>。</w:t>
            </w:r>
          </w:p>
          <w:p w14:paraId="08BF6379">
            <w:pPr>
              <w:spacing w:line="360" w:lineRule="auto"/>
              <w:ind w:firstLine="496" w:firstLineChars="200"/>
              <w:jc w:val="both"/>
              <w:rPr>
                <w:rFonts w:ascii="Times New Roman" w:hAnsi="Times New Roman" w:cs="Times New Roman"/>
                <w:spacing w:val="4"/>
                <w:sz w:val="24"/>
                <w:szCs w:val="24"/>
                <w:lang w:eastAsia="zh-CN"/>
              </w:rPr>
            </w:pPr>
          </w:p>
          <w:p w14:paraId="6FDCB7E2">
            <w:pPr>
              <w:spacing w:line="360" w:lineRule="auto"/>
              <w:ind w:firstLine="496" w:firstLineChars="200"/>
              <w:jc w:val="both"/>
              <w:rPr>
                <w:rFonts w:ascii="Times New Roman" w:hAnsi="Times New Roman" w:cs="Times New Roman"/>
                <w:spacing w:val="4"/>
                <w:sz w:val="24"/>
                <w:szCs w:val="24"/>
                <w:lang w:eastAsia="zh-CN"/>
              </w:rPr>
            </w:pPr>
          </w:p>
          <w:p w14:paraId="0A70A709">
            <w:pPr>
              <w:spacing w:line="360" w:lineRule="auto"/>
              <w:ind w:firstLine="496" w:firstLineChars="200"/>
              <w:jc w:val="both"/>
              <w:rPr>
                <w:rFonts w:ascii="Times New Roman" w:hAnsi="Times New Roman" w:cs="Times New Roman"/>
                <w:spacing w:val="4"/>
                <w:sz w:val="24"/>
                <w:szCs w:val="24"/>
                <w:lang w:eastAsia="zh-CN"/>
              </w:rPr>
            </w:pPr>
          </w:p>
          <w:p w14:paraId="2ED7E9D8">
            <w:pPr>
              <w:spacing w:line="360" w:lineRule="auto"/>
              <w:ind w:firstLine="496" w:firstLineChars="200"/>
              <w:jc w:val="both"/>
              <w:rPr>
                <w:rFonts w:ascii="Times New Roman" w:hAnsi="Times New Roman" w:cs="Times New Roman"/>
                <w:spacing w:val="4"/>
                <w:sz w:val="24"/>
                <w:szCs w:val="24"/>
                <w:lang w:eastAsia="zh-CN"/>
              </w:rPr>
            </w:pPr>
          </w:p>
          <w:p w14:paraId="77C184EA">
            <w:pPr>
              <w:spacing w:line="360" w:lineRule="auto"/>
              <w:ind w:firstLine="496" w:firstLineChars="200"/>
              <w:jc w:val="both"/>
              <w:rPr>
                <w:rFonts w:ascii="Times New Roman" w:hAnsi="Times New Roman" w:cs="Times New Roman"/>
                <w:spacing w:val="4"/>
                <w:sz w:val="24"/>
                <w:szCs w:val="24"/>
                <w:lang w:eastAsia="zh-CN"/>
              </w:rPr>
            </w:pPr>
          </w:p>
          <w:p w14:paraId="3720B572">
            <w:pPr>
              <w:spacing w:line="360" w:lineRule="auto"/>
              <w:ind w:firstLine="496" w:firstLineChars="200"/>
              <w:jc w:val="both"/>
              <w:rPr>
                <w:rFonts w:ascii="Times New Roman" w:hAnsi="Times New Roman" w:cs="Times New Roman"/>
                <w:spacing w:val="4"/>
                <w:sz w:val="24"/>
                <w:szCs w:val="24"/>
                <w:lang w:eastAsia="zh-CN"/>
              </w:rPr>
            </w:pPr>
          </w:p>
          <w:p w14:paraId="515BF206">
            <w:pPr>
              <w:spacing w:line="360" w:lineRule="auto"/>
              <w:ind w:firstLine="496" w:firstLineChars="200"/>
              <w:jc w:val="both"/>
              <w:rPr>
                <w:rFonts w:ascii="Times New Roman" w:hAnsi="Times New Roman" w:cs="Times New Roman"/>
                <w:spacing w:val="4"/>
                <w:sz w:val="24"/>
                <w:szCs w:val="24"/>
                <w:lang w:eastAsia="zh-CN"/>
              </w:rPr>
            </w:pPr>
          </w:p>
          <w:p w14:paraId="7A1CE73D">
            <w:pPr>
              <w:spacing w:line="360" w:lineRule="auto"/>
              <w:ind w:firstLine="496" w:firstLineChars="200"/>
              <w:jc w:val="both"/>
              <w:rPr>
                <w:rFonts w:ascii="Times New Roman" w:hAnsi="Times New Roman" w:cs="Times New Roman"/>
                <w:spacing w:val="4"/>
                <w:sz w:val="24"/>
                <w:szCs w:val="24"/>
                <w:lang w:eastAsia="zh-CN"/>
              </w:rPr>
            </w:pPr>
          </w:p>
          <w:p w14:paraId="10EA79F7">
            <w:pPr>
              <w:spacing w:line="360" w:lineRule="auto"/>
              <w:ind w:firstLine="496" w:firstLineChars="200"/>
              <w:jc w:val="both"/>
              <w:rPr>
                <w:rFonts w:ascii="Times New Roman" w:hAnsi="Times New Roman" w:cs="Times New Roman"/>
                <w:spacing w:val="4"/>
                <w:sz w:val="24"/>
                <w:szCs w:val="24"/>
                <w:lang w:eastAsia="zh-CN"/>
              </w:rPr>
            </w:pPr>
          </w:p>
          <w:p w14:paraId="28434989">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drawing>
                <wp:inline distT="0" distB="0" distL="0" distR="0">
                  <wp:extent cx="5383530" cy="68865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5392397" cy="6897460"/>
                          </a:xfrm>
                          <a:prstGeom prst="rect">
                            <a:avLst/>
                          </a:prstGeom>
                        </pic:spPr>
                      </pic:pic>
                    </a:graphicData>
                  </a:graphic>
                </wp:inline>
              </w:drawing>
            </w:r>
          </w:p>
          <w:p w14:paraId="3868D693">
            <w:pPr>
              <w:jc w:val="center"/>
              <w:rPr>
                <w:rFonts w:ascii="Times New Roman" w:hAnsi="Times New Roman" w:cs="Times New Roman"/>
                <w:b/>
                <w:spacing w:val="4"/>
                <w:sz w:val="21"/>
                <w:szCs w:val="21"/>
                <w:lang w:eastAsia="zh-CN"/>
              </w:rPr>
            </w:pPr>
            <w:r>
              <w:rPr>
                <w:rFonts w:ascii="Times New Roman" w:hAnsi="Times New Roman" w:cs="Times New Roman"/>
                <w:b/>
                <w:spacing w:val="4"/>
                <w:sz w:val="21"/>
                <w:szCs w:val="21"/>
                <w:lang w:eastAsia="zh-CN"/>
              </w:rPr>
              <w:t>图</w:t>
            </w:r>
            <w:r>
              <w:rPr>
                <w:rFonts w:hint="eastAsia" w:ascii="Times New Roman" w:hAnsi="Times New Roman" w:cs="Times New Roman"/>
                <w:b/>
                <w:spacing w:val="4"/>
                <w:sz w:val="21"/>
                <w:szCs w:val="21"/>
                <w:lang w:eastAsia="zh-CN"/>
              </w:rPr>
              <w:t>3</w:t>
            </w:r>
            <w:r>
              <w:rPr>
                <w:rFonts w:ascii="Times New Roman" w:hAnsi="Times New Roman" w:cs="Times New Roman"/>
                <w:b/>
                <w:spacing w:val="4"/>
                <w:sz w:val="21"/>
                <w:szCs w:val="21"/>
                <w:lang w:eastAsia="zh-CN"/>
              </w:rPr>
              <w:t>.4  项目</w:t>
            </w:r>
            <w:r>
              <w:rPr>
                <w:rFonts w:hint="eastAsia" w:ascii="Times New Roman" w:hAnsi="Times New Roman" w:cs="Times New Roman"/>
                <w:b/>
                <w:spacing w:val="4"/>
                <w:sz w:val="21"/>
                <w:szCs w:val="21"/>
                <w:lang w:eastAsia="zh-CN"/>
              </w:rPr>
              <w:t>与第六师红旗农场永久基本农田位置关系示意图</w:t>
            </w:r>
          </w:p>
          <w:p w14:paraId="4C3E705C">
            <w:pPr>
              <w:jc w:val="center"/>
              <w:rPr>
                <w:rFonts w:ascii="Times New Roman" w:hAnsi="Times New Roman" w:cs="Times New Roman"/>
                <w:b/>
                <w:spacing w:val="4"/>
                <w:sz w:val="21"/>
                <w:szCs w:val="21"/>
                <w:lang w:eastAsia="zh-CN"/>
              </w:rPr>
            </w:pPr>
          </w:p>
          <w:p w14:paraId="7EB9422E">
            <w:pPr>
              <w:jc w:val="center"/>
              <w:rPr>
                <w:rFonts w:ascii="Times New Roman" w:hAnsi="Times New Roman" w:cs="Times New Roman"/>
                <w:b/>
                <w:spacing w:val="4"/>
                <w:sz w:val="21"/>
                <w:szCs w:val="21"/>
                <w:lang w:eastAsia="zh-CN"/>
              </w:rPr>
            </w:pPr>
          </w:p>
          <w:p w14:paraId="4E377FFD">
            <w:pPr>
              <w:jc w:val="center"/>
              <w:rPr>
                <w:rFonts w:ascii="Times New Roman" w:hAnsi="Times New Roman" w:cs="Times New Roman"/>
                <w:b/>
                <w:spacing w:val="4"/>
                <w:sz w:val="21"/>
                <w:szCs w:val="21"/>
                <w:lang w:eastAsia="zh-CN"/>
              </w:rPr>
            </w:pPr>
          </w:p>
          <w:p w14:paraId="2374F01D">
            <w:pPr>
              <w:jc w:val="center"/>
              <w:rPr>
                <w:rFonts w:ascii="Times New Roman" w:hAnsi="Times New Roman" w:cs="Times New Roman"/>
                <w:b/>
                <w:spacing w:val="4"/>
                <w:sz w:val="21"/>
                <w:szCs w:val="21"/>
                <w:lang w:eastAsia="zh-CN"/>
              </w:rPr>
            </w:pPr>
          </w:p>
          <w:p w14:paraId="444CC53B">
            <w:pPr>
              <w:jc w:val="center"/>
              <w:rPr>
                <w:rFonts w:ascii="Times New Roman" w:hAnsi="Times New Roman" w:cs="Times New Roman"/>
                <w:b/>
                <w:spacing w:val="4"/>
                <w:sz w:val="21"/>
                <w:szCs w:val="21"/>
                <w:lang w:eastAsia="zh-CN"/>
              </w:rPr>
            </w:pPr>
          </w:p>
          <w:p w14:paraId="2781E091">
            <w:pPr>
              <w:jc w:val="center"/>
              <w:rPr>
                <w:rFonts w:ascii="Times New Roman" w:hAnsi="Times New Roman" w:cs="Times New Roman"/>
                <w:b/>
                <w:spacing w:val="4"/>
                <w:sz w:val="21"/>
                <w:szCs w:val="21"/>
                <w:lang w:eastAsia="zh-CN"/>
              </w:rPr>
            </w:pPr>
          </w:p>
          <w:p w14:paraId="589DB11F">
            <w:pPr>
              <w:jc w:val="center"/>
              <w:rPr>
                <w:rFonts w:ascii="Times New Roman" w:hAnsi="Times New Roman" w:cs="Times New Roman"/>
                <w:b/>
                <w:spacing w:val="4"/>
                <w:sz w:val="21"/>
                <w:szCs w:val="21"/>
                <w:lang w:eastAsia="zh-CN"/>
              </w:rPr>
            </w:pPr>
          </w:p>
          <w:p w14:paraId="02664171">
            <w:pPr>
              <w:jc w:val="center"/>
              <w:rPr>
                <w:rFonts w:ascii="Times New Roman" w:hAnsi="Times New Roman" w:cs="Times New Roman"/>
                <w:b/>
                <w:spacing w:val="4"/>
                <w:sz w:val="21"/>
                <w:szCs w:val="21"/>
                <w:lang w:eastAsia="zh-CN"/>
              </w:rPr>
            </w:pPr>
          </w:p>
          <w:p w14:paraId="319ECA17">
            <w:pPr>
              <w:jc w:val="center"/>
              <w:rPr>
                <w:rFonts w:ascii="Times New Roman" w:hAnsi="Times New Roman" w:cs="Times New Roman"/>
                <w:b/>
                <w:spacing w:val="4"/>
                <w:sz w:val="21"/>
                <w:szCs w:val="21"/>
                <w:lang w:eastAsia="zh-CN"/>
              </w:rPr>
            </w:pPr>
          </w:p>
          <w:p w14:paraId="0CF1D0EF">
            <w:pPr>
              <w:jc w:val="center"/>
              <w:rPr>
                <w:rFonts w:ascii="Times New Roman" w:hAnsi="Times New Roman" w:cs="Times New Roman"/>
                <w:b/>
                <w:spacing w:val="4"/>
                <w:sz w:val="21"/>
                <w:szCs w:val="21"/>
                <w:lang w:eastAsia="zh-CN"/>
              </w:rPr>
            </w:pPr>
          </w:p>
          <w:p w14:paraId="3ED18F51">
            <w:pPr>
              <w:jc w:val="center"/>
              <w:rPr>
                <w:rFonts w:ascii="Times New Roman" w:hAnsi="Times New Roman" w:cs="Times New Roman"/>
                <w:b/>
                <w:spacing w:val="4"/>
                <w:sz w:val="21"/>
                <w:szCs w:val="21"/>
                <w:lang w:eastAsia="zh-CN"/>
              </w:rPr>
            </w:pPr>
          </w:p>
          <w:p w14:paraId="1CC8E266">
            <w:pPr>
              <w:jc w:val="center"/>
              <w:rPr>
                <w:rFonts w:ascii="Times New Roman" w:hAnsi="Times New Roman" w:cs="Times New Roman"/>
                <w:b/>
                <w:spacing w:val="4"/>
                <w:sz w:val="21"/>
                <w:szCs w:val="21"/>
                <w:lang w:eastAsia="zh-CN"/>
              </w:rPr>
            </w:pPr>
          </w:p>
          <w:p w14:paraId="4D2900B6">
            <w:pPr>
              <w:jc w:val="center"/>
              <w:rPr>
                <w:rFonts w:ascii="Times New Roman" w:hAnsi="Times New Roman" w:cs="Times New Roman"/>
                <w:b/>
                <w:spacing w:val="4"/>
                <w:sz w:val="21"/>
                <w:szCs w:val="21"/>
                <w:lang w:eastAsia="zh-CN"/>
              </w:rPr>
            </w:pPr>
          </w:p>
          <w:p w14:paraId="317549EE">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drawing>
                <wp:inline distT="0" distB="0" distL="0" distR="0">
                  <wp:extent cx="5436870" cy="77438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40126" cy="7747587"/>
                          </a:xfrm>
                          <a:prstGeom prst="rect">
                            <a:avLst/>
                          </a:prstGeom>
                          <a:noFill/>
                        </pic:spPr>
                      </pic:pic>
                    </a:graphicData>
                  </a:graphic>
                </wp:inline>
              </w:drawing>
            </w:r>
          </w:p>
          <w:p w14:paraId="7527C297">
            <w:pPr>
              <w:jc w:val="center"/>
              <w:rPr>
                <w:rFonts w:ascii="Times New Roman" w:hAnsi="Times New Roman" w:cs="Times New Roman"/>
                <w:b/>
                <w:spacing w:val="4"/>
                <w:sz w:val="21"/>
                <w:szCs w:val="21"/>
                <w:lang w:eastAsia="zh-CN"/>
              </w:rPr>
            </w:pPr>
            <w:r>
              <w:rPr>
                <w:rFonts w:ascii="Times New Roman" w:hAnsi="Times New Roman" w:cs="Times New Roman"/>
                <w:b/>
                <w:spacing w:val="4"/>
                <w:sz w:val="21"/>
                <w:szCs w:val="21"/>
                <w:lang w:eastAsia="zh-CN"/>
              </w:rPr>
              <w:t>图</w:t>
            </w:r>
            <w:r>
              <w:rPr>
                <w:rFonts w:hint="eastAsia" w:ascii="Times New Roman" w:hAnsi="Times New Roman" w:cs="Times New Roman"/>
                <w:b/>
                <w:spacing w:val="4"/>
                <w:sz w:val="21"/>
                <w:szCs w:val="21"/>
                <w:lang w:eastAsia="zh-CN"/>
              </w:rPr>
              <w:t>3</w:t>
            </w:r>
            <w:r>
              <w:rPr>
                <w:rFonts w:ascii="Times New Roman" w:hAnsi="Times New Roman" w:cs="Times New Roman"/>
                <w:b/>
                <w:spacing w:val="4"/>
                <w:sz w:val="21"/>
                <w:szCs w:val="21"/>
                <w:lang w:eastAsia="zh-CN"/>
              </w:rPr>
              <w:t>.5  项目</w:t>
            </w:r>
            <w:r>
              <w:rPr>
                <w:rFonts w:hint="eastAsia" w:ascii="Times New Roman" w:hAnsi="Times New Roman" w:cs="Times New Roman"/>
                <w:b/>
                <w:spacing w:val="4"/>
                <w:sz w:val="21"/>
                <w:szCs w:val="21"/>
                <w:lang w:eastAsia="zh-CN"/>
              </w:rPr>
              <w:t>与吉木萨尔县永久基本农田位置关系示意图</w:t>
            </w:r>
          </w:p>
          <w:p w14:paraId="490887CE">
            <w:pPr>
              <w:jc w:val="center"/>
              <w:rPr>
                <w:rFonts w:ascii="Times New Roman" w:hAnsi="Times New Roman" w:cs="Times New Roman"/>
                <w:spacing w:val="4"/>
                <w:sz w:val="21"/>
                <w:szCs w:val="21"/>
                <w:lang w:eastAsia="zh-CN"/>
              </w:rPr>
            </w:pPr>
          </w:p>
          <w:p w14:paraId="614A6E8E">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8</w:t>
            </w:r>
            <w:r>
              <w:rPr>
                <w:rFonts w:hint="eastAsia" w:ascii="Times New Roman" w:hAnsi="Times New Roman" w:cs="Times New Roman"/>
                <w:sz w:val="24"/>
                <w:szCs w:val="24"/>
                <w:lang w:eastAsia="zh-CN"/>
              </w:rPr>
              <w:t>）项目拟占用林地情况</w:t>
            </w:r>
          </w:p>
          <w:p w14:paraId="7F802A27">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根据项目林调资料，项目砍伐的林木按照《自治区重点建设项目征地补偿标准的通知》（新国土资发</w:t>
            </w:r>
            <w:r>
              <w:rPr>
                <w:rFonts w:ascii="Times New Roman" w:hAnsi="Times New Roman" w:cs="Times New Roman"/>
                <w:sz w:val="24"/>
                <w:szCs w:val="24"/>
                <w:lang w:eastAsia="zh-CN"/>
              </w:rPr>
              <w:t xml:space="preserve"> [2009]131号）缴纳林地补偿费。</w:t>
            </w:r>
            <w:r>
              <w:rPr>
                <w:rFonts w:hint="eastAsia" w:ascii="Times New Roman" w:hAnsi="Times New Roman" w:cs="Times New Roman"/>
                <w:sz w:val="24"/>
                <w:szCs w:val="24"/>
                <w:lang w:eastAsia="zh-CN"/>
              </w:rPr>
              <w:t>本项目拟占用林地</w:t>
            </w:r>
            <w:r>
              <w:rPr>
                <w:rFonts w:ascii="Times New Roman" w:hAnsi="Times New Roman" w:cs="Times New Roman"/>
                <w:sz w:val="24"/>
                <w:szCs w:val="24"/>
                <w:lang w:eastAsia="zh-CN"/>
              </w:rPr>
              <w:t>118.7046公顷</w:t>
            </w:r>
            <w:r>
              <w:rPr>
                <w:rFonts w:hint="eastAsia" w:ascii="Times New Roman" w:hAnsi="Times New Roman" w:cs="Times New Roman"/>
                <w:sz w:val="24"/>
                <w:szCs w:val="24"/>
                <w:lang w:eastAsia="zh-CN"/>
              </w:rPr>
              <w:t>，主要为：</w:t>
            </w:r>
            <w:r>
              <w:rPr>
                <w:rFonts w:ascii="Times New Roman" w:hAnsi="Times New Roman" w:cs="Times New Roman"/>
                <w:sz w:val="24"/>
                <w:szCs w:val="24"/>
                <w:lang w:eastAsia="zh-CN"/>
              </w:rPr>
              <w:t>为榆树、杨树、梭梭。拟使用林地按地类划分：乔木林地1.9637公顷、特殊灌木林地87.6049公顷、其他林地29.1360公顷。乔木231578株，总蓄积为9334m³，特殊灌木林地覆盖度40%。拟</w:t>
            </w:r>
            <w:r>
              <w:rPr>
                <w:rFonts w:hint="eastAsia" w:ascii="Times New Roman" w:hAnsi="Times New Roman" w:cs="Times New Roman"/>
                <w:sz w:val="24"/>
                <w:szCs w:val="24"/>
                <w:lang w:eastAsia="zh-CN"/>
              </w:rPr>
              <w:t>占用</w:t>
            </w:r>
            <w:r>
              <w:rPr>
                <w:rFonts w:ascii="Times New Roman" w:hAnsi="Times New Roman" w:cs="Times New Roman"/>
                <w:sz w:val="24"/>
                <w:szCs w:val="24"/>
                <w:lang w:eastAsia="zh-CN"/>
              </w:rPr>
              <w:t>林地按林地权属划分：国有117.5073公顷、集体1.1973公顷。拟</w:t>
            </w:r>
            <w:r>
              <w:rPr>
                <w:rFonts w:hint="eastAsia" w:ascii="Times New Roman" w:hAnsi="Times New Roman" w:cs="Times New Roman"/>
                <w:sz w:val="24"/>
                <w:szCs w:val="24"/>
                <w:lang w:eastAsia="zh-CN"/>
              </w:rPr>
              <w:t>占用</w:t>
            </w:r>
            <w:r>
              <w:rPr>
                <w:rFonts w:ascii="Times New Roman" w:hAnsi="Times New Roman" w:cs="Times New Roman"/>
                <w:sz w:val="24"/>
                <w:szCs w:val="24"/>
                <w:lang w:eastAsia="zh-CN"/>
              </w:rPr>
              <w:t>林地按林地保护等级划分：</w:t>
            </w:r>
            <w:r>
              <w:rPr>
                <w:rFonts w:hint="eastAsia"/>
                <w:sz w:val="24"/>
                <w:szCs w:val="24"/>
                <w:lang w:eastAsia="zh-CN"/>
              </w:rPr>
              <w:t>Ⅱ</w:t>
            </w:r>
            <w:r>
              <w:rPr>
                <w:rFonts w:ascii="Times New Roman" w:hAnsi="Times New Roman" w:cs="Times New Roman"/>
                <w:sz w:val="24"/>
                <w:szCs w:val="24"/>
                <w:lang w:eastAsia="zh-CN"/>
              </w:rPr>
              <w:t>级保护林地87.6049公顷、</w:t>
            </w:r>
            <w:r>
              <w:rPr>
                <w:rFonts w:hint="eastAsia"/>
                <w:sz w:val="24"/>
                <w:szCs w:val="24"/>
                <w:lang w:eastAsia="zh-CN"/>
              </w:rPr>
              <w:t>Ⅲ</w:t>
            </w:r>
            <w:r>
              <w:rPr>
                <w:rFonts w:ascii="Times New Roman" w:hAnsi="Times New Roman" w:cs="Times New Roman"/>
                <w:sz w:val="24"/>
                <w:szCs w:val="24"/>
                <w:lang w:eastAsia="zh-CN"/>
              </w:rPr>
              <w:t>级保护林地31.0997公顷。拟</w:t>
            </w:r>
            <w:r>
              <w:rPr>
                <w:rFonts w:hint="eastAsia" w:ascii="Times New Roman" w:hAnsi="Times New Roman" w:cs="Times New Roman"/>
                <w:sz w:val="24"/>
                <w:szCs w:val="24"/>
                <w:lang w:eastAsia="zh-CN"/>
              </w:rPr>
              <w:t>占用</w:t>
            </w:r>
            <w:r>
              <w:rPr>
                <w:rFonts w:ascii="Times New Roman" w:hAnsi="Times New Roman" w:cs="Times New Roman"/>
                <w:sz w:val="24"/>
                <w:szCs w:val="24"/>
                <w:lang w:eastAsia="zh-CN"/>
              </w:rPr>
              <w:t>林地按森林类别划分：国家级二级公益林87.6049公顷、地方公益林31.0997公顷。拟</w:t>
            </w:r>
            <w:r>
              <w:rPr>
                <w:rFonts w:hint="eastAsia" w:ascii="Times New Roman" w:hAnsi="Times New Roman" w:cs="Times New Roman"/>
                <w:sz w:val="24"/>
                <w:szCs w:val="24"/>
                <w:lang w:eastAsia="zh-CN"/>
              </w:rPr>
              <w:t>占用</w:t>
            </w:r>
            <w:r>
              <w:rPr>
                <w:rFonts w:ascii="Times New Roman" w:hAnsi="Times New Roman" w:cs="Times New Roman"/>
                <w:sz w:val="24"/>
                <w:szCs w:val="24"/>
                <w:lang w:eastAsia="zh-CN"/>
              </w:rPr>
              <w:t>林地按</w:t>
            </w:r>
            <w:r>
              <w:rPr>
                <w:rFonts w:hint="eastAsia" w:ascii="Times New Roman" w:hAnsi="Times New Roman" w:cs="Times New Roman"/>
                <w:sz w:val="24"/>
                <w:szCs w:val="24"/>
                <w:lang w:eastAsia="zh-CN"/>
              </w:rPr>
              <w:t>林源</w:t>
            </w:r>
            <w:r>
              <w:rPr>
                <w:rFonts w:ascii="Times New Roman" w:hAnsi="Times New Roman" w:cs="Times New Roman"/>
                <w:sz w:val="24"/>
                <w:szCs w:val="24"/>
                <w:lang w:eastAsia="zh-CN"/>
              </w:rPr>
              <w:t>划分：天然87.6049公顷、人工31.0997公顷。</w:t>
            </w:r>
            <w:r>
              <w:rPr>
                <w:rFonts w:hint="eastAsia" w:ascii="Times New Roman" w:hAnsi="Times New Roman" w:cs="Times New Roman"/>
                <w:sz w:val="24"/>
                <w:szCs w:val="24"/>
                <w:lang w:eastAsia="zh-CN"/>
              </w:rPr>
              <w:t>项目与第六师红旗农场国家二级公益林位置关系见图3</w:t>
            </w:r>
            <w:r>
              <w:rPr>
                <w:rFonts w:ascii="Times New Roman" w:hAnsi="Times New Roman" w:cs="Times New Roman"/>
                <w:sz w:val="24"/>
                <w:szCs w:val="24"/>
                <w:lang w:eastAsia="zh-CN"/>
              </w:rPr>
              <w:t>.6</w:t>
            </w:r>
            <w:r>
              <w:rPr>
                <w:rFonts w:hint="eastAsia" w:ascii="Times New Roman" w:hAnsi="Times New Roman" w:cs="Times New Roman"/>
                <w:sz w:val="24"/>
                <w:szCs w:val="24"/>
                <w:lang w:eastAsia="zh-CN"/>
              </w:rPr>
              <w:t>。</w:t>
            </w:r>
          </w:p>
          <w:p w14:paraId="7DFA44C1">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drawing>
                <wp:inline distT="0" distB="0" distL="0" distR="0">
                  <wp:extent cx="5509260" cy="6410325"/>
                  <wp:effectExtent l="19050" t="1905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19866" cy="6422368"/>
                          </a:xfrm>
                          <a:prstGeom prst="rect">
                            <a:avLst/>
                          </a:prstGeom>
                          <a:noFill/>
                          <a:ln w="6350">
                            <a:solidFill>
                              <a:schemeClr val="tx1"/>
                            </a:solidFill>
                          </a:ln>
                        </pic:spPr>
                      </pic:pic>
                    </a:graphicData>
                  </a:graphic>
                </wp:inline>
              </w:drawing>
            </w:r>
          </w:p>
          <w:p w14:paraId="678AEFC9">
            <w:pPr>
              <w:jc w:val="center"/>
              <w:rPr>
                <w:rFonts w:ascii="Times New Roman" w:hAnsi="Times New Roman" w:cs="Times New Roman"/>
                <w:b/>
                <w:spacing w:val="4"/>
                <w:sz w:val="21"/>
                <w:szCs w:val="21"/>
                <w:lang w:eastAsia="zh-CN"/>
              </w:rPr>
            </w:pPr>
            <w:r>
              <w:rPr>
                <w:rFonts w:hint="eastAsia" w:ascii="Times New Roman" w:hAnsi="Times New Roman" w:cs="Times New Roman"/>
                <w:b/>
                <w:spacing w:val="4"/>
                <w:sz w:val="21"/>
                <w:szCs w:val="21"/>
                <w:lang w:eastAsia="zh-CN"/>
              </w:rPr>
              <w:t>图3</w:t>
            </w:r>
            <w:r>
              <w:rPr>
                <w:rFonts w:ascii="Times New Roman" w:hAnsi="Times New Roman" w:cs="Times New Roman"/>
                <w:b/>
                <w:spacing w:val="4"/>
                <w:sz w:val="21"/>
                <w:szCs w:val="21"/>
                <w:lang w:eastAsia="zh-CN"/>
              </w:rPr>
              <w:t xml:space="preserve">.6  </w:t>
            </w:r>
            <w:r>
              <w:rPr>
                <w:rFonts w:hint="eastAsia" w:ascii="Times New Roman" w:hAnsi="Times New Roman" w:cs="Times New Roman"/>
                <w:b/>
                <w:spacing w:val="4"/>
                <w:sz w:val="21"/>
                <w:szCs w:val="21"/>
                <w:lang w:eastAsia="zh-CN"/>
              </w:rPr>
              <w:t>项目</w:t>
            </w:r>
            <w:r>
              <w:rPr>
                <w:rFonts w:ascii="Times New Roman" w:hAnsi="Times New Roman" w:cs="Times New Roman"/>
                <w:b/>
                <w:spacing w:val="4"/>
                <w:sz w:val="21"/>
                <w:szCs w:val="21"/>
                <w:lang w:eastAsia="zh-CN"/>
              </w:rPr>
              <w:t>与</w:t>
            </w:r>
            <w:r>
              <w:rPr>
                <w:rFonts w:hint="eastAsia" w:ascii="Times New Roman" w:hAnsi="Times New Roman" w:cs="Times New Roman"/>
                <w:b/>
                <w:spacing w:val="4"/>
                <w:sz w:val="21"/>
                <w:szCs w:val="21"/>
                <w:lang w:eastAsia="zh-CN"/>
              </w:rPr>
              <w:t>第六师</w:t>
            </w:r>
            <w:r>
              <w:rPr>
                <w:rFonts w:ascii="Times New Roman" w:hAnsi="Times New Roman" w:cs="Times New Roman"/>
                <w:b/>
                <w:spacing w:val="4"/>
                <w:sz w:val="21"/>
                <w:szCs w:val="21"/>
                <w:lang w:eastAsia="zh-CN"/>
              </w:rPr>
              <w:t>红旗农场国家</w:t>
            </w:r>
            <w:r>
              <w:rPr>
                <w:rFonts w:hint="eastAsia" w:ascii="Times New Roman" w:hAnsi="Times New Roman" w:cs="Times New Roman"/>
                <w:b/>
                <w:spacing w:val="4"/>
                <w:sz w:val="21"/>
                <w:szCs w:val="21"/>
                <w:lang w:eastAsia="zh-CN"/>
              </w:rPr>
              <w:t>二级</w:t>
            </w:r>
            <w:r>
              <w:rPr>
                <w:rFonts w:ascii="Times New Roman" w:hAnsi="Times New Roman" w:cs="Times New Roman"/>
                <w:b/>
                <w:spacing w:val="4"/>
                <w:sz w:val="21"/>
                <w:szCs w:val="21"/>
                <w:lang w:eastAsia="zh-CN"/>
              </w:rPr>
              <w:t>公益林</w:t>
            </w:r>
            <w:r>
              <w:rPr>
                <w:rFonts w:hint="eastAsia" w:ascii="Times New Roman" w:hAnsi="Times New Roman" w:cs="Times New Roman"/>
                <w:b/>
                <w:spacing w:val="4"/>
                <w:sz w:val="21"/>
                <w:szCs w:val="21"/>
                <w:lang w:eastAsia="zh-CN"/>
              </w:rPr>
              <w:t>位置</w:t>
            </w:r>
            <w:r>
              <w:rPr>
                <w:rFonts w:ascii="Times New Roman" w:hAnsi="Times New Roman" w:cs="Times New Roman"/>
                <w:b/>
                <w:spacing w:val="4"/>
                <w:sz w:val="21"/>
                <w:szCs w:val="21"/>
                <w:lang w:eastAsia="zh-CN"/>
              </w:rPr>
              <w:t>关系图</w:t>
            </w:r>
          </w:p>
          <w:p w14:paraId="6A385FD1">
            <w:pPr>
              <w:spacing w:line="360" w:lineRule="auto"/>
              <w:rPr>
                <w:rFonts w:ascii="Times New Roman" w:hAnsi="Times New Roman" w:cs="Times New Roman"/>
                <w:spacing w:val="4"/>
                <w:sz w:val="24"/>
                <w:szCs w:val="24"/>
                <w:lang w:eastAsia="zh-CN"/>
              </w:rPr>
            </w:pPr>
          </w:p>
          <w:p w14:paraId="2A6FE269">
            <w:pPr>
              <w:spacing w:line="360" w:lineRule="auto"/>
              <w:rPr>
                <w:rFonts w:ascii="Times New Roman" w:hAnsi="Times New Roman" w:cs="Times New Roman"/>
                <w:spacing w:val="4"/>
                <w:sz w:val="24"/>
                <w:szCs w:val="24"/>
                <w:lang w:eastAsia="zh-CN"/>
              </w:rPr>
            </w:pPr>
          </w:p>
        </w:tc>
      </w:tr>
      <w:tr w14:paraId="599B3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92" w:hRule="atLeast"/>
        </w:trPr>
        <w:tc>
          <w:tcPr>
            <w:tcW w:w="400" w:type="pct"/>
            <w:tcBorders>
              <w:top w:val="single" w:color="000000" w:sz="4" w:space="0"/>
              <w:bottom w:val="single" w:color="000000" w:sz="4" w:space="0"/>
              <w:right w:val="single" w:color="000000" w:sz="4" w:space="0"/>
            </w:tcBorders>
            <w:vAlign w:val="center"/>
          </w:tcPr>
          <w:p w14:paraId="3B2EB630">
            <w:pPr>
              <w:spacing w:line="272" w:lineRule="exact"/>
              <w:ind w:right="48"/>
              <w:jc w:val="center"/>
              <w:rPr>
                <w:rFonts w:ascii="Times New Roman" w:hAnsi="Times New Roman" w:cs="Times New Roman"/>
                <w:b/>
                <w:sz w:val="24"/>
                <w:szCs w:val="24"/>
              </w:rPr>
            </w:pPr>
            <w:r>
              <w:rPr>
                <w:rFonts w:ascii="Times New Roman" w:hAnsi="Times New Roman" w:cs="Times New Roman"/>
                <w:b/>
                <w:sz w:val="24"/>
                <w:szCs w:val="24"/>
              </w:rPr>
              <w:t>评价标准</w:t>
            </w:r>
          </w:p>
        </w:tc>
        <w:tc>
          <w:tcPr>
            <w:tcW w:w="4577" w:type="pct"/>
            <w:tcBorders>
              <w:top w:val="single" w:color="000000" w:sz="4" w:space="0"/>
              <w:left w:val="single" w:color="000000" w:sz="4" w:space="0"/>
              <w:bottom w:val="single" w:color="000000" w:sz="4" w:space="0"/>
            </w:tcBorders>
          </w:tcPr>
          <w:p w14:paraId="0A10198C">
            <w:pPr>
              <w:spacing w:before="120" w:beforeLines="50" w:line="360" w:lineRule="auto"/>
              <w:jc w:val="both"/>
              <w:rPr>
                <w:rFonts w:ascii="Times New Roman" w:hAnsi="Times New Roman" w:cs="Times New Roman"/>
                <w:b/>
                <w:bCs/>
                <w:spacing w:val="4"/>
                <w:sz w:val="28"/>
                <w:szCs w:val="28"/>
                <w:lang w:eastAsia="zh-CN"/>
              </w:rPr>
            </w:pPr>
            <w:r>
              <w:rPr>
                <w:rFonts w:ascii="Times New Roman" w:hAnsi="Times New Roman" w:cs="Times New Roman"/>
                <w:b/>
                <w:bCs/>
                <w:spacing w:val="4"/>
                <w:sz w:val="28"/>
                <w:szCs w:val="28"/>
                <w:lang w:eastAsia="zh-CN"/>
              </w:rPr>
              <w:t>6、评价适用标准</w:t>
            </w:r>
          </w:p>
          <w:p w14:paraId="26B0B5A0">
            <w:pPr>
              <w:spacing w:line="360" w:lineRule="auto"/>
              <w:ind w:firstLine="498" w:firstLineChars="200"/>
              <w:jc w:val="both"/>
              <w:rPr>
                <w:rFonts w:ascii="Times New Roman" w:hAnsi="Times New Roman" w:cs="Times New Roman"/>
                <w:b/>
                <w:bCs/>
                <w:spacing w:val="4"/>
                <w:sz w:val="24"/>
                <w:szCs w:val="24"/>
                <w:lang w:eastAsia="zh-CN"/>
              </w:rPr>
            </w:pPr>
            <w:r>
              <w:rPr>
                <w:rFonts w:ascii="Times New Roman" w:hAnsi="Times New Roman" w:cs="Times New Roman"/>
                <w:b/>
                <w:bCs/>
                <w:spacing w:val="4"/>
                <w:sz w:val="24"/>
                <w:szCs w:val="24"/>
                <w:lang w:eastAsia="zh-CN"/>
              </w:rPr>
              <w:t>（1）环境质量标准</w:t>
            </w:r>
          </w:p>
          <w:p w14:paraId="64348394">
            <w:pPr>
              <w:spacing w:line="360" w:lineRule="auto"/>
              <w:ind w:firstLine="496" w:firstLineChars="200"/>
              <w:rPr>
                <w:rFonts w:ascii="Times New Roman" w:hAnsi="Times New Roman" w:cs="Times New Roman"/>
                <w:spacing w:val="4"/>
                <w:sz w:val="24"/>
                <w:szCs w:val="24"/>
                <w:lang w:eastAsia="zh-CN"/>
              </w:rPr>
            </w:pPr>
            <w:r>
              <w:rPr>
                <w:rFonts w:hint="eastAsia" w:ascii="Times New Roman" w:hAnsi="Times New Roman" w:cs="Times New Roman"/>
                <w:spacing w:val="4"/>
                <w:sz w:val="24"/>
                <w:szCs w:val="24"/>
                <w:lang w:eastAsia="zh-CN"/>
              </w:rPr>
              <w:t>①</w:t>
            </w:r>
            <w:r>
              <w:rPr>
                <w:rFonts w:ascii="Times New Roman" w:hAnsi="Times New Roman" w:cs="Times New Roman"/>
                <w:spacing w:val="4"/>
                <w:sz w:val="24"/>
                <w:szCs w:val="24"/>
                <w:lang w:eastAsia="zh-CN"/>
              </w:rPr>
              <w:t>环境</w:t>
            </w:r>
            <w:r>
              <w:rPr>
                <w:rFonts w:hint="eastAsia" w:ascii="Times New Roman" w:hAnsi="Times New Roman" w:cs="Times New Roman"/>
                <w:spacing w:val="4"/>
                <w:sz w:val="24"/>
                <w:szCs w:val="24"/>
                <w:lang w:eastAsia="zh-CN"/>
              </w:rPr>
              <w:t>空气</w:t>
            </w:r>
            <w:r>
              <w:rPr>
                <w:rFonts w:ascii="Times New Roman" w:hAnsi="Times New Roman" w:cs="Times New Roman"/>
                <w:spacing w:val="4"/>
                <w:sz w:val="24"/>
                <w:szCs w:val="24"/>
                <w:lang w:eastAsia="zh-CN"/>
              </w:rPr>
              <w:t>质量标准</w:t>
            </w:r>
          </w:p>
          <w:p w14:paraId="4DA8B768">
            <w:pPr>
              <w:spacing w:line="360" w:lineRule="auto"/>
              <w:ind w:firstLine="496" w:firstLineChars="200"/>
              <w:jc w:val="both"/>
              <w:rPr>
                <w:rFonts w:ascii="Times New Roman" w:hAnsi="Times New Roman" w:cs="Times New Roman"/>
                <w:spacing w:val="4"/>
                <w:sz w:val="24"/>
                <w:szCs w:val="24"/>
                <w:lang w:eastAsia="zh-CN"/>
              </w:rPr>
            </w:pPr>
            <w:r>
              <w:rPr>
                <w:rFonts w:ascii="Times New Roman" w:hAnsi="Times New Roman" w:cs="Times New Roman"/>
                <w:spacing w:val="4"/>
                <w:sz w:val="24"/>
                <w:szCs w:val="24"/>
                <w:lang w:eastAsia="zh-CN"/>
              </w:rPr>
              <w:t>项目所在区域属于二类环境空气功能区，项目区域环境空气质量执行《环境空气质量标准》（GB 3095-2012）的二级标准</w:t>
            </w:r>
            <w:r>
              <w:rPr>
                <w:rFonts w:hint="eastAsia" w:ascii="Times New Roman" w:hAnsi="Times New Roman" w:cs="Times New Roman"/>
                <w:spacing w:val="4"/>
                <w:sz w:val="24"/>
                <w:szCs w:val="24"/>
                <w:lang w:eastAsia="zh-CN"/>
              </w:rPr>
              <w:t>。</w:t>
            </w:r>
            <w:r>
              <w:rPr>
                <w:rFonts w:ascii="Times New Roman" w:hAnsi="Times New Roman" w:cs="Times New Roman"/>
                <w:spacing w:val="4"/>
                <w:sz w:val="24"/>
                <w:szCs w:val="24"/>
                <w:lang w:eastAsia="zh-CN"/>
              </w:rPr>
              <w:t>详见表3.11。</w:t>
            </w:r>
          </w:p>
          <w:p w14:paraId="5C90E72C">
            <w:pPr>
              <w:jc w:val="center"/>
              <w:rPr>
                <w:rFonts w:ascii="Times New Roman" w:hAnsi="Times New Roman" w:cs="Times New Roman"/>
                <w:spacing w:val="4"/>
                <w:sz w:val="24"/>
                <w:szCs w:val="24"/>
                <w:lang w:eastAsia="zh-CN"/>
              </w:rPr>
            </w:pPr>
            <w:r>
              <w:rPr>
                <w:rFonts w:ascii="Times New Roman" w:hAnsi="Times New Roman" w:cs="Times New Roman"/>
                <w:b/>
                <w:bCs/>
                <w:szCs w:val="21"/>
                <w:lang w:eastAsia="zh-CN"/>
              </w:rPr>
              <w:t>表3.11  环境空气质量标准限值</w:t>
            </w:r>
          </w:p>
          <w:tbl>
            <w:tblPr>
              <w:tblStyle w:val="11"/>
              <w:tblW w:w="870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9"/>
              <w:gridCol w:w="1985"/>
              <w:gridCol w:w="1847"/>
              <w:gridCol w:w="1956"/>
              <w:gridCol w:w="2011"/>
            </w:tblGrid>
            <w:tr w14:paraId="6F7B9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Align w:val="center"/>
                </w:tcPr>
                <w:p w14:paraId="3E016D62">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序号</w:t>
                  </w:r>
                </w:p>
              </w:tc>
              <w:tc>
                <w:tcPr>
                  <w:tcW w:w="1985" w:type="dxa"/>
                  <w:vAlign w:val="center"/>
                </w:tcPr>
                <w:p w14:paraId="57CE1FBE">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污染物项目</w:t>
                  </w:r>
                </w:p>
              </w:tc>
              <w:tc>
                <w:tcPr>
                  <w:tcW w:w="1847" w:type="dxa"/>
                  <w:vAlign w:val="center"/>
                </w:tcPr>
                <w:p w14:paraId="19A49F62">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平均时间</w:t>
                  </w:r>
                </w:p>
              </w:tc>
              <w:tc>
                <w:tcPr>
                  <w:tcW w:w="1956" w:type="dxa"/>
                  <w:vAlign w:val="center"/>
                </w:tcPr>
                <w:p w14:paraId="5B832088">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二级浓度限值</w:t>
                  </w:r>
                </w:p>
              </w:tc>
              <w:tc>
                <w:tcPr>
                  <w:tcW w:w="2011" w:type="dxa"/>
                  <w:vAlign w:val="center"/>
                </w:tcPr>
                <w:p w14:paraId="5083E882">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单位</w:t>
                  </w:r>
                </w:p>
              </w:tc>
            </w:tr>
            <w:tr w14:paraId="5253E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restart"/>
                  <w:vAlign w:val="center"/>
                </w:tcPr>
                <w:p w14:paraId="73E96AFC">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1985" w:type="dxa"/>
                  <w:vMerge w:val="restart"/>
                  <w:vAlign w:val="center"/>
                </w:tcPr>
                <w:p w14:paraId="5CBA2FDE">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二氧化硫（SO</w:t>
                  </w:r>
                  <w:r>
                    <w:rPr>
                      <w:rFonts w:ascii="Times New Roman" w:hAnsi="Times New Roman" w:cs="Times New Roman"/>
                      <w:sz w:val="28"/>
                      <w:szCs w:val="28"/>
                      <w:vertAlign w:val="subscript"/>
                      <w:lang w:eastAsia="zh-CN"/>
                    </w:rPr>
                    <w:t>2</w:t>
                  </w:r>
                  <w:r>
                    <w:rPr>
                      <w:rFonts w:ascii="Times New Roman" w:hAnsi="Times New Roman" w:cs="Times New Roman"/>
                      <w:sz w:val="21"/>
                      <w:szCs w:val="21"/>
                      <w:lang w:eastAsia="zh-CN"/>
                    </w:rPr>
                    <w:t>）</w:t>
                  </w:r>
                </w:p>
              </w:tc>
              <w:tc>
                <w:tcPr>
                  <w:tcW w:w="1847" w:type="dxa"/>
                  <w:vAlign w:val="center"/>
                </w:tcPr>
                <w:p w14:paraId="6DCB4E42">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年平均</w:t>
                  </w:r>
                </w:p>
              </w:tc>
              <w:tc>
                <w:tcPr>
                  <w:tcW w:w="1956" w:type="dxa"/>
                  <w:vAlign w:val="center"/>
                </w:tcPr>
                <w:p w14:paraId="2B86286C">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60</w:t>
                  </w:r>
                </w:p>
              </w:tc>
              <w:tc>
                <w:tcPr>
                  <w:tcW w:w="2011" w:type="dxa"/>
                  <w:vMerge w:val="restart"/>
                  <w:vAlign w:val="center"/>
                </w:tcPr>
                <w:p w14:paraId="54C9872F">
                  <w:pPr>
                    <w:jc w:val="center"/>
                    <w:rPr>
                      <w:rFonts w:ascii="Times New Roman" w:hAnsi="Times New Roman" w:cs="Times New Roman"/>
                      <w:sz w:val="21"/>
                      <w:szCs w:val="21"/>
                      <w:lang w:eastAsia="zh-CN"/>
                    </w:rPr>
                  </w:pPr>
                  <w:r>
                    <w:rPr>
                      <w:rFonts w:ascii="Times New Roman" w:hAnsi="Times New Roman" w:cs="Times New Roman"/>
                      <w:kern w:val="2"/>
                      <w:sz w:val="21"/>
                      <w:szCs w:val="21"/>
                      <w:lang w:eastAsia="zh-CN"/>
                    </w:rPr>
                    <w:t>μg/m</w:t>
                  </w:r>
                  <w:r>
                    <w:rPr>
                      <w:rFonts w:ascii="Times New Roman" w:hAnsi="Times New Roman" w:cs="Times New Roman"/>
                      <w:kern w:val="2"/>
                      <w:sz w:val="21"/>
                      <w:szCs w:val="21"/>
                      <w:vertAlign w:val="superscript"/>
                      <w:lang w:eastAsia="zh-CN"/>
                    </w:rPr>
                    <w:t>3</w:t>
                  </w:r>
                </w:p>
              </w:tc>
            </w:tr>
            <w:tr w14:paraId="62AE8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continue"/>
                  <w:vAlign w:val="center"/>
                </w:tcPr>
                <w:p w14:paraId="7810E239">
                  <w:pPr>
                    <w:jc w:val="center"/>
                    <w:rPr>
                      <w:rFonts w:ascii="Times New Roman" w:hAnsi="Times New Roman" w:cs="Times New Roman"/>
                      <w:sz w:val="21"/>
                      <w:szCs w:val="21"/>
                      <w:lang w:eastAsia="zh-CN"/>
                    </w:rPr>
                  </w:pPr>
                </w:p>
              </w:tc>
              <w:tc>
                <w:tcPr>
                  <w:tcW w:w="1985" w:type="dxa"/>
                  <w:vMerge w:val="continue"/>
                  <w:vAlign w:val="center"/>
                </w:tcPr>
                <w:p w14:paraId="3AC38E35">
                  <w:pPr>
                    <w:jc w:val="center"/>
                    <w:rPr>
                      <w:rFonts w:ascii="Times New Roman" w:hAnsi="Times New Roman" w:cs="Times New Roman"/>
                      <w:sz w:val="21"/>
                      <w:szCs w:val="21"/>
                      <w:lang w:eastAsia="zh-CN"/>
                    </w:rPr>
                  </w:pPr>
                </w:p>
              </w:tc>
              <w:tc>
                <w:tcPr>
                  <w:tcW w:w="1847" w:type="dxa"/>
                  <w:vAlign w:val="center"/>
                </w:tcPr>
                <w:p w14:paraId="7B335780">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24小时平均</w:t>
                  </w:r>
                </w:p>
              </w:tc>
              <w:tc>
                <w:tcPr>
                  <w:tcW w:w="1956" w:type="dxa"/>
                  <w:vAlign w:val="center"/>
                </w:tcPr>
                <w:p w14:paraId="7BB0B7F1">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150</w:t>
                  </w:r>
                </w:p>
              </w:tc>
              <w:tc>
                <w:tcPr>
                  <w:tcW w:w="2011" w:type="dxa"/>
                  <w:vMerge w:val="continue"/>
                  <w:vAlign w:val="center"/>
                </w:tcPr>
                <w:p w14:paraId="458D8EDD">
                  <w:pPr>
                    <w:jc w:val="center"/>
                    <w:rPr>
                      <w:rFonts w:ascii="Times New Roman" w:hAnsi="Times New Roman" w:cs="Times New Roman"/>
                      <w:sz w:val="21"/>
                      <w:szCs w:val="21"/>
                      <w:lang w:eastAsia="zh-CN"/>
                    </w:rPr>
                  </w:pPr>
                </w:p>
              </w:tc>
            </w:tr>
            <w:tr w14:paraId="5130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continue"/>
                  <w:vAlign w:val="center"/>
                </w:tcPr>
                <w:p w14:paraId="5C7B3FB6">
                  <w:pPr>
                    <w:jc w:val="center"/>
                    <w:rPr>
                      <w:rFonts w:ascii="Times New Roman" w:hAnsi="Times New Roman" w:cs="Times New Roman"/>
                      <w:sz w:val="21"/>
                      <w:szCs w:val="21"/>
                      <w:lang w:eastAsia="zh-CN"/>
                    </w:rPr>
                  </w:pPr>
                </w:p>
              </w:tc>
              <w:tc>
                <w:tcPr>
                  <w:tcW w:w="1985" w:type="dxa"/>
                  <w:vMerge w:val="continue"/>
                  <w:vAlign w:val="center"/>
                </w:tcPr>
                <w:p w14:paraId="7F480E7E">
                  <w:pPr>
                    <w:jc w:val="center"/>
                    <w:rPr>
                      <w:rFonts w:ascii="Times New Roman" w:hAnsi="Times New Roman" w:cs="Times New Roman"/>
                      <w:sz w:val="21"/>
                      <w:szCs w:val="21"/>
                      <w:lang w:eastAsia="zh-CN"/>
                    </w:rPr>
                  </w:pPr>
                </w:p>
              </w:tc>
              <w:tc>
                <w:tcPr>
                  <w:tcW w:w="1847" w:type="dxa"/>
                  <w:vAlign w:val="center"/>
                </w:tcPr>
                <w:p w14:paraId="0A60EEC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1小时平均</w:t>
                  </w:r>
                </w:p>
              </w:tc>
              <w:tc>
                <w:tcPr>
                  <w:tcW w:w="1956" w:type="dxa"/>
                  <w:vAlign w:val="center"/>
                </w:tcPr>
                <w:p w14:paraId="43B4736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500</w:t>
                  </w:r>
                </w:p>
              </w:tc>
              <w:tc>
                <w:tcPr>
                  <w:tcW w:w="2011" w:type="dxa"/>
                  <w:vMerge w:val="continue"/>
                  <w:vAlign w:val="center"/>
                </w:tcPr>
                <w:p w14:paraId="7CBBF19C">
                  <w:pPr>
                    <w:jc w:val="center"/>
                    <w:rPr>
                      <w:rFonts w:ascii="Times New Roman" w:hAnsi="Times New Roman" w:cs="Times New Roman"/>
                      <w:sz w:val="21"/>
                      <w:szCs w:val="21"/>
                      <w:lang w:eastAsia="zh-CN"/>
                    </w:rPr>
                  </w:pPr>
                </w:p>
              </w:tc>
            </w:tr>
            <w:tr w14:paraId="1C034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restart"/>
                  <w:vAlign w:val="center"/>
                </w:tcPr>
                <w:p w14:paraId="5A3CDD7D">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p>
              </w:tc>
              <w:tc>
                <w:tcPr>
                  <w:tcW w:w="1985" w:type="dxa"/>
                  <w:vMerge w:val="restart"/>
                  <w:vAlign w:val="center"/>
                </w:tcPr>
                <w:p w14:paraId="6C09D9D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二氧化氮（NO</w:t>
                  </w:r>
                  <w:r>
                    <w:rPr>
                      <w:rFonts w:ascii="Times New Roman" w:hAnsi="Times New Roman" w:cs="Times New Roman"/>
                      <w:sz w:val="28"/>
                      <w:szCs w:val="28"/>
                      <w:vertAlign w:val="subscript"/>
                      <w:lang w:eastAsia="zh-CN"/>
                    </w:rPr>
                    <w:t>2</w:t>
                  </w:r>
                  <w:r>
                    <w:rPr>
                      <w:rFonts w:ascii="Times New Roman" w:hAnsi="Times New Roman" w:cs="Times New Roman"/>
                      <w:sz w:val="21"/>
                      <w:szCs w:val="21"/>
                      <w:lang w:eastAsia="zh-CN"/>
                    </w:rPr>
                    <w:t>）</w:t>
                  </w:r>
                </w:p>
              </w:tc>
              <w:tc>
                <w:tcPr>
                  <w:tcW w:w="1847" w:type="dxa"/>
                  <w:vAlign w:val="center"/>
                </w:tcPr>
                <w:p w14:paraId="50F6768D">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年平均</w:t>
                  </w:r>
                </w:p>
              </w:tc>
              <w:tc>
                <w:tcPr>
                  <w:tcW w:w="1956" w:type="dxa"/>
                  <w:vAlign w:val="center"/>
                </w:tcPr>
                <w:p w14:paraId="1A2EE5A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40</w:t>
                  </w:r>
                </w:p>
              </w:tc>
              <w:tc>
                <w:tcPr>
                  <w:tcW w:w="2011" w:type="dxa"/>
                  <w:vMerge w:val="continue"/>
                  <w:vAlign w:val="center"/>
                </w:tcPr>
                <w:p w14:paraId="142CF6C3">
                  <w:pPr>
                    <w:jc w:val="center"/>
                    <w:rPr>
                      <w:rFonts w:ascii="Times New Roman" w:hAnsi="Times New Roman" w:cs="Times New Roman"/>
                      <w:sz w:val="21"/>
                      <w:szCs w:val="21"/>
                      <w:lang w:eastAsia="zh-CN"/>
                    </w:rPr>
                  </w:pPr>
                </w:p>
              </w:tc>
            </w:tr>
            <w:tr w14:paraId="502D9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continue"/>
                  <w:vAlign w:val="center"/>
                </w:tcPr>
                <w:p w14:paraId="44F09AFA">
                  <w:pPr>
                    <w:jc w:val="center"/>
                    <w:rPr>
                      <w:rFonts w:ascii="Times New Roman" w:hAnsi="Times New Roman" w:cs="Times New Roman"/>
                      <w:sz w:val="21"/>
                      <w:szCs w:val="21"/>
                      <w:lang w:eastAsia="zh-CN"/>
                    </w:rPr>
                  </w:pPr>
                </w:p>
              </w:tc>
              <w:tc>
                <w:tcPr>
                  <w:tcW w:w="1985" w:type="dxa"/>
                  <w:vMerge w:val="continue"/>
                  <w:vAlign w:val="center"/>
                </w:tcPr>
                <w:p w14:paraId="5D764AC0">
                  <w:pPr>
                    <w:jc w:val="center"/>
                    <w:rPr>
                      <w:rFonts w:ascii="Times New Roman" w:hAnsi="Times New Roman" w:cs="Times New Roman"/>
                      <w:sz w:val="21"/>
                      <w:szCs w:val="21"/>
                      <w:lang w:eastAsia="zh-CN"/>
                    </w:rPr>
                  </w:pPr>
                </w:p>
              </w:tc>
              <w:tc>
                <w:tcPr>
                  <w:tcW w:w="1847" w:type="dxa"/>
                  <w:vAlign w:val="center"/>
                </w:tcPr>
                <w:p w14:paraId="1E1E911A">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24小时平均</w:t>
                  </w:r>
                </w:p>
              </w:tc>
              <w:tc>
                <w:tcPr>
                  <w:tcW w:w="1956" w:type="dxa"/>
                  <w:vAlign w:val="center"/>
                </w:tcPr>
                <w:p w14:paraId="15B154C2">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80</w:t>
                  </w:r>
                </w:p>
              </w:tc>
              <w:tc>
                <w:tcPr>
                  <w:tcW w:w="2011" w:type="dxa"/>
                  <w:vMerge w:val="continue"/>
                  <w:vAlign w:val="center"/>
                </w:tcPr>
                <w:p w14:paraId="4F0D66CD">
                  <w:pPr>
                    <w:jc w:val="center"/>
                    <w:rPr>
                      <w:rFonts w:ascii="Times New Roman" w:hAnsi="Times New Roman" w:cs="Times New Roman"/>
                      <w:sz w:val="21"/>
                      <w:szCs w:val="21"/>
                      <w:lang w:eastAsia="zh-CN"/>
                    </w:rPr>
                  </w:pPr>
                </w:p>
              </w:tc>
            </w:tr>
            <w:tr w14:paraId="63B8E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continue"/>
                  <w:vAlign w:val="center"/>
                </w:tcPr>
                <w:p w14:paraId="7FCE015B">
                  <w:pPr>
                    <w:jc w:val="center"/>
                    <w:rPr>
                      <w:rFonts w:ascii="Times New Roman" w:hAnsi="Times New Roman" w:cs="Times New Roman"/>
                      <w:sz w:val="21"/>
                      <w:szCs w:val="21"/>
                      <w:lang w:eastAsia="zh-CN"/>
                    </w:rPr>
                  </w:pPr>
                </w:p>
              </w:tc>
              <w:tc>
                <w:tcPr>
                  <w:tcW w:w="1985" w:type="dxa"/>
                  <w:vMerge w:val="continue"/>
                  <w:vAlign w:val="center"/>
                </w:tcPr>
                <w:p w14:paraId="1D16EB6F">
                  <w:pPr>
                    <w:jc w:val="center"/>
                    <w:rPr>
                      <w:rFonts w:ascii="Times New Roman" w:hAnsi="Times New Roman" w:cs="Times New Roman"/>
                      <w:sz w:val="21"/>
                      <w:szCs w:val="21"/>
                      <w:lang w:eastAsia="zh-CN"/>
                    </w:rPr>
                  </w:pPr>
                </w:p>
              </w:tc>
              <w:tc>
                <w:tcPr>
                  <w:tcW w:w="1847" w:type="dxa"/>
                  <w:vAlign w:val="center"/>
                </w:tcPr>
                <w:p w14:paraId="1352C00B">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1小时平均</w:t>
                  </w:r>
                </w:p>
              </w:tc>
              <w:tc>
                <w:tcPr>
                  <w:tcW w:w="1956" w:type="dxa"/>
                  <w:vAlign w:val="center"/>
                </w:tcPr>
                <w:p w14:paraId="689E1ABE">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200</w:t>
                  </w:r>
                </w:p>
              </w:tc>
              <w:tc>
                <w:tcPr>
                  <w:tcW w:w="2011" w:type="dxa"/>
                  <w:vMerge w:val="continue"/>
                  <w:vAlign w:val="center"/>
                </w:tcPr>
                <w:p w14:paraId="1474E66F">
                  <w:pPr>
                    <w:jc w:val="center"/>
                    <w:rPr>
                      <w:rFonts w:ascii="Times New Roman" w:hAnsi="Times New Roman" w:cs="Times New Roman"/>
                      <w:sz w:val="21"/>
                      <w:szCs w:val="21"/>
                      <w:lang w:eastAsia="zh-CN"/>
                    </w:rPr>
                  </w:pPr>
                </w:p>
              </w:tc>
            </w:tr>
            <w:tr w14:paraId="3F332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restart"/>
                  <w:vAlign w:val="center"/>
                </w:tcPr>
                <w:p w14:paraId="47F6966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p>
              </w:tc>
              <w:tc>
                <w:tcPr>
                  <w:tcW w:w="1985" w:type="dxa"/>
                  <w:vMerge w:val="restart"/>
                  <w:vAlign w:val="center"/>
                </w:tcPr>
                <w:p w14:paraId="59F516C1">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一氧化碳（CO）</w:t>
                  </w:r>
                </w:p>
              </w:tc>
              <w:tc>
                <w:tcPr>
                  <w:tcW w:w="1847" w:type="dxa"/>
                  <w:vAlign w:val="center"/>
                </w:tcPr>
                <w:p w14:paraId="2A76D76F">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24小时平均</w:t>
                  </w:r>
                </w:p>
              </w:tc>
              <w:tc>
                <w:tcPr>
                  <w:tcW w:w="1956" w:type="dxa"/>
                  <w:vAlign w:val="center"/>
                </w:tcPr>
                <w:p w14:paraId="2C3397B0">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p>
              </w:tc>
              <w:tc>
                <w:tcPr>
                  <w:tcW w:w="2011" w:type="dxa"/>
                  <w:vMerge w:val="restart"/>
                  <w:vAlign w:val="center"/>
                </w:tcPr>
                <w:p w14:paraId="524F1706">
                  <w:pPr>
                    <w:jc w:val="center"/>
                    <w:rPr>
                      <w:rFonts w:ascii="Times New Roman" w:hAnsi="Times New Roman" w:cs="Times New Roman"/>
                      <w:sz w:val="21"/>
                      <w:szCs w:val="21"/>
                      <w:lang w:eastAsia="zh-CN"/>
                    </w:rPr>
                  </w:pPr>
                  <w:r>
                    <w:rPr>
                      <w:rFonts w:ascii="Times New Roman" w:hAnsi="Times New Roman" w:cs="Times New Roman"/>
                      <w:kern w:val="2"/>
                      <w:sz w:val="21"/>
                      <w:szCs w:val="21"/>
                      <w:lang w:eastAsia="zh-CN"/>
                    </w:rPr>
                    <w:t>mg/m</w:t>
                  </w:r>
                  <w:r>
                    <w:rPr>
                      <w:rFonts w:ascii="Times New Roman" w:hAnsi="Times New Roman" w:cs="Times New Roman"/>
                      <w:kern w:val="2"/>
                      <w:sz w:val="21"/>
                      <w:szCs w:val="21"/>
                      <w:vertAlign w:val="superscript"/>
                      <w:lang w:eastAsia="zh-CN"/>
                    </w:rPr>
                    <w:t>3</w:t>
                  </w:r>
                </w:p>
              </w:tc>
            </w:tr>
            <w:tr w14:paraId="102C8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continue"/>
                  <w:vAlign w:val="center"/>
                </w:tcPr>
                <w:p w14:paraId="27FC30D7">
                  <w:pPr>
                    <w:jc w:val="center"/>
                    <w:rPr>
                      <w:rFonts w:ascii="Times New Roman" w:hAnsi="Times New Roman" w:cs="Times New Roman"/>
                      <w:sz w:val="21"/>
                      <w:szCs w:val="21"/>
                      <w:lang w:eastAsia="zh-CN"/>
                    </w:rPr>
                  </w:pPr>
                </w:p>
              </w:tc>
              <w:tc>
                <w:tcPr>
                  <w:tcW w:w="1985" w:type="dxa"/>
                  <w:vMerge w:val="continue"/>
                  <w:vAlign w:val="center"/>
                </w:tcPr>
                <w:p w14:paraId="10EA8193">
                  <w:pPr>
                    <w:jc w:val="center"/>
                    <w:rPr>
                      <w:rFonts w:ascii="Times New Roman" w:hAnsi="Times New Roman" w:cs="Times New Roman"/>
                      <w:sz w:val="21"/>
                      <w:szCs w:val="21"/>
                      <w:lang w:eastAsia="zh-CN"/>
                    </w:rPr>
                  </w:pPr>
                </w:p>
              </w:tc>
              <w:tc>
                <w:tcPr>
                  <w:tcW w:w="1847" w:type="dxa"/>
                  <w:vAlign w:val="center"/>
                </w:tcPr>
                <w:p w14:paraId="0F79933C">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1小时平均</w:t>
                  </w:r>
                </w:p>
              </w:tc>
              <w:tc>
                <w:tcPr>
                  <w:tcW w:w="1956" w:type="dxa"/>
                  <w:vAlign w:val="center"/>
                </w:tcPr>
                <w:p w14:paraId="46122C6E">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10</w:t>
                  </w:r>
                </w:p>
              </w:tc>
              <w:tc>
                <w:tcPr>
                  <w:tcW w:w="2011" w:type="dxa"/>
                  <w:vMerge w:val="continue"/>
                  <w:vAlign w:val="center"/>
                </w:tcPr>
                <w:p w14:paraId="423F4450">
                  <w:pPr>
                    <w:jc w:val="center"/>
                    <w:rPr>
                      <w:rFonts w:ascii="Times New Roman" w:hAnsi="Times New Roman" w:cs="Times New Roman"/>
                      <w:sz w:val="21"/>
                      <w:szCs w:val="21"/>
                      <w:lang w:eastAsia="zh-CN"/>
                    </w:rPr>
                  </w:pPr>
                </w:p>
              </w:tc>
            </w:tr>
            <w:tr w14:paraId="47DA9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restart"/>
                  <w:vAlign w:val="center"/>
                </w:tcPr>
                <w:p w14:paraId="1860AB8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p>
              </w:tc>
              <w:tc>
                <w:tcPr>
                  <w:tcW w:w="1985" w:type="dxa"/>
                  <w:vMerge w:val="restart"/>
                  <w:vAlign w:val="center"/>
                </w:tcPr>
                <w:p w14:paraId="4FA0981B">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臭氧（O</w:t>
                  </w:r>
                  <w:r>
                    <w:rPr>
                      <w:rFonts w:ascii="Times New Roman" w:hAnsi="Times New Roman" w:cs="Times New Roman"/>
                      <w:sz w:val="28"/>
                      <w:szCs w:val="28"/>
                      <w:vertAlign w:val="subscript"/>
                      <w:lang w:eastAsia="zh-CN"/>
                    </w:rPr>
                    <w:t>3</w:t>
                  </w:r>
                  <w:r>
                    <w:rPr>
                      <w:rFonts w:ascii="Times New Roman" w:hAnsi="Times New Roman" w:cs="Times New Roman"/>
                      <w:sz w:val="21"/>
                      <w:szCs w:val="21"/>
                      <w:lang w:eastAsia="zh-CN"/>
                    </w:rPr>
                    <w:t>）</w:t>
                  </w:r>
                </w:p>
              </w:tc>
              <w:tc>
                <w:tcPr>
                  <w:tcW w:w="1847" w:type="dxa"/>
                  <w:vAlign w:val="center"/>
                </w:tcPr>
                <w:p w14:paraId="5EF823A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日最大8小时平均</w:t>
                  </w:r>
                </w:p>
              </w:tc>
              <w:tc>
                <w:tcPr>
                  <w:tcW w:w="1956" w:type="dxa"/>
                  <w:vAlign w:val="center"/>
                </w:tcPr>
                <w:p w14:paraId="707C30A1">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160</w:t>
                  </w:r>
                </w:p>
              </w:tc>
              <w:tc>
                <w:tcPr>
                  <w:tcW w:w="2011" w:type="dxa"/>
                  <w:vMerge w:val="restart"/>
                  <w:vAlign w:val="center"/>
                </w:tcPr>
                <w:p w14:paraId="67627976">
                  <w:pPr>
                    <w:jc w:val="center"/>
                    <w:rPr>
                      <w:rFonts w:ascii="Times New Roman" w:hAnsi="Times New Roman" w:cs="Times New Roman"/>
                      <w:sz w:val="21"/>
                      <w:szCs w:val="21"/>
                      <w:lang w:eastAsia="zh-CN"/>
                    </w:rPr>
                  </w:pPr>
                  <w:r>
                    <w:rPr>
                      <w:rFonts w:ascii="Times New Roman" w:hAnsi="Times New Roman" w:cs="Times New Roman"/>
                      <w:kern w:val="2"/>
                      <w:sz w:val="21"/>
                      <w:szCs w:val="21"/>
                      <w:lang w:eastAsia="zh-CN"/>
                    </w:rPr>
                    <w:t>μg/m</w:t>
                  </w:r>
                  <w:r>
                    <w:rPr>
                      <w:rFonts w:ascii="Times New Roman" w:hAnsi="Times New Roman" w:cs="Times New Roman"/>
                      <w:kern w:val="2"/>
                      <w:sz w:val="21"/>
                      <w:szCs w:val="21"/>
                      <w:vertAlign w:val="superscript"/>
                      <w:lang w:eastAsia="zh-CN"/>
                    </w:rPr>
                    <w:t>3</w:t>
                  </w:r>
                </w:p>
              </w:tc>
            </w:tr>
            <w:tr w14:paraId="07460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continue"/>
                  <w:vAlign w:val="center"/>
                </w:tcPr>
                <w:p w14:paraId="26D87A9D">
                  <w:pPr>
                    <w:jc w:val="center"/>
                    <w:rPr>
                      <w:rFonts w:ascii="Times New Roman" w:hAnsi="Times New Roman" w:cs="Times New Roman"/>
                      <w:sz w:val="21"/>
                      <w:szCs w:val="21"/>
                      <w:lang w:eastAsia="zh-CN"/>
                    </w:rPr>
                  </w:pPr>
                </w:p>
              </w:tc>
              <w:tc>
                <w:tcPr>
                  <w:tcW w:w="1985" w:type="dxa"/>
                  <w:vMerge w:val="continue"/>
                  <w:vAlign w:val="center"/>
                </w:tcPr>
                <w:p w14:paraId="59E4A217">
                  <w:pPr>
                    <w:jc w:val="center"/>
                    <w:rPr>
                      <w:rFonts w:ascii="Times New Roman" w:hAnsi="Times New Roman" w:cs="Times New Roman"/>
                      <w:sz w:val="21"/>
                      <w:szCs w:val="21"/>
                      <w:lang w:eastAsia="zh-CN"/>
                    </w:rPr>
                  </w:pPr>
                </w:p>
              </w:tc>
              <w:tc>
                <w:tcPr>
                  <w:tcW w:w="1847" w:type="dxa"/>
                  <w:vAlign w:val="center"/>
                </w:tcPr>
                <w:p w14:paraId="332B2A0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1小时平均</w:t>
                  </w:r>
                </w:p>
              </w:tc>
              <w:tc>
                <w:tcPr>
                  <w:tcW w:w="1956" w:type="dxa"/>
                  <w:vAlign w:val="center"/>
                </w:tcPr>
                <w:p w14:paraId="19F7B73E">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200</w:t>
                  </w:r>
                </w:p>
              </w:tc>
              <w:tc>
                <w:tcPr>
                  <w:tcW w:w="2011" w:type="dxa"/>
                  <w:vMerge w:val="continue"/>
                  <w:vAlign w:val="center"/>
                </w:tcPr>
                <w:p w14:paraId="4F3D8C8E">
                  <w:pPr>
                    <w:jc w:val="center"/>
                    <w:rPr>
                      <w:rFonts w:ascii="Times New Roman" w:hAnsi="Times New Roman" w:cs="Times New Roman"/>
                      <w:sz w:val="21"/>
                      <w:szCs w:val="21"/>
                      <w:lang w:eastAsia="zh-CN"/>
                    </w:rPr>
                  </w:pPr>
                </w:p>
              </w:tc>
            </w:tr>
            <w:tr w14:paraId="5B0AF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restart"/>
                  <w:vAlign w:val="center"/>
                </w:tcPr>
                <w:p w14:paraId="2437835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w:t>
                  </w:r>
                </w:p>
              </w:tc>
              <w:tc>
                <w:tcPr>
                  <w:tcW w:w="1985" w:type="dxa"/>
                  <w:vMerge w:val="restart"/>
                  <w:vAlign w:val="center"/>
                </w:tcPr>
                <w:p w14:paraId="00B65D8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PM</w:t>
                  </w:r>
                  <w:r>
                    <w:rPr>
                      <w:rFonts w:ascii="Times New Roman" w:hAnsi="Times New Roman" w:cs="Times New Roman"/>
                      <w:sz w:val="28"/>
                      <w:szCs w:val="28"/>
                      <w:vertAlign w:val="subscript"/>
                      <w:lang w:eastAsia="zh-CN"/>
                    </w:rPr>
                    <w:t>10</w:t>
                  </w:r>
                </w:p>
              </w:tc>
              <w:tc>
                <w:tcPr>
                  <w:tcW w:w="1847" w:type="dxa"/>
                  <w:vAlign w:val="center"/>
                </w:tcPr>
                <w:p w14:paraId="6F2EAB01">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年平均</w:t>
                  </w:r>
                </w:p>
              </w:tc>
              <w:tc>
                <w:tcPr>
                  <w:tcW w:w="1956" w:type="dxa"/>
                  <w:vAlign w:val="center"/>
                </w:tcPr>
                <w:p w14:paraId="6C63309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70</w:t>
                  </w:r>
                </w:p>
              </w:tc>
              <w:tc>
                <w:tcPr>
                  <w:tcW w:w="2011" w:type="dxa"/>
                  <w:vMerge w:val="continue"/>
                  <w:vAlign w:val="center"/>
                </w:tcPr>
                <w:p w14:paraId="344BCD2C">
                  <w:pPr>
                    <w:jc w:val="center"/>
                    <w:rPr>
                      <w:rFonts w:ascii="Times New Roman" w:hAnsi="Times New Roman" w:cs="Times New Roman"/>
                      <w:sz w:val="21"/>
                      <w:szCs w:val="21"/>
                      <w:lang w:eastAsia="zh-CN"/>
                    </w:rPr>
                  </w:pPr>
                </w:p>
              </w:tc>
            </w:tr>
            <w:tr w14:paraId="618BF8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continue"/>
                  <w:vAlign w:val="center"/>
                </w:tcPr>
                <w:p w14:paraId="4E272395">
                  <w:pPr>
                    <w:jc w:val="center"/>
                    <w:rPr>
                      <w:rFonts w:ascii="Times New Roman" w:hAnsi="Times New Roman" w:cs="Times New Roman"/>
                      <w:sz w:val="21"/>
                      <w:szCs w:val="21"/>
                      <w:lang w:eastAsia="zh-CN"/>
                    </w:rPr>
                  </w:pPr>
                </w:p>
              </w:tc>
              <w:tc>
                <w:tcPr>
                  <w:tcW w:w="1985" w:type="dxa"/>
                  <w:vMerge w:val="continue"/>
                  <w:vAlign w:val="center"/>
                </w:tcPr>
                <w:p w14:paraId="4E8CDB14">
                  <w:pPr>
                    <w:jc w:val="center"/>
                    <w:rPr>
                      <w:rFonts w:ascii="Times New Roman" w:hAnsi="Times New Roman" w:cs="Times New Roman"/>
                      <w:sz w:val="21"/>
                      <w:szCs w:val="21"/>
                      <w:lang w:eastAsia="zh-CN"/>
                    </w:rPr>
                  </w:pPr>
                </w:p>
              </w:tc>
              <w:tc>
                <w:tcPr>
                  <w:tcW w:w="1847" w:type="dxa"/>
                  <w:vAlign w:val="center"/>
                </w:tcPr>
                <w:p w14:paraId="0CBD60D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24小时平均</w:t>
                  </w:r>
                </w:p>
              </w:tc>
              <w:tc>
                <w:tcPr>
                  <w:tcW w:w="1956" w:type="dxa"/>
                  <w:vAlign w:val="center"/>
                </w:tcPr>
                <w:p w14:paraId="5838D20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150</w:t>
                  </w:r>
                </w:p>
              </w:tc>
              <w:tc>
                <w:tcPr>
                  <w:tcW w:w="2011" w:type="dxa"/>
                  <w:vMerge w:val="continue"/>
                  <w:vAlign w:val="center"/>
                </w:tcPr>
                <w:p w14:paraId="16DE19AE">
                  <w:pPr>
                    <w:jc w:val="center"/>
                    <w:rPr>
                      <w:rFonts w:ascii="Times New Roman" w:hAnsi="Times New Roman" w:cs="Times New Roman"/>
                      <w:sz w:val="21"/>
                      <w:szCs w:val="21"/>
                      <w:lang w:eastAsia="zh-CN"/>
                    </w:rPr>
                  </w:pPr>
                </w:p>
              </w:tc>
            </w:tr>
            <w:tr w14:paraId="568AB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restart"/>
                  <w:vAlign w:val="center"/>
                </w:tcPr>
                <w:p w14:paraId="51C78EF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6</w:t>
                  </w:r>
                </w:p>
              </w:tc>
              <w:tc>
                <w:tcPr>
                  <w:tcW w:w="1985" w:type="dxa"/>
                  <w:vMerge w:val="restart"/>
                  <w:vAlign w:val="center"/>
                </w:tcPr>
                <w:p w14:paraId="6FC3D01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PM</w:t>
                  </w:r>
                  <w:r>
                    <w:rPr>
                      <w:rFonts w:ascii="Times New Roman" w:hAnsi="Times New Roman" w:cs="Times New Roman"/>
                      <w:sz w:val="28"/>
                      <w:szCs w:val="28"/>
                      <w:vertAlign w:val="subscript"/>
                      <w:lang w:eastAsia="zh-CN"/>
                    </w:rPr>
                    <w:t>2.5</w:t>
                  </w:r>
                </w:p>
              </w:tc>
              <w:tc>
                <w:tcPr>
                  <w:tcW w:w="1847" w:type="dxa"/>
                  <w:vAlign w:val="center"/>
                </w:tcPr>
                <w:p w14:paraId="461253E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年平均</w:t>
                  </w:r>
                </w:p>
              </w:tc>
              <w:tc>
                <w:tcPr>
                  <w:tcW w:w="1956" w:type="dxa"/>
                  <w:vAlign w:val="center"/>
                </w:tcPr>
                <w:p w14:paraId="4829871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35</w:t>
                  </w:r>
                </w:p>
              </w:tc>
              <w:tc>
                <w:tcPr>
                  <w:tcW w:w="2011" w:type="dxa"/>
                  <w:vMerge w:val="continue"/>
                  <w:vAlign w:val="center"/>
                </w:tcPr>
                <w:p w14:paraId="7C2FF303">
                  <w:pPr>
                    <w:jc w:val="center"/>
                    <w:rPr>
                      <w:rFonts w:ascii="Times New Roman" w:hAnsi="Times New Roman" w:cs="Times New Roman"/>
                      <w:sz w:val="21"/>
                      <w:szCs w:val="21"/>
                      <w:lang w:eastAsia="zh-CN"/>
                    </w:rPr>
                  </w:pPr>
                </w:p>
              </w:tc>
            </w:tr>
            <w:tr w14:paraId="535DA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Merge w:val="continue"/>
                  <w:vAlign w:val="center"/>
                </w:tcPr>
                <w:p w14:paraId="22B7E564">
                  <w:pPr>
                    <w:jc w:val="center"/>
                    <w:rPr>
                      <w:rFonts w:ascii="Times New Roman" w:hAnsi="Times New Roman" w:cs="Times New Roman"/>
                      <w:sz w:val="21"/>
                      <w:szCs w:val="21"/>
                      <w:lang w:eastAsia="zh-CN"/>
                    </w:rPr>
                  </w:pPr>
                </w:p>
              </w:tc>
              <w:tc>
                <w:tcPr>
                  <w:tcW w:w="1985" w:type="dxa"/>
                  <w:vMerge w:val="continue"/>
                  <w:vAlign w:val="center"/>
                </w:tcPr>
                <w:p w14:paraId="03E8005A">
                  <w:pPr>
                    <w:jc w:val="center"/>
                    <w:rPr>
                      <w:rFonts w:ascii="Times New Roman" w:hAnsi="Times New Roman" w:cs="Times New Roman"/>
                      <w:sz w:val="21"/>
                      <w:szCs w:val="21"/>
                      <w:lang w:eastAsia="zh-CN"/>
                    </w:rPr>
                  </w:pPr>
                </w:p>
              </w:tc>
              <w:tc>
                <w:tcPr>
                  <w:tcW w:w="1847" w:type="dxa"/>
                  <w:vAlign w:val="center"/>
                </w:tcPr>
                <w:p w14:paraId="76623A0F">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24小时平均</w:t>
                  </w:r>
                </w:p>
              </w:tc>
              <w:tc>
                <w:tcPr>
                  <w:tcW w:w="1956" w:type="dxa"/>
                  <w:vAlign w:val="center"/>
                </w:tcPr>
                <w:p w14:paraId="315A489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75</w:t>
                  </w:r>
                </w:p>
              </w:tc>
              <w:tc>
                <w:tcPr>
                  <w:tcW w:w="2011" w:type="dxa"/>
                  <w:vMerge w:val="continue"/>
                  <w:vAlign w:val="center"/>
                </w:tcPr>
                <w:p w14:paraId="6F9F7523">
                  <w:pPr>
                    <w:jc w:val="center"/>
                    <w:rPr>
                      <w:rFonts w:ascii="Times New Roman" w:hAnsi="Times New Roman" w:cs="Times New Roman"/>
                      <w:sz w:val="21"/>
                      <w:szCs w:val="21"/>
                      <w:lang w:eastAsia="zh-CN"/>
                    </w:rPr>
                  </w:pPr>
                </w:p>
              </w:tc>
            </w:tr>
          </w:tbl>
          <w:p w14:paraId="4ADB3742">
            <w:pPr>
              <w:jc w:val="center"/>
              <w:rPr>
                <w:szCs w:val="21"/>
                <w:lang w:eastAsia="zh-CN"/>
              </w:rPr>
            </w:pPr>
          </w:p>
          <w:p w14:paraId="56E3BD89">
            <w:pPr>
              <w:spacing w:line="360" w:lineRule="auto"/>
              <w:ind w:firstLine="480" w:firstLineChars="200"/>
              <w:jc w:val="both"/>
              <w:rPr>
                <w:sz w:val="24"/>
                <w:szCs w:val="20"/>
                <w:lang w:eastAsia="zh-CN"/>
              </w:rPr>
            </w:pPr>
            <w:r>
              <w:rPr>
                <w:rFonts w:hint="eastAsia"/>
                <w:sz w:val="24"/>
                <w:szCs w:val="20"/>
                <w:lang w:eastAsia="zh-CN"/>
              </w:rPr>
              <w:t>②声环境质量标准</w:t>
            </w:r>
          </w:p>
          <w:p w14:paraId="79EB1372">
            <w:pPr>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项目所在区域属于2类声环境功能区，根据《声环境质量标准》（GB 3096-2008）和《声环境功能区划分技术规范》（GB/T 15190-2014），本项目道路边界线外35m范围</w:t>
            </w:r>
            <w:r>
              <w:rPr>
                <w:rFonts w:hint="eastAsia" w:ascii="Times New Roman" w:hAnsi="Times New Roman" w:cs="Times New Roman"/>
                <w:sz w:val="24"/>
                <w:szCs w:val="20"/>
                <w:lang w:eastAsia="zh-CN"/>
              </w:rPr>
              <w:t>内</w:t>
            </w:r>
            <w:r>
              <w:rPr>
                <w:rFonts w:ascii="Times New Roman" w:hAnsi="Times New Roman" w:cs="Times New Roman"/>
                <w:sz w:val="24"/>
                <w:szCs w:val="20"/>
                <w:lang w:eastAsia="zh-CN"/>
              </w:rPr>
              <w:t>执行《声环境质量标准》（GB 3096-2008）的4a类标准，35m范围</w:t>
            </w:r>
            <w:r>
              <w:rPr>
                <w:rFonts w:hint="eastAsia" w:ascii="Times New Roman" w:hAnsi="Times New Roman" w:cs="Times New Roman"/>
                <w:sz w:val="24"/>
                <w:szCs w:val="20"/>
                <w:lang w:eastAsia="zh-CN"/>
              </w:rPr>
              <w:t>外</w:t>
            </w:r>
            <w:r>
              <w:rPr>
                <w:rFonts w:ascii="Times New Roman" w:hAnsi="Times New Roman" w:cs="Times New Roman"/>
                <w:sz w:val="24"/>
                <w:szCs w:val="20"/>
                <w:lang w:eastAsia="zh-CN"/>
              </w:rPr>
              <w:t>执行2类标准</w:t>
            </w:r>
            <w:r>
              <w:rPr>
                <w:rFonts w:hint="eastAsia" w:ascii="Times New Roman" w:hAnsi="Times New Roman" w:cs="Times New Roman"/>
                <w:sz w:val="24"/>
                <w:szCs w:val="20"/>
                <w:lang w:eastAsia="zh-CN"/>
              </w:rPr>
              <w:t>。详见表</w:t>
            </w:r>
            <w:r>
              <w:rPr>
                <w:rFonts w:ascii="Times New Roman" w:hAnsi="Times New Roman" w:cs="Times New Roman"/>
                <w:sz w:val="24"/>
                <w:szCs w:val="20"/>
                <w:lang w:eastAsia="zh-CN"/>
              </w:rPr>
              <w:t>3.12</w:t>
            </w:r>
            <w:r>
              <w:rPr>
                <w:rFonts w:hint="eastAsia" w:ascii="Times New Roman" w:hAnsi="Times New Roman" w:cs="Times New Roman"/>
                <w:sz w:val="24"/>
                <w:szCs w:val="20"/>
                <w:lang w:eastAsia="zh-CN"/>
              </w:rPr>
              <w:t>。</w:t>
            </w:r>
          </w:p>
          <w:p w14:paraId="4A560515">
            <w:pPr>
              <w:jc w:val="center"/>
              <w:rPr>
                <w:rFonts w:ascii="Times New Roman" w:hAnsi="Times New Roman" w:cs="Times New Roman"/>
                <w:b/>
                <w:bCs/>
                <w:szCs w:val="21"/>
                <w:lang w:eastAsia="zh-CN"/>
              </w:rPr>
            </w:pPr>
            <w:r>
              <w:rPr>
                <w:rFonts w:hint="eastAsia" w:ascii="Times New Roman" w:hAnsi="Times New Roman" w:cs="Times New Roman"/>
                <w:b/>
                <w:bCs/>
                <w:szCs w:val="21"/>
                <w:lang w:eastAsia="zh-CN"/>
              </w:rPr>
              <w:t>表</w:t>
            </w:r>
            <w:r>
              <w:rPr>
                <w:rFonts w:ascii="Times New Roman" w:hAnsi="Times New Roman" w:cs="Times New Roman"/>
                <w:b/>
                <w:bCs/>
                <w:szCs w:val="21"/>
                <w:lang w:eastAsia="zh-CN"/>
              </w:rPr>
              <w:t>3.12  声环境质量标准    单位：dB（A）</w:t>
            </w:r>
          </w:p>
          <w:tbl>
            <w:tblPr>
              <w:tblStyle w:val="11"/>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3"/>
              <w:gridCol w:w="1612"/>
              <w:gridCol w:w="1612"/>
              <w:gridCol w:w="1495"/>
            </w:tblGrid>
            <w:tr w14:paraId="1B05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13" w:type="pct"/>
                  <w:vAlign w:val="center"/>
                </w:tcPr>
                <w:p w14:paraId="610DDC74">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声环境功能区</w:t>
                  </w:r>
                  <w:r>
                    <w:rPr>
                      <w:rFonts w:ascii="Times New Roman" w:hAnsi="Times New Roman" w:cs="Times New Roman"/>
                      <w:b/>
                      <w:bCs/>
                      <w:sz w:val="21"/>
                      <w:szCs w:val="21"/>
                      <w:lang w:eastAsia="zh-CN"/>
                    </w:rPr>
                    <w:t>类别</w:t>
                  </w:r>
                </w:p>
              </w:tc>
              <w:tc>
                <w:tcPr>
                  <w:tcW w:w="918" w:type="pct"/>
                </w:tcPr>
                <w:p w14:paraId="6BCF4892">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适用范围</w:t>
                  </w:r>
                </w:p>
              </w:tc>
              <w:tc>
                <w:tcPr>
                  <w:tcW w:w="918" w:type="pct"/>
                  <w:vAlign w:val="center"/>
                </w:tcPr>
                <w:p w14:paraId="0A20019A">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昼间</w:t>
                  </w:r>
                </w:p>
              </w:tc>
              <w:tc>
                <w:tcPr>
                  <w:tcW w:w="851" w:type="pct"/>
                  <w:vAlign w:val="center"/>
                </w:tcPr>
                <w:p w14:paraId="08EA2E77">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夜间</w:t>
                  </w:r>
                </w:p>
              </w:tc>
            </w:tr>
            <w:tr w14:paraId="3140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13" w:type="pct"/>
                  <w:vAlign w:val="center"/>
                </w:tcPr>
                <w:p w14:paraId="33FE4F05">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w:t>
                  </w:r>
                  <w:r>
                    <w:rPr>
                      <w:rFonts w:ascii="Times New Roman" w:hAnsi="Times New Roman" w:cs="Times New Roman"/>
                      <w:sz w:val="21"/>
                      <w:szCs w:val="21"/>
                      <w:lang w:eastAsia="zh-CN"/>
                    </w:rPr>
                    <w:t>a</w:t>
                  </w:r>
                  <w:r>
                    <w:rPr>
                      <w:rFonts w:hint="eastAsia" w:ascii="Times New Roman" w:hAnsi="Times New Roman" w:cs="Times New Roman"/>
                      <w:sz w:val="21"/>
                      <w:szCs w:val="21"/>
                      <w:lang w:eastAsia="zh-CN"/>
                    </w:rPr>
                    <w:t>类</w:t>
                  </w:r>
                </w:p>
              </w:tc>
              <w:tc>
                <w:tcPr>
                  <w:tcW w:w="918" w:type="pct"/>
                </w:tcPr>
                <w:p w14:paraId="3E2A4CE1">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边界线3</w:t>
                  </w:r>
                  <w:r>
                    <w:rPr>
                      <w:rFonts w:ascii="Times New Roman" w:hAnsi="Times New Roman" w:cs="Times New Roman"/>
                      <w:sz w:val="21"/>
                      <w:szCs w:val="21"/>
                      <w:lang w:eastAsia="zh-CN"/>
                    </w:rPr>
                    <w:t>5m</w:t>
                  </w:r>
                  <w:r>
                    <w:rPr>
                      <w:rFonts w:hint="eastAsia" w:ascii="Times New Roman" w:hAnsi="Times New Roman" w:cs="Times New Roman"/>
                      <w:sz w:val="21"/>
                      <w:szCs w:val="21"/>
                      <w:lang w:eastAsia="zh-CN"/>
                    </w:rPr>
                    <w:t>内</w:t>
                  </w:r>
                </w:p>
              </w:tc>
              <w:tc>
                <w:tcPr>
                  <w:tcW w:w="918" w:type="pct"/>
                  <w:vAlign w:val="center"/>
                </w:tcPr>
                <w:p w14:paraId="77D43A50">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7</w:t>
                  </w:r>
                  <w:r>
                    <w:rPr>
                      <w:rFonts w:ascii="Times New Roman" w:hAnsi="Times New Roman" w:cs="Times New Roman"/>
                      <w:sz w:val="21"/>
                      <w:szCs w:val="21"/>
                      <w:lang w:eastAsia="zh-CN"/>
                    </w:rPr>
                    <w:t>0</w:t>
                  </w:r>
                </w:p>
              </w:tc>
              <w:tc>
                <w:tcPr>
                  <w:tcW w:w="851" w:type="pct"/>
                  <w:vAlign w:val="center"/>
                </w:tcPr>
                <w:p w14:paraId="23CE0274">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5</w:t>
                  </w:r>
                </w:p>
              </w:tc>
            </w:tr>
            <w:tr w14:paraId="7ED1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13" w:type="pct"/>
                  <w:vAlign w:val="center"/>
                </w:tcPr>
                <w:p w14:paraId="229701F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2类</w:t>
                  </w:r>
                </w:p>
              </w:tc>
              <w:tc>
                <w:tcPr>
                  <w:tcW w:w="918" w:type="pct"/>
                </w:tcPr>
                <w:p w14:paraId="1633154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边界线3</w:t>
                  </w:r>
                  <w:r>
                    <w:rPr>
                      <w:rFonts w:ascii="Times New Roman" w:hAnsi="Times New Roman" w:cs="Times New Roman"/>
                      <w:sz w:val="21"/>
                      <w:szCs w:val="21"/>
                      <w:lang w:eastAsia="zh-CN"/>
                    </w:rPr>
                    <w:t>5m</w:t>
                  </w:r>
                  <w:r>
                    <w:rPr>
                      <w:rFonts w:hint="eastAsia" w:ascii="Times New Roman" w:hAnsi="Times New Roman" w:cs="Times New Roman"/>
                      <w:sz w:val="21"/>
                      <w:szCs w:val="21"/>
                      <w:lang w:eastAsia="zh-CN"/>
                    </w:rPr>
                    <w:t>外</w:t>
                  </w:r>
                </w:p>
              </w:tc>
              <w:tc>
                <w:tcPr>
                  <w:tcW w:w="918" w:type="pct"/>
                  <w:vAlign w:val="center"/>
                </w:tcPr>
                <w:p w14:paraId="40C3451E">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60</w:t>
                  </w:r>
                </w:p>
              </w:tc>
              <w:tc>
                <w:tcPr>
                  <w:tcW w:w="851" w:type="pct"/>
                  <w:vAlign w:val="center"/>
                </w:tcPr>
                <w:p w14:paraId="1E3F55F5">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50</w:t>
                  </w:r>
                </w:p>
              </w:tc>
            </w:tr>
          </w:tbl>
          <w:p w14:paraId="4314E822">
            <w:pPr>
              <w:jc w:val="center"/>
              <w:rPr>
                <w:rFonts w:ascii="Times New Roman" w:hAnsi="Times New Roman" w:cs="Times New Roman"/>
                <w:b/>
                <w:bCs/>
                <w:szCs w:val="21"/>
                <w:lang w:eastAsia="zh-CN"/>
              </w:rPr>
            </w:pPr>
          </w:p>
          <w:p w14:paraId="141A3ED7">
            <w:pPr>
              <w:spacing w:line="360" w:lineRule="auto"/>
              <w:ind w:firstLine="498" w:firstLineChars="200"/>
              <w:jc w:val="both"/>
              <w:rPr>
                <w:rFonts w:ascii="Times New Roman" w:hAnsi="Times New Roman" w:cs="Times New Roman"/>
                <w:b/>
                <w:bCs/>
                <w:spacing w:val="4"/>
                <w:sz w:val="24"/>
                <w:szCs w:val="24"/>
                <w:lang w:eastAsia="zh-CN"/>
              </w:rPr>
            </w:pPr>
            <w:r>
              <w:rPr>
                <w:rFonts w:ascii="Times New Roman" w:hAnsi="Times New Roman" w:cs="Times New Roman"/>
                <w:b/>
                <w:bCs/>
                <w:spacing w:val="4"/>
                <w:sz w:val="24"/>
                <w:szCs w:val="24"/>
                <w:lang w:eastAsia="zh-CN"/>
              </w:rPr>
              <w:t>（2）</w:t>
            </w:r>
            <w:r>
              <w:rPr>
                <w:rFonts w:hint="eastAsia" w:ascii="Times New Roman" w:hAnsi="Times New Roman" w:cs="Times New Roman"/>
                <w:b/>
                <w:bCs/>
                <w:spacing w:val="4"/>
                <w:sz w:val="24"/>
                <w:szCs w:val="24"/>
                <w:lang w:eastAsia="zh-CN"/>
              </w:rPr>
              <w:t>施工期</w:t>
            </w:r>
            <w:r>
              <w:rPr>
                <w:rFonts w:ascii="Times New Roman" w:hAnsi="Times New Roman" w:cs="Times New Roman"/>
                <w:b/>
                <w:bCs/>
                <w:spacing w:val="4"/>
                <w:sz w:val="24"/>
                <w:szCs w:val="24"/>
                <w:lang w:eastAsia="zh-CN"/>
              </w:rPr>
              <w:t>污染物排放标准</w:t>
            </w:r>
          </w:p>
          <w:p w14:paraId="442B85E5">
            <w:pPr>
              <w:tabs>
                <w:tab w:val="left" w:pos="1470"/>
              </w:tabs>
              <w:spacing w:line="360" w:lineRule="auto"/>
              <w:ind w:firstLine="480" w:firstLineChars="200"/>
              <w:jc w:val="both"/>
              <w:rPr>
                <w:rFonts w:ascii="Times New Roman" w:hAnsi="Times New Roman" w:cs="Times New Roman"/>
                <w:sz w:val="24"/>
                <w:szCs w:val="20"/>
                <w:lang w:eastAsia="zh-CN"/>
              </w:rPr>
            </w:pPr>
            <w:r>
              <w:rPr>
                <w:rFonts w:hint="eastAsia"/>
                <w:sz w:val="24"/>
                <w:szCs w:val="20"/>
                <w:lang w:eastAsia="zh-CN"/>
              </w:rPr>
              <w:t>①施工期</w:t>
            </w:r>
            <w:r>
              <w:rPr>
                <w:rFonts w:ascii="Times New Roman" w:hAnsi="Times New Roman" w:cs="Times New Roman"/>
                <w:sz w:val="24"/>
                <w:szCs w:val="20"/>
                <w:lang w:eastAsia="zh-CN"/>
              </w:rPr>
              <w:t>废气排放标准</w:t>
            </w:r>
          </w:p>
          <w:p w14:paraId="0FFF0F92">
            <w:pPr>
              <w:tabs>
                <w:tab w:val="left" w:pos="1470"/>
              </w:tabs>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焊接工程产生的焊接烟尘无组织排放；路面铺装过程产生的沥青烟无组织排放；施工机械设备尾气、运输车辆尾气分别执行《非道路柴油移动机械排气烟度限值及测量方法》（</w:t>
            </w:r>
            <w:r>
              <w:rPr>
                <w:rFonts w:ascii="Times New Roman" w:hAnsi="Times New Roman" w:cs="Times New Roman"/>
                <w:sz w:val="24"/>
                <w:szCs w:val="20"/>
                <w:lang w:eastAsia="zh-CN"/>
              </w:rPr>
              <w:t>GB36886-2018）</w:t>
            </w:r>
            <w:r>
              <w:rPr>
                <w:rFonts w:hint="eastAsia" w:ascii="Times New Roman" w:hAnsi="Times New Roman" w:cs="Times New Roman"/>
                <w:sz w:val="24"/>
                <w:szCs w:val="20"/>
                <w:lang w:eastAsia="zh-CN"/>
              </w:rPr>
              <w:t>、《重型柴油车污染物排放限值及测量方法（中国第六阶段）》（</w:t>
            </w:r>
            <w:r>
              <w:rPr>
                <w:rFonts w:ascii="Times New Roman" w:hAnsi="Times New Roman" w:cs="Times New Roman"/>
                <w:sz w:val="24"/>
                <w:szCs w:val="20"/>
                <w:lang w:eastAsia="zh-CN"/>
              </w:rPr>
              <w:t>GB 17691-2018）</w:t>
            </w:r>
            <w:r>
              <w:rPr>
                <w:rFonts w:hint="eastAsia" w:ascii="Times New Roman" w:hAnsi="Times New Roman" w:cs="Times New Roman"/>
                <w:sz w:val="24"/>
                <w:szCs w:val="20"/>
                <w:lang w:eastAsia="zh-CN"/>
              </w:rPr>
              <w:t>；施工扬尘</w:t>
            </w:r>
            <w:r>
              <w:rPr>
                <w:rFonts w:ascii="Times New Roman" w:hAnsi="Times New Roman" w:cs="Times New Roman"/>
                <w:sz w:val="24"/>
                <w:szCs w:val="20"/>
                <w:lang w:eastAsia="zh-CN"/>
              </w:rPr>
              <w:t>执行《大气污染物综合排放标准》（GB 16297-1996）表2“新污染源大气污染物排放限值”</w:t>
            </w:r>
            <w:r>
              <w:rPr>
                <w:rFonts w:hint="eastAsia" w:ascii="Times New Roman" w:hAnsi="Times New Roman" w:cs="Times New Roman"/>
                <w:sz w:val="24"/>
                <w:szCs w:val="20"/>
                <w:lang w:eastAsia="zh-CN"/>
              </w:rPr>
              <w:t>的</w:t>
            </w:r>
            <w:r>
              <w:rPr>
                <w:rFonts w:ascii="Times New Roman" w:hAnsi="Times New Roman" w:cs="Times New Roman"/>
                <w:sz w:val="24"/>
                <w:szCs w:val="20"/>
                <w:lang w:eastAsia="zh-CN"/>
              </w:rPr>
              <w:t>无组织排放标准</w:t>
            </w:r>
            <w:r>
              <w:rPr>
                <w:rFonts w:hint="eastAsia" w:ascii="Times New Roman" w:hAnsi="Times New Roman" w:cs="Times New Roman"/>
                <w:sz w:val="24"/>
                <w:szCs w:val="20"/>
                <w:lang w:eastAsia="zh-CN"/>
              </w:rPr>
              <w:t>。详见表</w:t>
            </w:r>
            <w:r>
              <w:rPr>
                <w:rFonts w:ascii="Times New Roman" w:hAnsi="Times New Roman" w:cs="Times New Roman"/>
                <w:sz w:val="24"/>
                <w:szCs w:val="20"/>
                <w:lang w:eastAsia="zh-CN"/>
              </w:rPr>
              <w:t>3.13</w:t>
            </w:r>
            <w:r>
              <w:rPr>
                <w:rFonts w:hint="eastAsia" w:ascii="Times New Roman" w:hAnsi="Times New Roman" w:cs="Times New Roman"/>
                <w:sz w:val="24"/>
                <w:szCs w:val="20"/>
                <w:lang w:eastAsia="zh-CN"/>
              </w:rPr>
              <w:t>。</w:t>
            </w:r>
          </w:p>
          <w:p w14:paraId="47051321">
            <w:pPr>
              <w:jc w:val="center"/>
              <w:rPr>
                <w:rFonts w:ascii="Times New Roman" w:hAnsi="Times New Roman" w:cs="Times New Roman"/>
                <w:b/>
                <w:bCs/>
                <w:szCs w:val="21"/>
                <w:lang w:eastAsia="zh-CN"/>
              </w:rPr>
            </w:pPr>
            <w:r>
              <w:rPr>
                <w:rFonts w:hint="eastAsia" w:ascii="Times New Roman" w:hAnsi="Times New Roman" w:cs="Times New Roman"/>
                <w:b/>
                <w:bCs/>
                <w:szCs w:val="21"/>
                <w:lang w:eastAsia="zh-CN"/>
              </w:rPr>
              <w:t>表</w:t>
            </w:r>
            <w:r>
              <w:rPr>
                <w:rFonts w:ascii="Times New Roman" w:hAnsi="Times New Roman" w:cs="Times New Roman"/>
                <w:b/>
                <w:bCs/>
                <w:szCs w:val="21"/>
                <w:lang w:eastAsia="zh-CN"/>
              </w:rPr>
              <w:t xml:space="preserve">3.13  </w:t>
            </w:r>
            <w:r>
              <w:rPr>
                <w:rFonts w:hint="eastAsia" w:ascii="Times New Roman" w:hAnsi="Times New Roman" w:cs="Times New Roman"/>
                <w:b/>
                <w:bCs/>
                <w:szCs w:val="21"/>
                <w:lang w:eastAsia="zh-CN"/>
              </w:rPr>
              <w:t>施工期废气排放</w:t>
            </w:r>
            <w:r>
              <w:rPr>
                <w:rFonts w:ascii="Times New Roman" w:hAnsi="Times New Roman" w:cs="Times New Roman"/>
                <w:b/>
                <w:bCs/>
                <w:szCs w:val="21"/>
                <w:lang w:eastAsia="zh-CN"/>
              </w:rPr>
              <w:t>标准    单位：</w:t>
            </w:r>
            <w:r>
              <w:rPr>
                <w:rFonts w:hint="eastAsia" w:ascii="Times New Roman" w:hAnsi="Times New Roman" w:cs="Times New Roman"/>
                <w:b/>
                <w:bCs/>
                <w:szCs w:val="21"/>
                <w:lang w:eastAsia="zh-CN"/>
              </w:rPr>
              <w:t>mg</w:t>
            </w:r>
            <w:r>
              <w:rPr>
                <w:rFonts w:ascii="Times New Roman" w:hAnsi="Times New Roman" w:cs="Times New Roman"/>
                <w:b/>
                <w:bCs/>
                <w:szCs w:val="21"/>
                <w:lang w:eastAsia="zh-CN"/>
              </w:rPr>
              <w:t>/m³</w:t>
            </w:r>
          </w:p>
          <w:tbl>
            <w:tblPr>
              <w:tblStyle w:val="11"/>
              <w:tblW w:w="8683" w:type="dxa"/>
              <w:jc w:val="center"/>
              <w:tblLayout w:type="autofit"/>
              <w:tblCellMar>
                <w:top w:w="0" w:type="dxa"/>
                <w:left w:w="108" w:type="dxa"/>
                <w:bottom w:w="0" w:type="dxa"/>
                <w:right w:w="108" w:type="dxa"/>
              </w:tblCellMar>
            </w:tblPr>
            <w:tblGrid>
              <w:gridCol w:w="4668"/>
              <w:gridCol w:w="4015"/>
            </w:tblGrid>
            <w:tr w14:paraId="0826109C">
              <w:tblPrEx>
                <w:tblCellMar>
                  <w:top w:w="0" w:type="dxa"/>
                  <w:left w:w="108" w:type="dxa"/>
                  <w:bottom w:w="0" w:type="dxa"/>
                  <w:right w:w="108" w:type="dxa"/>
                </w:tblCellMar>
              </w:tblPrEx>
              <w:trPr>
                <w:trHeight w:val="20" w:hRule="atLeast"/>
                <w:jc w:val="center"/>
              </w:trPr>
              <w:tc>
                <w:tcPr>
                  <w:tcW w:w="4668" w:type="dxa"/>
                  <w:tcBorders>
                    <w:top w:val="single" w:color="auto" w:sz="4" w:space="0"/>
                    <w:left w:val="single" w:color="auto" w:sz="4" w:space="0"/>
                    <w:bottom w:val="single" w:color="auto" w:sz="4" w:space="0"/>
                    <w:right w:val="single" w:color="auto" w:sz="4" w:space="0"/>
                  </w:tcBorders>
                  <w:vAlign w:val="center"/>
                </w:tcPr>
                <w:p w14:paraId="28BBB095">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污染物</w:t>
                  </w:r>
                </w:p>
              </w:tc>
              <w:tc>
                <w:tcPr>
                  <w:tcW w:w="4015" w:type="dxa"/>
                  <w:tcBorders>
                    <w:top w:val="single" w:color="auto" w:sz="4" w:space="0"/>
                    <w:left w:val="nil"/>
                    <w:bottom w:val="single" w:color="auto" w:sz="4" w:space="0"/>
                    <w:right w:val="single" w:color="auto" w:sz="4" w:space="0"/>
                  </w:tcBorders>
                  <w:vAlign w:val="center"/>
                </w:tcPr>
                <w:p w14:paraId="43720491">
                  <w:pPr>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标准限值</w:t>
                  </w:r>
                </w:p>
              </w:tc>
            </w:tr>
            <w:tr w14:paraId="4E905C14">
              <w:tblPrEx>
                <w:tblCellMar>
                  <w:top w:w="0" w:type="dxa"/>
                  <w:left w:w="108" w:type="dxa"/>
                  <w:bottom w:w="0" w:type="dxa"/>
                  <w:right w:w="108" w:type="dxa"/>
                </w:tblCellMar>
              </w:tblPrEx>
              <w:trPr>
                <w:trHeight w:val="20" w:hRule="atLeast"/>
                <w:jc w:val="center"/>
              </w:trPr>
              <w:tc>
                <w:tcPr>
                  <w:tcW w:w="4668" w:type="dxa"/>
                  <w:tcBorders>
                    <w:top w:val="single" w:color="auto" w:sz="4" w:space="0"/>
                    <w:left w:val="single" w:color="auto" w:sz="4" w:space="0"/>
                    <w:bottom w:val="single" w:color="auto" w:sz="4" w:space="0"/>
                    <w:right w:val="single" w:color="auto" w:sz="4" w:space="0"/>
                  </w:tcBorders>
                  <w:vAlign w:val="center"/>
                </w:tcPr>
                <w:p w14:paraId="3757F3A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T</w:t>
                  </w:r>
                  <w:r>
                    <w:rPr>
                      <w:rFonts w:ascii="Times New Roman" w:hAnsi="Times New Roman" w:cs="Times New Roman"/>
                      <w:sz w:val="21"/>
                      <w:szCs w:val="21"/>
                      <w:lang w:eastAsia="zh-CN"/>
                    </w:rPr>
                    <w:t>SP</w:t>
                  </w:r>
                </w:p>
              </w:tc>
              <w:tc>
                <w:tcPr>
                  <w:tcW w:w="4015" w:type="dxa"/>
                  <w:tcBorders>
                    <w:top w:val="single" w:color="auto" w:sz="4" w:space="0"/>
                    <w:left w:val="nil"/>
                    <w:bottom w:val="single" w:color="auto" w:sz="4" w:space="0"/>
                    <w:right w:val="single" w:color="auto" w:sz="4" w:space="0"/>
                  </w:tcBorders>
                  <w:vAlign w:val="center"/>
                </w:tcPr>
                <w:p w14:paraId="442B5CB5">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.0</w:t>
                  </w:r>
                </w:p>
              </w:tc>
            </w:tr>
          </w:tbl>
          <w:p w14:paraId="13293A51">
            <w:pPr>
              <w:jc w:val="center"/>
              <w:rPr>
                <w:rFonts w:ascii="Times New Roman" w:hAnsi="Times New Roman" w:cs="Times New Roman"/>
                <w:b/>
                <w:bCs/>
                <w:szCs w:val="21"/>
                <w:lang w:eastAsia="zh-CN"/>
              </w:rPr>
            </w:pPr>
          </w:p>
          <w:p w14:paraId="2FAF011B">
            <w:pPr>
              <w:tabs>
                <w:tab w:val="left" w:pos="1470"/>
              </w:tabs>
              <w:spacing w:line="360" w:lineRule="auto"/>
              <w:ind w:firstLine="480" w:firstLineChars="200"/>
              <w:jc w:val="both"/>
              <w:rPr>
                <w:rFonts w:ascii="Times New Roman" w:hAnsi="Times New Roman" w:cs="Times New Roman"/>
                <w:sz w:val="24"/>
                <w:szCs w:val="20"/>
                <w:lang w:eastAsia="zh-CN"/>
              </w:rPr>
            </w:pPr>
            <w:r>
              <w:rPr>
                <w:sz w:val="24"/>
                <w:szCs w:val="20"/>
                <w:lang w:eastAsia="zh-CN"/>
              </w:rPr>
              <w:t>②</w:t>
            </w:r>
            <w:r>
              <w:rPr>
                <w:rFonts w:hint="eastAsia"/>
                <w:sz w:val="24"/>
                <w:szCs w:val="20"/>
                <w:lang w:eastAsia="zh-CN"/>
              </w:rPr>
              <w:t>施工期</w:t>
            </w:r>
            <w:r>
              <w:rPr>
                <w:rFonts w:hint="eastAsia" w:ascii="Times New Roman" w:hAnsi="Times New Roman" w:cs="Times New Roman"/>
                <w:sz w:val="24"/>
                <w:szCs w:val="20"/>
                <w:lang w:eastAsia="zh-CN"/>
              </w:rPr>
              <w:t>噪声</w:t>
            </w:r>
            <w:r>
              <w:rPr>
                <w:rFonts w:ascii="Times New Roman" w:hAnsi="Times New Roman" w:cs="Times New Roman"/>
                <w:sz w:val="24"/>
                <w:szCs w:val="20"/>
                <w:lang w:eastAsia="zh-CN"/>
              </w:rPr>
              <w:t>排放标准</w:t>
            </w:r>
          </w:p>
          <w:p w14:paraId="67CA2DD1">
            <w:pPr>
              <w:tabs>
                <w:tab w:val="left" w:pos="1470"/>
              </w:tabs>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施工期噪声执行《建筑施工场界环境噪声排放标准》（</w:t>
            </w:r>
            <w:r>
              <w:rPr>
                <w:rFonts w:ascii="Times New Roman" w:hAnsi="Times New Roman" w:cs="Times New Roman"/>
                <w:sz w:val="24"/>
                <w:szCs w:val="20"/>
                <w:lang w:eastAsia="zh-CN"/>
              </w:rPr>
              <w:t>GB 12523-2011）</w:t>
            </w:r>
            <w:r>
              <w:rPr>
                <w:rFonts w:hint="eastAsia" w:ascii="Times New Roman" w:hAnsi="Times New Roman" w:cs="Times New Roman"/>
                <w:sz w:val="24"/>
                <w:szCs w:val="20"/>
                <w:lang w:eastAsia="zh-CN"/>
              </w:rPr>
              <w:t>。详见表</w:t>
            </w:r>
            <w:r>
              <w:rPr>
                <w:rFonts w:ascii="Times New Roman" w:hAnsi="Times New Roman" w:cs="Times New Roman"/>
                <w:sz w:val="24"/>
                <w:szCs w:val="20"/>
                <w:lang w:eastAsia="zh-CN"/>
              </w:rPr>
              <w:t>3.14</w:t>
            </w:r>
            <w:r>
              <w:rPr>
                <w:rFonts w:hint="eastAsia" w:ascii="Times New Roman" w:hAnsi="Times New Roman" w:cs="Times New Roman"/>
                <w:sz w:val="24"/>
                <w:szCs w:val="20"/>
                <w:lang w:eastAsia="zh-CN"/>
              </w:rPr>
              <w:t>。</w:t>
            </w:r>
          </w:p>
          <w:p w14:paraId="524C8FEE">
            <w:pPr>
              <w:jc w:val="center"/>
              <w:rPr>
                <w:rFonts w:ascii="Times New Roman" w:hAnsi="Times New Roman" w:cs="Times New Roman"/>
                <w:b/>
                <w:bCs/>
                <w:szCs w:val="21"/>
                <w:lang w:eastAsia="zh-CN"/>
              </w:rPr>
            </w:pPr>
            <w:r>
              <w:rPr>
                <w:rFonts w:hint="eastAsia" w:ascii="Times New Roman" w:hAnsi="Times New Roman" w:cs="Times New Roman"/>
                <w:b/>
                <w:bCs/>
                <w:szCs w:val="21"/>
                <w:lang w:eastAsia="zh-CN"/>
              </w:rPr>
              <w:t>表</w:t>
            </w:r>
            <w:r>
              <w:rPr>
                <w:rFonts w:ascii="Times New Roman" w:hAnsi="Times New Roman" w:cs="Times New Roman"/>
                <w:b/>
                <w:bCs/>
                <w:szCs w:val="21"/>
                <w:lang w:eastAsia="zh-CN"/>
              </w:rPr>
              <w:t xml:space="preserve">3.14  </w:t>
            </w:r>
            <w:r>
              <w:rPr>
                <w:rFonts w:hint="eastAsia" w:ascii="Times New Roman" w:hAnsi="Times New Roman" w:cs="Times New Roman"/>
                <w:b/>
                <w:bCs/>
                <w:szCs w:val="21"/>
                <w:lang w:eastAsia="zh-CN"/>
              </w:rPr>
              <w:t>施工期噪声排放</w:t>
            </w:r>
            <w:r>
              <w:rPr>
                <w:rFonts w:ascii="Times New Roman" w:hAnsi="Times New Roman" w:cs="Times New Roman"/>
                <w:b/>
                <w:bCs/>
                <w:szCs w:val="21"/>
                <w:lang w:eastAsia="zh-CN"/>
              </w:rPr>
              <w:t>标准    单位：dB（A）</w:t>
            </w:r>
          </w:p>
          <w:tbl>
            <w:tblPr>
              <w:tblStyle w:val="11"/>
              <w:tblW w:w="8730" w:type="dxa"/>
              <w:jc w:val="center"/>
              <w:tblLayout w:type="autofit"/>
              <w:tblCellMar>
                <w:top w:w="0" w:type="dxa"/>
                <w:left w:w="108" w:type="dxa"/>
                <w:bottom w:w="0" w:type="dxa"/>
                <w:right w:w="108" w:type="dxa"/>
              </w:tblCellMar>
            </w:tblPr>
            <w:tblGrid>
              <w:gridCol w:w="4393"/>
              <w:gridCol w:w="2127"/>
              <w:gridCol w:w="2210"/>
            </w:tblGrid>
            <w:tr w14:paraId="425BA1A4">
              <w:tblPrEx>
                <w:tblCellMar>
                  <w:top w:w="0" w:type="dxa"/>
                  <w:left w:w="108" w:type="dxa"/>
                  <w:bottom w:w="0" w:type="dxa"/>
                  <w:right w:w="108" w:type="dxa"/>
                </w:tblCellMar>
              </w:tblPrEx>
              <w:trPr>
                <w:trHeight w:val="20" w:hRule="atLeast"/>
                <w:jc w:val="center"/>
              </w:trPr>
              <w:tc>
                <w:tcPr>
                  <w:tcW w:w="4393" w:type="dxa"/>
                  <w:vMerge w:val="restart"/>
                  <w:tcBorders>
                    <w:top w:val="single" w:color="auto" w:sz="4" w:space="0"/>
                    <w:left w:val="single" w:color="auto" w:sz="4" w:space="0"/>
                    <w:right w:val="single" w:color="auto" w:sz="4" w:space="0"/>
                  </w:tcBorders>
                  <w:vAlign w:val="center"/>
                </w:tcPr>
                <w:p w14:paraId="5E3A719B">
                  <w:pPr>
                    <w:jc w:val="center"/>
                    <w:rPr>
                      <w:rFonts w:ascii="Times New Roman" w:hAnsi="Times New Roman" w:cs="Times New Roman"/>
                      <w:b/>
                      <w:lang w:eastAsia="zh-CN"/>
                    </w:rPr>
                  </w:pPr>
                  <w:r>
                    <w:rPr>
                      <w:rFonts w:hint="eastAsia" w:ascii="Times New Roman" w:hAnsi="Times New Roman" w:cs="Times New Roman"/>
                      <w:b/>
                      <w:lang w:eastAsia="zh-CN"/>
                    </w:rPr>
                    <w:t>建筑施工场界环境噪声排放限值</w:t>
                  </w:r>
                </w:p>
              </w:tc>
              <w:tc>
                <w:tcPr>
                  <w:tcW w:w="4337" w:type="dxa"/>
                  <w:gridSpan w:val="2"/>
                  <w:tcBorders>
                    <w:top w:val="single" w:color="auto" w:sz="4" w:space="0"/>
                    <w:left w:val="nil"/>
                    <w:bottom w:val="single" w:color="auto" w:sz="4" w:space="0"/>
                    <w:right w:val="single" w:color="auto" w:sz="4" w:space="0"/>
                  </w:tcBorders>
                  <w:vAlign w:val="center"/>
                </w:tcPr>
                <w:p w14:paraId="0325207A">
                  <w:pPr>
                    <w:jc w:val="center"/>
                    <w:rPr>
                      <w:rFonts w:ascii="Times New Roman" w:hAnsi="Times New Roman" w:cs="Times New Roman"/>
                      <w:b/>
                      <w:lang w:eastAsia="zh-CN"/>
                    </w:rPr>
                  </w:pPr>
                  <w:r>
                    <w:rPr>
                      <w:rFonts w:ascii="Times New Roman" w:hAnsi="Times New Roman" w:cs="Times New Roman"/>
                      <w:b/>
                      <w:lang w:eastAsia="zh-CN"/>
                    </w:rPr>
                    <w:t>时段</w:t>
                  </w:r>
                </w:p>
              </w:tc>
            </w:tr>
            <w:tr w14:paraId="6BC02F75">
              <w:tblPrEx>
                <w:tblCellMar>
                  <w:top w:w="0" w:type="dxa"/>
                  <w:left w:w="108" w:type="dxa"/>
                  <w:bottom w:w="0" w:type="dxa"/>
                  <w:right w:w="108" w:type="dxa"/>
                </w:tblCellMar>
              </w:tblPrEx>
              <w:trPr>
                <w:trHeight w:val="20" w:hRule="atLeast"/>
                <w:jc w:val="center"/>
              </w:trPr>
              <w:tc>
                <w:tcPr>
                  <w:tcW w:w="4393" w:type="dxa"/>
                  <w:vMerge w:val="continue"/>
                  <w:tcBorders>
                    <w:left w:val="single" w:color="auto" w:sz="4" w:space="0"/>
                    <w:right w:val="single" w:color="auto" w:sz="4" w:space="0"/>
                  </w:tcBorders>
                  <w:vAlign w:val="center"/>
                </w:tcPr>
                <w:p w14:paraId="5054E8B2">
                  <w:pPr>
                    <w:jc w:val="center"/>
                    <w:rPr>
                      <w:rFonts w:ascii="Times New Roman" w:hAnsi="Times New Roman" w:cs="Times New Roman"/>
                      <w:b/>
                      <w:kern w:val="2"/>
                      <w:sz w:val="21"/>
                      <w:szCs w:val="24"/>
                      <w:lang w:eastAsia="zh-CN"/>
                    </w:rPr>
                  </w:pPr>
                </w:p>
              </w:tc>
              <w:tc>
                <w:tcPr>
                  <w:tcW w:w="2127" w:type="dxa"/>
                  <w:tcBorders>
                    <w:top w:val="single" w:color="auto" w:sz="4" w:space="0"/>
                    <w:left w:val="nil"/>
                    <w:bottom w:val="single" w:color="auto" w:sz="4" w:space="0"/>
                    <w:right w:val="single" w:color="auto" w:sz="4" w:space="0"/>
                  </w:tcBorders>
                  <w:vAlign w:val="center"/>
                </w:tcPr>
                <w:p w14:paraId="646FD685">
                  <w:pPr>
                    <w:jc w:val="center"/>
                    <w:rPr>
                      <w:rFonts w:ascii="Times New Roman" w:hAnsi="Times New Roman" w:cs="Times New Roman"/>
                      <w:b/>
                      <w:lang w:eastAsia="zh-CN"/>
                    </w:rPr>
                  </w:pPr>
                  <w:r>
                    <w:rPr>
                      <w:rFonts w:ascii="Times New Roman" w:hAnsi="Times New Roman" w:cs="Times New Roman"/>
                      <w:b/>
                      <w:lang w:eastAsia="zh-CN"/>
                    </w:rPr>
                    <w:t>昼  间</w:t>
                  </w:r>
                </w:p>
              </w:tc>
              <w:tc>
                <w:tcPr>
                  <w:tcW w:w="2210" w:type="dxa"/>
                  <w:tcBorders>
                    <w:top w:val="single" w:color="auto" w:sz="4" w:space="0"/>
                    <w:left w:val="nil"/>
                    <w:bottom w:val="single" w:color="auto" w:sz="4" w:space="0"/>
                    <w:right w:val="single" w:color="auto" w:sz="4" w:space="0"/>
                  </w:tcBorders>
                  <w:vAlign w:val="center"/>
                </w:tcPr>
                <w:p w14:paraId="31858EB3">
                  <w:pPr>
                    <w:jc w:val="center"/>
                    <w:rPr>
                      <w:rFonts w:ascii="Times New Roman" w:hAnsi="Times New Roman" w:cs="Times New Roman"/>
                      <w:b/>
                      <w:lang w:eastAsia="zh-CN"/>
                    </w:rPr>
                  </w:pPr>
                  <w:r>
                    <w:rPr>
                      <w:rFonts w:ascii="Times New Roman" w:hAnsi="Times New Roman" w:cs="Times New Roman"/>
                      <w:b/>
                      <w:lang w:eastAsia="zh-CN"/>
                    </w:rPr>
                    <w:t>夜  间</w:t>
                  </w:r>
                </w:p>
              </w:tc>
            </w:tr>
            <w:tr w14:paraId="477EBD43">
              <w:tblPrEx>
                <w:tblCellMar>
                  <w:top w:w="0" w:type="dxa"/>
                  <w:left w:w="108" w:type="dxa"/>
                  <w:bottom w:w="0" w:type="dxa"/>
                  <w:right w:w="108" w:type="dxa"/>
                </w:tblCellMar>
              </w:tblPrEx>
              <w:trPr>
                <w:trHeight w:val="20" w:hRule="atLeast"/>
                <w:jc w:val="center"/>
              </w:trPr>
              <w:tc>
                <w:tcPr>
                  <w:tcW w:w="4393" w:type="dxa"/>
                  <w:vMerge w:val="continue"/>
                  <w:tcBorders>
                    <w:left w:val="single" w:color="auto" w:sz="4" w:space="0"/>
                    <w:bottom w:val="single" w:color="auto" w:sz="4" w:space="0"/>
                    <w:right w:val="single" w:color="auto" w:sz="4" w:space="0"/>
                  </w:tcBorders>
                  <w:vAlign w:val="center"/>
                </w:tcPr>
                <w:p w14:paraId="46E991D1">
                  <w:pPr>
                    <w:jc w:val="center"/>
                    <w:rPr>
                      <w:rFonts w:ascii="Times New Roman" w:hAnsi="Times New Roman" w:cs="Times New Roman"/>
                      <w:sz w:val="21"/>
                      <w:szCs w:val="21"/>
                      <w:lang w:eastAsia="zh-CN"/>
                    </w:rPr>
                  </w:pPr>
                </w:p>
              </w:tc>
              <w:tc>
                <w:tcPr>
                  <w:tcW w:w="2127" w:type="dxa"/>
                  <w:tcBorders>
                    <w:top w:val="single" w:color="auto" w:sz="4" w:space="0"/>
                    <w:left w:val="nil"/>
                    <w:bottom w:val="single" w:color="auto" w:sz="4" w:space="0"/>
                    <w:right w:val="single" w:color="auto" w:sz="4" w:space="0"/>
                  </w:tcBorders>
                  <w:vAlign w:val="center"/>
                </w:tcPr>
                <w:p w14:paraId="098BD193">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7</w:t>
                  </w:r>
                  <w:r>
                    <w:rPr>
                      <w:rFonts w:ascii="Times New Roman" w:hAnsi="Times New Roman" w:cs="Times New Roman"/>
                      <w:sz w:val="21"/>
                      <w:szCs w:val="21"/>
                      <w:lang w:eastAsia="zh-CN"/>
                    </w:rPr>
                    <w:t>0</w:t>
                  </w:r>
                </w:p>
              </w:tc>
              <w:tc>
                <w:tcPr>
                  <w:tcW w:w="2210" w:type="dxa"/>
                  <w:tcBorders>
                    <w:top w:val="single" w:color="auto" w:sz="4" w:space="0"/>
                    <w:left w:val="nil"/>
                    <w:bottom w:val="single" w:color="auto" w:sz="4" w:space="0"/>
                    <w:right w:val="single" w:color="auto" w:sz="4" w:space="0"/>
                  </w:tcBorders>
                  <w:vAlign w:val="center"/>
                </w:tcPr>
                <w:p w14:paraId="53F3B54A">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55</w:t>
                  </w:r>
                </w:p>
              </w:tc>
            </w:tr>
          </w:tbl>
          <w:p w14:paraId="642F83F6">
            <w:pPr>
              <w:jc w:val="center"/>
              <w:rPr>
                <w:rFonts w:ascii="Times New Roman" w:hAnsi="Times New Roman" w:cs="Times New Roman"/>
                <w:b/>
                <w:bCs/>
                <w:szCs w:val="21"/>
                <w:lang w:eastAsia="zh-CN"/>
              </w:rPr>
            </w:pPr>
          </w:p>
          <w:p w14:paraId="0DE65F4B">
            <w:pPr>
              <w:tabs>
                <w:tab w:val="left" w:pos="1470"/>
              </w:tabs>
              <w:spacing w:line="360" w:lineRule="auto"/>
              <w:ind w:firstLine="498" w:firstLineChars="200"/>
              <w:jc w:val="both"/>
              <w:rPr>
                <w:rFonts w:ascii="Times New Roman" w:hAnsi="Times New Roman" w:cs="Times New Roman"/>
                <w:b/>
                <w:bCs/>
                <w:spacing w:val="4"/>
                <w:sz w:val="24"/>
                <w:szCs w:val="24"/>
                <w:lang w:eastAsia="zh-CN"/>
              </w:rPr>
            </w:pPr>
            <w:r>
              <w:rPr>
                <w:rFonts w:ascii="Times New Roman" w:hAnsi="Times New Roman" w:cs="Times New Roman"/>
                <w:b/>
                <w:bCs/>
                <w:spacing w:val="4"/>
                <w:sz w:val="24"/>
                <w:szCs w:val="24"/>
                <w:lang w:eastAsia="zh-CN"/>
              </w:rPr>
              <w:t>（3）</w:t>
            </w:r>
            <w:r>
              <w:rPr>
                <w:rFonts w:hint="eastAsia" w:ascii="Times New Roman" w:hAnsi="Times New Roman" w:cs="Times New Roman"/>
                <w:b/>
                <w:bCs/>
                <w:spacing w:val="4"/>
                <w:sz w:val="24"/>
                <w:szCs w:val="24"/>
                <w:lang w:eastAsia="zh-CN"/>
              </w:rPr>
              <w:t>运营期</w:t>
            </w:r>
            <w:r>
              <w:rPr>
                <w:rFonts w:ascii="Times New Roman" w:hAnsi="Times New Roman" w:cs="Times New Roman"/>
                <w:b/>
                <w:bCs/>
                <w:spacing w:val="4"/>
                <w:sz w:val="24"/>
                <w:szCs w:val="24"/>
                <w:lang w:eastAsia="zh-CN"/>
              </w:rPr>
              <w:t>污染物排放标准</w:t>
            </w:r>
          </w:p>
          <w:p w14:paraId="3C2EE1CF">
            <w:pPr>
              <w:tabs>
                <w:tab w:val="left" w:pos="1470"/>
              </w:tabs>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①运营期废气排放标准</w:t>
            </w:r>
          </w:p>
          <w:p w14:paraId="0E8020D3">
            <w:pPr>
              <w:tabs>
                <w:tab w:val="left" w:pos="1470"/>
              </w:tabs>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本项目运营期食堂油烟执行《饮食业油烟排放标准（试行）》（</w:t>
            </w:r>
            <w:r>
              <w:rPr>
                <w:rFonts w:ascii="Times New Roman" w:hAnsi="Times New Roman" w:cs="Times New Roman"/>
                <w:sz w:val="24"/>
                <w:szCs w:val="20"/>
                <w:lang w:eastAsia="zh-CN"/>
              </w:rPr>
              <w:t>GB 18483-2001）</w:t>
            </w:r>
            <w:r>
              <w:rPr>
                <w:rFonts w:hint="eastAsia" w:ascii="Times New Roman" w:hAnsi="Times New Roman" w:cs="Times New Roman"/>
                <w:sz w:val="24"/>
                <w:szCs w:val="20"/>
                <w:lang w:eastAsia="zh-CN"/>
              </w:rPr>
              <w:t>。</w:t>
            </w:r>
          </w:p>
          <w:p w14:paraId="59E27B70">
            <w:pPr>
              <w:tabs>
                <w:tab w:val="left" w:pos="1470"/>
              </w:tabs>
              <w:spacing w:line="360" w:lineRule="auto"/>
              <w:ind w:firstLine="480" w:firstLineChars="200"/>
              <w:jc w:val="both"/>
              <w:rPr>
                <w:rFonts w:ascii="Times New Roman" w:hAnsi="Times New Roman" w:cs="Times New Roman"/>
                <w:sz w:val="24"/>
                <w:szCs w:val="20"/>
                <w:lang w:eastAsia="zh-CN"/>
              </w:rPr>
            </w:pPr>
            <w:r>
              <w:rPr>
                <w:sz w:val="24"/>
                <w:szCs w:val="20"/>
                <w:lang w:eastAsia="zh-CN"/>
              </w:rPr>
              <w:t>②</w:t>
            </w:r>
            <w:r>
              <w:rPr>
                <w:rFonts w:hint="eastAsia" w:ascii="Times New Roman" w:hAnsi="Times New Roman" w:cs="Times New Roman"/>
                <w:sz w:val="24"/>
                <w:szCs w:val="20"/>
                <w:lang w:eastAsia="zh-CN"/>
              </w:rPr>
              <w:t>运营期废水排放标准</w:t>
            </w:r>
          </w:p>
          <w:p w14:paraId="60A6648E">
            <w:pPr>
              <w:tabs>
                <w:tab w:val="left" w:pos="1470"/>
              </w:tabs>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本项目新建服务区</w:t>
            </w:r>
            <w:r>
              <w:rPr>
                <w:rFonts w:ascii="Times New Roman" w:hAnsi="Times New Roman" w:cs="Times New Roman"/>
                <w:sz w:val="24"/>
                <w:szCs w:val="20"/>
                <w:lang w:eastAsia="zh-CN"/>
              </w:rPr>
              <w:t>1处，养护工区1处，收费站1处。</w:t>
            </w:r>
            <w:r>
              <w:rPr>
                <w:rFonts w:hint="eastAsia" w:ascii="Times New Roman" w:hAnsi="Times New Roman" w:cs="Times New Roman"/>
                <w:sz w:val="24"/>
                <w:szCs w:val="20"/>
                <w:lang w:eastAsia="zh-CN"/>
              </w:rPr>
              <w:t>生活污水收集处理后用于站区绿化，不外排，执行《农村生活污水处理排放标准》（</w:t>
            </w:r>
            <w:r>
              <w:rPr>
                <w:rFonts w:ascii="Times New Roman" w:hAnsi="Times New Roman" w:cs="Times New Roman"/>
                <w:sz w:val="24"/>
                <w:szCs w:val="20"/>
                <w:lang w:eastAsia="zh-CN"/>
              </w:rPr>
              <w:t>DB 65 4275-2019）表2中B级标准限值，见表3.15。</w:t>
            </w:r>
          </w:p>
          <w:p w14:paraId="6A6C98DD">
            <w:pPr>
              <w:tabs>
                <w:tab w:val="left" w:pos="1470"/>
              </w:tabs>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表</w:t>
            </w:r>
            <w:r>
              <w:rPr>
                <w:rFonts w:ascii="Times New Roman" w:hAnsi="Times New Roman" w:cs="Times New Roman"/>
                <w:b/>
                <w:bCs/>
                <w:sz w:val="21"/>
                <w:szCs w:val="21"/>
                <w:lang w:eastAsia="zh-CN"/>
              </w:rPr>
              <w:t xml:space="preserve">3.15  </w:t>
            </w:r>
            <w:r>
              <w:rPr>
                <w:rFonts w:hint="eastAsia" w:ascii="Times New Roman" w:hAnsi="Times New Roman" w:cs="Times New Roman"/>
                <w:b/>
                <w:bCs/>
                <w:sz w:val="21"/>
                <w:szCs w:val="21"/>
                <w:lang w:eastAsia="zh-CN"/>
              </w:rPr>
              <w:t>运营期废水排放</w:t>
            </w:r>
            <w:r>
              <w:rPr>
                <w:rFonts w:ascii="Times New Roman" w:hAnsi="Times New Roman" w:cs="Times New Roman"/>
                <w:b/>
                <w:bCs/>
                <w:sz w:val="21"/>
                <w:szCs w:val="21"/>
                <w:lang w:eastAsia="zh-CN"/>
              </w:rPr>
              <w:t>标准</w:t>
            </w:r>
          </w:p>
          <w:tbl>
            <w:tblPr>
              <w:tblStyle w:val="11"/>
              <w:tblW w:w="485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749"/>
              <w:gridCol w:w="5529"/>
              <w:gridCol w:w="2257"/>
            </w:tblGrid>
            <w:tr w14:paraId="016CF5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9" w:type="pct"/>
                  <w:vAlign w:val="center"/>
                </w:tcPr>
                <w:p w14:paraId="63314B19">
                  <w:pPr>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序号</w:t>
                  </w:r>
                </w:p>
              </w:tc>
              <w:tc>
                <w:tcPr>
                  <w:tcW w:w="3239" w:type="pct"/>
                  <w:vAlign w:val="center"/>
                </w:tcPr>
                <w:p w14:paraId="751ADEBD">
                  <w:pPr>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污染物</w:t>
                  </w:r>
                </w:p>
              </w:tc>
              <w:tc>
                <w:tcPr>
                  <w:tcW w:w="1323" w:type="pct"/>
                  <w:vAlign w:val="center"/>
                </w:tcPr>
                <w:p w14:paraId="22DFDEA4">
                  <w:pPr>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标准限值</w:t>
                  </w:r>
                </w:p>
              </w:tc>
            </w:tr>
            <w:tr w14:paraId="7136CF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9" w:type="pct"/>
                  <w:vAlign w:val="center"/>
                </w:tcPr>
                <w:p w14:paraId="4C0B3588">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3239" w:type="pct"/>
                  <w:vAlign w:val="center"/>
                </w:tcPr>
                <w:p w14:paraId="651182D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pH</w:t>
                  </w:r>
                </w:p>
              </w:tc>
              <w:tc>
                <w:tcPr>
                  <w:tcW w:w="1323" w:type="pct"/>
                  <w:vAlign w:val="center"/>
                </w:tcPr>
                <w:p w14:paraId="6BD54EA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6～9</w:t>
                  </w:r>
                </w:p>
              </w:tc>
            </w:tr>
            <w:tr w14:paraId="09556F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9" w:type="pct"/>
                  <w:vAlign w:val="center"/>
                </w:tcPr>
                <w:p w14:paraId="5ED3BC18">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p>
              </w:tc>
              <w:tc>
                <w:tcPr>
                  <w:tcW w:w="3239" w:type="pct"/>
                  <w:vAlign w:val="center"/>
                </w:tcPr>
                <w:p w14:paraId="7BE3CE70">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化学需氧量（CODcr），mg/L</w:t>
                  </w:r>
                </w:p>
              </w:tc>
              <w:tc>
                <w:tcPr>
                  <w:tcW w:w="1323" w:type="pct"/>
                  <w:vAlign w:val="center"/>
                </w:tcPr>
                <w:p w14:paraId="6D73AA3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180</w:t>
                  </w:r>
                </w:p>
              </w:tc>
            </w:tr>
            <w:tr w14:paraId="41ECF3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9" w:type="pct"/>
                  <w:vAlign w:val="center"/>
                </w:tcPr>
                <w:p w14:paraId="2D94D73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p>
              </w:tc>
              <w:tc>
                <w:tcPr>
                  <w:tcW w:w="3239" w:type="pct"/>
                  <w:vAlign w:val="center"/>
                </w:tcPr>
                <w:p w14:paraId="4210785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悬浮物(SS)，mg/L</w:t>
                  </w:r>
                </w:p>
              </w:tc>
              <w:tc>
                <w:tcPr>
                  <w:tcW w:w="1323" w:type="pct"/>
                  <w:vAlign w:val="center"/>
                </w:tcPr>
                <w:p w14:paraId="0CE4D5DB">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w:t>
                  </w:r>
                </w:p>
              </w:tc>
            </w:tr>
            <w:tr w14:paraId="2B255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9" w:type="pct"/>
                  <w:vAlign w:val="center"/>
                </w:tcPr>
                <w:p w14:paraId="3A55810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p>
              </w:tc>
              <w:tc>
                <w:tcPr>
                  <w:tcW w:w="3239" w:type="pct"/>
                  <w:vAlign w:val="center"/>
                </w:tcPr>
                <w:p w14:paraId="7D4354B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粪大肠菌群，MPN/个</w:t>
                  </w:r>
                </w:p>
              </w:tc>
              <w:tc>
                <w:tcPr>
                  <w:tcW w:w="1323" w:type="pct"/>
                  <w:vAlign w:val="center"/>
                </w:tcPr>
                <w:p w14:paraId="1B15B74A">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40000</w:t>
                  </w:r>
                </w:p>
              </w:tc>
            </w:tr>
            <w:tr w14:paraId="7802F0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9" w:type="pct"/>
                  <w:vAlign w:val="center"/>
                </w:tcPr>
                <w:p w14:paraId="53A2C0E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w:t>
                  </w:r>
                </w:p>
              </w:tc>
              <w:tc>
                <w:tcPr>
                  <w:tcW w:w="3239" w:type="pct"/>
                  <w:vAlign w:val="center"/>
                </w:tcPr>
                <w:p w14:paraId="25CF159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蛔虫卵个数，个/L</w:t>
                  </w:r>
                </w:p>
              </w:tc>
              <w:tc>
                <w:tcPr>
                  <w:tcW w:w="1323" w:type="pct"/>
                  <w:vAlign w:val="center"/>
                </w:tcPr>
                <w:p w14:paraId="147C1A20">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p>
              </w:tc>
            </w:tr>
          </w:tbl>
          <w:p w14:paraId="23C005EE">
            <w:pPr>
              <w:tabs>
                <w:tab w:val="left" w:pos="1470"/>
              </w:tabs>
              <w:jc w:val="center"/>
              <w:rPr>
                <w:rFonts w:ascii="Times New Roman" w:hAnsi="Times New Roman" w:cs="Times New Roman"/>
                <w:sz w:val="21"/>
                <w:szCs w:val="21"/>
                <w:lang w:eastAsia="zh-CN"/>
              </w:rPr>
            </w:pPr>
          </w:p>
          <w:p w14:paraId="18B041D2">
            <w:pPr>
              <w:tabs>
                <w:tab w:val="left" w:pos="1470"/>
              </w:tabs>
              <w:spacing w:line="360" w:lineRule="auto"/>
              <w:ind w:firstLine="480" w:firstLineChars="200"/>
              <w:jc w:val="both"/>
              <w:rPr>
                <w:rFonts w:ascii="Times New Roman" w:hAnsi="Times New Roman" w:cs="Times New Roman"/>
                <w:sz w:val="24"/>
                <w:szCs w:val="20"/>
                <w:lang w:eastAsia="zh-CN"/>
              </w:rPr>
            </w:pPr>
            <w:r>
              <w:rPr>
                <w:sz w:val="24"/>
                <w:szCs w:val="20"/>
                <w:lang w:eastAsia="zh-CN"/>
              </w:rPr>
              <w:t>③</w:t>
            </w:r>
            <w:r>
              <w:rPr>
                <w:rFonts w:hint="eastAsia" w:ascii="Times New Roman" w:hAnsi="Times New Roman" w:cs="Times New Roman"/>
                <w:sz w:val="24"/>
                <w:szCs w:val="20"/>
                <w:lang w:eastAsia="zh-CN"/>
              </w:rPr>
              <w:t>运营期噪声排放标准</w:t>
            </w:r>
          </w:p>
          <w:p w14:paraId="3CD9DE45">
            <w:pPr>
              <w:tabs>
                <w:tab w:val="left" w:pos="1470"/>
              </w:tabs>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运营期，本项目道路边界线外</w:t>
            </w:r>
            <w:r>
              <w:rPr>
                <w:rFonts w:ascii="Times New Roman" w:hAnsi="Times New Roman" w:cs="Times New Roman"/>
                <w:sz w:val="24"/>
                <w:szCs w:val="20"/>
                <w:lang w:eastAsia="zh-CN"/>
              </w:rPr>
              <w:t>35m范围内</w:t>
            </w:r>
            <w:r>
              <w:rPr>
                <w:rFonts w:hint="eastAsia" w:ascii="Times New Roman" w:hAnsi="Times New Roman" w:cs="Times New Roman"/>
                <w:sz w:val="24"/>
                <w:szCs w:val="20"/>
                <w:lang w:eastAsia="zh-CN"/>
              </w:rPr>
              <w:t>交通噪声</w:t>
            </w:r>
            <w:r>
              <w:rPr>
                <w:rFonts w:ascii="Times New Roman" w:hAnsi="Times New Roman" w:cs="Times New Roman"/>
                <w:sz w:val="24"/>
                <w:szCs w:val="20"/>
                <w:lang w:eastAsia="zh-CN"/>
              </w:rPr>
              <w:t>执行《声环境质量标准》（GB 3096-2008）的4a类标准，35m范围外执行2类标准</w:t>
            </w:r>
            <w:r>
              <w:rPr>
                <w:rFonts w:hint="eastAsia" w:ascii="Times New Roman" w:hAnsi="Times New Roman" w:cs="Times New Roman"/>
                <w:sz w:val="24"/>
                <w:szCs w:val="20"/>
                <w:lang w:eastAsia="zh-CN"/>
              </w:rPr>
              <w:t>。详见表</w:t>
            </w:r>
            <w:r>
              <w:rPr>
                <w:rFonts w:ascii="Times New Roman" w:hAnsi="Times New Roman" w:cs="Times New Roman"/>
                <w:sz w:val="24"/>
                <w:szCs w:val="20"/>
                <w:lang w:eastAsia="zh-CN"/>
              </w:rPr>
              <w:t>3.16</w:t>
            </w:r>
            <w:r>
              <w:rPr>
                <w:rFonts w:hint="eastAsia" w:ascii="Times New Roman" w:hAnsi="Times New Roman" w:cs="Times New Roman"/>
                <w:sz w:val="24"/>
                <w:szCs w:val="20"/>
                <w:lang w:eastAsia="zh-CN"/>
              </w:rPr>
              <w:t>。</w:t>
            </w:r>
          </w:p>
          <w:p w14:paraId="0D30D3C3">
            <w:pPr>
              <w:jc w:val="center"/>
              <w:rPr>
                <w:rFonts w:ascii="Times New Roman" w:hAnsi="Times New Roman" w:cs="Times New Roman"/>
                <w:b/>
                <w:bCs/>
                <w:szCs w:val="21"/>
                <w:lang w:eastAsia="zh-CN"/>
              </w:rPr>
            </w:pPr>
            <w:r>
              <w:rPr>
                <w:rFonts w:hint="eastAsia" w:ascii="Times New Roman" w:hAnsi="Times New Roman" w:cs="Times New Roman"/>
                <w:b/>
                <w:bCs/>
                <w:szCs w:val="21"/>
                <w:lang w:eastAsia="zh-CN"/>
              </w:rPr>
              <w:t>表</w:t>
            </w:r>
            <w:r>
              <w:rPr>
                <w:rFonts w:ascii="Times New Roman" w:hAnsi="Times New Roman" w:cs="Times New Roman"/>
                <w:b/>
                <w:bCs/>
                <w:szCs w:val="21"/>
                <w:lang w:eastAsia="zh-CN"/>
              </w:rPr>
              <w:t xml:space="preserve">3.16  </w:t>
            </w:r>
            <w:r>
              <w:rPr>
                <w:rFonts w:hint="eastAsia" w:ascii="Times New Roman" w:hAnsi="Times New Roman" w:cs="Times New Roman"/>
                <w:b/>
                <w:bCs/>
                <w:szCs w:val="21"/>
                <w:lang w:eastAsia="zh-CN"/>
              </w:rPr>
              <w:t>运营期噪声排放</w:t>
            </w:r>
            <w:r>
              <w:rPr>
                <w:rFonts w:ascii="Times New Roman" w:hAnsi="Times New Roman" w:cs="Times New Roman"/>
                <w:b/>
                <w:bCs/>
                <w:szCs w:val="21"/>
                <w:lang w:eastAsia="zh-CN"/>
              </w:rPr>
              <w:t>标准    单位：dB（A）</w:t>
            </w:r>
          </w:p>
          <w:tbl>
            <w:tblPr>
              <w:tblStyle w:val="11"/>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3"/>
              <w:gridCol w:w="1612"/>
              <w:gridCol w:w="1612"/>
              <w:gridCol w:w="1495"/>
            </w:tblGrid>
            <w:tr w14:paraId="0A4E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13" w:type="pct"/>
                  <w:vAlign w:val="center"/>
                </w:tcPr>
                <w:p w14:paraId="25389963">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声环境功能区</w:t>
                  </w:r>
                  <w:r>
                    <w:rPr>
                      <w:rFonts w:ascii="Times New Roman" w:hAnsi="Times New Roman" w:cs="Times New Roman"/>
                      <w:b/>
                      <w:bCs/>
                      <w:sz w:val="21"/>
                      <w:szCs w:val="21"/>
                      <w:lang w:eastAsia="zh-CN"/>
                    </w:rPr>
                    <w:t>类别</w:t>
                  </w:r>
                </w:p>
              </w:tc>
              <w:tc>
                <w:tcPr>
                  <w:tcW w:w="918" w:type="pct"/>
                </w:tcPr>
                <w:p w14:paraId="076131A0">
                  <w:pPr>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适用范围</w:t>
                  </w:r>
                </w:p>
              </w:tc>
              <w:tc>
                <w:tcPr>
                  <w:tcW w:w="918" w:type="pct"/>
                  <w:vAlign w:val="center"/>
                </w:tcPr>
                <w:p w14:paraId="36B9859E">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昼间</w:t>
                  </w:r>
                </w:p>
              </w:tc>
              <w:tc>
                <w:tcPr>
                  <w:tcW w:w="851" w:type="pct"/>
                  <w:vAlign w:val="center"/>
                </w:tcPr>
                <w:p w14:paraId="0647C49C">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夜间</w:t>
                  </w:r>
                </w:p>
              </w:tc>
            </w:tr>
            <w:tr w14:paraId="0189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13" w:type="pct"/>
                  <w:vAlign w:val="center"/>
                </w:tcPr>
                <w:p w14:paraId="7954FE6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w:t>
                  </w:r>
                  <w:r>
                    <w:rPr>
                      <w:rFonts w:ascii="Times New Roman" w:hAnsi="Times New Roman" w:cs="Times New Roman"/>
                      <w:sz w:val="21"/>
                      <w:szCs w:val="21"/>
                      <w:lang w:eastAsia="zh-CN"/>
                    </w:rPr>
                    <w:t>a</w:t>
                  </w:r>
                  <w:r>
                    <w:rPr>
                      <w:rFonts w:hint="eastAsia" w:ascii="Times New Roman" w:hAnsi="Times New Roman" w:cs="Times New Roman"/>
                      <w:sz w:val="21"/>
                      <w:szCs w:val="21"/>
                      <w:lang w:eastAsia="zh-CN"/>
                    </w:rPr>
                    <w:t>类</w:t>
                  </w:r>
                </w:p>
              </w:tc>
              <w:tc>
                <w:tcPr>
                  <w:tcW w:w="918" w:type="pct"/>
                </w:tcPr>
                <w:p w14:paraId="4CB107A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边界线3</w:t>
                  </w:r>
                  <w:r>
                    <w:rPr>
                      <w:rFonts w:ascii="Times New Roman" w:hAnsi="Times New Roman" w:cs="Times New Roman"/>
                      <w:sz w:val="21"/>
                      <w:szCs w:val="21"/>
                      <w:lang w:eastAsia="zh-CN"/>
                    </w:rPr>
                    <w:t>5m</w:t>
                  </w:r>
                  <w:r>
                    <w:rPr>
                      <w:rFonts w:hint="eastAsia" w:ascii="Times New Roman" w:hAnsi="Times New Roman" w:cs="Times New Roman"/>
                      <w:sz w:val="21"/>
                      <w:szCs w:val="21"/>
                      <w:lang w:eastAsia="zh-CN"/>
                    </w:rPr>
                    <w:t>内</w:t>
                  </w:r>
                </w:p>
              </w:tc>
              <w:tc>
                <w:tcPr>
                  <w:tcW w:w="918" w:type="pct"/>
                  <w:vAlign w:val="center"/>
                </w:tcPr>
                <w:p w14:paraId="3E7FF8F9">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7</w:t>
                  </w:r>
                  <w:r>
                    <w:rPr>
                      <w:rFonts w:ascii="Times New Roman" w:hAnsi="Times New Roman" w:cs="Times New Roman"/>
                      <w:sz w:val="21"/>
                      <w:szCs w:val="21"/>
                      <w:lang w:eastAsia="zh-CN"/>
                    </w:rPr>
                    <w:t>0</w:t>
                  </w:r>
                </w:p>
              </w:tc>
              <w:tc>
                <w:tcPr>
                  <w:tcW w:w="851" w:type="pct"/>
                  <w:vAlign w:val="center"/>
                </w:tcPr>
                <w:p w14:paraId="4E7F37B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5</w:t>
                  </w:r>
                </w:p>
              </w:tc>
            </w:tr>
            <w:tr w14:paraId="1264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13" w:type="pct"/>
                  <w:vAlign w:val="center"/>
                </w:tcPr>
                <w:p w14:paraId="219D63F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2类</w:t>
                  </w:r>
                </w:p>
              </w:tc>
              <w:tc>
                <w:tcPr>
                  <w:tcW w:w="918" w:type="pct"/>
                </w:tcPr>
                <w:p w14:paraId="2E10BA7F">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边界线3</w:t>
                  </w:r>
                  <w:r>
                    <w:rPr>
                      <w:rFonts w:ascii="Times New Roman" w:hAnsi="Times New Roman" w:cs="Times New Roman"/>
                      <w:sz w:val="21"/>
                      <w:szCs w:val="21"/>
                      <w:lang w:eastAsia="zh-CN"/>
                    </w:rPr>
                    <w:t>5m</w:t>
                  </w:r>
                  <w:r>
                    <w:rPr>
                      <w:rFonts w:hint="eastAsia" w:ascii="Times New Roman" w:hAnsi="Times New Roman" w:cs="Times New Roman"/>
                      <w:sz w:val="21"/>
                      <w:szCs w:val="21"/>
                      <w:lang w:eastAsia="zh-CN"/>
                    </w:rPr>
                    <w:t>外</w:t>
                  </w:r>
                </w:p>
              </w:tc>
              <w:tc>
                <w:tcPr>
                  <w:tcW w:w="918" w:type="pct"/>
                  <w:vAlign w:val="center"/>
                </w:tcPr>
                <w:p w14:paraId="52CF6F38">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60</w:t>
                  </w:r>
                </w:p>
              </w:tc>
              <w:tc>
                <w:tcPr>
                  <w:tcW w:w="851" w:type="pct"/>
                  <w:vAlign w:val="center"/>
                </w:tcPr>
                <w:p w14:paraId="7AEA87B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50</w:t>
                  </w:r>
                </w:p>
              </w:tc>
            </w:tr>
          </w:tbl>
          <w:p w14:paraId="44775AB1">
            <w:pPr>
              <w:jc w:val="center"/>
              <w:rPr>
                <w:szCs w:val="21"/>
                <w:lang w:eastAsia="zh-CN"/>
              </w:rPr>
            </w:pPr>
          </w:p>
          <w:p w14:paraId="31DF1C8E">
            <w:pPr>
              <w:tabs>
                <w:tab w:val="left" w:pos="1470"/>
              </w:tabs>
              <w:spacing w:line="360" w:lineRule="auto"/>
              <w:ind w:firstLine="480" w:firstLineChars="200"/>
              <w:jc w:val="both"/>
              <w:rPr>
                <w:rFonts w:ascii="Times New Roman" w:hAnsi="Times New Roman" w:cs="Times New Roman"/>
                <w:sz w:val="24"/>
                <w:szCs w:val="20"/>
                <w:lang w:eastAsia="zh-CN"/>
              </w:rPr>
            </w:pPr>
            <w:r>
              <w:rPr>
                <w:sz w:val="24"/>
                <w:szCs w:val="20"/>
                <w:lang w:eastAsia="zh-CN"/>
              </w:rPr>
              <w:t>④</w:t>
            </w:r>
            <w:r>
              <w:rPr>
                <w:rFonts w:hint="eastAsia" w:ascii="Times New Roman" w:hAnsi="Times New Roman" w:cs="Times New Roman"/>
                <w:sz w:val="24"/>
                <w:szCs w:val="20"/>
                <w:lang w:eastAsia="zh-CN"/>
              </w:rPr>
              <w:t>固体废物控制</w:t>
            </w:r>
            <w:r>
              <w:rPr>
                <w:rFonts w:ascii="Times New Roman" w:hAnsi="Times New Roman" w:cs="Times New Roman"/>
                <w:sz w:val="24"/>
                <w:szCs w:val="20"/>
                <w:lang w:eastAsia="zh-CN"/>
              </w:rPr>
              <w:t>标准</w:t>
            </w:r>
          </w:p>
          <w:p w14:paraId="57574EC6">
            <w:pPr>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项目运营期，一般工业固体废物暂存执行《一般工业固体废物贮存和填埋污染物控制标准》（</w:t>
            </w:r>
            <w:r>
              <w:rPr>
                <w:rFonts w:ascii="Times New Roman" w:hAnsi="Times New Roman" w:cs="Times New Roman"/>
                <w:sz w:val="24"/>
                <w:szCs w:val="20"/>
                <w:lang w:eastAsia="zh-CN"/>
              </w:rPr>
              <w:t>GB 18599-2020）；危险废物暂存执行《危险废物贮存污染控制标准》（GB 18597-2023）。</w:t>
            </w:r>
          </w:p>
          <w:p w14:paraId="13367805">
            <w:pPr>
              <w:spacing w:line="360" w:lineRule="auto"/>
              <w:jc w:val="both"/>
              <w:rPr>
                <w:rFonts w:ascii="Times New Roman" w:hAnsi="Times New Roman" w:cs="Times New Roman"/>
                <w:spacing w:val="4"/>
                <w:sz w:val="28"/>
                <w:szCs w:val="28"/>
                <w:lang w:eastAsia="zh-CN"/>
              </w:rPr>
            </w:pPr>
          </w:p>
          <w:p w14:paraId="70CA4274">
            <w:pPr>
              <w:spacing w:line="360" w:lineRule="auto"/>
              <w:jc w:val="both"/>
              <w:rPr>
                <w:rFonts w:ascii="Times New Roman" w:hAnsi="Times New Roman" w:cs="Times New Roman"/>
                <w:spacing w:val="4"/>
                <w:sz w:val="28"/>
                <w:szCs w:val="28"/>
                <w:lang w:eastAsia="zh-CN"/>
              </w:rPr>
            </w:pPr>
          </w:p>
          <w:p w14:paraId="296EB6DB">
            <w:pPr>
              <w:spacing w:line="360" w:lineRule="auto"/>
              <w:jc w:val="both"/>
              <w:rPr>
                <w:rFonts w:ascii="Times New Roman" w:hAnsi="Times New Roman" w:cs="Times New Roman"/>
                <w:spacing w:val="4"/>
                <w:sz w:val="28"/>
                <w:szCs w:val="28"/>
                <w:lang w:eastAsia="zh-CN"/>
              </w:rPr>
            </w:pPr>
          </w:p>
          <w:p w14:paraId="4D946BE1">
            <w:pPr>
              <w:spacing w:line="360" w:lineRule="auto"/>
              <w:jc w:val="both"/>
              <w:rPr>
                <w:rFonts w:ascii="Times New Roman" w:hAnsi="Times New Roman" w:cs="Times New Roman"/>
                <w:spacing w:val="4"/>
                <w:sz w:val="28"/>
                <w:szCs w:val="28"/>
                <w:lang w:eastAsia="zh-CN"/>
              </w:rPr>
            </w:pPr>
          </w:p>
          <w:p w14:paraId="27E4A83B">
            <w:pPr>
              <w:spacing w:line="360" w:lineRule="auto"/>
              <w:jc w:val="both"/>
              <w:rPr>
                <w:rFonts w:ascii="Times New Roman" w:hAnsi="Times New Roman" w:cs="Times New Roman"/>
                <w:spacing w:val="4"/>
                <w:sz w:val="28"/>
                <w:szCs w:val="28"/>
                <w:lang w:eastAsia="zh-CN"/>
              </w:rPr>
            </w:pPr>
          </w:p>
          <w:p w14:paraId="7CFD7408">
            <w:pPr>
              <w:spacing w:line="360" w:lineRule="auto"/>
              <w:jc w:val="both"/>
              <w:rPr>
                <w:rFonts w:ascii="Times New Roman" w:hAnsi="Times New Roman" w:cs="Times New Roman"/>
                <w:spacing w:val="4"/>
                <w:sz w:val="28"/>
                <w:szCs w:val="28"/>
                <w:lang w:eastAsia="zh-CN"/>
              </w:rPr>
            </w:pPr>
          </w:p>
          <w:p w14:paraId="6A334364">
            <w:pPr>
              <w:spacing w:line="360" w:lineRule="auto"/>
              <w:jc w:val="both"/>
              <w:rPr>
                <w:rFonts w:ascii="Times New Roman" w:hAnsi="Times New Roman" w:cs="Times New Roman"/>
                <w:spacing w:val="4"/>
                <w:sz w:val="28"/>
                <w:szCs w:val="28"/>
                <w:lang w:eastAsia="zh-CN"/>
              </w:rPr>
            </w:pPr>
          </w:p>
          <w:p w14:paraId="286FB149">
            <w:pPr>
              <w:spacing w:line="360" w:lineRule="auto"/>
              <w:jc w:val="both"/>
              <w:rPr>
                <w:rFonts w:ascii="Times New Roman" w:hAnsi="Times New Roman" w:cs="Times New Roman"/>
                <w:spacing w:val="4"/>
                <w:sz w:val="28"/>
                <w:szCs w:val="28"/>
                <w:lang w:eastAsia="zh-CN"/>
              </w:rPr>
            </w:pPr>
          </w:p>
          <w:p w14:paraId="11F98E31">
            <w:pPr>
              <w:spacing w:line="360" w:lineRule="auto"/>
              <w:jc w:val="both"/>
              <w:rPr>
                <w:rFonts w:ascii="Times New Roman" w:hAnsi="Times New Roman" w:cs="Times New Roman"/>
                <w:spacing w:val="4"/>
                <w:sz w:val="28"/>
                <w:szCs w:val="28"/>
                <w:lang w:eastAsia="zh-CN"/>
              </w:rPr>
            </w:pPr>
          </w:p>
          <w:p w14:paraId="6258BB07">
            <w:pPr>
              <w:spacing w:line="360" w:lineRule="auto"/>
              <w:jc w:val="both"/>
              <w:rPr>
                <w:rFonts w:ascii="Times New Roman" w:hAnsi="Times New Roman" w:cs="Times New Roman"/>
                <w:spacing w:val="4"/>
                <w:sz w:val="28"/>
                <w:szCs w:val="28"/>
                <w:lang w:eastAsia="zh-CN"/>
              </w:rPr>
            </w:pPr>
          </w:p>
          <w:p w14:paraId="107291AA">
            <w:pPr>
              <w:spacing w:line="360" w:lineRule="auto"/>
              <w:jc w:val="both"/>
              <w:rPr>
                <w:rFonts w:ascii="Times New Roman" w:hAnsi="Times New Roman" w:cs="Times New Roman"/>
                <w:spacing w:val="4"/>
                <w:sz w:val="28"/>
                <w:szCs w:val="28"/>
                <w:lang w:eastAsia="zh-CN"/>
              </w:rPr>
            </w:pPr>
          </w:p>
          <w:p w14:paraId="57BE3D8D">
            <w:pPr>
              <w:spacing w:line="360" w:lineRule="auto"/>
              <w:jc w:val="both"/>
              <w:rPr>
                <w:rFonts w:ascii="Times New Roman" w:hAnsi="Times New Roman" w:cs="Times New Roman"/>
                <w:spacing w:val="4"/>
                <w:sz w:val="28"/>
                <w:szCs w:val="28"/>
                <w:lang w:eastAsia="zh-CN"/>
              </w:rPr>
            </w:pPr>
          </w:p>
          <w:p w14:paraId="36ADF363">
            <w:pPr>
              <w:spacing w:line="360" w:lineRule="auto"/>
              <w:jc w:val="both"/>
              <w:rPr>
                <w:rFonts w:ascii="Times New Roman" w:hAnsi="Times New Roman" w:cs="Times New Roman"/>
                <w:spacing w:val="4"/>
                <w:sz w:val="28"/>
                <w:szCs w:val="28"/>
                <w:lang w:eastAsia="zh-CN"/>
              </w:rPr>
            </w:pPr>
          </w:p>
          <w:p w14:paraId="42AA958E">
            <w:pPr>
              <w:spacing w:line="360" w:lineRule="auto"/>
              <w:jc w:val="both"/>
              <w:rPr>
                <w:rFonts w:ascii="Times New Roman" w:hAnsi="Times New Roman" w:cs="Times New Roman"/>
                <w:spacing w:val="4"/>
                <w:sz w:val="28"/>
                <w:szCs w:val="28"/>
                <w:lang w:eastAsia="zh-CN"/>
              </w:rPr>
            </w:pPr>
          </w:p>
          <w:p w14:paraId="67EF896B">
            <w:pPr>
              <w:spacing w:line="360" w:lineRule="auto"/>
              <w:jc w:val="both"/>
              <w:rPr>
                <w:rFonts w:ascii="Times New Roman" w:hAnsi="Times New Roman" w:cs="Times New Roman"/>
                <w:spacing w:val="4"/>
                <w:sz w:val="28"/>
                <w:szCs w:val="28"/>
                <w:lang w:eastAsia="zh-CN"/>
              </w:rPr>
            </w:pPr>
          </w:p>
          <w:p w14:paraId="1362CA06">
            <w:pPr>
              <w:spacing w:line="360" w:lineRule="auto"/>
              <w:jc w:val="both"/>
              <w:rPr>
                <w:rFonts w:ascii="Times New Roman" w:hAnsi="Times New Roman" w:cs="Times New Roman"/>
                <w:spacing w:val="4"/>
                <w:sz w:val="28"/>
                <w:szCs w:val="28"/>
                <w:lang w:eastAsia="zh-CN"/>
              </w:rPr>
            </w:pPr>
          </w:p>
          <w:p w14:paraId="672F9EA1">
            <w:pPr>
              <w:spacing w:line="360" w:lineRule="auto"/>
              <w:jc w:val="both"/>
              <w:rPr>
                <w:rFonts w:ascii="Times New Roman" w:hAnsi="Times New Roman" w:cs="Times New Roman"/>
                <w:spacing w:val="4"/>
                <w:sz w:val="28"/>
                <w:szCs w:val="28"/>
                <w:lang w:eastAsia="zh-CN"/>
              </w:rPr>
            </w:pPr>
          </w:p>
          <w:p w14:paraId="5D19BA1A">
            <w:pPr>
              <w:spacing w:line="360" w:lineRule="auto"/>
              <w:jc w:val="both"/>
              <w:rPr>
                <w:rFonts w:ascii="Times New Roman" w:hAnsi="Times New Roman" w:cs="Times New Roman"/>
                <w:spacing w:val="4"/>
                <w:sz w:val="28"/>
                <w:szCs w:val="28"/>
                <w:lang w:eastAsia="zh-CN"/>
              </w:rPr>
            </w:pPr>
          </w:p>
          <w:p w14:paraId="2A19337F">
            <w:pPr>
              <w:spacing w:line="360" w:lineRule="auto"/>
              <w:jc w:val="both"/>
              <w:rPr>
                <w:rFonts w:ascii="Times New Roman" w:hAnsi="Times New Roman" w:cs="Times New Roman"/>
                <w:spacing w:val="4"/>
                <w:sz w:val="28"/>
                <w:szCs w:val="28"/>
                <w:lang w:eastAsia="zh-CN"/>
              </w:rPr>
            </w:pPr>
          </w:p>
          <w:p w14:paraId="3F3CD86E">
            <w:pPr>
              <w:spacing w:line="360" w:lineRule="auto"/>
              <w:jc w:val="both"/>
              <w:rPr>
                <w:rFonts w:ascii="Times New Roman" w:hAnsi="Times New Roman" w:cs="Times New Roman"/>
                <w:spacing w:val="4"/>
                <w:sz w:val="28"/>
                <w:szCs w:val="28"/>
                <w:lang w:eastAsia="zh-CN"/>
              </w:rPr>
            </w:pPr>
          </w:p>
          <w:p w14:paraId="14128D6B">
            <w:pPr>
              <w:spacing w:line="360" w:lineRule="auto"/>
              <w:jc w:val="both"/>
              <w:rPr>
                <w:rFonts w:ascii="Times New Roman" w:hAnsi="Times New Roman" w:cs="Times New Roman"/>
                <w:spacing w:val="4"/>
                <w:sz w:val="28"/>
                <w:szCs w:val="28"/>
                <w:lang w:eastAsia="zh-CN"/>
              </w:rPr>
            </w:pPr>
          </w:p>
          <w:p w14:paraId="078A59F3">
            <w:pPr>
              <w:spacing w:line="360" w:lineRule="auto"/>
              <w:jc w:val="both"/>
              <w:rPr>
                <w:rFonts w:ascii="Times New Roman" w:hAnsi="Times New Roman" w:cs="Times New Roman"/>
                <w:spacing w:val="4"/>
                <w:sz w:val="28"/>
                <w:szCs w:val="28"/>
                <w:lang w:eastAsia="zh-CN"/>
              </w:rPr>
            </w:pPr>
          </w:p>
          <w:p w14:paraId="32174169">
            <w:pPr>
              <w:spacing w:line="360" w:lineRule="auto"/>
              <w:jc w:val="both"/>
              <w:rPr>
                <w:rFonts w:ascii="Times New Roman" w:hAnsi="Times New Roman" w:cs="Times New Roman"/>
                <w:spacing w:val="4"/>
                <w:sz w:val="28"/>
                <w:szCs w:val="28"/>
                <w:lang w:eastAsia="zh-CN"/>
              </w:rPr>
            </w:pPr>
          </w:p>
          <w:p w14:paraId="74C7984E">
            <w:pPr>
              <w:spacing w:line="360" w:lineRule="auto"/>
              <w:jc w:val="both"/>
              <w:rPr>
                <w:rFonts w:ascii="Times New Roman" w:hAnsi="Times New Roman" w:cs="Times New Roman"/>
                <w:spacing w:val="4"/>
                <w:sz w:val="28"/>
                <w:szCs w:val="28"/>
                <w:lang w:eastAsia="zh-CN"/>
              </w:rPr>
            </w:pPr>
          </w:p>
          <w:p w14:paraId="09403D40">
            <w:pPr>
              <w:spacing w:line="360" w:lineRule="auto"/>
              <w:jc w:val="both"/>
              <w:rPr>
                <w:rFonts w:ascii="Times New Roman" w:hAnsi="Times New Roman" w:cs="Times New Roman"/>
                <w:spacing w:val="4"/>
                <w:sz w:val="28"/>
                <w:szCs w:val="28"/>
                <w:lang w:eastAsia="zh-CN"/>
              </w:rPr>
            </w:pPr>
          </w:p>
          <w:p w14:paraId="59B39656">
            <w:pPr>
              <w:spacing w:line="360" w:lineRule="auto"/>
              <w:jc w:val="both"/>
              <w:rPr>
                <w:rFonts w:ascii="Times New Roman" w:hAnsi="Times New Roman" w:cs="Times New Roman"/>
                <w:spacing w:val="4"/>
                <w:sz w:val="28"/>
                <w:szCs w:val="28"/>
                <w:lang w:eastAsia="zh-CN"/>
              </w:rPr>
            </w:pPr>
          </w:p>
        </w:tc>
      </w:tr>
      <w:tr w14:paraId="3ED6D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24" w:hRule="atLeast"/>
        </w:trPr>
        <w:tc>
          <w:tcPr>
            <w:tcW w:w="400" w:type="pct"/>
            <w:tcBorders>
              <w:top w:val="single" w:color="000000" w:sz="4" w:space="0"/>
              <w:right w:val="single" w:color="000000" w:sz="4" w:space="0"/>
            </w:tcBorders>
            <w:vAlign w:val="center"/>
          </w:tcPr>
          <w:p w14:paraId="3344C5A8">
            <w:pPr>
              <w:jc w:val="center"/>
              <w:rPr>
                <w:rFonts w:ascii="Times New Roman" w:hAnsi="Times New Roman" w:cs="Times New Roman"/>
                <w:b/>
                <w:sz w:val="24"/>
                <w:szCs w:val="24"/>
              </w:rPr>
            </w:pPr>
            <w:r>
              <w:rPr>
                <w:rFonts w:ascii="Times New Roman" w:hAnsi="Times New Roman" w:cs="Times New Roman"/>
                <w:b/>
                <w:sz w:val="24"/>
                <w:szCs w:val="24"/>
              </w:rPr>
              <w:t>其他</w:t>
            </w:r>
          </w:p>
        </w:tc>
        <w:tc>
          <w:tcPr>
            <w:tcW w:w="4577" w:type="pct"/>
            <w:tcBorders>
              <w:top w:val="single" w:color="000000" w:sz="4" w:space="0"/>
              <w:left w:val="single" w:color="000000" w:sz="4" w:space="0"/>
            </w:tcBorders>
            <w:vAlign w:val="center"/>
          </w:tcPr>
          <w:p w14:paraId="705F82D0">
            <w:pPr>
              <w:spacing w:before="120" w:beforeLines="50"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根据国家生态环境部已颁布的《国家环境保护“十四五”规划》的总量控制计划，本项目属于新建公路类项目，结合本项目所在区域的环境特征及本项目排污情况，项目污染物排放主要集中在施工期，为短暂性污染，污染影响随着施工期结束而消除，运营期无重点管控污染物的排放，因此本项目无需申请总量控制指标。</w:t>
            </w:r>
          </w:p>
          <w:p w14:paraId="1B2A5C07">
            <w:pPr>
              <w:spacing w:before="120" w:beforeLines="50" w:line="360" w:lineRule="auto"/>
              <w:ind w:firstLine="480" w:firstLineChars="200"/>
              <w:jc w:val="both"/>
              <w:rPr>
                <w:rFonts w:ascii="Times New Roman" w:hAnsi="Times New Roman" w:cs="Times New Roman"/>
                <w:sz w:val="24"/>
                <w:szCs w:val="20"/>
                <w:lang w:eastAsia="zh-CN"/>
              </w:rPr>
            </w:pPr>
          </w:p>
          <w:p w14:paraId="431932C3">
            <w:pPr>
              <w:spacing w:before="120" w:beforeLines="50" w:line="360" w:lineRule="auto"/>
              <w:ind w:firstLine="480" w:firstLineChars="200"/>
              <w:jc w:val="both"/>
              <w:rPr>
                <w:rFonts w:ascii="Times New Roman" w:hAnsi="Times New Roman" w:cs="Times New Roman"/>
                <w:sz w:val="24"/>
                <w:szCs w:val="20"/>
                <w:lang w:eastAsia="zh-CN"/>
              </w:rPr>
            </w:pPr>
          </w:p>
          <w:p w14:paraId="38BD41DA">
            <w:pPr>
              <w:spacing w:before="120" w:beforeLines="50" w:line="360" w:lineRule="auto"/>
              <w:ind w:firstLine="480" w:firstLineChars="200"/>
              <w:jc w:val="both"/>
              <w:rPr>
                <w:rFonts w:ascii="Times New Roman" w:hAnsi="Times New Roman" w:cs="Times New Roman"/>
                <w:sz w:val="24"/>
                <w:szCs w:val="20"/>
                <w:lang w:eastAsia="zh-CN"/>
              </w:rPr>
            </w:pPr>
          </w:p>
          <w:p w14:paraId="4F9407F5">
            <w:pPr>
              <w:spacing w:before="120" w:beforeLines="50" w:line="360" w:lineRule="auto"/>
              <w:ind w:firstLine="480" w:firstLineChars="200"/>
              <w:jc w:val="both"/>
              <w:rPr>
                <w:rFonts w:ascii="Times New Roman" w:hAnsi="Times New Roman" w:cs="Times New Roman"/>
                <w:sz w:val="24"/>
                <w:szCs w:val="20"/>
                <w:lang w:eastAsia="zh-CN"/>
              </w:rPr>
            </w:pPr>
          </w:p>
          <w:p w14:paraId="7D0231F2">
            <w:pPr>
              <w:spacing w:before="120" w:beforeLines="50" w:line="360" w:lineRule="auto"/>
              <w:ind w:firstLine="480" w:firstLineChars="200"/>
              <w:jc w:val="both"/>
              <w:rPr>
                <w:rFonts w:ascii="Times New Roman" w:hAnsi="Times New Roman" w:cs="Times New Roman"/>
                <w:sz w:val="24"/>
                <w:szCs w:val="20"/>
                <w:lang w:eastAsia="zh-CN"/>
              </w:rPr>
            </w:pPr>
          </w:p>
          <w:p w14:paraId="5842F8FD">
            <w:pPr>
              <w:spacing w:before="120" w:beforeLines="50" w:line="360" w:lineRule="auto"/>
              <w:ind w:firstLine="480" w:firstLineChars="200"/>
              <w:jc w:val="both"/>
              <w:rPr>
                <w:rFonts w:ascii="Times New Roman" w:hAnsi="Times New Roman" w:cs="Times New Roman"/>
                <w:sz w:val="24"/>
                <w:szCs w:val="20"/>
                <w:lang w:eastAsia="zh-CN"/>
              </w:rPr>
            </w:pPr>
          </w:p>
          <w:p w14:paraId="1C56E74A">
            <w:pPr>
              <w:spacing w:before="120" w:beforeLines="50" w:line="360" w:lineRule="auto"/>
              <w:ind w:firstLine="480" w:firstLineChars="200"/>
              <w:jc w:val="both"/>
              <w:rPr>
                <w:rFonts w:ascii="Times New Roman" w:hAnsi="Times New Roman" w:cs="Times New Roman"/>
                <w:sz w:val="24"/>
                <w:szCs w:val="20"/>
                <w:lang w:eastAsia="zh-CN"/>
              </w:rPr>
            </w:pPr>
          </w:p>
          <w:p w14:paraId="4CF3D281">
            <w:pPr>
              <w:spacing w:before="120" w:beforeLines="50" w:line="360" w:lineRule="auto"/>
              <w:ind w:firstLine="480" w:firstLineChars="200"/>
              <w:jc w:val="both"/>
              <w:rPr>
                <w:rFonts w:ascii="Times New Roman" w:hAnsi="Times New Roman" w:cs="Times New Roman"/>
                <w:sz w:val="24"/>
                <w:szCs w:val="20"/>
                <w:lang w:eastAsia="zh-CN"/>
              </w:rPr>
            </w:pPr>
          </w:p>
          <w:p w14:paraId="40DF89C9">
            <w:pPr>
              <w:spacing w:before="120" w:beforeLines="50" w:line="360" w:lineRule="auto"/>
              <w:ind w:firstLine="480" w:firstLineChars="200"/>
              <w:jc w:val="both"/>
              <w:rPr>
                <w:rFonts w:ascii="Times New Roman" w:hAnsi="Times New Roman" w:cs="Times New Roman"/>
                <w:sz w:val="24"/>
                <w:szCs w:val="20"/>
                <w:lang w:eastAsia="zh-CN"/>
              </w:rPr>
            </w:pPr>
          </w:p>
          <w:p w14:paraId="5AB5C593">
            <w:pPr>
              <w:spacing w:before="120" w:beforeLines="50" w:line="360" w:lineRule="auto"/>
              <w:ind w:firstLine="480" w:firstLineChars="200"/>
              <w:jc w:val="both"/>
              <w:rPr>
                <w:rFonts w:ascii="Times New Roman" w:hAnsi="Times New Roman" w:cs="Times New Roman"/>
                <w:sz w:val="24"/>
                <w:szCs w:val="20"/>
                <w:lang w:eastAsia="zh-CN"/>
              </w:rPr>
            </w:pPr>
          </w:p>
          <w:p w14:paraId="0A698547">
            <w:pPr>
              <w:spacing w:before="120" w:beforeLines="50" w:line="360" w:lineRule="auto"/>
              <w:ind w:firstLine="480" w:firstLineChars="200"/>
              <w:jc w:val="both"/>
              <w:rPr>
                <w:rFonts w:ascii="Times New Roman" w:hAnsi="Times New Roman" w:cs="Times New Roman"/>
                <w:sz w:val="24"/>
                <w:szCs w:val="20"/>
                <w:lang w:eastAsia="zh-CN"/>
              </w:rPr>
            </w:pPr>
          </w:p>
          <w:p w14:paraId="0D2AA55A">
            <w:pPr>
              <w:spacing w:before="120" w:beforeLines="50" w:line="360" w:lineRule="auto"/>
              <w:ind w:firstLine="480" w:firstLineChars="200"/>
              <w:jc w:val="both"/>
              <w:rPr>
                <w:rFonts w:ascii="Times New Roman" w:hAnsi="Times New Roman" w:cs="Times New Roman"/>
                <w:sz w:val="24"/>
                <w:szCs w:val="20"/>
                <w:lang w:eastAsia="zh-CN"/>
              </w:rPr>
            </w:pPr>
          </w:p>
          <w:p w14:paraId="381615C8">
            <w:pPr>
              <w:spacing w:before="120" w:beforeLines="50" w:line="360" w:lineRule="auto"/>
              <w:ind w:firstLine="480" w:firstLineChars="200"/>
              <w:jc w:val="both"/>
              <w:rPr>
                <w:rFonts w:ascii="Times New Roman" w:hAnsi="Times New Roman" w:cs="Times New Roman"/>
                <w:sz w:val="24"/>
                <w:szCs w:val="20"/>
                <w:lang w:eastAsia="zh-CN"/>
              </w:rPr>
            </w:pPr>
          </w:p>
          <w:p w14:paraId="424E7A50">
            <w:pPr>
              <w:spacing w:before="120" w:beforeLines="50" w:line="360" w:lineRule="auto"/>
              <w:ind w:firstLine="480" w:firstLineChars="200"/>
              <w:jc w:val="both"/>
              <w:rPr>
                <w:rFonts w:ascii="Times New Roman" w:hAnsi="Times New Roman" w:cs="Times New Roman"/>
                <w:sz w:val="24"/>
                <w:szCs w:val="20"/>
                <w:lang w:eastAsia="zh-CN"/>
              </w:rPr>
            </w:pPr>
          </w:p>
          <w:p w14:paraId="57B7350A">
            <w:pPr>
              <w:spacing w:before="120" w:beforeLines="50" w:line="360" w:lineRule="auto"/>
              <w:ind w:firstLine="480" w:firstLineChars="200"/>
              <w:jc w:val="both"/>
              <w:rPr>
                <w:rFonts w:ascii="Times New Roman" w:hAnsi="Times New Roman" w:cs="Times New Roman"/>
                <w:sz w:val="24"/>
                <w:szCs w:val="20"/>
                <w:lang w:eastAsia="zh-CN"/>
              </w:rPr>
            </w:pPr>
          </w:p>
          <w:p w14:paraId="2A7AA2A4">
            <w:pPr>
              <w:spacing w:before="120" w:beforeLines="50" w:line="360" w:lineRule="auto"/>
              <w:ind w:firstLine="480" w:firstLineChars="200"/>
              <w:jc w:val="both"/>
              <w:rPr>
                <w:rFonts w:ascii="Times New Roman" w:hAnsi="Times New Roman" w:cs="Times New Roman"/>
                <w:sz w:val="24"/>
                <w:szCs w:val="20"/>
                <w:lang w:eastAsia="zh-CN"/>
              </w:rPr>
            </w:pPr>
          </w:p>
          <w:p w14:paraId="3DBE3788">
            <w:pPr>
              <w:spacing w:before="120" w:beforeLines="50" w:line="360" w:lineRule="auto"/>
              <w:ind w:firstLine="480" w:firstLineChars="200"/>
              <w:jc w:val="both"/>
              <w:rPr>
                <w:rFonts w:ascii="Times New Roman" w:hAnsi="Times New Roman" w:cs="Times New Roman"/>
                <w:sz w:val="24"/>
                <w:szCs w:val="20"/>
                <w:lang w:eastAsia="zh-CN"/>
              </w:rPr>
            </w:pPr>
          </w:p>
          <w:p w14:paraId="456540F6">
            <w:pPr>
              <w:spacing w:before="120" w:beforeLines="50" w:line="360" w:lineRule="auto"/>
              <w:ind w:firstLine="480" w:firstLineChars="200"/>
              <w:jc w:val="both"/>
              <w:rPr>
                <w:rFonts w:ascii="Times New Roman" w:hAnsi="Times New Roman" w:cs="Times New Roman"/>
                <w:sz w:val="24"/>
                <w:szCs w:val="20"/>
                <w:lang w:eastAsia="zh-CN"/>
              </w:rPr>
            </w:pPr>
          </w:p>
          <w:p w14:paraId="5879EE10">
            <w:pPr>
              <w:spacing w:before="120" w:beforeLines="50" w:line="360" w:lineRule="auto"/>
              <w:ind w:firstLine="480" w:firstLineChars="200"/>
              <w:jc w:val="both"/>
              <w:rPr>
                <w:rFonts w:ascii="Times New Roman" w:hAnsi="Times New Roman" w:cs="Times New Roman"/>
                <w:sz w:val="24"/>
                <w:szCs w:val="20"/>
                <w:lang w:eastAsia="zh-CN"/>
              </w:rPr>
            </w:pPr>
          </w:p>
          <w:p w14:paraId="58AECDB4">
            <w:pPr>
              <w:spacing w:before="120" w:beforeLines="50" w:line="360" w:lineRule="auto"/>
              <w:ind w:firstLine="480" w:firstLineChars="200"/>
              <w:jc w:val="both"/>
              <w:rPr>
                <w:rFonts w:ascii="Times New Roman" w:hAnsi="Times New Roman" w:cs="Times New Roman"/>
                <w:sz w:val="24"/>
                <w:szCs w:val="20"/>
                <w:lang w:eastAsia="zh-CN"/>
              </w:rPr>
            </w:pPr>
          </w:p>
          <w:p w14:paraId="45164FD4">
            <w:pPr>
              <w:spacing w:before="120" w:beforeLines="50" w:line="360" w:lineRule="auto"/>
              <w:ind w:firstLine="480" w:firstLineChars="200"/>
              <w:jc w:val="both"/>
              <w:rPr>
                <w:rFonts w:ascii="Times New Roman" w:hAnsi="Times New Roman" w:cs="Times New Roman"/>
                <w:sz w:val="24"/>
                <w:szCs w:val="20"/>
                <w:lang w:eastAsia="zh-CN"/>
              </w:rPr>
            </w:pPr>
          </w:p>
          <w:p w14:paraId="04013EE7">
            <w:pPr>
              <w:spacing w:before="120" w:beforeLines="50" w:line="360" w:lineRule="auto"/>
              <w:ind w:firstLine="480" w:firstLineChars="200"/>
              <w:jc w:val="both"/>
              <w:rPr>
                <w:rFonts w:ascii="Times New Roman" w:hAnsi="Times New Roman" w:cs="Times New Roman"/>
                <w:sz w:val="24"/>
                <w:szCs w:val="20"/>
                <w:lang w:eastAsia="zh-CN"/>
              </w:rPr>
            </w:pPr>
          </w:p>
        </w:tc>
      </w:tr>
    </w:tbl>
    <w:p w14:paraId="521ADA7C">
      <w:pPr>
        <w:spacing w:line="240" w:lineRule="exact"/>
        <w:rPr>
          <w:rFonts w:ascii="Times New Roman" w:hAnsi="Times New Roman" w:cs="Times New Roman"/>
          <w:sz w:val="21"/>
          <w:lang w:eastAsia="zh-CN"/>
        </w:rPr>
      </w:pPr>
    </w:p>
    <w:p w14:paraId="50A1F1F8">
      <w:pPr>
        <w:rPr>
          <w:rFonts w:ascii="Times New Roman" w:hAnsi="Times New Roman" w:cs="Times New Roman"/>
          <w:sz w:val="21"/>
          <w:lang w:eastAsia="zh-CN"/>
        </w:rPr>
        <w:sectPr>
          <w:pgSz w:w="11913" w:h="16840"/>
          <w:pgMar w:top="1134" w:right="1134" w:bottom="1134" w:left="1134" w:header="0" w:footer="1043" w:gutter="0"/>
          <w:cols w:space="720" w:num="1"/>
          <w:docGrid w:linePitch="299" w:charSpace="0"/>
        </w:sectPr>
      </w:pPr>
    </w:p>
    <w:p w14:paraId="11426723">
      <w:pPr>
        <w:pStyle w:val="2"/>
        <w:ind w:left="0"/>
        <w:jc w:val="center"/>
        <w:rPr>
          <w:rFonts w:ascii="黑体" w:hAnsi="黑体" w:eastAsia="黑体" w:cs="Times New Roman"/>
          <w:b/>
          <w:bCs/>
          <w:lang w:eastAsia="zh-CN"/>
        </w:rPr>
      </w:pPr>
      <w:bookmarkStart w:id="3" w:name="_Toc119927461"/>
      <w:r>
        <w:rPr>
          <w:rFonts w:ascii="黑体" w:hAnsi="黑体" w:eastAsia="黑体" w:cs="Times New Roman"/>
          <w:b/>
          <w:bCs/>
          <w:lang w:eastAsia="zh-CN"/>
        </w:rPr>
        <w:t>四、生态环境影响分析</w:t>
      </w:r>
      <w:bookmarkEnd w:id="3"/>
    </w:p>
    <w:tbl>
      <w:tblPr>
        <w:tblStyle w:val="1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19"/>
        <w:gridCol w:w="8946"/>
      </w:tblGrid>
      <w:tr w14:paraId="75A0CD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5" w:hRule="atLeast"/>
        </w:trPr>
        <w:tc>
          <w:tcPr>
            <w:tcW w:w="372" w:type="pct"/>
            <w:tcBorders>
              <w:bottom w:val="single" w:color="000000" w:sz="4" w:space="0"/>
              <w:right w:val="single" w:color="000000" w:sz="4" w:space="0"/>
            </w:tcBorders>
            <w:vAlign w:val="center"/>
          </w:tcPr>
          <w:p w14:paraId="3B7B7192">
            <w:pPr>
              <w:pStyle w:val="18"/>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施工期生态环境影响分析</w:t>
            </w:r>
          </w:p>
        </w:tc>
        <w:tc>
          <w:tcPr>
            <w:tcW w:w="4628" w:type="pct"/>
            <w:tcBorders>
              <w:left w:val="single" w:color="000000" w:sz="4" w:space="0"/>
              <w:bottom w:val="single" w:color="000000" w:sz="4" w:space="0"/>
            </w:tcBorders>
          </w:tcPr>
          <w:p w14:paraId="09C0CF4D">
            <w:pPr>
              <w:pStyle w:val="18"/>
              <w:spacing w:before="120" w:beforeLines="50"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1、施工期生态环境影响分析</w:t>
            </w:r>
          </w:p>
          <w:p w14:paraId="44DD679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本项目设置生态环境影响专项评价，施工期生态环境影响相关分析见专项评价。</w:t>
            </w:r>
          </w:p>
          <w:p w14:paraId="7CDC8CB5">
            <w:pPr>
              <w:pStyle w:val="18"/>
              <w:spacing w:before="120" w:beforeLines="50"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2、施工期大气环境影响分析</w:t>
            </w:r>
          </w:p>
          <w:p w14:paraId="340EEF12">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本项目</w:t>
            </w:r>
            <w:r>
              <w:rPr>
                <w:rFonts w:ascii="Times New Roman" w:hAnsi="Times New Roman" w:cs="Times New Roman"/>
                <w:sz w:val="24"/>
                <w:szCs w:val="20"/>
                <w:lang w:eastAsia="zh-CN"/>
              </w:rPr>
              <w:t>施工期对周边大气环境造成污染的主要是：</w:t>
            </w:r>
            <w:r>
              <w:rPr>
                <w:rFonts w:hint="eastAsia" w:ascii="Times New Roman" w:hAnsi="Times New Roman" w:cs="Times New Roman"/>
                <w:sz w:val="24"/>
                <w:szCs w:val="20"/>
                <w:lang w:eastAsia="zh-CN"/>
              </w:rPr>
              <w:t>施工扬尘、交通扬尘、燃油废气、沥青烟气、焊接烟尘。</w:t>
            </w:r>
          </w:p>
          <w:p w14:paraId="3BF64DFF">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（1）施工扬尘</w:t>
            </w:r>
          </w:p>
          <w:p w14:paraId="731AFBE9">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施工扬尘主要来自路基</w:t>
            </w:r>
            <w:r>
              <w:rPr>
                <w:rFonts w:ascii="Times New Roman" w:hAnsi="Times New Roman" w:cs="Times New Roman"/>
                <w:sz w:val="24"/>
                <w:szCs w:val="20"/>
                <w:lang w:eastAsia="zh-CN"/>
              </w:rPr>
              <w:t>开挖</w:t>
            </w:r>
            <w:r>
              <w:rPr>
                <w:rFonts w:hint="eastAsia" w:ascii="Times New Roman" w:hAnsi="Times New Roman" w:cs="Times New Roman"/>
                <w:sz w:val="24"/>
                <w:szCs w:val="20"/>
                <w:lang w:eastAsia="zh-CN"/>
              </w:rPr>
              <w:t>等</w:t>
            </w:r>
            <w:r>
              <w:rPr>
                <w:rFonts w:ascii="Times New Roman" w:hAnsi="Times New Roman" w:cs="Times New Roman"/>
                <w:sz w:val="24"/>
                <w:szCs w:val="20"/>
                <w:lang w:eastAsia="zh-CN"/>
              </w:rPr>
              <w:t>工程施工，</w:t>
            </w:r>
            <w:r>
              <w:rPr>
                <w:rFonts w:hint="eastAsia" w:ascii="Times New Roman" w:hAnsi="Times New Roman" w:cs="Times New Roman"/>
                <w:sz w:val="24"/>
                <w:szCs w:val="20"/>
                <w:lang w:eastAsia="zh-CN"/>
              </w:rPr>
              <w:t>建筑材料装卸、土方的挖、填、倒、运、堆置等，根据施工工程资料，工程施工期间施工现场近地面粉尘浓度可达</w:t>
            </w:r>
            <w:r>
              <w:rPr>
                <w:rFonts w:ascii="Times New Roman" w:hAnsi="Times New Roman" w:cs="Times New Roman"/>
                <w:sz w:val="24"/>
                <w:szCs w:val="20"/>
                <w:lang w:eastAsia="zh-CN"/>
              </w:rPr>
              <w:t>1.5～30mg/m</w:t>
            </w:r>
            <w:r>
              <w:rPr>
                <w:rFonts w:ascii="Times New Roman" w:hAnsi="Times New Roman" w:cs="Times New Roman"/>
                <w:sz w:val="24"/>
                <w:szCs w:val="20"/>
                <w:vertAlign w:val="superscript"/>
                <w:lang w:eastAsia="zh-CN"/>
              </w:rPr>
              <w:t>3</w:t>
            </w:r>
            <w:r>
              <w:rPr>
                <w:rFonts w:ascii="Times New Roman" w:hAnsi="Times New Roman" w:cs="Times New Roman"/>
                <w:sz w:val="24"/>
                <w:szCs w:val="20"/>
                <w:lang w:eastAsia="zh-CN"/>
              </w:rPr>
              <w:t>，影响范围在作业面周边50～200m。粉尘产生量和施工方法、</w:t>
            </w:r>
            <w:r>
              <w:rPr>
                <w:rFonts w:hint="eastAsia" w:ascii="Times New Roman" w:hAnsi="Times New Roman" w:cs="Times New Roman"/>
                <w:sz w:val="24"/>
                <w:szCs w:val="20"/>
                <w:lang w:eastAsia="zh-CN"/>
              </w:rPr>
              <w:t>气象风速、</w:t>
            </w:r>
            <w:r>
              <w:rPr>
                <w:rFonts w:ascii="Times New Roman" w:hAnsi="Times New Roman" w:cs="Times New Roman"/>
                <w:sz w:val="24"/>
                <w:szCs w:val="20"/>
                <w:lang w:eastAsia="zh-CN"/>
              </w:rPr>
              <w:t>作业面大小、施工机械、天气状况及洒水频率等都有关系，以局部、间歇式排放为主。</w:t>
            </w:r>
            <w:r>
              <w:rPr>
                <w:rFonts w:hint="eastAsia" w:ascii="Times New Roman" w:hAnsi="Times New Roman" w:cs="Times New Roman"/>
                <w:sz w:val="24"/>
                <w:szCs w:val="20"/>
                <w:lang w:eastAsia="zh-CN"/>
              </w:rPr>
              <w:t>不同粒径扬尘的沉降速度见表</w:t>
            </w:r>
            <w:r>
              <w:rPr>
                <w:rFonts w:ascii="Times New Roman" w:hAnsi="Times New Roman" w:cs="Times New Roman"/>
                <w:sz w:val="24"/>
                <w:szCs w:val="20"/>
                <w:lang w:eastAsia="zh-CN"/>
              </w:rPr>
              <w:t>4.1。</w:t>
            </w:r>
          </w:p>
          <w:p w14:paraId="6D3F1666">
            <w:pPr>
              <w:autoSpaceDE/>
              <w:autoSpaceDN/>
              <w:jc w:val="center"/>
              <w:rPr>
                <w:rFonts w:ascii="Times New Roman" w:hAnsi="Times New Roman" w:cs="Times New Roman"/>
                <w:b/>
                <w:bCs/>
                <w:kern w:val="2"/>
                <w:sz w:val="21"/>
                <w:szCs w:val="21"/>
                <w:lang w:val="zh-CN" w:eastAsia="zh-CN" w:bidi="zh-CN"/>
              </w:rPr>
            </w:pPr>
            <w:r>
              <w:rPr>
                <w:rFonts w:hint="eastAsia" w:ascii="Times New Roman" w:hAnsi="Times New Roman" w:cs="Times New Roman"/>
                <w:b/>
                <w:bCs/>
                <w:kern w:val="2"/>
                <w:sz w:val="21"/>
                <w:szCs w:val="21"/>
                <w:lang w:val="zh-CN" w:eastAsia="zh-CN" w:bidi="zh-CN"/>
              </w:rPr>
              <w:t>表</w:t>
            </w:r>
            <w:r>
              <w:rPr>
                <w:rFonts w:ascii="Times New Roman" w:hAnsi="Times New Roman" w:cs="Times New Roman"/>
                <w:b/>
                <w:bCs/>
                <w:kern w:val="2"/>
                <w:sz w:val="21"/>
                <w:szCs w:val="21"/>
                <w:lang w:val="zh-CN" w:eastAsia="zh-CN" w:bidi="zh-CN"/>
              </w:rPr>
              <w:t>4.1  不同粒径扬尘沉降速度一览表</w:t>
            </w:r>
          </w:p>
          <w:tbl>
            <w:tblPr>
              <w:tblStyle w:val="28"/>
              <w:tblW w:w="49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17"/>
              <w:gridCol w:w="991"/>
              <w:gridCol w:w="993"/>
              <w:gridCol w:w="991"/>
              <w:gridCol w:w="993"/>
              <w:gridCol w:w="993"/>
              <w:gridCol w:w="991"/>
              <w:gridCol w:w="918"/>
            </w:tblGrid>
            <w:tr w14:paraId="45E04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091" w:type="pct"/>
                  <w:vAlign w:val="center"/>
                </w:tcPr>
                <w:p w14:paraId="284B3188">
                  <w:pPr>
                    <w:spacing w:before="27"/>
                    <w:ind w:left="107"/>
                    <w:jc w:val="center"/>
                    <w:rPr>
                      <w:rFonts w:ascii="Times New Roman" w:hAnsi="Times New Roman" w:cs="Times New Roman"/>
                      <w:sz w:val="21"/>
                      <w:szCs w:val="21"/>
                      <w:lang w:eastAsia="zh-CN"/>
                    </w:rPr>
                  </w:pPr>
                  <w:r>
                    <w:rPr>
                      <w:rFonts w:ascii="Times New Roman" w:hAnsi="Times New Roman" w:cs="Times New Roman"/>
                      <w:sz w:val="21"/>
                      <w:szCs w:val="21"/>
                      <w:lang w:eastAsia="zh-CN"/>
                    </w:rPr>
                    <w:t>粉尘粒径（μm）</w:t>
                  </w:r>
                </w:p>
              </w:tc>
              <w:tc>
                <w:tcPr>
                  <w:tcW w:w="564" w:type="pct"/>
                  <w:vAlign w:val="center"/>
                </w:tcPr>
                <w:p w14:paraId="67B7E63A">
                  <w:pPr>
                    <w:spacing w:before="77"/>
                    <w:ind w:left="190" w:right="188"/>
                    <w:jc w:val="center"/>
                    <w:rPr>
                      <w:rFonts w:ascii="Times New Roman" w:hAnsi="Times New Roman" w:cs="Times New Roman"/>
                      <w:sz w:val="21"/>
                      <w:szCs w:val="21"/>
                      <w:lang w:eastAsia="zh-CN"/>
                    </w:rPr>
                  </w:pPr>
                  <w:r>
                    <w:rPr>
                      <w:rFonts w:ascii="Times New Roman" w:hAnsi="Times New Roman" w:cs="Times New Roman"/>
                      <w:sz w:val="21"/>
                      <w:szCs w:val="21"/>
                      <w:lang w:eastAsia="zh-CN"/>
                    </w:rPr>
                    <w:t>10</w:t>
                  </w:r>
                </w:p>
              </w:tc>
              <w:tc>
                <w:tcPr>
                  <w:tcW w:w="565" w:type="pct"/>
                  <w:vAlign w:val="center"/>
                </w:tcPr>
                <w:p w14:paraId="15082547">
                  <w:pPr>
                    <w:spacing w:before="77"/>
                    <w:ind w:left="219" w:right="219"/>
                    <w:jc w:val="center"/>
                    <w:rPr>
                      <w:rFonts w:ascii="Times New Roman" w:hAnsi="Times New Roman" w:cs="Times New Roman"/>
                      <w:sz w:val="21"/>
                      <w:szCs w:val="21"/>
                      <w:lang w:eastAsia="zh-CN"/>
                    </w:rPr>
                  </w:pPr>
                  <w:r>
                    <w:rPr>
                      <w:rFonts w:ascii="Times New Roman" w:hAnsi="Times New Roman" w:cs="Times New Roman"/>
                      <w:sz w:val="21"/>
                      <w:szCs w:val="21"/>
                      <w:lang w:eastAsia="zh-CN"/>
                    </w:rPr>
                    <w:t>20</w:t>
                  </w:r>
                </w:p>
              </w:tc>
              <w:tc>
                <w:tcPr>
                  <w:tcW w:w="564" w:type="pct"/>
                  <w:vAlign w:val="center"/>
                </w:tcPr>
                <w:p w14:paraId="748ABEFA">
                  <w:pPr>
                    <w:spacing w:before="77"/>
                    <w:ind w:left="212" w:right="212"/>
                    <w:jc w:val="center"/>
                    <w:rPr>
                      <w:rFonts w:ascii="Times New Roman" w:hAnsi="Times New Roman" w:cs="Times New Roman"/>
                      <w:sz w:val="21"/>
                      <w:szCs w:val="21"/>
                      <w:lang w:eastAsia="zh-CN"/>
                    </w:rPr>
                  </w:pPr>
                  <w:r>
                    <w:rPr>
                      <w:rFonts w:ascii="Times New Roman" w:hAnsi="Times New Roman" w:cs="Times New Roman"/>
                      <w:sz w:val="21"/>
                      <w:szCs w:val="21"/>
                      <w:lang w:eastAsia="zh-CN"/>
                    </w:rPr>
                    <w:t>30</w:t>
                  </w:r>
                </w:p>
              </w:tc>
              <w:tc>
                <w:tcPr>
                  <w:tcW w:w="565" w:type="pct"/>
                  <w:vAlign w:val="center"/>
                </w:tcPr>
                <w:p w14:paraId="09CD60C7">
                  <w:pPr>
                    <w:spacing w:before="77"/>
                    <w:ind w:left="235" w:right="233"/>
                    <w:jc w:val="center"/>
                    <w:rPr>
                      <w:rFonts w:ascii="Times New Roman" w:hAnsi="Times New Roman" w:cs="Times New Roman"/>
                      <w:sz w:val="21"/>
                      <w:szCs w:val="21"/>
                      <w:lang w:eastAsia="zh-CN"/>
                    </w:rPr>
                  </w:pPr>
                  <w:r>
                    <w:rPr>
                      <w:rFonts w:ascii="Times New Roman" w:hAnsi="Times New Roman" w:cs="Times New Roman"/>
                      <w:sz w:val="21"/>
                      <w:szCs w:val="21"/>
                      <w:lang w:eastAsia="zh-CN"/>
                    </w:rPr>
                    <w:t>40</w:t>
                  </w:r>
                </w:p>
              </w:tc>
              <w:tc>
                <w:tcPr>
                  <w:tcW w:w="565" w:type="pct"/>
                  <w:vAlign w:val="center"/>
                </w:tcPr>
                <w:p w14:paraId="270671C2">
                  <w:pPr>
                    <w:spacing w:before="77"/>
                    <w:ind w:left="196" w:right="196"/>
                    <w:jc w:val="center"/>
                    <w:rPr>
                      <w:rFonts w:ascii="Times New Roman" w:hAnsi="Times New Roman" w:cs="Times New Roman"/>
                      <w:sz w:val="21"/>
                      <w:szCs w:val="21"/>
                      <w:lang w:eastAsia="zh-CN"/>
                    </w:rPr>
                  </w:pPr>
                  <w:r>
                    <w:rPr>
                      <w:rFonts w:ascii="Times New Roman" w:hAnsi="Times New Roman" w:cs="Times New Roman"/>
                      <w:sz w:val="21"/>
                      <w:szCs w:val="21"/>
                      <w:lang w:eastAsia="zh-CN"/>
                    </w:rPr>
                    <w:t>50</w:t>
                  </w:r>
                </w:p>
              </w:tc>
              <w:tc>
                <w:tcPr>
                  <w:tcW w:w="564" w:type="pct"/>
                  <w:vAlign w:val="center"/>
                </w:tcPr>
                <w:p w14:paraId="3D46F38C">
                  <w:pPr>
                    <w:spacing w:before="77"/>
                    <w:ind w:left="205" w:right="205"/>
                    <w:jc w:val="center"/>
                    <w:rPr>
                      <w:rFonts w:ascii="Times New Roman" w:hAnsi="Times New Roman" w:cs="Times New Roman"/>
                      <w:sz w:val="21"/>
                      <w:szCs w:val="21"/>
                      <w:lang w:eastAsia="zh-CN"/>
                    </w:rPr>
                  </w:pPr>
                  <w:r>
                    <w:rPr>
                      <w:rFonts w:ascii="Times New Roman" w:hAnsi="Times New Roman" w:cs="Times New Roman"/>
                      <w:sz w:val="21"/>
                      <w:szCs w:val="21"/>
                      <w:lang w:eastAsia="zh-CN"/>
                    </w:rPr>
                    <w:t>60</w:t>
                  </w:r>
                </w:p>
              </w:tc>
              <w:tc>
                <w:tcPr>
                  <w:tcW w:w="522" w:type="pct"/>
                  <w:vAlign w:val="center"/>
                </w:tcPr>
                <w:p w14:paraId="65FA140E">
                  <w:pPr>
                    <w:spacing w:before="77"/>
                    <w:ind w:left="99" w:right="98"/>
                    <w:jc w:val="center"/>
                    <w:rPr>
                      <w:rFonts w:ascii="Times New Roman" w:hAnsi="Times New Roman" w:cs="Times New Roman"/>
                      <w:sz w:val="21"/>
                      <w:szCs w:val="21"/>
                      <w:lang w:eastAsia="zh-CN"/>
                    </w:rPr>
                  </w:pPr>
                  <w:r>
                    <w:rPr>
                      <w:rFonts w:ascii="Times New Roman" w:hAnsi="Times New Roman" w:cs="Times New Roman"/>
                      <w:sz w:val="21"/>
                      <w:szCs w:val="21"/>
                      <w:lang w:eastAsia="zh-CN"/>
                    </w:rPr>
                    <w:t>70</w:t>
                  </w:r>
                </w:p>
              </w:tc>
            </w:tr>
            <w:tr w14:paraId="61563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091" w:type="pct"/>
                  <w:vAlign w:val="center"/>
                </w:tcPr>
                <w:p w14:paraId="47264292">
                  <w:pPr>
                    <w:spacing w:before="28"/>
                    <w:ind w:left="105"/>
                    <w:jc w:val="center"/>
                    <w:rPr>
                      <w:rFonts w:ascii="Times New Roman" w:hAnsi="Times New Roman" w:cs="Times New Roman"/>
                      <w:sz w:val="21"/>
                      <w:szCs w:val="21"/>
                      <w:lang w:eastAsia="zh-CN"/>
                    </w:rPr>
                  </w:pPr>
                  <w:r>
                    <w:rPr>
                      <w:rFonts w:ascii="Times New Roman" w:hAnsi="Times New Roman" w:cs="Times New Roman"/>
                      <w:sz w:val="21"/>
                      <w:szCs w:val="21"/>
                      <w:lang w:eastAsia="zh-CN"/>
                    </w:rPr>
                    <w:t>沉降速度（m/s）</w:t>
                  </w:r>
                </w:p>
              </w:tc>
              <w:tc>
                <w:tcPr>
                  <w:tcW w:w="564" w:type="pct"/>
                  <w:vAlign w:val="center"/>
                </w:tcPr>
                <w:p w14:paraId="21D4A96B">
                  <w:pPr>
                    <w:spacing w:before="78"/>
                    <w:ind w:left="190" w:right="188"/>
                    <w:jc w:val="center"/>
                    <w:rPr>
                      <w:rFonts w:ascii="Times New Roman" w:hAnsi="Times New Roman" w:cs="Times New Roman"/>
                      <w:sz w:val="21"/>
                      <w:szCs w:val="21"/>
                      <w:lang w:eastAsia="zh-CN"/>
                    </w:rPr>
                  </w:pPr>
                  <w:r>
                    <w:rPr>
                      <w:rFonts w:ascii="Times New Roman" w:hAnsi="Times New Roman" w:cs="Times New Roman"/>
                      <w:sz w:val="21"/>
                      <w:szCs w:val="21"/>
                      <w:lang w:eastAsia="zh-CN"/>
                    </w:rPr>
                    <w:t>0.003</w:t>
                  </w:r>
                </w:p>
              </w:tc>
              <w:tc>
                <w:tcPr>
                  <w:tcW w:w="565" w:type="pct"/>
                  <w:vAlign w:val="center"/>
                </w:tcPr>
                <w:p w14:paraId="76742132">
                  <w:pPr>
                    <w:spacing w:before="78"/>
                    <w:ind w:left="219" w:right="219"/>
                    <w:jc w:val="center"/>
                    <w:rPr>
                      <w:rFonts w:ascii="Times New Roman" w:hAnsi="Times New Roman" w:cs="Times New Roman"/>
                      <w:sz w:val="21"/>
                      <w:szCs w:val="21"/>
                      <w:lang w:eastAsia="zh-CN"/>
                    </w:rPr>
                  </w:pPr>
                  <w:r>
                    <w:rPr>
                      <w:rFonts w:ascii="Times New Roman" w:hAnsi="Times New Roman" w:cs="Times New Roman"/>
                      <w:sz w:val="21"/>
                      <w:szCs w:val="21"/>
                      <w:lang w:eastAsia="zh-CN"/>
                    </w:rPr>
                    <w:t>0.012</w:t>
                  </w:r>
                </w:p>
              </w:tc>
              <w:tc>
                <w:tcPr>
                  <w:tcW w:w="564" w:type="pct"/>
                  <w:vAlign w:val="center"/>
                </w:tcPr>
                <w:p w14:paraId="602A6543">
                  <w:pPr>
                    <w:spacing w:before="78"/>
                    <w:ind w:left="212" w:right="212"/>
                    <w:jc w:val="center"/>
                    <w:rPr>
                      <w:rFonts w:ascii="Times New Roman" w:hAnsi="Times New Roman" w:cs="Times New Roman"/>
                      <w:sz w:val="21"/>
                      <w:szCs w:val="21"/>
                      <w:lang w:eastAsia="zh-CN"/>
                    </w:rPr>
                  </w:pPr>
                  <w:r>
                    <w:rPr>
                      <w:rFonts w:ascii="Times New Roman" w:hAnsi="Times New Roman" w:cs="Times New Roman"/>
                      <w:sz w:val="21"/>
                      <w:szCs w:val="21"/>
                      <w:lang w:eastAsia="zh-CN"/>
                    </w:rPr>
                    <w:t>0.027</w:t>
                  </w:r>
                </w:p>
              </w:tc>
              <w:tc>
                <w:tcPr>
                  <w:tcW w:w="565" w:type="pct"/>
                  <w:vAlign w:val="center"/>
                </w:tcPr>
                <w:p w14:paraId="557B9CF8">
                  <w:pPr>
                    <w:spacing w:before="78"/>
                    <w:ind w:left="235" w:right="233"/>
                    <w:jc w:val="center"/>
                    <w:rPr>
                      <w:rFonts w:ascii="Times New Roman" w:hAnsi="Times New Roman" w:cs="Times New Roman"/>
                      <w:sz w:val="21"/>
                      <w:szCs w:val="21"/>
                      <w:lang w:eastAsia="zh-CN"/>
                    </w:rPr>
                  </w:pPr>
                  <w:r>
                    <w:rPr>
                      <w:rFonts w:ascii="Times New Roman" w:hAnsi="Times New Roman" w:cs="Times New Roman"/>
                      <w:sz w:val="21"/>
                      <w:szCs w:val="21"/>
                      <w:lang w:eastAsia="zh-CN"/>
                    </w:rPr>
                    <w:t>0.048</w:t>
                  </w:r>
                </w:p>
              </w:tc>
              <w:tc>
                <w:tcPr>
                  <w:tcW w:w="565" w:type="pct"/>
                  <w:vAlign w:val="center"/>
                </w:tcPr>
                <w:p w14:paraId="0241C9F0">
                  <w:pPr>
                    <w:spacing w:before="78"/>
                    <w:ind w:left="198" w:right="196"/>
                    <w:jc w:val="center"/>
                    <w:rPr>
                      <w:rFonts w:ascii="Times New Roman" w:hAnsi="Times New Roman" w:cs="Times New Roman"/>
                      <w:sz w:val="21"/>
                      <w:szCs w:val="21"/>
                      <w:lang w:eastAsia="zh-CN"/>
                    </w:rPr>
                  </w:pPr>
                  <w:r>
                    <w:rPr>
                      <w:rFonts w:ascii="Times New Roman" w:hAnsi="Times New Roman" w:cs="Times New Roman"/>
                      <w:sz w:val="21"/>
                      <w:szCs w:val="21"/>
                      <w:lang w:eastAsia="zh-CN"/>
                    </w:rPr>
                    <w:t>0.075</w:t>
                  </w:r>
                </w:p>
              </w:tc>
              <w:tc>
                <w:tcPr>
                  <w:tcW w:w="564" w:type="pct"/>
                  <w:vAlign w:val="center"/>
                </w:tcPr>
                <w:p w14:paraId="30ECA89F">
                  <w:pPr>
                    <w:spacing w:before="78"/>
                    <w:ind w:left="205" w:right="205"/>
                    <w:jc w:val="center"/>
                    <w:rPr>
                      <w:rFonts w:ascii="Times New Roman" w:hAnsi="Times New Roman" w:cs="Times New Roman"/>
                      <w:sz w:val="21"/>
                      <w:szCs w:val="21"/>
                      <w:lang w:eastAsia="zh-CN"/>
                    </w:rPr>
                  </w:pPr>
                  <w:r>
                    <w:rPr>
                      <w:rFonts w:ascii="Times New Roman" w:hAnsi="Times New Roman" w:cs="Times New Roman"/>
                      <w:sz w:val="21"/>
                      <w:szCs w:val="21"/>
                      <w:lang w:eastAsia="zh-CN"/>
                    </w:rPr>
                    <w:t>0.108</w:t>
                  </w:r>
                </w:p>
              </w:tc>
              <w:tc>
                <w:tcPr>
                  <w:tcW w:w="522" w:type="pct"/>
                  <w:vAlign w:val="center"/>
                </w:tcPr>
                <w:p w14:paraId="020DAA98">
                  <w:pPr>
                    <w:spacing w:before="78"/>
                    <w:ind w:left="99" w:right="98"/>
                    <w:jc w:val="center"/>
                    <w:rPr>
                      <w:rFonts w:ascii="Times New Roman" w:hAnsi="Times New Roman" w:cs="Times New Roman"/>
                      <w:sz w:val="21"/>
                      <w:szCs w:val="21"/>
                      <w:lang w:eastAsia="zh-CN"/>
                    </w:rPr>
                  </w:pPr>
                  <w:r>
                    <w:rPr>
                      <w:rFonts w:ascii="Times New Roman" w:hAnsi="Times New Roman" w:cs="Times New Roman"/>
                      <w:sz w:val="21"/>
                      <w:szCs w:val="21"/>
                      <w:lang w:eastAsia="zh-CN"/>
                    </w:rPr>
                    <w:t>0.147</w:t>
                  </w:r>
                </w:p>
              </w:tc>
            </w:tr>
            <w:tr w14:paraId="2CE79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091" w:type="pct"/>
                  <w:vAlign w:val="center"/>
                </w:tcPr>
                <w:p w14:paraId="42947F29">
                  <w:pPr>
                    <w:spacing w:before="27"/>
                    <w:ind w:left="107"/>
                    <w:jc w:val="center"/>
                    <w:rPr>
                      <w:rFonts w:ascii="Times New Roman" w:hAnsi="Times New Roman" w:cs="Times New Roman"/>
                      <w:sz w:val="21"/>
                      <w:szCs w:val="21"/>
                      <w:lang w:eastAsia="zh-CN"/>
                    </w:rPr>
                  </w:pPr>
                  <w:r>
                    <w:rPr>
                      <w:rFonts w:ascii="Times New Roman" w:hAnsi="Times New Roman" w:cs="Times New Roman"/>
                      <w:sz w:val="21"/>
                      <w:szCs w:val="21"/>
                      <w:lang w:eastAsia="zh-CN"/>
                    </w:rPr>
                    <w:t>粉尘粒径（μm）</w:t>
                  </w:r>
                </w:p>
              </w:tc>
              <w:tc>
                <w:tcPr>
                  <w:tcW w:w="564" w:type="pct"/>
                  <w:vAlign w:val="center"/>
                </w:tcPr>
                <w:p w14:paraId="55DF1D3D">
                  <w:pPr>
                    <w:spacing w:before="76"/>
                    <w:ind w:left="190" w:right="188"/>
                    <w:jc w:val="center"/>
                    <w:rPr>
                      <w:rFonts w:ascii="Times New Roman" w:hAnsi="Times New Roman" w:cs="Times New Roman"/>
                      <w:sz w:val="21"/>
                      <w:szCs w:val="21"/>
                      <w:lang w:eastAsia="zh-CN"/>
                    </w:rPr>
                  </w:pPr>
                  <w:r>
                    <w:rPr>
                      <w:rFonts w:ascii="Times New Roman" w:hAnsi="Times New Roman" w:cs="Times New Roman"/>
                      <w:sz w:val="21"/>
                      <w:szCs w:val="21"/>
                      <w:lang w:eastAsia="zh-CN"/>
                    </w:rPr>
                    <w:t>80</w:t>
                  </w:r>
                </w:p>
              </w:tc>
              <w:tc>
                <w:tcPr>
                  <w:tcW w:w="565" w:type="pct"/>
                  <w:vAlign w:val="center"/>
                </w:tcPr>
                <w:p w14:paraId="6B7182BA">
                  <w:pPr>
                    <w:spacing w:before="76"/>
                    <w:ind w:left="219" w:right="219"/>
                    <w:jc w:val="center"/>
                    <w:rPr>
                      <w:rFonts w:ascii="Times New Roman" w:hAnsi="Times New Roman" w:cs="Times New Roman"/>
                      <w:sz w:val="21"/>
                      <w:szCs w:val="21"/>
                      <w:lang w:eastAsia="zh-CN"/>
                    </w:rPr>
                  </w:pPr>
                  <w:r>
                    <w:rPr>
                      <w:rFonts w:ascii="Times New Roman" w:hAnsi="Times New Roman" w:cs="Times New Roman"/>
                      <w:sz w:val="21"/>
                      <w:szCs w:val="21"/>
                      <w:lang w:eastAsia="zh-CN"/>
                    </w:rPr>
                    <w:t>90</w:t>
                  </w:r>
                </w:p>
              </w:tc>
              <w:tc>
                <w:tcPr>
                  <w:tcW w:w="564" w:type="pct"/>
                  <w:vAlign w:val="center"/>
                </w:tcPr>
                <w:p w14:paraId="7CB1040A">
                  <w:pPr>
                    <w:spacing w:before="76"/>
                    <w:ind w:left="212" w:right="211"/>
                    <w:jc w:val="center"/>
                    <w:rPr>
                      <w:rFonts w:ascii="Times New Roman" w:hAnsi="Times New Roman" w:cs="Times New Roman"/>
                      <w:sz w:val="21"/>
                      <w:szCs w:val="21"/>
                      <w:lang w:eastAsia="zh-CN"/>
                    </w:rPr>
                  </w:pPr>
                  <w:r>
                    <w:rPr>
                      <w:rFonts w:ascii="Times New Roman" w:hAnsi="Times New Roman" w:cs="Times New Roman"/>
                      <w:sz w:val="21"/>
                      <w:szCs w:val="21"/>
                      <w:lang w:eastAsia="zh-CN"/>
                    </w:rPr>
                    <w:t>100</w:t>
                  </w:r>
                </w:p>
              </w:tc>
              <w:tc>
                <w:tcPr>
                  <w:tcW w:w="565" w:type="pct"/>
                  <w:vAlign w:val="center"/>
                </w:tcPr>
                <w:p w14:paraId="2DF4F82F">
                  <w:pPr>
                    <w:spacing w:before="76"/>
                    <w:ind w:left="233" w:right="233"/>
                    <w:jc w:val="center"/>
                    <w:rPr>
                      <w:rFonts w:ascii="Times New Roman" w:hAnsi="Times New Roman" w:cs="Times New Roman"/>
                      <w:sz w:val="21"/>
                      <w:szCs w:val="21"/>
                      <w:lang w:eastAsia="zh-CN"/>
                    </w:rPr>
                  </w:pPr>
                  <w:r>
                    <w:rPr>
                      <w:rFonts w:ascii="Times New Roman" w:hAnsi="Times New Roman" w:cs="Times New Roman"/>
                      <w:sz w:val="21"/>
                      <w:szCs w:val="21"/>
                      <w:lang w:eastAsia="zh-CN"/>
                    </w:rPr>
                    <w:t>150</w:t>
                  </w:r>
                </w:p>
              </w:tc>
              <w:tc>
                <w:tcPr>
                  <w:tcW w:w="565" w:type="pct"/>
                  <w:vAlign w:val="center"/>
                </w:tcPr>
                <w:p w14:paraId="29E1E2FD">
                  <w:pPr>
                    <w:spacing w:before="76"/>
                    <w:ind w:left="196" w:right="196"/>
                    <w:jc w:val="center"/>
                    <w:rPr>
                      <w:rFonts w:ascii="Times New Roman" w:hAnsi="Times New Roman" w:cs="Times New Roman"/>
                      <w:sz w:val="21"/>
                      <w:szCs w:val="21"/>
                      <w:lang w:eastAsia="zh-CN"/>
                    </w:rPr>
                  </w:pPr>
                  <w:r>
                    <w:rPr>
                      <w:rFonts w:ascii="Times New Roman" w:hAnsi="Times New Roman" w:cs="Times New Roman"/>
                      <w:sz w:val="21"/>
                      <w:szCs w:val="21"/>
                      <w:lang w:eastAsia="zh-CN"/>
                    </w:rPr>
                    <w:t>200</w:t>
                  </w:r>
                </w:p>
              </w:tc>
              <w:tc>
                <w:tcPr>
                  <w:tcW w:w="564" w:type="pct"/>
                  <w:vAlign w:val="center"/>
                </w:tcPr>
                <w:p w14:paraId="59CDDB6D">
                  <w:pPr>
                    <w:spacing w:before="76"/>
                    <w:ind w:left="205" w:right="205"/>
                    <w:jc w:val="center"/>
                    <w:rPr>
                      <w:rFonts w:ascii="Times New Roman" w:hAnsi="Times New Roman" w:cs="Times New Roman"/>
                      <w:sz w:val="21"/>
                      <w:szCs w:val="21"/>
                      <w:lang w:eastAsia="zh-CN"/>
                    </w:rPr>
                  </w:pPr>
                  <w:r>
                    <w:rPr>
                      <w:rFonts w:ascii="Times New Roman" w:hAnsi="Times New Roman" w:cs="Times New Roman"/>
                      <w:sz w:val="21"/>
                      <w:szCs w:val="21"/>
                      <w:lang w:eastAsia="zh-CN"/>
                    </w:rPr>
                    <w:t>250</w:t>
                  </w:r>
                </w:p>
              </w:tc>
              <w:tc>
                <w:tcPr>
                  <w:tcW w:w="522" w:type="pct"/>
                  <w:vAlign w:val="center"/>
                </w:tcPr>
                <w:p w14:paraId="4967C46E">
                  <w:pPr>
                    <w:spacing w:before="76"/>
                    <w:ind w:left="99" w:right="98"/>
                    <w:jc w:val="center"/>
                    <w:rPr>
                      <w:rFonts w:ascii="Times New Roman" w:hAnsi="Times New Roman" w:cs="Times New Roman"/>
                      <w:sz w:val="21"/>
                      <w:szCs w:val="21"/>
                      <w:lang w:eastAsia="zh-CN"/>
                    </w:rPr>
                  </w:pPr>
                  <w:r>
                    <w:rPr>
                      <w:rFonts w:ascii="Times New Roman" w:hAnsi="Times New Roman" w:cs="Times New Roman"/>
                      <w:sz w:val="21"/>
                      <w:szCs w:val="21"/>
                      <w:lang w:eastAsia="zh-CN"/>
                    </w:rPr>
                    <w:t>350</w:t>
                  </w:r>
                </w:p>
              </w:tc>
            </w:tr>
            <w:tr w14:paraId="12F19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091" w:type="pct"/>
                  <w:vAlign w:val="center"/>
                </w:tcPr>
                <w:p w14:paraId="4B72DA10">
                  <w:pPr>
                    <w:spacing w:before="28"/>
                    <w:ind w:left="105"/>
                    <w:jc w:val="center"/>
                    <w:rPr>
                      <w:rFonts w:ascii="Times New Roman" w:hAnsi="Times New Roman" w:cs="Times New Roman"/>
                      <w:sz w:val="21"/>
                      <w:szCs w:val="21"/>
                      <w:lang w:eastAsia="zh-CN"/>
                    </w:rPr>
                  </w:pPr>
                  <w:r>
                    <w:rPr>
                      <w:rFonts w:ascii="Times New Roman" w:hAnsi="Times New Roman" w:cs="Times New Roman"/>
                      <w:sz w:val="21"/>
                      <w:szCs w:val="21"/>
                      <w:lang w:eastAsia="zh-CN"/>
                    </w:rPr>
                    <w:t>沉降速度（m/s）</w:t>
                  </w:r>
                </w:p>
              </w:tc>
              <w:tc>
                <w:tcPr>
                  <w:tcW w:w="564" w:type="pct"/>
                  <w:vAlign w:val="center"/>
                </w:tcPr>
                <w:p w14:paraId="10248403">
                  <w:pPr>
                    <w:spacing w:before="77"/>
                    <w:ind w:left="190" w:right="188"/>
                    <w:jc w:val="center"/>
                    <w:rPr>
                      <w:rFonts w:ascii="Times New Roman" w:hAnsi="Times New Roman" w:cs="Times New Roman"/>
                      <w:sz w:val="21"/>
                      <w:szCs w:val="21"/>
                      <w:lang w:eastAsia="zh-CN"/>
                    </w:rPr>
                  </w:pPr>
                  <w:r>
                    <w:rPr>
                      <w:rFonts w:ascii="Times New Roman" w:hAnsi="Times New Roman" w:cs="Times New Roman"/>
                      <w:sz w:val="21"/>
                      <w:szCs w:val="21"/>
                      <w:lang w:eastAsia="zh-CN"/>
                    </w:rPr>
                    <w:t>0.158</w:t>
                  </w:r>
                </w:p>
              </w:tc>
              <w:tc>
                <w:tcPr>
                  <w:tcW w:w="565" w:type="pct"/>
                  <w:vAlign w:val="center"/>
                </w:tcPr>
                <w:p w14:paraId="63E925A7">
                  <w:pPr>
                    <w:spacing w:before="77"/>
                    <w:ind w:left="219" w:right="219"/>
                    <w:jc w:val="center"/>
                    <w:rPr>
                      <w:rFonts w:ascii="Times New Roman" w:hAnsi="Times New Roman" w:cs="Times New Roman"/>
                      <w:sz w:val="21"/>
                      <w:szCs w:val="21"/>
                      <w:lang w:eastAsia="zh-CN"/>
                    </w:rPr>
                  </w:pPr>
                  <w:r>
                    <w:rPr>
                      <w:rFonts w:ascii="Times New Roman" w:hAnsi="Times New Roman" w:cs="Times New Roman"/>
                      <w:sz w:val="21"/>
                      <w:szCs w:val="21"/>
                      <w:lang w:eastAsia="zh-CN"/>
                    </w:rPr>
                    <w:t>0.170</w:t>
                  </w:r>
                </w:p>
              </w:tc>
              <w:tc>
                <w:tcPr>
                  <w:tcW w:w="564" w:type="pct"/>
                  <w:vAlign w:val="center"/>
                </w:tcPr>
                <w:p w14:paraId="02566B36">
                  <w:pPr>
                    <w:spacing w:before="77"/>
                    <w:ind w:left="212" w:right="212"/>
                    <w:jc w:val="center"/>
                    <w:rPr>
                      <w:rFonts w:ascii="Times New Roman" w:hAnsi="Times New Roman" w:cs="Times New Roman"/>
                      <w:sz w:val="21"/>
                      <w:szCs w:val="21"/>
                      <w:lang w:eastAsia="zh-CN"/>
                    </w:rPr>
                  </w:pPr>
                  <w:r>
                    <w:rPr>
                      <w:rFonts w:ascii="Times New Roman" w:hAnsi="Times New Roman" w:cs="Times New Roman"/>
                      <w:sz w:val="21"/>
                      <w:szCs w:val="21"/>
                      <w:lang w:eastAsia="zh-CN"/>
                    </w:rPr>
                    <w:t>0.182</w:t>
                  </w:r>
                </w:p>
              </w:tc>
              <w:tc>
                <w:tcPr>
                  <w:tcW w:w="565" w:type="pct"/>
                  <w:vAlign w:val="center"/>
                </w:tcPr>
                <w:p w14:paraId="485BAD8A">
                  <w:pPr>
                    <w:spacing w:before="77"/>
                    <w:ind w:left="235" w:right="233"/>
                    <w:jc w:val="center"/>
                    <w:rPr>
                      <w:rFonts w:ascii="Times New Roman" w:hAnsi="Times New Roman" w:cs="Times New Roman"/>
                      <w:sz w:val="21"/>
                      <w:szCs w:val="21"/>
                      <w:lang w:eastAsia="zh-CN"/>
                    </w:rPr>
                  </w:pPr>
                  <w:r>
                    <w:rPr>
                      <w:rFonts w:ascii="Times New Roman" w:hAnsi="Times New Roman" w:cs="Times New Roman"/>
                      <w:sz w:val="21"/>
                      <w:szCs w:val="21"/>
                      <w:lang w:eastAsia="zh-CN"/>
                    </w:rPr>
                    <w:t>0.239</w:t>
                  </w:r>
                </w:p>
              </w:tc>
              <w:tc>
                <w:tcPr>
                  <w:tcW w:w="565" w:type="pct"/>
                  <w:vAlign w:val="center"/>
                </w:tcPr>
                <w:p w14:paraId="001D6673">
                  <w:pPr>
                    <w:spacing w:before="77"/>
                    <w:ind w:left="198" w:right="196"/>
                    <w:jc w:val="center"/>
                    <w:rPr>
                      <w:rFonts w:ascii="Times New Roman" w:hAnsi="Times New Roman" w:cs="Times New Roman"/>
                      <w:sz w:val="21"/>
                      <w:szCs w:val="21"/>
                      <w:lang w:eastAsia="zh-CN"/>
                    </w:rPr>
                  </w:pPr>
                  <w:r>
                    <w:rPr>
                      <w:rFonts w:ascii="Times New Roman" w:hAnsi="Times New Roman" w:cs="Times New Roman"/>
                      <w:sz w:val="21"/>
                      <w:szCs w:val="21"/>
                      <w:lang w:eastAsia="zh-CN"/>
                    </w:rPr>
                    <w:t>0.804</w:t>
                  </w:r>
                </w:p>
              </w:tc>
              <w:tc>
                <w:tcPr>
                  <w:tcW w:w="564" w:type="pct"/>
                  <w:vAlign w:val="center"/>
                </w:tcPr>
                <w:p w14:paraId="02EFEFB2">
                  <w:pPr>
                    <w:spacing w:before="77"/>
                    <w:ind w:left="205" w:right="205"/>
                    <w:jc w:val="center"/>
                    <w:rPr>
                      <w:rFonts w:ascii="Times New Roman" w:hAnsi="Times New Roman" w:cs="Times New Roman"/>
                      <w:sz w:val="21"/>
                      <w:szCs w:val="21"/>
                      <w:lang w:eastAsia="zh-CN"/>
                    </w:rPr>
                  </w:pPr>
                  <w:r>
                    <w:rPr>
                      <w:rFonts w:ascii="Times New Roman" w:hAnsi="Times New Roman" w:cs="Times New Roman"/>
                      <w:sz w:val="21"/>
                      <w:szCs w:val="21"/>
                      <w:lang w:eastAsia="zh-CN"/>
                    </w:rPr>
                    <w:t>1.005</w:t>
                  </w:r>
                </w:p>
              </w:tc>
              <w:tc>
                <w:tcPr>
                  <w:tcW w:w="522" w:type="pct"/>
                  <w:vAlign w:val="center"/>
                </w:tcPr>
                <w:p w14:paraId="49CB2FB2">
                  <w:pPr>
                    <w:spacing w:before="77"/>
                    <w:ind w:left="99" w:right="98"/>
                    <w:jc w:val="center"/>
                    <w:rPr>
                      <w:rFonts w:ascii="Times New Roman" w:hAnsi="Times New Roman" w:cs="Times New Roman"/>
                      <w:sz w:val="21"/>
                      <w:szCs w:val="21"/>
                      <w:lang w:eastAsia="zh-CN"/>
                    </w:rPr>
                  </w:pPr>
                  <w:r>
                    <w:rPr>
                      <w:rFonts w:ascii="Times New Roman" w:hAnsi="Times New Roman" w:cs="Times New Roman"/>
                      <w:sz w:val="21"/>
                      <w:szCs w:val="21"/>
                      <w:lang w:eastAsia="zh-CN"/>
                    </w:rPr>
                    <w:t>1.829</w:t>
                  </w:r>
                </w:p>
              </w:tc>
            </w:tr>
            <w:tr w14:paraId="607FE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091" w:type="pct"/>
                  <w:vAlign w:val="center"/>
                </w:tcPr>
                <w:p w14:paraId="587DB553">
                  <w:pPr>
                    <w:spacing w:before="27"/>
                    <w:ind w:left="107"/>
                    <w:jc w:val="center"/>
                    <w:rPr>
                      <w:rFonts w:ascii="Times New Roman" w:hAnsi="Times New Roman" w:cs="Times New Roman"/>
                      <w:sz w:val="21"/>
                      <w:szCs w:val="21"/>
                      <w:lang w:eastAsia="zh-CN"/>
                    </w:rPr>
                  </w:pPr>
                  <w:r>
                    <w:rPr>
                      <w:rFonts w:ascii="Times New Roman" w:hAnsi="Times New Roman" w:cs="Times New Roman"/>
                      <w:sz w:val="21"/>
                      <w:szCs w:val="21"/>
                      <w:lang w:eastAsia="zh-CN"/>
                    </w:rPr>
                    <w:t>粉尘粒径（μm）</w:t>
                  </w:r>
                </w:p>
              </w:tc>
              <w:tc>
                <w:tcPr>
                  <w:tcW w:w="564" w:type="pct"/>
                  <w:vAlign w:val="center"/>
                </w:tcPr>
                <w:p w14:paraId="69A2037F">
                  <w:pPr>
                    <w:spacing w:before="76"/>
                    <w:ind w:left="188" w:right="188"/>
                    <w:jc w:val="center"/>
                    <w:rPr>
                      <w:rFonts w:ascii="Times New Roman" w:hAnsi="Times New Roman" w:cs="Times New Roman"/>
                      <w:sz w:val="21"/>
                      <w:szCs w:val="21"/>
                      <w:lang w:eastAsia="zh-CN"/>
                    </w:rPr>
                  </w:pPr>
                  <w:r>
                    <w:rPr>
                      <w:rFonts w:ascii="Times New Roman" w:hAnsi="Times New Roman" w:cs="Times New Roman"/>
                      <w:sz w:val="21"/>
                      <w:szCs w:val="21"/>
                      <w:lang w:eastAsia="zh-CN"/>
                    </w:rPr>
                    <w:t>450</w:t>
                  </w:r>
                </w:p>
              </w:tc>
              <w:tc>
                <w:tcPr>
                  <w:tcW w:w="565" w:type="pct"/>
                  <w:vAlign w:val="center"/>
                </w:tcPr>
                <w:p w14:paraId="076D10E2">
                  <w:pPr>
                    <w:spacing w:before="76"/>
                    <w:ind w:left="219" w:right="219"/>
                    <w:jc w:val="center"/>
                    <w:rPr>
                      <w:rFonts w:ascii="Times New Roman" w:hAnsi="Times New Roman" w:cs="Times New Roman"/>
                      <w:sz w:val="21"/>
                      <w:szCs w:val="21"/>
                      <w:lang w:eastAsia="zh-CN"/>
                    </w:rPr>
                  </w:pPr>
                  <w:r>
                    <w:rPr>
                      <w:rFonts w:ascii="Times New Roman" w:hAnsi="Times New Roman" w:cs="Times New Roman"/>
                      <w:sz w:val="21"/>
                      <w:szCs w:val="21"/>
                      <w:lang w:eastAsia="zh-CN"/>
                    </w:rPr>
                    <w:t>550</w:t>
                  </w:r>
                </w:p>
              </w:tc>
              <w:tc>
                <w:tcPr>
                  <w:tcW w:w="564" w:type="pct"/>
                  <w:vAlign w:val="center"/>
                </w:tcPr>
                <w:p w14:paraId="7E2D573C">
                  <w:pPr>
                    <w:spacing w:before="76"/>
                    <w:ind w:left="212" w:right="211"/>
                    <w:jc w:val="center"/>
                    <w:rPr>
                      <w:rFonts w:ascii="Times New Roman" w:hAnsi="Times New Roman" w:cs="Times New Roman"/>
                      <w:sz w:val="21"/>
                      <w:szCs w:val="21"/>
                      <w:lang w:eastAsia="zh-CN"/>
                    </w:rPr>
                  </w:pPr>
                  <w:r>
                    <w:rPr>
                      <w:rFonts w:ascii="Times New Roman" w:hAnsi="Times New Roman" w:cs="Times New Roman"/>
                      <w:sz w:val="21"/>
                      <w:szCs w:val="21"/>
                      <w:lang w:eastAsia="zh-CN"/>
                    </w:rPr>
                    <w:t>650</w:t>
                  </w:r>
                </w:p>
              </w:tc>
              <w:tc>
                <w:tcPr>
                  <w:tcW w:w="565" w:type="pct"/>
                  <w:vAlign w:val="center"/>
                </w:tcPr>
                <w:p w14:paraId="2C788E49">
                  <w:pPr>
                    <w:spacing w:before="76"/>
                    <w:ind w:left="233" w:right="233"/>
                    <w:jc w:val="center"/>
                    <w:rPr>
                      <w:rFonts w:ascii="Times New Roman" w:hAnsi="Times New Roman" w:cs="Times New Roman"/>
                      <w:sz w:val="21"/>
                      <w:szCs w:val="21"/>
                      <w:lang w:eastAsia="zh-CN"/>
                    </w:rPr>
                  </w:pPr>
                  <w:r>
                    <w:rPr>
                      <w:rFonts w:ascii="Times New Roman" w:hAnsi="Times New Roman" w:cs="Times New Roman"/>
                      <w:sz w:val="21"/>
                      <w:szCs w:val="21"/>
                      <w:lang w:eastAsia="zh-CN"/>
                    </w:rPr>
                    <w:t>750</w:t>
                  </w:r>
                </w:p>
              </w:tc>
              <w:tc>
                <w:tcPr>
                  <w:tcW w:w="565" w:type="pct"/>
                  <w:vAlign w:val="center"/>
                </w:tcPr>
                <w:p w14:paraId="27F7592B">
                  <w:pPr>
                    <w:spacing w:before="76"/>
                    <w:ind w:left="196" w:right="196"/>
                    <w:jc w:val="center"/>
                    <w:rPr>
                      <w:rFonts w:ascii="Times New Roman" w:hAnsi="Times New Roman" w:cs="Times New Roman"/>
                      <w:sz w:val="21"/>
                      <w:szCs w:val="21"/>
                      <w:lang w:eastAsia="zh-CN"/>
                    </w:rPr>
                  </w:pPr>
                  <w:r>
                    <w:rPr>
                      <w:rFonts w:ascii="Times New Roman" w:hAnsi="Times New Roman" w:cs="Times New Roman"/>
                      <w:sz w:val="21"/>
                      <w:szCs w:val="21"/>
                      <w:lang w:eastAsia="zh-CN"/>
                    </w:rPr>
                    <w:t>850</w:t>
                  </w:r>
                </w:p>
              </w:tc>
              <w:tc>
                <w:tcPr>
                  <w:tcW w:w="564" w:type="pct"/>
                  <w:vAlign w:val="center"/>
                </w:tcPr>
                <w:p w14:paraId="57248782">
                  <w:pPr>
                    <w:spacing w:before="76"/>
                    <w:ind w:left="205" w:right="205"/>
                    <w:jc w:val="center"/>
                    <w:rPr>
                      <w:rFonts w:ascii="Times New Roman" w:hAnsi="Times New Roman" w:cs="Times New Roman"/>
                      <w:sz w:val="21"/>
                      <w:szCs w:val="21"/>
                      <w:lang w:eastAsia="zh-CN"/>
                    </w:rPr>
                  </w:pPr>
                  <w:r>
                    <w:rPr>
                      <w:rFonts w:ascii="Times New Roman" w:hAnsi="Times New Roman" w:cs="Times New Roman"/>
                      <w:sz w:val="21"/>
                      <w:szCs w:val="21"/>
                      <w:lang w:eastAsia="zh-CN"/>
                    </w:rPr>
                    <w:t>950</w:t>
                  </w:r>
                </w:p>
              </w:tc>
              <w:tc>
                <w:tcPr>
                  <w:tcW w:w="522" w:type="pct"/>
                  <w:vAlign w:val="center"/>
                </w:tcPr>
                <w:p w14:paraId="2F6F6B9B">
                  <w:pPr>
                    <w:spacing w:before="76"/>
                    <w:ind w:left="99" w:right="98"/>
                    <w:jc w:val="center"/>
                    <w:rPr>
                      <w:rFonts w:ascii="Times New Roman" w:hAnsi="Times New Roman" w:cs="Times New Roman"/>
                      <w:sz w:val="21"/>
                      <w:szCs w:val="21"/>
                      <w:lang w:eastAsia="zh-CN"/>
                    </w:rPr>
                  </w:pPr>
                  <w:r>
                    <w:rPr>
                      <w:rFonts w:ascii="Times New Roman" w:hAnsi="Times New Roman" w:cs="Times New Roman"/>
                      <w:sz w:val="21"/>
                      <w:szCs w:val="21"/>
                      <w:lang w:eastAsia="zh-CN"/>
                    </w:rPr>
                    <w:t>1050</w:t>
                  </w:r>
                </w:p>
              </w:tc>
            </w:tr>
            <w:tr w14:paraId="4F7D5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091" w:type="pct"/>
                  <w:vAlign w:val="center"/>
                </w:tcPr>
                <w:p w14:paraId="263E3A63">
                  <w:pPr>
                    <w:spacing w:before="28"/>
                    <w:ind w:left="105"/>
                    <w:jc w:val="center"/>
                    <w:rPr>
                      <w:rFonts w:ascii="Times New Roman" w:hAnsi="Times New Roman" w:cs="Times New Roman"/>
                      <w:sz w:val="21"/>
                      <w:szCs w:val="21"/>
                      <w:lang w:eastAsia="zh-CN"/>
                    </w:rPr>
                  </w:pPr>
                  <w:r>
                    <w:rPr>
                      <w:rFonts w:ascii="Times New Roman" w:hAnsi="Times New Roman" w:cs="Times New Roman"/>
                      <w:sz w:val="21"/>
                      <w:szCs w:val="21"/>
                      <w:lang w:eastAsia="zh-CN"/>
                    </w:rPr>
                    <w:t>沉降速度（m/s）</w:t>
                  </w:r>
                </w:p>
              </w:tc>
              <w:tc>
                <w:tcPr>
                  <w:tcW w:w="564" w:type="pct"/>
                  <w:vAlign w:val="center"/>
                </w:tcPr>
                <w:p w14:paraId="3C52A329">
                  <w:pPr>
                    <w:spacing w:before="77"/>
                    <w:ind w:left="191" w:right="187"/>
                    <w:jc w:val="center"/>
                    <w:rPr>
                      <w:rFonts w:ascii="Times New Roman" w:hAnsi="Times New Roman" w:cs="Times New Roman"/>
                      <w:sz w:val="21"/>
                      <w:szCs w:val="21"/>
                      <w:lang w:eastAsia="zh-CN"/>
                    </w:rPr>
                  </w:pPr>
                  <w:r>
                    <w:rPr>
                      <w:rFonts w:ascii="Times New Roman" w:hAnsi="Times New Roman" w:cs="Times New Roman"/>
                      <w:sz w:val="21"/>
                      <w:szCs w:val="21"/>
                      <w:lang w:eastAsia="zh-CN"/>
                    </w:rPr>
                    <w:t>2.211</w:t>
                  </w:r>
                </w:p>
              </w:tc>
              <w:tc>
                <w:tcPr>
                  <w:tcW w:w="565" w:type="pct"/>
                  <w:vAlign w:val="center"/>
                </w:tcPr>
                <w:p w14:paraId="494A2267">
                  <w:pPr>
                    <w:spacing w:before="77"/>
                    <w:ind w:left="219" w:right="219"/>
                    <w:jc w:val="center"/>
                    <w:rPr>
                      <w:rFonts w:ascii="Times New Roman" w:hAnsi="Times New Roman" w:cs="Times New Roman"/>
                      <w:sz w:val="21"/>
                      <w:szCs w:val="21"/>
                      <w:lang w:eastAsia="zh-CN"/>
                    </w:rPr>
                  </w:pPr>
                  <w:r>
                    <w:rPr>
                      <w:rFonts w:ascii="Times New Roman" w:hAnsi="Times New Roman" w:cs="Times New Roman"/>
                      <w:sz w:val="21"/>
                      <w:szCs w:val="21"/>
                      <w:lang w:eastAsia="zh-CN"/>
                    </w:rPr>
                    <w:t>2.614</w:t>
                  </w:r>
                </w:p>
              </w:tc>
              <w:tc>
                <w:tcPr>
                  <w:tcW w:w="564" w:type="pct"/>
                  <w:vAlign w:val="center"/>
                </w:tcPr>
                <w:p w14:paraId="3C16A056">
                  <w:pPr>
                    <w:spacing w:before="77"/>
                    <w:ind w:left="212" w:right="212"/>
                    <w:jc w:val="center"/>
                    <w:rPr>
                      <w:rFonts w:ascii="Times New Roman" w:hAnsi="Times New Roman" w:cs="Times New Roman"/>
                      <w:sz w:val="21"/>
                      <w:szCs w:val="21"/>
                      <w:lang w:eastAsia="zh-CN"/>
                    </w:rPr>
                  </w:pPr>
                  <w:r>
                    <w:rPr>
                      <w:rFonts w:ascii="Times New Roman" w:hAnsi="Times New Roman" w:cs="Times New Roman"/>
                      <w:sz w:val="21"/>
                      <w:szCs w:val="21"/>
                      <w:lang w:eastAsia="zh-CN"/>
                    </w:rPr>
                    <w:t>3.016</w:t>
                  </w:r>
                </w:p>
              </w:tc>
              <w:tc>
                <w:tcPr>
                  <w:tcW w:w="565" w:type="pct"/>
                  <w:vAlign w:val="center"/>
                </w:tcPr>
                <w:p w14:paraId="4B11D1B1">
                  <w:pPr>
                    <w:spacing w:before="77"/>
                    <w:ind w:left="235" w:right="233"/>
                    <w:jc w:val="center"/>
                    <w:rPr>
                      <w:rFonts w:ascii="Times New Roman" w:hAnsi="Times New Roman" w:cs="Times New Roman"/>
                      <w:sz w:val="21"/>
                      <w:szCs w:val="21"/>
                      <w:lang w:eastAsia="zh-CN"/>
                    </w:rPr>
                  </w:pPr>
                  <w:r>
                    <w:rPr>
                      <w:rFonts w:ascii="Times New Roman" w:hAnsi="Times New Roman" w:cs="Times New Roman"/>
                      <w:sz w:val="21"/>
                      <w:szCs w:val="21"/>
                      <w:lang w:eastAsia="zh-CN"/>
                    </w:rPr>
                    <w:t>3.418</w:t>
                  </w:r>
                </w:p>
              </w:tc>
              <w:tc>
                <w:tcPr>
                  <w:tcW w:w="565" w:type="pct"/>
                  <w:vAlign w:val="center"/>
                </w:tcPr>
                <w:p w14:paraId="05A653F6">
                  <w:pPr>
                    <w:spacing w:before="77"/>
                    <w:ind w:left="198" w:right="196"/>
                    <w:jc w:val="center"/>
                    <w:rPr>
                      <w:rFonts w:ascii="Times New Roman" w:hAnsi="Times New Roman" w:cs="Times New Roman"/>
                      <w:sz w:val="21"/>
                      <w:szCs w:val="21"/>
                      <w:lang w:eastAsia="zh-CN"/>
                    </w:rPr>
                  </w:pPr>
                  <w:r>
                    <w:rPr>
                      <w:rFonts w:ascii="Times New Roman" w:hAnsi="Times New Roman" w:cs="Times New Roman"/>
                      <w:sz w:val="21"/>
                      <w:szCs w:val="21"/>
                      <w:lang w:eastAsia="zh-CN"/>
                    </w:rPr>
                    <w:t>3.820</w:t>
                  </w:r>
                </w:p>
              </w:tc>
              <w:tc>
                <w:tcPr>
                  <w:tcW w:w="564" w:type="pct"/>
                  <w:vAlign w:val="center"/>
                </w:tcPr>
                <w:p w14:paraId="58EFC3FB">
                  <w:pPr>
                    <w:spacing w:before="77"/>
                    <w:ind w:left="205" w:right="205"/>
                    <w:jc w:val="center"/>
                    <w:rPr>
                      <w:rFonts w:ascii="Times New Roman" w:hAnsi="Times New Roman" w:cs="Times New Roman"/>
                      <w:sz w:val="21"/>
                      <w:szCs w:val="21"/>
                      <w:lang w:eastAsia="zh-CN"/>
                    </w:rPr>
                  </w:pPr>
                  <w:r>
                    <w:rPr>
                      <w:rFonts w:ascii="Times New Roman" w:hAnsi="Times New Roman" w:cs="Times New Roman"/>
                      <w:sz w:val="21"/>
                      <w:szCs w:val="21"/>
                      <w:lang w:eastAsia="zh-CN"/>
                    </w:rPr>
                    <w:t>4.222</w:t>
                  </w:r>
                </w:p>
              </w:tc>
              <w:tc>
                <w:tcPr>
                  <w:tcW w:w="522" w:type="pct"/>
                  <w:vAlign w:val="center"/>
                </w:tcPr>
                <w:p w14:paraId="013E5632">
                  <w:pPr>
                    <w:spacing w:before="77"/>
                    <w:ind w:left="99" w:right="98"/>
                    <w:jc w:val="center"/>
                    <w:rPr>
                      <w:rFonts w:ascii="Times New Roman" w:hAnsi="Times New Roman" w:cs="Times New Roman"/>
                      <w:sz w:val="21"/>
                      <w:szCs w:val="21"/>
                      <w:lang w:eastAsia="zh-CN"/>
                    </w:rPr>
                  </w:pPr>
                  <w:r>
                    <w:rPr>
                      <w:rFonts w:ascii="Times New Roman" w:hAnsi="Times New Roman" w:cs="Times New Roman"/>
                      <w:sz w:val="21"/>
                      <w:szCs w:val="21"/>
                      <w:lang w:eastAsia="zh-CN"/>
                    </w:rPr>
                    <w:t>4.624</w:t>
                  </w:r>
                </w:p>
              </w:tc>
            </w:tr>
          </w:tbl>
          <w:p w14:paraId="17CF53AC">
            <w:pPr>
              <w:autoSpaceDE/>
              <w:autoSpaceDN/>
              <w:jc w:val="center"/>
              <w:rPr>
                <w:rFonts w:ascii="Times New Roman" w:hAnsi="Times New Roman" w:cs="Times New Roman"/>
                <w:b/>
                <w:bCs/>
                <w:kern w:val="2"/>
                <w:sz w:val="21"/>
                <w:szCs w:val="21"/>
                <w:lang w:val="zh-CN" w:eastAsia="zh-CN" w:bidi="zh-CN"/>
              </w:rPr>
            </w:pPr>
          </w:p>
          <w:p w14:paraId="07C9A349">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由表</w:t>
            </w:r>
            <w:r>
              <w:rPr>
                <w:rFonts w:ascii="Times New Roman" w:hAnsi="Times New Roman" w:cs="Times New Roman"/>
                <w:sz w:val="24"/>
                <w:szCs w:val="20"/>
                <w:lang w:eastAsia="zh-CN"/>
              </w:rPr>
              <w:t>4.1可知，</w:t>
            </w:r>
            <w:r>
              <w:rPr>
                <w:rFonts w:hint="eastAsia" w:ascii="Times New Roman" w:hAnsi="Times New Roman" w:cs="Times New Roman"/>
                <w:sz w:val="24"/>
                <w:szCs w:val="20"/>
                <w:lang w:eastAsia="zh-CN"/>
              </w:rPr>
              <w:t>施工</w:t>
            </w:r>
            <w:r>
              <w:rPr>
                <w:rFonts w:ascii="Times New Roman" w:hAnsi="Times New Roman" w:cs="Times New Roman"/>
                <w:sz w:val="24"/>
                <w:szCs w:val="20"/>
                <w:lang w:eastAsia="zh-CN"/>
              </w:rPr>
              <w:t>扬尘的沉降速度随粒径的增大而迅速增大。当粒径为250μm时，沉降速度为1.005m/s，主要影响范围在扬尘点下风向近距离范围内，此类扬尘可造成施工区域附近TSP浓度暂时升高，对项目区域大气环境影响较小。</w:t>
            </w:r>
          </w:p>
          <w:p w14:paraId="5D89EB07">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施工扬尘可根据如下经验公式计算：</w:t>
            </w:r>
          </w:p>
          <w:p w14:paraId="0F0A5EA3">
            <w:pPr>
              <w:autoSpaceDE/>
              <w:autoSpaceDN/>
              <w:spacing w:line="360" w:lineRule="auto"/>
              <w:jc w:val="center"/>
              <w:rPr>
                <w:rFonts w:ascii="Times New Roman" w:hAnsi="Times New Roman" w:cs="Times New Roman"/>
                <w:sz w:val="24"/>
                <w:szCs w:val="20"/>
                <w:lang w:eastAsia="zh-CN"/>
              </w:rPr>
            </w:pPr>
            <w:r>
              <w:rPr>
                <w:rFonts w:ascii="Times New Roman" w:hAnsi="Times New Roman" w:cs="Times New Roman"/>
                <w:sz w:val="24"/>
                <w:szCs w:val="20"/>
                <w:lang w:eastAsia="zh-CN"/>
              </w:rPr>
              <w:drawing>
                <wp:inline distT="0" distB="0" distL="0" distR="0">
                  <wp:extent cx="2084705" cy="298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84705" cy="298450"/>
                          </a:xfrm>
                          <a:prstGeom prst="rect">
                            <a:avLst/>
                          </a:prstGeom>
                          <a:noFill/>
                        </pic:spPr>
                      </pic:pic>
                    </a:graphicData>
                  </a:graphic>
                </wp:inline>
              </w:drawing>
            </w:r>
          </w:p>
          <w:p w14:paraId="1BDD46B1">
            <w:pPr>
              <w:jc w:val="center"/>
              <w:rPr>
                <w:rFonts w:ascii="Times New Roman" w:hAnsi="Times New Roman" w:cs="Times New Roman"/>
                <w:sz w:val="21"/>
                <w:szCs w:val="21"/>
                <w:lang w:eastAsia="zh-CN" w:bidi="zh-CN"/>
              </w:rPr>
            </w:pPr>
          </w:p>
          <w:p w14:paraId="12EDC5FA">
            <w:pPr>
              <w:spacing w:line="360" w:lineRule="auto"/>
              <w:ind w:firstLine="480" w:firstLineChars="200"/>
              <w:jc w:val="both"/>
              <w:rPr>
                <w:rFonts w:ascii="Times New Roman" w:hAnsi="Times New Roman" w:cs="Times New Roman"/>
                <w:sz w:val="24"/>
                <w:szCs w:val="24"/>
                <w:lang w:eastAsia="zh-CN" w:bidi="zh-CN"/>
              </w:rPr>
            </w:pPr>
            <w:r>
              <w:rPr>
                <w:rFonts w:hint="eastAsia" w:ascii="Times New Roman" w:hAnsi="Times New Roman" w:cs="Times New Roman"/>
                <w:sz w:val="24"/>
                <w:szCs w:val="24"/>
                <w:lang w:eastAsia="zh-CN" w:bidi="zh-CN"/>
              </w:rPr>
              <w:t>式中：</w:t>
            </w:r>
            <w:r>
              <w:rPr>
                <w:rFonts w:ascii="Times New Roman" w:hAnsi="Times New Roman" w:cs="Times New Roman"/>
                <w:sz w:val="24"/>
                <w:szCs w:val="24"/>
                <w:lang w:eastAsia="zh-CN" w:bidi="zh-CN"/>
              </w:rPr>
              <w:t xml:space="preserve">Q </w:t>
            </w:r>
            <w:r>
              <w:rPr>
                <w:rFonts w:hint="eastAsia" w:ascii="Times New Roman" w:hAnsi="Times New Roman" w:cs="Times New Roman"/>
                <w:sz w:val="24"/>
                <w:szCs w:val="24"/>
                <w:lang w:eastAsia="zh-CN" w:bidi="zh-CN"/>
              </w:rPr>
              <w:t>— 起尘</w:t>
            </w:r>
            <w:r>
              <w:rPr>
                <w:rFonts w:ascii="Times New Roman" w:hAnsi="Times New Roman" w:cs="Times New Roman"/>
                <w:sz w:val="24"/>
                <w:szCs w:val="24"/>
                <w:lang w:eastAsia="zh-CN" w:bidi="zh-CN"/>
              </w:rPr>
              <w:t>量（kg/t·a）；</w:t>
            </w:r>
          </w:p>
          <w:p w14:paraId="46D0BAD9">
            <w:pPr>
              <w:spacing w:line="360" w:lineRule="auto"/>
              <w:ind w:firstLine="1080" w:firstLineChars="450"/>
              <w:jc w:val="both"/>
              <w:rPr>
                <w:rFonts w:ascii="Times New Roman" w:hAnsi="Times New Roman" w:cs="Times New Roman"/>
                <w:sz w:val="24"/>
                <w:szCs w:val="24"/>
                <w:lang w:eastAsia="zh-CN" w:bidi="zh-CN"/>
              </w:rPr>
            </w:pPr>
            <w:r>
              <w:rPr>
                <w:rFonts w:ascii="Times New Roman" w:hAnsi="Times New Roman" w:cs="Times New Roman"/>
                <w:sz w:val="24"/>
                <w:szCs w:val="24"/>
                <w:lang w:eastAsia="zh-CN" w:bidi="zh-CN"/>
              </w:rPr>
              <w:t>V</w:t>
            </w:r>
            <w:r>
              <w:rPr>
                <w:rFonts w:ascii="Times New Roman" w:hAnsi="Times New Roman" w:cs="Times New Roman"/>
                <w:sz w:val="24"/>
                <w:szCs w:val="24"/>
                <w:vertAlign w:val="subscript"/>
                <w:lang w:eastAsia="zh-CN" w:bidi="zh-CN"/>
              </w:rPr>
              <w:t>50</w:t>
            </w:r>
            <w:r>
              <w:rPr>
                <w:rFonts w:ascii="Times New Roman" w:hAnsi="Times New Roman" w:cs="Times New Roman"/>
                <w:sz w:val="24"/>
                <w:szCs w:val="24"/>
                <w:lang w:eastAsia="zh-CN" w:bidi="zh-CN"/>
              </w:rPr>
              <w:t xml:space="preserve"> </w:t>
            </w:r>
            <w:r>
              <w:rPr>
                <w:rFonts w:hint="eastAsia" w:ascii="Times New Roman" w:hAnsi="Times New Roman" w:cs="Times New Roman"/>
                <w:sz w:val="24"/>
                <w:szCs w:val="24"/>
                <w:lang w:eastAsia="zh-CN" w:bidi="zh-CN"/>
              </w:rPr>
              <w:t>— 距地面5</w:t>
            </w:r>
            <w:r>
              <w:rPr>
                <w:rFonts w:ascii="Times New Roman" w:hAnsi="Times New Roman" w:cs="Times New Roman"/>
                <w:sz w:val="24"/>
                <w:szCs w:val="24"/>
                <w:lang w:eastAsia="zh-CN" w:bidi="zh-CN"/>
              </w:rPr>
              <w:t>0</w:t>
            </w:r>
            <w:r>
              <w:rPr>
                <w:rFonts w:hint="eastAsia" w:ascii="Times New Roman" w:hAnsi="Times New Roman" w:cs="Times New Roman"/>
                <w:sz w:val="24"/>
                <w:szCs w:val="24"/>
                <w:lang w:eastAsia="zh-CN" w:bidi="zh-CN"/>
              </w:rPr>
              <w:t>m处风速</w:t>
            </w:r>
            <w:r>
              <w:rPr>
                <w:rFonts w:ascii="Times New Roman" w:hAnsi="Times New Roman" w:cs="Times New Roman"/>
                <w:sz w:val="24"/>
                <w:szCs w:val="24"/>
                <w:lang w:eastAsia="zh-CN" w:bidi="zh-CN"/>
              </w:rPr>
              <w:t>（m/s）；</w:t>
            </w:r>
          </w:p>
          <w:p w14:paraId="509CE50E">
            <w:pPr>
              <w:spacing w:line="360" w:lineRule="auto"/>
              <w:ind w:firstLine="1200" w:firstLineChars="500"/>
              <w:jc w:val="both"/>
              <w:rPr>
                <w:rFonts w:ascii="Times New Roman" w:hAnsi="Times New Roman" w:cs="Times New Roman"/>
                <w:sz w:val="24"/>
                <w:szCs w:val="24"/>
                <w:lang w:eastAsia="zh-CN" w:bidi="zh-CN"/>
              </w:rPr>
            </w:pPr>
            <w:r>
              <w:rPr>
                <w:rFonts w:ascii="Times New Roman" w:hAnsi="Times New Roman" w:cs="Times New Roman"/>
                <w:sz w:val="24"/>
                <w:szCs w:val="24"/>
                <w:lang w:eastAsia="zh-CN" w:bidi="zh-CN"/>
              </w:rPr>
              <w:t>V</w:t>
            </w:r>
            <w:r>
              <w:rPr>
                <w:rFonts w:ascii="Times New Roman" w:hAnsi="Times New Roman" w:cs="Times New Roman"/>
                <w:sz w:val="24"/>
                <w:szCs w:val="24"/>
                <w:vertAlign w:val="subscript"/>
                <w:lang w:eastAsia="zh-CN" w:bidi="zh-CN"/>
              </w:rPr>
              <w:t>0</w:t>
            </w:r>
            <w:r>
              <w:rPr>
                <w:rFonts w:ascii="Times New Roman" w:hAnsi="Times New Roman" w:cs="Times New Roman"/>
                <w:sz w:val="24"/>
                <w:szCs w:val="24"/>
                <w:lang w:eastAsia="zh-CN" w:bidi="zh-CN"/>
              </w:rPr>
              <w:t xml:space="preserve"> </w:t>
            </w:r>
            <w:r>
              <w:rPr>
                <w:rFonts w:hint="eastAsia" w:ascii="Times New Roman" w:hAnsi="Times New Roman" w:cs="Times New Roman"/>
                <w:sz w:val="24"/>
                <w:szCs w:val="24"/>
                <w:lang w:eastAsia="zh-CN" w:bidi="zh-CN"/>
              </w:rPr>
              <w:t>— 起尘风速</w:t>
            </w:r>
            <w:r>
              <w:rPr>
                <w:rFonts w:ascii="Times New Roman" w:hAnsi="Times New Roman" w:cs="Times New Roman"/>
                <w:sz w:val="24"/>
                <w:szCs w:val="24"/>
                <w:lang w:eastAsia="zh-CN" w:bidi="zh-CN"/>
              </w:rPr>
              <w:t>（m/s）；</w:t>
            </w:r>
          </w:p>
          <w:p w14:paraId="2E0C3C34">
            <w:pPr>
              <w:spacing w:line="360" w:lineRule="auto"/>
              <w:ind w:firstLine="1200" w:firstLineChars="500"/>
              <w:jc w:val="both"/>
              <w:rPr>
                <w:rFonts w:ascii="Times New Roman" w:hAnsi="Times New Roman" w:cs="Times New Roman"/>
                <w:sz w:val="24"/>
                <w:szCs w:val="24"/>
                <w:lang w:eastAsia="zh-CN" w:bidi="zh-CN"/>
              </w:rPr>
            </w:pPr>
            <w:r>
              <w:rPr>
                <w:rFonts w:ascii="Times New Roman" w:hAnsi="Times New Roman" w:cs="Times New Roman"/>
                <w:sz w:val="24"/>
                <w:szCs w:val="24"/>
                <w:lang w:eastAsia="zh-CN" w:bidi="zh-CN"/>
              </w:rPr>
              <w:t xml:space="preserve">W </w:t>
            </w:r>
            <w:r>
              <w:rPr>
                <w:rFonts w:hint="eastAsia" w:ascii="Times New Roman" w:hAnsi="Times New Roman" w:cs="Times New Roman"/>
                <w:sz w:val="24"/>
                <w:szCs w:val="24"/>
                <w:lang w:eastAsia="zh-CN" w:bidi="zh-CN"/>
              </w:rPr>
              <w:t>— 尘粒的含水量</w:t>
            </w:r>
            <w:r>
              <w:rPr>
                <w:rFonts w:ascii="Times New Roman" w:hAnsi="Times New Roman" w:cs="Times New Roman"/>
                <w:sz w:val="24"/>
                <w:szCs w:val="24"/>
                <w:lang w:eastAsia="zh-CN" w:bidi="zh-CN"/>
              </w:rPr>
              <w:t>（%）。</w:t>
            </w:r>
          </w:p>
          <w:p w14:paraId="266E62DF">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V</w:t>
            </w:r>
            <w:r>
              <w:rPr>
                <w:rFonts w:ascii="Times New Roman" w:hAnsi="Times New Roman" w:cs="Times New Roman"/>
                <w:sz w:val="24"/>
                <w:szCs w:val="20"/>
                <w:vertAlign w:val="subscript"/>
                <w:lang w:eastAsia="zh-CN"/>
              </w:rPr>
              <w:t>0</w:t>
            </w:r>
            <w:r>
              <w:rPr>
                <w:rFonts w:ascii="Times New Roman" w:hAnsi="Times New Roman" w:cs="Times New Roman"/>
                <w:sz w:val="24"/>
                <w:szCs w:val="20"/>
                <w:lang w:eastAsia="zh-CN"/>
              </w:rPr>
              <w:t>与尘埃粒径和含水率有关，因此减少物料露天堆放时间、保证一定的含水率、减少裸露地表是减少施工扬尘的有效手段。由公式可以看出，尘粒在空气中的传播扩散、起尘量情况与风速等气象条件和尘粒自身含水量有关，也与尘粒本身的沉降速度有关，不同粒径尘粒的沉降速度随粒径的增大而增大。</w:t>
            </w:r>
          </w:p>
          <w:p w14:paraId="73D3BF87">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抑制施工扬尘最简单有效的措施之一就是洒水，如果施工期内对施工区域洒水抑尘，每天</w:t>
            </w:r>
            <w:r>
              <w:rPr>
                <w:rFonts w:ascii="Times New Roman" w:hAnsi="Times New Roman" w:cs="Times New Roman"/>
                <w:sz w:val="24"/>
                <w:szCs w:val="20"/>
                <w:lang w:eastAsia="zh-CN"/>
              </w:rPr>
              <w:t>4-5次，在不同距离范围内，可使施工扬尘减少30-80%左右。洒水抑尘措施的降尘效果见表4.2。</w:t>
            </w:r>
          </w:p>
          <w:p w14:paraId="1D6798EE">
            <w:pPr>
              <w:autoSpaceDE/>
              <w:autoSpaceDN/>
              <w:jc w:val="center"/>
              <w:rPr>
                <w:rFonts w:ascii="Times New Roman" w:hAnsi="Times New Roman" w:cs="Times New Roman"/>
                <w:b/>
                <w:bCs/>
                <w:kern w:val="2"/>
                <w:sz w:val="21"/>
                <w:szCs w:val="21"/>
                <w:lang w:val="zh-CN" w:eastAsia="zh-CN" w:bidi="zh-CN"/>
              </w:rPr>
            </w:pPr>
            <w:r>
              <w:rPr>
                <w:rFonts w:ascii="Times New Roman" w:hAnsi="Times New Roman" w:cs="Times New Roman"/>
                <w:b/>
                <w:bCs/>
                <w:kern w:val="2"/>
                <w:sz w:val="21"/>
                <w:szCs w:val="21"/>
                <w:lang w:val="zh-CN" w:eastAsia="zh-CN" w:bidi="zh-CN"/>
              </w:rPr>
              <w:t>表4.2</w:t>
            </w:r>
            <w:r>
              <w:rPr>
                <w:rFonts w:hint="eastAsia" w:ascii="Times New Roman" w:hAnsi="Times New Roman" w:cs="Times New Roman"/>
                <w:b/>
                <w:bCs/>
                <w:kern w:val="2"/>
                <w:sz w:val="21"/>
                <w:szCs w:val="21"/>
                <w:lang w:val="zh-CN" w:eastAsia="zh-CN" w:bidi="zh-CN"/>
              </w:rPr>
              <w:t xml:space="preserve">  洒水抑尘措施效果一览表</w:t>
            </w:r>
          </w:p>
          <w:tbl>
            <w:tblPr>
              <w:tblStyle w:val="12"/>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916"/>
              <w:gridCol w:w="1220"/>
              <w:gridCol w:w="1065"/>
              <w:gridCol w:w="1219"/>
              <w:gridCol w:w="1219"/>
              <w:gridCol w:w="1140"/>
            </w:tblGrid>
            <w:tr w14:paraId="226C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pct"/>
                  <w:gridSpan w:val="2"/>
                  <w:vAlign w:val="center"/>
                </w:tcPr>
                <w:p w14:paraId="2A6291BE">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距离（m）</w:t>
                  </w:r>
                </w:p>
              </w:tc>
              <w:tc>
                <w:tcPr>
                  <w:tcW w:w="701" w:type="pct"/>
                  <w:vAlign w:val="center"/>
                </w:tcPr>
                <w:p w14:paraId="227DF11B">
                  <w:pPr>
                    <w:autoSpaceDE/>
                    <w:autoSpaceDN/>
                    <w:jc w:val="center"/>
                    <w:rPr>
                      <w:rFonts w:ascii="Times New Roman" w:hAnsi="Times New Roman" w:cs="Times New Roman"/>
                      <w:sz w:val="21"/>
                      <w:szCs w:val="21"/>
                      <w:lang w:eastAsia="zh-CN"/>
                    </w:rPr>
                  </w:pPr>
                  <w:r>
                    <w:rPr>
                      <w:rFonts w:ascii="Times New Roman" w:hAnsi="Times New Roman" w:cs="Times New Roman"/>
                      <w:w w:val="99"/>
                      <w:sz w:val="21"/>
                      <w:szCs w:val="21"/>
                      <w:lang w:eastAsia="zh-CN"/>
                    </w:rPr>
                    <w:t>5</w:t>
                  </w:r>
                </w:p>
              </w:tc>
              <w:tc>
                <w:tcPr>
                  <w:tcW w:w="612" w:type="pct"/>
                  <w:vAlign w:val="center"/>
                </w:tcPr>
                <w:p w14:paraId="54974C6F">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20</w:t>
                  </w:r>
                </w:p>
              </w:tc>
              <w:tc>
                <w:tcPr>
                  <w:tcW w:w="700" w:type="pct"/>
                  <w:vAlign w:val="center"/>
                </w:tcPr>
                <w:p w14:paraId="4B5C1DEF">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50</w:t>
                  </w:r>
                </w:p>
              </w:tc>
              <w:tc>
                <w:tcPr>
                  <w:tcW w:w="700" w:type="pct"/>
                  <w:vAlign w:val="center"/>
                </w:tcPr>
                <w:p w14:paraId="27F52AF9">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100</w:t>
                  </w:r>
                </w:p>
              </w:tc>
              <w:tc>
                <w:tcPr>
                  <w:tcW w:w="655" w:type="pct"/>
                  <w:vAlign w:val="center"/>
                </w:tcPr>
                <w:p w14:paraId="037E616F">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200</w:t>
                  </w:r>
                </w:p>
              </w:tc>
            </w:tr>
            <w:tr w14:paraId="6FEB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vMerge w:val="restart"/>
                  <w:vAlign w:val="center"/>
                </w:tcPr>
                <w:p w14:paraId="3CDDB666">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TSP小时平均浓度（mg/m³）</w:t>
                  </w:r>
                </w:p>
              </w:tc>
              <w:tc>
                <w:tcPr>
                  <w:tcW w:w="526" w:type="pct"/>
                  <w:vAlign w:val="center"/>
                </w:tcPr>
                <w:p w14:paraId="20AB4BB0">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不洒水</w:t>
                  </w:r>
                </w:p>
              </w:tc>
              <w:tc>
                <w:tcPr>
                  <w:tcW w:w="701" w:type="pct"/>
                  <w:vAlign w:val="center"/>
                </w:tcPr>
                <w:p w14:paraId="6683503D">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11.03</w:t>
                  </w:r>
                </w:p>
              </w:tc>
              <w:tc>
                <w:tcPr>
                  <w:tcW w:w="612" w:type="pct"/>
                  <w:vAlign w:val="center"/>
                </w:tcPr>
                <w:p w14:paraId="56AA21EE">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2.89</w:t>
                  </w:r>
                </w:p>
              </w:tc>
              <w:tc>
                <w:tcPr>
                  <w:tcW w:w="700" w:type="pct"/>
                  <w:vAlign w:val="center"/>
                </w:tcPr>
                <w:p w14:paraId="57E48545">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1.15</w:t>
                  </w:r>
                </w:p>
              </w:tc>
              <w:tc>
                <w:tcPr>
                  <w:tcW w:w="700" w:type="pct"/>
                  <w:vAlign w:val="center"/>
                </w:tcPr>
                <w:p w14:paraId="74D991CA">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0.86</w:t>
                  </w:r>
                </w:p>
              </w:tc>
              <w:tc>
                <w:tcPr>
                  <w:tcW w:w="655" w:type="pct"/>
                  <w:vAlign w:val="center"/>
                </w:tcPr>
                <w:p w14:paraId="59BAD789">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0.56</w:t>
                  </w:r>
                </w:p>
              </w:tc>
            </w:tr>
            <w:tr w14:paraId="5E13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vMerge w:val="continue"/>
                  <w:vAlign w:val="center"/>
                </w:tcPr>
                <w:p w14:paraId="395A2FDC">
                  <w:pPr>
                    <w:autoSpaceDE/>
                    <w:autoSpaceDN/>
                    <w:jc w:val="center"/>
                    <w:rPr>
                      <w:rFonts w:ascii="Times New Roman" w:hAnsi="Times New Roman" w:cs="Times New Roman"/>
                      <w:sz w:val="21"/>
                      <w:szCs w:val="21"/>
                      <w:lang w:eastAsia="zh-CN"/>
                    </w:rPr>
                  </w:pPr>
                </w:p>
              </w:tc>
              <w:tc>
                <w:tcPr>
                  <w:tcW w:w="526" w:type="pct"/>
                  <w:vAlign w:val="center"/>
                </w:tcPr>
                <w:p w14:paraId="53EAE343">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洒水</w:t>
                  </w:r>
                </w:p>
              </w:tc>
              <w:tc>
                <w:tcPr>
                  <w:tcW w:w="701" w:type="pct"/>
                  <w:vAlign w:val="center"/>
                </w:tcPr>
                <w:p w14:paraId="751D6118">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2.11</w:t>
                  </w:r>
                </w:p>
              </w:tc>
              <w:tc>
                <w:tcPr>
                  <w:tcW w:w="612" w:type="pct"/>
                  <w:vAlign w:val="center"/>
                </w:tcPr>
                <w:p w14:paraId="0322DB2C">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1.40</w:t>
                  </w:r>
                </w:p>
              </w:tc>
              <w:tc>
                <w:tcPr>
                  <w:tcW w:w="700" w:type="pct"/>
                  <w:vAlign w:val="center"/>
                </w:tcPr>
                <w:p w14:paraId="6B3EC76D">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0.68</w:t>
                  </w:r>
                </w:p>
              </w:tc>
              <w:tc>
                <w:tcPr>
                  <w:tcW w:w="700" w:type="pct"/>
                  <w:vAlign w:val="center"/>
                </w:tcPr>
                <w:p w14:paraId="62759363">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0.86</w:t>
                  </w:r>
                </w:p>
              </w:tc>
              <w:tc>
                <w:tcPr>
                  <w:tcW w:w="655" w:type="pct"/>
                  <w:vAlign w:val="center"/>
                </w:tcPr>
                <w:p w14:paraId="53A4385F">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0.29</w:t>
                  </w:r>
                </w:p>
              </w:tc>
            </w:tr>
            <w:tr w14:paraId="7DAB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pct"/>
                  <w:gridSpan w:val="2"/>
                  <w:vAlign w:val="center"/>
                </w:tcPr>
                <w:p w14:paraId="2B6BD9A2">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除尘率（%）</w:t>
                  </w:r>
                </w:p>
              </w:tc>
              <w:tc>
                <w:tcPr>
                  <w:tcW w:w="701" w:type="pct"/>
                  <w:vAlign w:val="center"/>
                </w:tcPr>
                <w:p w14:paraId="6388F876">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81</w:t>
                  </w:r>
                </w:p>
              </w:tc>
              <w:tc>
                <w:tcPr>
                  <w:tcW w:w="612" w:type="pct"/>
                  <w:vAlign w:val="center"/>
                </w:tcPr>
                <w:p w14:paraId="18B0B431">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52</w:t>
                  </w:r>
                </w:p>
              </w:tc>
              <w:tc>
                <w:tcPr>
                  <w:tcW w:w="700" w:type="pct"/>
                  <w:vAlign w:val="center"/>
                </w:tcPr>
                <w:p w14:paraId="4DFD6FCD">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41</w:t>
                  </w:r>
                </w:p>
              </w:tc>
              <w:tc>
                <w:tcPr>
                  <w:tcW w:w="700" w:type="pct"/>
                  <w:vAlign w:val="center"/>
                </w:tcPr>
                <w:p w14:paraId="0EB6E790">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30</w:t>
                  </w:r>
                </w:p>
              </w:tc>
              <w:tc>
                <w:tcPr>
                  <w:tcW w:w="655" w:type="pct"/>
                  <w:vAlign w:val="center"/>
                </w:tcPr>
                <w:p w14:paraId="19DE3BDB">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48</w:t>
                  </w:r>
                </w:p>
              </w:tc>
            </w:tr>
          </w:tbl>
          <w:p w14:paraId="26C79C3F">
            <w:pPr>
              <w:autoSpaceDE/>
              <w:autoSpaceDN/>
              <w:jc w:val="center"/>
              <w:rPr>
                <w:rFonts w:ascii="Times New Roman" w:hAnsi="Times New Roman" w:cs="Times New Roman"/>
                <w:sz w:val="21"/>
                <w:szCs w:val="21"/>
                <w:lang w:eastAsia="zh-CN"/>
              </w:rPr>
            </w:pPr>
          </w:p>
          <w:p w14:paraId="52C1F23B">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由表中数据可以看出，对施工场地每天洒水抑尘</w:t>
            </w:r>
            <w:r>
              <w:rPr>
                <w:rFonts w:ascii="Times New Roman" w:hAnsi="Times New Roman" w:cs="Times New Roman"/>
                <w:sz w:val="24"/>
                <w:szCs w:val="20"/>
                <w:lang w:eastAsia="zh-CN"/>
              </w:rPr>
              <w:t>4-5次，可有效</w:t>
            </w:r>
            <w:r>
              <w:rPr>
                <w:rFonts w:hint="eastAsia" w:ascii="Times New Roman" w:hAnsi="Times New Roman" w:cs="Times New Roman"/>
                <w:sz w:val="24"/>
                <w:szCs w:val="20"/>
                <w:lang w:eastAsia="zh-CN"/>
              </w:rPr>
              <w:t>抑制</w:t>
            </w:r>
            <w:r>
              <w:rPr>
                <w:rFonts w:ascii="Times New Roman" w:hAnsi="Times New Roman" w:cs="Times New Roman"/>
                <w:sz w:val="24"/>
                <w:szCs w:val="20"/>
                <w:lang w:eastAsia="zh-CN"/>
              </w:rPr>
              <w:t>施工扬尘，并将TSP</w:t>
            </w:r>
            <w:r>
              <w:rPr>
                <w:rFonts w:hint="eastAsia" w:ascii="Times New Roman" w:hAnsi="Times New Roman" w:cs="Times New Roman"/>
                <w:sz w:val="24"/>
                <w:szCs w:val="20"/>
                <w:lang w:eastAsia="zh-CN"/>
              </w:rPr>
              <w:t>影响</w:t>
            </w:r>
            <w:r>
              <w:rPr>
                <w:rFonts w:ascii="Times New Roman" w:hAnsi="Times New Roman" w:cs="Times New Roman"/>
                <w:sz w:val="24"/>
                <w:szCs w:val="20"/>
                <w:lang w:eastAsia="zh-CN"/>
              </w:rPr>
              <w:t>区域缩小至50m范围内。</w:t>
            </w:r>
          </w:p>
          <w:p w14:paraId="75769700">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w:t>
            </w:r>
            <w:r>
              <w:rPr>
                <w:rFonts w:ascii="Times New Roman" w:hAnsi="Times New Roman" w:cs="Times New Roman"/>
                <w:sz w:val="24"/>
                <w:szCs w:val="20"/>
                <w:lang w:eastAsia="zh-CN"/>
              </w:rPr>
              <w:t>2</w:t>
            </w:r>
            <w:r>
              <w:rPr>
                <w:rFonts w:hint="eastAsia" w:ascii="Times New Roman" w:hAnsi="Times New Roman" w:cs="Times New Roman"/>
                <w:sz w:val="24"/>
                <w:szCs w:val="20"/>
                <w:lang w:eastAsia="zh-CN"/>
              </w:rPr>
              <w:t>）交通扬尘</w:t>
            </w:r>
          </w:p>
          <w:p w14:paraId="618BC579">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本项目动态起尘主要是各类施工机械设备、运输车辆在项目区内外往返形成的地面扬尘，根据有关资料，在施工过程中，交通行驶产生的扬尘占总扬尘量的</w:t>
            </w:r>
            <w:r>
              <w:rPr>
                <w:rFonts w:ascii="Times New Roman" w:hAnsi="Times New Roman" w:cs="Times New Roman"/>
                <w:sz w:val="24"/>
                <w:szCs w:val="20"/>
                <w:lang w:eastAsia="zh-CN"/>
              </w:rPr>
              <w:t>60%以上。</w:t>
            </w:r>
            <w:r>
              <w:rPr>
                <w:rFonts w:hint="eastAsia" w:ascii="Times New Roman" w:hAnsi="Times New Roman" w:cs="Times New Roman"/>
                <w:sz w:val="24"/>
                <w:szCs w:val="20"/>
                <w:lang w:eastAsia="zh-CN"/>
              </w:rPr>
              <w:t>交通扬尘排放方式为线性排放。</w:t>
            </w:r>
            <w:r>
              <w:rPr>
                <w:rFonts w:ascii="Times New Roman" w:hAnsi="Times New Roman" w:cs="Times New Roman"/>
                <w:sz w:val="24"/>
                <w:szCs w:val="20"/>
                <w:lang w:eastAsia="zh-CN"/>
              </w:rPr>
              <w:t>施工机械</w:t>
            </w:r>
            <w:r>
              <w:rPr>
                <w:rFonts w:hint="eastAsia" w:ascii="Times New Roman" w:hAnsi="Times New Roman" w:cs="Times New Roman"/>
                <w:sz w:val="24"/>
                <w:szCs w:val="20"/>
                <w:lang w:eastAsia="zh-CN"/>
              </w:rPr>
              <w:t>设备</w:t>
            </w:r>
            <w:r>
              <w:rPr>
                <w:rFonts w:ascii="Times New Roman" w:hAnsi="Times New Roman" w:cs="Times New Roman"/>
                <w:sz w:val="24"/>
                <w:szCs w:val="20"/>
                <w:lang w:eastAsia="zh-CN"/>
              </w:rPr>
              <w:t>、运输车辆行驶产生的扬尘量与路面清洁程度以及行驶速度有关。一般情况</w:t>
            </w:r>
            <w:r>
              <w:rPr>
                <w:rFonts w:hint="eastAsia" w:ascii="Times New Roman" w:hAnsi="Times New Roman" w:cs="Times New Roman"/>
                <w:sz w:val="24"/>
                <w:szCs w:val="20"/>
                <w:lang w:eastAsia="zh-CN"/>
              </w:rPr>
              <w:t>下，</w:t>
            </w:r>
            <w:r>
              <w:rPr>
                <w:rFonts w:ascii="Times New Roman" w:hAnsi="Times New Roman" w:cs="Times New Roman"/>
                <w:sz w:val="24"/>
                <w:szCs w:val="20"/>
                <w:lang w:eastAsia="zh-CN"/>
              </w:rPr>
              <w:t>车辆行驶产生的扬尘在同样路面清洁程度下，车速越快，扬尘量越大；而在同样车速下，路面越脏扬尘量越大。</w:t>
            </w:r>
            <w:r>
              <w:rPr>
                <w:rFonts w:hint="eastAsia" w:ascii="Times New Roman" w:hAnsi="Times New Roman" w:cs="Times New Roman"/>
                <w:sz w:val="24"/>
                <w:szCs w:val="20"/>
                <w:lang w:eastAsia="zh-CN"/>
              </w:rPr>
              <w:t>项目施工便道主要依托现有道路，通过施工区域</w:t>
            </w:r>
            <w:r>
              <w:rPr>
                <w:rFonts w:ascii="Times New Roman" w:hAnsi="Times New Roman" w:cs="Times New Roman"/>
                <w:sz w:val="24"/>
                <w:szCs w:val="20"/>
                <w:lang w:eastAsia="zh-CN"/>
              </w:rPr>
              <w:t>定期洒水，</w:t>
            </w:r>
            <w:r>
              <w:rPr>
                <w:rFonts w:hint="eastAsia" w:ascii="Times New Roman" w:hAnsi="Times New Roman" w:cs="Times New Roman"/>
                <w:sz w:val="24"/>
                <w:szCs w:val="20"/>
                <w:lang w:eastAsia="zh-CN"/>
              </w:rPr>
              <w:t>车斗苫布遮蔽等措施，产生交通扬尘量较小，交通扬尘不会对项目区域大气环境造成明显影响。</w:t>
            </w:r>
          </w:p>
          <w:p w14:paraId="4A239124">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w:t>
            </w:r>
            <w:r>
              <w:rPr>
                <w:rFonts w:ascii="Times New Roman" w:hAnsi="Times New Roman" w:cs="Times New Roman"/>
                <w:sz w:val="24"/>
                <w:szCs w:val="20"/>
                <w:lang w:eastAsia="zh-CN"/>
              </w:rPr>
              <w:t>3</w:t>
            </w:r>
            <w:r>
              <w:rPr>
                <w:rFonts w:hint="eastAsia" w:ascii="Times New Roman" w:hAnsi="Times New Roman" w:cs="Times New Roman"/>
                <w:sz w:val="24"/>
                <w:szCs w:val="20"/>
                <w:lang w:eastAsia="zh-CN"/>
              </w:rPr>
              <w:t>）燃油废气</w:t>
            </w:r>
          </w:p>
          <w:p w14:paraId="5183F848">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燃油废气主要来源于施工机械设备、运输车辆等的排放，燃油废气主要从三个部位排出，一是内燃机燃烧废气</w:t>
            </w:r>
            <w:r>
              <w:rPr>
                <w:rFonts w:ascii="Times New Roman" w:hAnsi="Times New Roman" w:cs="Times New Roman"/>
                <w:sz w:val="24"/>
                <w:szCs w:val="20"/>
                <w:lang w:eastAsia="zh-CN"/>
              </w:rPr>
              <w:t>CO、NOx、THC等，从排气管排出，占排放物的60%；二是曲轴箱排出的气体CO、CO</w:t>
            </w:r>
            <w:r>
              <w:rPr>
                <w:rFonts w:ascii="Times New Roman" w:hAnsi="Times New Roman" w:cs="Times New Roman"/>
                <w:sz w:val="24"/>
                <w:szCs w:val="20"/>
                <w:vertAlign w:val="subscript"/>
                <w:lang w:eastAsia="zh-CN"/>
              </w:rPr>
              <w:t>2</w:t>
            </w:r>
            <w:r>
              <w:rPr>
                <w:rFonts w:ascii="Times New Roman" w:hAnsi="Times New Roman" w:cs="Times New Roman"/>
                <w:sz w:val="24"/>
                <w:szCs w:val="20"/>
                <w:lang w:eastAsia="zh-CN"/>
              </w:rPr>
              <w:t>等占20%；三是从油箱、汽化器燃烧系统蒸发出来的THC等气体，这部分约占20%。</w:t>
            </w:r>
            <w:r>
              <w:rPr>
                <w:rFonts w:hint="eastAsia" w:ascii="Times New Roman" w:hAnsi="Times New Roman" w:cs="Times New Roman"/>
                <w:sz w:val="24"/>
                <w:szCs w:val="20"/>
                <w:lang w:eastAsia="zh-CN"/>
              </w:rPr>
              <w:t>燃油废气</w:t>
            </w:r>
            <w:r>
              <w:rPr>
                <w:rFonts w:ascii="Times New Roman" w:hAnsi="Times New Roman" w:cs="Times New Roman"/>
                <w:sz w:val="24"/>
                <w:szCs w:val="20"/>
                <w:lang w:eastAsia="zh-CN"/>
              </w:rPr>
              <w:t>主要污染物为CO、NOx、THC。虽然</w:t>
            </w:r>
            <w:r>
              <w:rPr>
                <w:rFonts w:hint="eastAsia" w:ascii="Times New Roman" w:hAnsi="Times New Roman" w:cs="Times New Roman"/>
                <w:sz w:val="24"/>
                <w:szCs w:val="20"/>
                <w:lang w:eastAsia="zh-CN"/>
              </w:rPr>
              <w:t>燃油废气</w:t>
            </w:r>
            <w:r>
              <w:rPr>
                <w:rFonts w:ascii="Times New Roman" w:hAnsi="Times New Roman" w:cs="Times New Roman"/>
                <w:sz w:val="24"/>
                <w:szCs w:val="20"/>
                <w:lang w:eastAsia="zh-CN"/>
              </w:rPr>
              <w:t>污染源在整个施工期一直存在，其源强大小取决于施工机械</w:t>
            </w:r>
            <w:r>
              <w:rPr>
                <w:rFonts w:hint="eastAsia" w:ascii="Times New Roman" w:hAnsi="Times New Roman" w:cs="Times New Roman"/>
                <w:sz w:val="24"/>
                <w:szCs w:val="20"/>
                <w:lang w:eastAsia="zh-CN"/>
              </w:rPr>
              <w:t>设备</w:t>
            </w:r>
            <w:r>
              <w:rPr>
                <w:rFonts w:ascii="Times New Roman" w:hAnsi="Times New Roman" w:cs="Times New Roman"/>
                <w:sz w:val="24"/>
                <w:szCs w:val="20"/>
                <w:lang w:eastAsia="zh-CN"/>
              </w:rPr>
              <w:t>、运输车辆维护保养情况、数量和施工作业密度。但一般情况下，由于施工机械</w:t>
            </w:r>
            <w:r>
              <w:rPr>
                <w:rFonts w:hint="eastAsia" w:ascii="Times New Roman" w:hAnsi="Times New Roman" w:cs="Times New Roman"/>
                <w:sz w:val="24"/>
                <w:szCs w:val="20"/>
                <w:lang w:eastAsia="zh-CN"/>
              </w:rPr>
              <w:t>设备</w:t>
            </w:r>
            <w:r>
              <w:rPr>
                <w:rFonts w:ascii="Times New Roman" w:hAnsi="Times New Roman" w:cs="Times New Roman"/>
                <w:sz w:val="24"/>
                <w:szCs w:val="20"/>
                <w:lang w:eastAsia="zh-CN"/>
              </w:rPr>
              <w:t>、运输车辆作业的流动性、阶段性和间断性的特点，</w:t>
            </w:r>
            <w:r>
              <w:rPr>
                <w:rFonts w:hint="eastAsia" w:ascii="Times New Roman" w:hAnsi="Times New Roman" w:cs="Times New Roman"/>
                <w:sz w:val="24"/>
                <w:szCs w:val="20"/>
                <w:lang w:eastAsia="zh-CN"/>
              </w:rPr>
              <w:t>施工机械设备、运输车辆施工期间排放的废气会造成局部环境空气中</w:t>
            </w:r>
            <w:r>
              <w:rPr>
                <w:rFonts w:ascii="Times New Roman" w:hAnsi="Times New Roman" w:cs="Times New Roman"/>
                <w:sz w:val="24"/>
                <w:szCs w:val="20"/>
                <w:lang w:eastAsia="zh-CN"/>
              </w:rPr>
              <w:t>CO、NOx等污染物浓度增高，但会随距离增加而下降。由于项目场地地域开阔，</w:t>
            </w:r>
            <w:r>
              <w:rPr>
                <w:rFonts w:hint="eastAsia" w:ascii="Times New Roman" w:hAnsi="Times New Roman" w:cs="Times New Roman"/>
                <w:sz w:val="24"/>
                <w:szCs w:val="20"/>
                <w:lang w:eastAsia="zh-CN"/>
              </w:rPr>
              <w:t>空气对流强烈，利于燃油废气的稀释扩散，燃油</w:t>
            </w:r>
            <w:r>
              <w:rPr>
                <w:rFonts w:ascii="Times New Roman" w:hAnsi="Times New Roman" w:cs="Times New Roman"/>
                <w:sz w:val="24"/>
                <w:szCs w:val="20"/>
                <w:lang w:eastAsia="zh-CN"/>
              </w:rPr>
              <w:t>废气为间断排放，施工</w:t>
            </w:r>
            <w:r>
              <w:rPr>
                <w:rFonts w:hint="eastAsia" w:ascii="Times New Roman" w:hAnsi="Times New Roman" w:cs="Times New Roman"/>
                <w:sz w:val="24"/>
                <w:szCs w:val="20"/>
                <w:lang w:eastAsia="zh-CN"/>
              </w:rPr>
              <w:t>区域</w:t>
            </w:r>
            <w:r>
              <w:rPr>
                <w:rFonts w:ascii="Times New Roman" w:hAnsi="Times New Roman" w:cs="Times New Roman"/>
                <w:sz w:val="24"/>
                <w:szCs w:val="20"/>
                <w:lang w:eastAsia="zh-CN"/>
              </w:rPr>
              <w:t>平均单位时间排放的</w:t>
            </w:r>
            <w:r>
              <w:rPr>
                <w:rFonts w:hint="eastAsia" w:ascii="Times New Roman" w:hAnsi="Times New Roman" w:cs="Times New Roman"/>
                <w:sz w:val="24"/>
                <w:szCs w:val="20"/>
                <w:lang w:eastAsia="zh-CN"/>
              </w:rPr>
              <w:t>燃油废气污染物总量并不大，本次评价不作定量分析。燃油废气影响</w:t>
            </w:r>
            <w:r>
              <w:rPr>
                <w:rFonts w:ascii="Times New Roman" w:hAnsi="Times New Roman" w:cs="Times New Roman"/>
                <w:sz w:val="24"/>
                <w:szCs w:val="20"/>
                <w:lang w:eastAsia="zh-CN"/>
              </w:rPr>
              <w:t>随施工的结束而结束，不会对</w:t>
            </w:r>
            <w:r>
              <w:rPr>
                <w:rFonts w:hint="eastAsia" w:ascii="Times New Roman" w:hAnsi="Times New Roman" w:cs="Times New Roman"/>
                <w:sz w:val="24"/>
                <w:szCs w:val="20"/>
                <w:lang w:eastAsia="zh-CN"/>
              </w:rPr>
              <w:t>区域</w:t>
            </w:r>
            <w:r>
              <w:rPr>
                <w:rFonts w:ascii="Times New Roman" w:hAnsi="Times New Roman" w:cs="Times New Roman"/>
                <w:sz w:val="24"/>
                <w:szCs w:val="20"/>
                <w:lang w:eastAsia="zh-CN"/>
              </w:rPr>
              <w:t>大气环境造成</w:t>
            </w:r>
            <w:r>
              <w:rPr>
                <w:rFonts w:hint="eastAsia" w:ascii="Times New Roman" w:hAnsi="Times New Roman" w:cs="Times New Roman"/>
                <w:sz w:val="24"/>
                <w:szCs w:val="20"/>
                <w:lang w:eastAsia="zh-CN"/>
              </w:rPr>
              <w:t>明显</w:t>
            </w:r>
            <w:r>
              <w:rPr>
                <w:rFonts w:ascii="Times New Roman" w:hAnsi="Times New Roman" w:cs="Times New Roman"/>
                <w:sz w:val="24"/>
                <w:szCs w:val="20"/>
                <w:lang w:eastAsia="zh-CN"/>
              </w:rPr>
              <w:t>影响。</w:t>
            </w:r>
          </w:p>
          <w:p w14:paraId="4ED8B2B4">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w:t>
            </w:r>
            <w:r>
              <w:rPr>
                <w:rFonts w:ascii="Times New Roman" w:hAnsi="Times New Roman" w:cs="Times New Roman"/>
                <w:sz w:val="24"/>
                <w:szCs w:val="20"/>
                <w:lang w:eastAsia="zh-CN"/>
              </w:rPr>
              <w:t>4）沥青烟</w:t>
            </w:r>
            <w:r>
              <w:rPr>
                <w:rFonts w:hint="eastAsia" w:ascii="Times New Roman" w:hAnsi="Times New Roman" w:cs="Times New Roman"/>
                <w:sz w:val="24"/>
                <w:szCs w:val="20"/>
                <w:lang w:eastAsia="zh-CN"/>
              </w:rPr>
              <w:t>气</w:t>
            </w:r>
          </w:p>
          <w:p w14:paraId="6A4C8758">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项目设置2个筑路原料制备场站</w:t>
            </w:r>
            <w:r>
              <w:rPr>
                <w:rFonts w:ascii="Times New Roman" w:hAnsi="Times New Roman" w:cs="Times New Roman"/>
                <w:sz w:val="24"/>
                <w:szCs w:val="20"/>
                <w:lang w:eastAsia="zh-CN"/>
              </w:rPr>
              <w:t>用于生产</w:t>
            </w:r>
            <w:r>
              <w:rPr>
                <w:rFonts w:hint="eastAsia" w:ascii="Times New Roman" w:hAnsi="Times New Roman" w:cs="Times New Roman"/>
                <w:sz w:val="24"/>
                <w:szCs w:val="20"/>
                <w:lang w:eastAsia="zh-CN"/>
              </w:rPr>
              <w:t>混凝土</w:t>
            </w:r>
            <w:r>
              <w:rPr>
                <w:rFonts w:ascii="Times New Roman" w:hAnsi="Times New Roman" w:cs="Times New Roman"/>
                <w:sz w:val="24"/>
                <w:szCs w:val="20"/>
                <w:lang w:eastAsia="zh-CN"/>
              </w:rPr>
              <w:t>沥青、</w:t>
            </w:r>
            <w:r>
              <w:rPr>
                <w:rFonts w:hint="eastAsia" w:ascii="Times New Roman" w:hAnsi="Times New Roman" w:cs="Times New Roman"/>
                <w:sz w:val="24"/>
                <w:szCs w:val="20"/>
                <w:lang w:eastAsia="zh-CN"/>
              </w:rPr>
              <w:t>水稳料</w:t>
            </w:r>
            <w:r>
              <w:rPr>
                <w:rFonts w:ascii="Times New Roman" w:hAnsi="Times New Roman" w:cs="Times New Roman"/>
                <w:sz w:val="24"/>
                <w:szCs w:val="20"/>
                <w:lang w:eastAsia="zh-CN"/>
              </w:rPr>
              <w:t>等筑路材料，场站项目单独做环评</w:t>
            </w:r>
            <w:r>
              <w:rPr>
                <w:rFonts w:hint="eastAsia" w:ascii="Times New Roman" w:hAnsi="Times New Roman" w:cs="Times New Roman"/>
                <w:sz w:val="24"/>
                <w:szCs w:val="20"/>
                <w:lang w:eastAsia="zh-CN"/>
              </w:rPr>
              <w:t>，混凝土沥青制备</w:t>
            </w:r>
            <w:r>
              <w:rPr>
                <w:rFonts w:ascii="Times New Roman" w:hAnsi="Times New Roman" w:cs="Times New Roman"/>
                <w:sz w:val="24"/>
                <w:szCs w:val="20"/>
                <w:lang w:eastAsia="zh-CN"/>
              </w:rPr>
              <w:t>过程产生的沥青</w:t>
            </w:r>
            <w:r>
              <w:rPr>
                <w:rFonts w:hint="eastAsia" w:ascii="Times New Roman" w:hAnsi="Times New Roman" w:cs="Times New Roman"/>
                <w:sz w:val="24"/>
                <w:szCs w:val="20"/>
                <w:lang w:eastAsia="zh-CN"/>
              </w:rPr>
              <w:t>烟气</w:t>
            </w:r>
            <w:r>
              <w:rPr>
                <w:rFonts w:ascii="Times New Roman" w:hAnsi="Times New Roman" w:cs="Times New Roman"/>
                <w:sz w:val="24"/>
                <w:szCs w:val="20"/>
                <w:lang w:eastAsia="zh-CN"/>
              </w:rPr>
              <w:t>不在本次评价范围内。</w:t>
            </w:r>
            <w:r>
              <w:rPr>
                <w:rFonts w:hint="eastAsia" w:ascii="Times New Roman" w:hAnsi="Times New Roman" w:cs="Times New Roman"/>
                <w:sz w:val="24"/>
                <w:szCs w:val="20"/>
                <w:lang w:eastAsia="zh-CN"/>
              </w:rPr>
              <w:t>本次</w:t>
            </w:r>
            <w:r>
              <w:rPr>
                <w:rFonts w:ascii="Times New Roman" w:hAnsi="Times New Roman" w:cs="Times New Roman"/>
                <w:sz w:val="24"/>
                <w:szCs w:val="20"/>
                <w:lang w:eastAsia="zh-CN"/>
              </w:rPr>
              <w:t>评价</w:t>
            </w:r>
            <w:r>
              <w:rPr>
                <w:rFonts w:hint="eastAsia" w:ascii="Times New Roman" w:hAnsi="Times New Roman" w:cs="Times New Roman"/>
                <w:sz w:val="24"/>
                <w:szCs w:val="20"/>
                <w:lang w:eastAsia="zh-CN"/>
              </w:rPr>
              <w:t>只</w:t>
            </w:r>
            <w:r>
              <w:rPr>
                <w:rFonts w:ascii="Times New Roman" w:hAnsi="Times New Roman" w:cs="Times New Roman"/>
                <w:sz w:val="24"/>
                <w:szCs w:val="20"/>
                <w:lang w:eastAsia="zh-CN"/>
              </w:rPr>
              <w:t>分析</w:t>
            </w:r>
            <w:r>
              <w:rPr>
                <w:rFonts w:hint="eastAsia" w:ascii="Times New Roman" w:hAnsi="Times New Roman" w:cs="Times New Roman"/>
                <w:sz w:val="24"/>
                <w:szCs w:val="20"/>
                <w:lang w:eastAsia="zh-CN"/>
              </w:rPr>
              <w:t>成品</w:t>
            </w:r>
            <w:r>
              <w:rPr>
                <w:rFonts w:ascii="Times New Roman" w:hAnsi="Times New Roman" w:cs="Times New Roman"/>
                <w:sz w:val="24"/>
                <w:szCs w:val="20"/>
                <w:lang w:eastAsia="zh-CN"/>
              </w:rPr>
              <w:t>沥青</w:t>
            </w:r>
            <w:r>
              <w:rPr>
                <w:rFonts w:hint="eastAsia" w:ascii="Times New Roman" w:hAnsi="Times New Roman" w:cs="Times New Roman"/>
                <w:sz w:val="24"/>
                <w:szCs w:val="20"/>
                <w:lang w:eastAsia="zh-CN"/>
              </w:rPr>
              <w:t>运输</w:t>
            </w:r>
            <w:r>
              <w:rPr>
                <w:rFonts w:ascii="Times New Roman" w:hAnsi="Times New Roman" w:cs="Times New Roman"/>
                <w:sz w:val="24"/>
                <w:szCs w:val="20"/>
                <w:lang w:eastAsia="zh-CN"/>
              </w:rPr>
              <w:t>、摊铺过程产生</w:t>
            </w:r>
            <w:r>
              <w:rPr>
                <w:rFonts w:hint="eastAsia" w:ascii="Times New Roman" w:hAnsi="Times New Roman" w:cs="Times New Roman"/>
                <w:sz w:val="24"/>
                <w:szCs w:val="20"/>
                <w:lang w:eastAsia="zh-CN"/>
              </w:rPr>
              <w:t>的沥青烟气。项目</w:t>
            </w:r>
            <w:r>
              <w:rPr>
                <w:rFonts w:ascii="Times New Roman" w:hAnsi="Times New Roman" w:cs="Times New Roman"/>
                <w:sz w:val="24"/>
                <w:szCs w:val="20"/>
                <w:lang w:eastAsia="zh-CN"/>
              </w:rPr>
              <w:t>采用</w:t>
            </w:r>
            <w:r>
              <w:rPr>
                <w:rFonts w:hint="eastAsia" w:ascii="Times New Roman" w:hAnsi="Times New Roman" w:cs="Times New Roman"/>
                <w:sz w:val="24"/>
                <w:szCs w:val="20"/>
                <w:lang w:eastAsia="zh-CN"/>
              </w:rPr>
              <w:t>全封闭罐车运输沥青，运输过程中不会造成大气污染。道路路面在铺设的过程中会有少量沥青烟气挥发，含有</w:t>
            </w:r>
            <w:r>
              <w:rPr>
                <w:rFonts w:ascii="Times New Roman" w:hAnsi="Times New Roman" w:cs="Times New Roman"/>
                <w:sz w:val="24"/>
                <w:szCs w:val="20"/>
                <w:lang w:eastAsia="zh-CN"/>
              </w:rPr>
              <w:t>THC、苯并[a]芘等有毒有害物质，产生量不大，无组织排放，本次环评不做定量分析。项目周边地势空旷，大气扩散条件较好，且本项目</w:t>
            </w:r>
            <w:r>
              <w:rPr>
                <w:rFonts w:hint="eastAsia" w:ascii="Times New Roman" w:hAnsi="Times New Roman" w:cs="Times New Roman"/>
                <w:sz w:val="24"/>
                <w:szCs w:val="20"/>
                <w:lang w:eastAsia="zh-CN"/>
              </w:rPr>
              <w:t>路面</w:t>
            </w:r>
            <w:r>
              <w:rPr>
                <w:rFonts w:ascii="Times New Roman" w:hAnsi="Times New Roman" w:cs="Times New Roman"/>
                <w:sz w:val="24"/>
                <w:szCs w:val="20"/>
                <w:lang w:eastAsia="zh-CN"/>
              </w:rPr>
              <w:t>铺装施工期较短，随着施工的完成，沥青烟气对环境的影响将迅速减少。因此，沥青烟气的排放对周边环境空气质量影响很小。</w:t>
            </w:r>
          </w:p>
          <w:p w14:paraId="14F120A6">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w:t>
            </w:r>
            <w:r>
              <w:rPr>
                <w:rFonts w:hint="eastAsia" w:ascii="Times New Roman" w:hAnsi="Times New Roman" w:cs="Times New Roman"/>
                <w:sz w:val="24"/>
                <w:szCs w:val="20"/>
                <w:lang w:eastAsia="zh-CN"/>
              </w:rPr>
              <w:t>5</w:t>
            </w:r>
            <w:r>
              <w:rPr>
                <w:rFonts w:ascii="Times New Roman" w:hAnsi="Times New Roman" w:cs="Times New Roman"/>
                <w:sz w:val="24"/>
                <w:szCs w:val="20"/>
                <w:lang w:eastAsia="zh-CN"/>
              </w:rPr>
              <w:t>）焊接烟尘</w:t>
            </w:r>
          </w:p>
          <w:p w14:paraId="017E4671">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项目</w:t>
            </w:r>
            <w:r>
              <w:rPr>
                <w:rFonts w:hint="eastAsia" w:ascii="Times New Roman" w:hAnsi="Times New Roman" w:cs="Times New Roman"/>
                <w:sz w:val="24"/>
                <w:szCs w:val="20"/>
                <w:lang w:eastAsia="zh-CN"/>
              </w:rPr>
              <w:t>的焊接</w:t>
            </w:r>
            <w:r>
              <w:rPr>
                <w:rFonts w:ascii="Times New Roman" w:hAnsi="Times New Roman" w:cs="Times New Roman"/>
                <w:sz w:val="24"/>
                <w:szCs w:val="20"/>
                <w:lang w:eastAsia="zh-CN"/>
              </w:rPr>
              <w:t>作业会</w:t>
            </w:r>
            <w:r>
              <w:rPr>
                <w:rFonts w:hint="eastAsia" w:ascii="Times New Roman" w:hAnsi="Times New Roman" w:cs="Times New Roman"/>
                <w:sz w:val="24"/>
                <w:szCs w:val="20"/>
                <w:lang w:eastAsia="zh-CN"/>
              </w:rPr>
              <w:t>产生</w:t>
            </w:r>
            <w:r>
              <w:rPr>
                <w:rFonts w:ascii="Times New Roman" w:hAnsi="Times New Roman" w:cs="Times New Roman"/>
                <w:sz w:val="24"/>
                <w:szCs w:val="20"/>
                <w:lang w:eastAsia="zh-CN"/>
              </w:rPr>
              <w:t>焊接烟尘</w:t>
            </w:r>
            <w:r>
              <w:rPr>
                <w:rFonts w:hint="eastAsia" w:ascii="Times New Roman" w:hAnsi="Times New Roman" w:cs="Times New Roman"/>
                <w:sz w:val="24"/>
                <w:szCs w:val="20"/>
                <w:lang w:eastAsia="zh-CN"/>
              </w:rPr>
              <w:t>，项目施工焊接量较小且焊接作业集中在</w:t>
            </w:r>
            <w:r>
              <w:rPr>
                <w:rFonts w:ascii="Times New Roman" w:hAnsi="Times New Roman" w:cs="Times New Roman"/>
                <w:sz w:val="24"/>
                <w:szCs w:val="20"/>
                <w:lang w:eastAsia="zh-CN"/>
              </w:rPr>
              <w:t>一段时间</w:t>
            </w:r>
            <w:r>
              <w:rPr>
                <w:rFonts w:hint="eastAsia" w:ascii="Times New Roman" w:hAnsi="Times New Roman" w:cs="Times New Roman"/>
                <w:sz w:val="24"/>
                <w:szCs w:val="20"/>
                <w:lang w:eastAsia="zh-CN"/>
              </w:rPr>
              <w:t>内完成，</w:t>
            </w:r>
            <w:r>
              <w:rPr>
                <w:rFonts w:ascii="Times New Roman" w:hAnsi="Times New Roman" w:cs="Times New Roman"/>
                <w:sz w:val="24"/>
                <w:szCs w:val="20"/>
                <w:lang w:eastAsia="zh-CN"/>
              </w:rPr>
              <w:t>焊接烟尘</w:t>
            </w:r>
            <w:r>
              <w:rPr>
                <w:rFonts w:hint="eastAsia" w:ascii="Times New Roman" w:hAnsi="Times New Roman" w:cs="Times New Roman"/>
                <w:sz w:val="24"/>
                <w:szCs w:val="20"/>
                <w:lang w:eastAsia="zh-CN"/>
              </w:rPr>
              <w:t>排放</w:t>
            </w:r>
            <w:r>
              <w:rPr>
                <w:rFonts w:ascii="Times New Roman" w:hAnsi="Times New Roman" w:cs="Times New Roman"/>
                <w:sz w:val="24"/>
                <w:szCs w:val="20"/>
                <w:lang w:eastAsia="zh-CN"/>
              </w:rPr>
              <w:t>量较少，无组织排放，不作定量分析。项目所在区域</w:t>
            </w:r>
            <w:r>
              <w:rPr>
                <w:rFonts w:hint="eastAsia" w:ascii="Times New Roman" w:hAnsi="Times New Roman" w:cs="Times New Roman"/>
                <w:sz w:val="24"/>
                <w:szCs w:val="20"/>
                <w:lang w:eastAsia="zh-CN"/>
              </w:rPr>
              <w:t>利于焊接烟尘稀释逸散</w:t>
            </w:r>
            <w:r>
              <w:rPr>
                <w:rFonts w:ascii="Times New Roman" w:hAnsi="Times New Roman" w:cs="Times New Roman"/>
                <w:sz w:val="24"/>
                <w:szCs w:val="20"/>
                <w:lang w:eastAsia="zh-CN"/>
              </w:rPr>
              <w:t>，焊接烟尘不</w:t>
            </w:r>
            <w:r>
              <w:rPr>
                <w:rFonts w:hint="eastAsia" w:ascii="Times New Roman" w:hAnsi="Times New Roman" w:cs="Times New Roman"/>
                <w:sz w:val="24"/>
                <w:szCs w:val="20"/>
                <w:lang w:eastAsia="zh-CN"/>
              </w:rPr>
              <w:t>会</w:t>
            </w:r>
            <w:r>
              <w:rPr>
                <w:rFonts w:ascii="Times New Roman" w:hAnsi="Times New Roman" w:cs="Times New Roman"/>
                <w:sz w:val="24"/>
                <w:szCs w:val="20"/>
                <w:lang w:eastAsia="zh-CN"/>
              </w:rPr>
              <w:t>对周围环境空气产生明显影响。</w:t>
            </w:r>
          </w:p>
          <w:p w14:paraId="64611120">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2、施工期水环境影响分析</w:t>
            </w:r>
          </w:p>
          <w:p w14:paraId="7ADADBAE">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项目施工期废水主要为：车轮清洗废水、混凝土养护废水</w:t>
            </w:r>
            <w:r>
              <w:rPr>
                <w:rFonts w:hint="eastAsia" w:ascii="Times New Roman" w:hAnsi="Times New Roman" w:cs="Times New Roman"/>
                <w:sz w:val="24"/>
                <w:szCs w:val="20"/>
                <w:lang w:eastAsia="zh-CN"/>
              </w:rPr>
              <w:t>、</w:t>
            </w:r>
            <w:r>
              <w:rPr>
                <w:rFonts w:ascii="Times New Roman" w:hAnsi="Times New Roman" w:cs="Times New Roman"/>
                <w:sz w:val="24"/>
                <w:szCs w:val="20"/>
                <w:lang w:eastAsia="zh-CN"/>
              </w:rPr>
              <w:t>生活污水。</w:t>
            </w:r>
          </w:p>
          <w:p w14:paraId="392A8C76">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（1）车轮清洗废水</w:t>
            </w:r>
          </w:p>
          <w:p w14:paraId="305B5439">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施工期内，为了减少运输车辆携带泥沙量，会定期对车轮及车身进行冲洗，根据施工设计资料，施工期运输车辆</w:t>
            </w:r>
            <w:r>
              <w:rPr>
                <w:rFonts w:hint="eastAsia" w:ascii="Times New Roman" w:hAnsi="Times New Roman" w:cs="Times New Roman"/>
                <w:sz w:val="24"/>
                <w:szCs w:val="20"/>
                <w:lang w:eastAsia="zh-CN"/>
              </w:rPr>
              <w:t>约</w:t>
            </w:r>
            <w:r>
              <w:rPr>
                <w:rFonts w:ascii="Times New Roman" w:hAnsi="Times New Roman" w:cs="Times New Roman"/>
                <w:sz w:val="24"/>
                <w:szCs w:val="20"/>
                <w:lang w:eastAsia="zh-CN"/>
              </w:rPr>
              <w:t>30台（辆），车轮清洗废水产生量约为7.5m³/d，施工期车轮清洗废水产生量约为2738m³。车轮清洗废水污染因子主要为SS，经临时沉淀池处理后用于项目区洒水抑尘。</w:t>
            </w:r>
          </w:p>
          <w:p w14:paraId="3ABAE1E1">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（2）混凝土养护废水</w:t>
            </w:r>
          </w:p>
          <w:p w14:paraId="2E78400B">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项目施工期不设置混凝土搅拌站，采用商品混凝土，不产生混凝土搅拌废水。混凝土养护废水为混凝土浇筑后养护阶段使用后排放的水。养护用水用量一般以湿润混凝土表面为限，且在尚未拆除的模板内，养护结束后自然蒸发，不会对环境造成不利影响。</w:t>
            </w:r>
          </w:p>
          <w:p w14:paraId="563DAE87">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（3）生活污水</w:t>
            </w:r>
          </w:p>
          <w:p w14:paraId="175D444B">
            <w:pPr>
              <w:autoSpaceDE/>
              <w:autoSpaceDN/>
              <w:spacing w:line="360" w:lineRule="auto"/>
              <w:ind w:firstLine="480" w:firstLineChars="200"/>
              <w:jc w:val="both"/>
              <w:rPr>
                <w:rFonts w:ascii="Times New Roman" w:hAnsi="Times New Roman" w:cs="Times New Roman"/>
                <w:sz w:val="24"/>
                <w:szCs w:val="20"/>
                <w:lang w:eastAsia="zh-CN"/>
              </w:rPr>
            </w:pPr>
            <w:r>
              <w:rPr>
                <w:rFonts w:hint="eastAsia" w:ascii="Times New Roman" w:hAnsi="Times New Roman" w:cs="Times New Roman"/>
                <w:sz w:val="24"/>
                <w:szCs w:val="20"/>
                <w:lang w:eastAsia="zh-CN"/>
              </w:rPr>
              <w:t>项目不设置</w:t>
            </w:r>
            <w:r>
              <w:rPr>
                <w:rFonts w:ascii="Times New Roman" w:hAnsi="Times New Roman" w:cs="Times New Roman"/>
                <w:sz w:val="24"/>
                <w:szCs w:val="20"/>
                <w:lang w:eastAsia="zh-CN"/>
              </w:rPr>
              <w:t>施工营地，</w:t>
            </w:r>
            <w:r>
              <w:rPr>
                <w:rFonts w:hint="eastAsia" w:ascii="Times New Roman" w:hAnsi="Times New Roman" w:cs="Times New Roman"/>
                <w:sz w:val="24"/>
                <w:szCs w:val="20"/>
                <w:lang w:eastAsia="zh-CN"/>
              </w:rPr>
              <w:t>施工人员食宿依托项目综合场站解决，</w:t>
            </w:r>
            <w:r>
              <w:rPr>
                <w:rFonts w:ascii="Times New Roman" w:hAnsi="Times New Roman" w:cs="Times New Roman"/>
                <w:sz w:val="24"/>
                <w:szCs w:val="20"/>
                <w:lang w:eastAsia="zh-CN"/>
              </w:rPr>
              <w:t>施工期</w:t>
            </w:r>
            <w:r>
              <w:rPr>
                <w:rFonts w:hint="eastAsia" w:ascii="Times New Roman" w:hAnsi="Times New Roman" w:cs="Times New Roman"/>
                <w:sz w:val="24"/>
                <w:szCs w:val="20"/>
                <w:lang w:eastAsia="zh-CN"/>
              </w:rPr>
              <w:t>内</w:t>
            </w:r>
            <w:r>
              <w:rPr>
                <w:rFonts w:ascii="Times New Roman" w:hAnsi="Times New Roman" w:cs="Times New Roman"/>
                <w:sz w:val="24"/>
                <w:szCs w:val="20"/>
                <w:lang w:eastAsia="zh-CN"/>
              </w:rPr>
              <w:t>产生的生活</w:t>
            </w:r>
            <w:r>
              <w:rPr>
                <w:rFonts w:hint="eastAsia" w:ascii="Times New Roman" w:hAnsi="Times New Roman" w:cs="Times New Roman"/>
                <w:sz w:val="24"/>
                <w:szCs w:val="20"/>
                <w:lang w:eastAsia="zh-CN"/>
              </w:rPr>
              <w:t>污水主要污染因子为：</w:t>
            </w:r>
            <w:r>
              <w:rPr>
                <w:rFonts w:ascii="Times New Roman" w:hAnsi="Times New Roman" w:cs="Times New Roman"/>
                <w:sz w:val="24"/>
                <w:szCs w:val="20"/>
                <w:lang w:eastAsia="zh-CN"/>
              </w:rPr>
              <w:t>pH值、BOD</w:t>
            </w:r>
            <w:r>
              <w:rPr>
                <w:rFonts w:ascii="Times New Roman" w:hAnsi="Times New Roman" w:cs="Times New Roman"/>
                <w:sz w:val="24"/>
                <w:szCs w:val="20"/>
                <w:vertAlign w:val="subscript"/>
                <w:lang w:eastAsia="zh-CN"/>
              </w:rPr>
              <w:t>5</w:t>
            </w:r>
            <w:r>
              <w:rPr>
                <w:rFonts w:ascii="Times New Roman" w:hAnsi="Times New Roman" w:cs="Times New Roman"/>
                <w:sz w:val="24"/>
                <w:szCs w:val="20"/>
                <w:lang w:eastAsia="zh-CN"/>
              </w:rPr>
              <w:t>、COD、SS、NH</w:t>
            </w:r>
            <w:r>
              <w:rPr>
                <w:rFonts w:ascii="Times New Roman" w:hAnsi="Times New Roman" w:cs="Times New Roman"/>
                <w:sz w:val="24"/>
                <w:szCs w:val="20"/>
                <w:vertAlign w:val="subscript"/>
                <w:lang w:eastAsia="zh-CN"/>
              </w:rPr>
              <w:t>3</w:t>
            </w:r>
            <w:r>
              <w:rPr>
                <w:rFonts w:ascii="Times New Roman" w:hAnsi="Times New Roman" w:cs="Times New Roman"/>
                <w:sz w:val="24"/>
                <w:szCs w:val="20"/>
                <w:lang w:eastAsia="zh-CN"/>
              </w:rPr>
              <w:t>-N等，</w:t>
            </w:r>
            <w:r>
              <w:rPr>
                <w:rFonts w:hint="eastAsia" w:ascii="Times New Roman" w:hAnsi="Times New Roman" w:cs="Times New Roman"/>
                <w:sz w:val="24"/>
                <w:szCs w:val="20"/>
                <w:lang w:eastAsia="zh-CN"/>
              </w:rPr>
              <w:t>生活污水经</w:t>
            </w:r>
            <w:r>
              <w:rPr>
                <w:rFonts w:ascii="Times New Roman" w:hAnsi="Times New Roman" w:cs="Times New Roman"/>
                <w:sz w:val="24"/>
                <w:szCs w:val="20"/>
                <w:lang w:eastAsia="zh-CN"/>
              </w:rPr>
              <w:t>化粪池收集后，定期拉运至</w:t>
            </w:r>
            <w:r>
              <w:rPr>
                <w:rFonts w:hint="eastAsia" w:ascii="Times New Roman" w:hAnsi="Times New Roman" w:cs="Times New Roman"/>
                <w:sz w:val="24"/>
                <w:szCs w:val="20"/>
                <w:lang w:eastAsia="zh-CN"/>
              </w:rPr>
              <w:t>吉木萨尔县</w:t>
            </w:r>
            <w:r>
              <w:rPr>
                <w:rFonts w:ascii="Times New Roman" w:hAnsi="Times New Roman" w:cs="Times New Roman"/>
                <w:sz w:val="24"/>
                <w:szCs w:val="20"/>
                <w:lang w:eastAsia="zh-CN"/>
              </w:rPr>
              <w:t>污水处理厂处理。</w:t>
            </w:r>
          </w:p>
          <w:p w14:paraId="70119D27">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3、施工期声环境影响分析</w:t>
            </w:r>
          </w:p>
          <w:p w14:paraId="6EC6CBF0">
            <w:pPr>
              <w:autoSpaceDE/>
              <w:autoSpaceDN/>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项目施工</w:t>
            </w:r>
            <w:r>
              <w:rPr>
                <w:rFonts w:hint="eastAsia" w:ascii="Times New Roman" w:hAnsi="Times New Roman" w:cs="Times New Roman"/>
                <w:sz w:val="24"/>
                <w:szCs w:val="20"/>
                <w:lang w:eastAsia="zh-CN"/>
              </w:rPr>
              <w:t>期</w:t>
            </w:r>
            <w:r>
              <w:rPr>
                <w:rFonts w:ascii="Times New Roman" w:hAnsi="Times New Roman" w:cs="Times New Roman"/>
                <w:sz w:val="24"/>
                <w:szCs w:val="20"/>
                <w:lang w:eastAsia="zh-CN"/>
              </w:rPr>
              <w:t>噪声主要为：运输车辆和施工机械</w:t>
            </w:r>
            <w:r>
              <w:rPr>
                <w:rFonts w:hint="eastAsia" w:ascii="Times New Roman" w:hAnsi="Times New Roman" w:cs="Times New Roman"/>
                <w:sz w:val="24"/>
                <w:szCs w:val="20"/>
                <w:lang w:eastAsia="zh-CN"/>
              </w:rPr>
              <w:t>设备</w:t>
            </w:r>
            <w:r>
              <w:rPr>
                <w:rFonts w:ascii="Times New Roman" w:hAnsi="Times New Roman" w:cs="Times New Roman"/>
                <w:sz w:val="24"/>
                <w:szCs w:val="20"/>
                <w:lang w:eastAsia="zh-CN"/>
              </w:rPr>
              <w:t>噪声</w:t>
            </w:r>
            <w:r>
              <w:rPr>
                <w:rFonts w:hint="eastAsia" w:ascii="Times New Roman" w:hAnsi="Times New Roman" w:cs="Times New Roman"/>
                <w:sz w:val="24"/>
                <w:szCs w:val="20"/>
                <w:lang w:eastAsia="zh-CN"/>
              </w:rPr>
              <w:t>，</w:t>
            </w:r>
            <w:r>
              <w:rPr>
                <w:rFonts w:ascii="Times New Roman" w:hAnsi="Times New Roman" w:cs="Times New Roman"/>
                <w:sz w:val="24"/>
                <w:szCs w:val="20"/>
                <w:lang w:eastAsia="zh-CN"/>
              </w:rPr>
              <w:t>各施工环节采用不同的施工机械</w:t>
            </w:r>
            <w:r>
              <w:rPr>
                <w:rFonts w:hint="eastAsia" w:ascii="Times New Roman" w:hAnsi="Times New Roman" w:cs="Times New Roman"/>
                <w:sz w:val="24"/>
                <w:szCs w:val="20"/>
                <w:lang w:eastAsia="zh-CN"/>
              </w:rPr>
              <w:t>设备</w:t>
            </w:r>
            <w:r>
              <w:rPr>
                <w:rFonts w:ascii="Times New Roman" w:hAnsi="Times New Roman" w:cs="Times New Roman"/>
                <w:sz w:val="24"/>
                <w:szCs w:val="20"/>
                <w:lang w:eastAsia="zh-CN"/>
              </w:rPr>
              <w:t>作业，均</w:t>
            </w:r>
            <w:r>
              <w:rPr>
                <w:rFonts w:hint="eastAsia" w:ascii="Times New Roman" w:hAnsi="Times New Roman" w:cs="Times New Roman"/>
                <w:sz w:val="24"/>
                <w:szCs w:val="20"/>
                <w:lang w:eastAsia="zh-CN"/>
              </w:rPr>
              <w:t>在</w:t>
            </w:r>
            <w:r>
              <w:rPr>
                <w:rFonts w:ascii="Times New Roman" w:hAnsi="Times New Roman" w:cs="Times New Roman"/>
                <w:sz w:val="24"/>
                <w:szCs w:val="20"/>
                <w:lang w:eastAsia="zh-CN"/>
              </w:rPr>
              <w:t>白天施工，根据施工内容交替使用</w:t>
            </w:r>
            <w:r>
              <w:rPr>
                <w:rFonts w:hint="eastAsia" w:ascii="Times New Roman" w:hAnsi="Times New Roman" w:cs="Times New Roman"/>
                <w:sz w:val="24"/>
                <w:szCs w:val="20"/>
                <w:lang w:eastAsia="zh-CN"/>
              </w:rPr>
              <w:t>不同的</w:t>
            </w:r>
            <w:r>
              <w:rPr>
                <w:rFonts w:ascii="Times New Roman" w:hAnsi="Times New Roman" w:cs="Times New Roman"/>
                <w:sz w:val="24"/>
                <w:szCs w:val="20"/>
                <w:lang w:eastAsia="zh-CN"/>
              </w:rPr>
              <w:t>施工机械</w:t>
            </w:r>
            <w:r>
              <w:rPr>
                <w:rFonts w:hint="eastAsia" w:ascii="Times New Roman" w:hAnsi="Times New Roman" w:cs="Times New Roman"/>
                <w:sz w:val="24"/>
                <w:szCs w:val="20"/>
                <w:lang w:eastAsia="zh-CN"/>
              </w:rPr>
              <w:t>设备</w:t>
            </w:r>
            <w:r>
              <w:rPr>
                <w:rFonts w:ascii="Times New Roman" w:hAnsi="Times New Roman" w:cs="Times New Roman"/>
                <w:sz w:val="24"/>
                <w:szCs w:val="20"/>
                <w:lang w:eastAsia="zh-CN"/>
              </w:rPr>
              <w:t>，并随施工位置变化移动。导致了</w:t>
            </w:r>
            <w:r>
              <w:rPr>
                <w:rFonts w:hint="eastAsia" w:ascii="Times New Roman" w:hAnsi="Times New Roman" w:cs="Times New Roman"/>
                <w:sz w:val="24"/>
                <w:szCs w:val="20"/>
                <w:lang w:eastAsia="zh-CN"/>
              </w:rPr>
              <w:t>施工</w:t>
            </w:r>
            <w:r>
              <w:rPr>
                <w:rFonts w:ascii="Times New Roman" w:hAnsi="Times New Roman" w:cs="Times New Roman"/>
                <w:sz w:val="24"/>
                <w:szCs w:val="20"/>
                <w:lang w:eastAsia="zh-CN"/>
              </w:rPr>
              <w:t>噪声随机、无组织、间歇性排放。</w:t>
            </w:r>
            <w:r>
              <w:rPr>
                <w:rFonts w:hint="eastAsia" w:ascii="Times New Roman" w:hAnsi="Times New Roman" w:cs="Times New Roman"/>
                <w:sz w:val="24"/>
                <w:szCs w:val="20"/>
                <w:lang w:eastAsia="zh-CN"/>
              </w:rPr>
              <w:t>经采取相应的噪声污染防治措施后，施工噪声对周围环境的影响可以接受。本项目施工期声环境影响分析相关内容见噪声专项评价。</w:t>
            </w:r>
          </w:p>
          <w:p w14:paraId="5B8AB03F">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4、施工期固体废物影响分析</w:t>
            </w:r>
          </w:p>
          <w:p w14:paraId="729836AD">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项目不设置施工机械检修区，施工机械日常保养及维修均在吉木萨尔县内汽修、机修厂进行。</w:t>
            </w:r>
            <w:r>
              <w:rPr>
                <w:rFonts w:ascii="Times New Roman" w:hAnsi="Times New Roman" w:cs="Times New Roman"/>
                <w:sz w:val="24"/>
                <w:szCs w:val="24"/>
                <w:lang w:eastAsia="zh-CN"/>
              </w:rPr>
              <w:t>项目施工期固体废物主要</w:t>
            </w:r>
            <w:r>
              <w:rPr>
                <w:rFonts w:hint="eastAsia" w:ascii="Times New Roman" w:hAnsi="Times New Roman" w:cs="Times New Roman"/>
                <w:sz w:val="24"/>
                <w:szCs w:val="24"/>
                <w:lang w:eastAsia="zh-CN"/>
              </w:rPr>
              <w:t>包括：</w:t>
            </w:r>
            <w:r>
              <w:rPr>
                <w:rFonts w:ascii="Times New Roman" w:hAnsi="Times New Roman" w:cs="Times New Roman"/>
                <w:sz w:val="24"/>
                <w:szCs w:val="24"/>
                <w:lang w:eastAsia="zh-CN"/>
              </w:rPr>
              <w:t>施工人员</w:t>
            </w:r>
            <w:r>
              <w:rPr>
                <w:rFonts w:hint="eastAsia" w:ascii="Times New Roman" w:hAnsi="Times New Roman" w:cs="Times New Roman"/>
                <w:sz w:val="24"/>
                <w:szCs w:val="24"/>
                <w:lang w:eastAsia="zh-CN"/>
              </w:rPr>
              <w:t>产生的</w:t>
            </w:r>
            <w:r>
              <w:rPr>
                <w:rFonts w:ascii="Times New Roman" w:hAnsi="Times New Roman" w:cs="Times New Roman"/>
                <w:sz w:val="24"/>
                <w:szCs w:val="24"/>
                <w:lang w:eastAsia="zh-CN"/>
              </w:rPr>
              <w:t>生活垃圾、施工</w:t>
            </w:r>
            <w:r>
              <w:rPr>
                <w:rFonts w:hint="eastAsia" w:ascii="Times New Roman" w:hAnsi="Times New Roman" w:cs="Times New Roman"/>
                <w:sz w:val="24"/>
                <w:szCs w:val="24"/>
                <w:lang w:eastAsia="zh-CN"/>
              </w:rPr>
              <w:t>作业</w:t>
            </w:r>
            <w:r>
              <w:rPr>
                <w:rFonts w:ascii="Times New Roman" w:hAnsi="Times New Roman" w:cs="Times New Roman"/>
                <w:sz w:val="24"/>
                <w:szCs w:val="24"/>
                <w:lang w:eastAsia="zh-CN"/>
              </w:rPr>
              <w:t>产生的废弃土方、建筑垃圾等</w:t>
            </w:r>
            <w:r>
              <w:rPr>
                <w:rFonts w:hint="eastAsia" w:ascii="Times New Roman" w:hAnsi="Times New Roman" w:cs="Times New Roman"/>
                <w:sz w:val="24"/>
                <w:szCs w:val="24"/>
                <w:lang w:eastAsia="zh-CN"/>
              </w:rPr>
              <w:t>，均属于一般固废</w:t>
            </w:r>
            <w:r>
              <w:rPr>
                <w:rFonts w:ascii="Times New Roman" w:hAnsi="Times New Roman" w:cs="Times New Roman"/>
                <w:sz w:val="24"/>
                <w:szCs w:val="24"/>
                <w:lang w:eastAsia="zh-CN"/>
              </w:rPr>
              <w:t>。</w:t>
            </w:r>
          </w:p>
          <w:p w14:paraId="54768A3A">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（1）生活垃圾</w:t>
            </w:r>
          </w:p>
          <w:p w14:paraId="62A1A4D1">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项目施工期间，施工人员产生的生活垃圾</w:t>
            </w:r>
            <w:r>
              <w:rPr>
                <w:rFonts w:hint="eastAsia" w:ascii="Times New Roman" w:hAnsi="Times New Roman" w:cs="Times New Roman"/>
                <w:sz w:val="24"/>
                <w:szCs w:val="24"/>
                <w:lang w:eastAsia="zh-CN"/>
              </w:rPr>
              <w:t>约</w:t>
            </w:r>
            <w:r>
              <w:rPr>
                <w:rFonts w:ascii="Times New Roman" w:hAnsi="Times New Roman" w:cs="Times New Roman"/>
                <w:sz w:val="24"/>
                <w:szCs w:val="24"/>
                <w:lang w:eastAsia="zh-CN"/>
              </w:rPr>
              <w:t>0.5kg/人·d，施工定员200人，整个施工期按540d计</w:t>
            </w:r>
            <w:r>
              <w:rPr>
                <w:rFonts w:hint="eastAsia" w:ascii="Times New Roman" w:hAnsi="Times New Roman" w:cs="Times New Roman"/>
                <w:sz w:val="24"/>
                <w:szCs w:val="24"/>
                <w:lang w:eastAsia="zh-CN"/>
              </w:rPr>
              <w:t>（已扣除冬季停工未施工天数）</w:t>
            </w:r>
            <w:r>
              <w:rPr>
                <w:rFonts w:ascii="Times New Roman" w:hAnsi="Times New Roman" w:cs="Times New Roman"/>
                <w:sz w:val="24"/>
                <w:szCs w:val="24"/>
                <w:lang w:eastAsia="zh-CN"/>
              </w:rPr>
              <w:t>，则施工期生活垃圾产生总量约为54t，</w:t>
            </w:r>
            <w:r>
              <w:rPr>
                <w:rFonts w:hint="eastAsia" w:ascii="Times New Roman" w:hAnsi="Times New Roman" w:cs="Times New Roman"/>
                <w:sz w:val="24"/>
                <w:szCs w:val="24"/>
                <w:lang w:eastAsia="zh-CN"/>
              </w:rPr>
              <w:t>施工现场生活垃圾集中收集后交由环卫部门统一处置。</w:t>
            </w:r>
          </w:p>
          <w:p w14:paraId="6E3CC648">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（2）废弃土方</w:t>
            </w:r>
          </w:p>
          <w:p w14:paraId="2C8FA8A0">
            <w:pPr>
              <w:pStyle w:val="18"/>
              <w:spacing w:line="360" w:lineRule="auto"/>
              <w:ind w:firstLine="480" w:firstLineChars="200"/>
              <w:jc w:val="both"/>
              <w:rPr>
                <w:rFonts w:ascii="Times New Roman" w:hAnsi="Times New Roman" w:cs="Times New Roman"/>
                <w:spacing w:val="4"/>
                <w:kern w:val="2"/>
                <w:sz w:val="24"/>
                <w:szCs w:val="24"/>
                <w:lang w:eastAsia="zh-CN"/>
              </w:rPr>
            </w:pPr>
            <w:r>
              <w:rPr>
                <w:rFonts w:ascii="Times New Roman" w:hAnsi="Times New Roman" w:cs="Times New Roman"/>
                <w:sz w:val="24"/>
                <w:szCs w:val="24"/>
                <w:lang w:eastAsia="zh-CN"/>
              </w:rPr>
              <w:t>项目</w:t>
            </w:r>
            <w:r>
              <w:rPr>
                <w:rFonts w:hint="eastAsia" w:ascii="Times New Roman" w:hAnsi="Times New Roman" w:cs="Times New Roman"/>
                <w:sz w:val="24"/>
                <w:szCs w:val="24"/>
                <w:lang w:eastAsia="zh-CN"/>
              </w:rPr>
              <w:t>施工产生</w:t>
            </w:r>
            <w:r>
              <w:rPr>
                <w:rFonts w:ascii="Times New Roman" w:hAnsi="Times New Roman" w:cs="Times New Roman"/>
                <w:sz w:val="24"/>
                <w:szCs w:val="24"/>
                <w:lang w:eastAsia="zh-CN"/>
              </w:rPr>
              <w:t>废弃土方</w:t>
            </w:r>
            <w:r>
              <w:rPr>
                <w:rFonts w:ascii="Times New Roman" w:hAnsi="Times New Roman" w:cs="Times New Roman"/>
                <w:spacing w:val="4"/>
                <w:kern w:val="2"/>
                <w:sz w:val="24"/>
                <w:szCs w:val="24"/>
                <w:lang w:eastAsia="zh-CN"/>
              </w:rPr>
              <w:t>835211m³，废弃土方</w:t>
            </w:r>
            <w:r>
              <w:rPr>
                <w:rFonts w:hint="eastAsia" w:ascii="Times New Roman" w:hAnsi="Times New Roman" w:cs="Times New Roman"/>
                <w:spacing w:val="4"/>
                <w:kern w:val="2"/>
                <w:sz w:val="24"/>
                <w:szCs w:val="24"/>
                <w:lang w:eastAsia="zh-CN"/>
              </w:rPr>
              <w:t>中，剥离的表土集中分段临时堆置于施工沿线两侧永久占地范围内，采取</w:t>
            </w:r>
            <w:r>
              <w:rPr>
                <w:rFonts w:ascii="Times New Roman" w:hAnsi="Times New Roman" w:cs="Times New Roman"/>
                <w:spacing w:val="4"/>
                <w:kern w:val="2"/>
                <w:sz w:val="24"/>
                <w:szCs w:val="24"/>
                <w:lang w:eastAsia="zh-CN"/>
              </w:rPr>
              <w:t>苫布遮盖，洒水</w:t>
            </w:r>
            <w:r>
              <w:rPr>
                <w:rFonts w:hint="eastAsia" w:ascii="Times New Roman" w:hAnsi="Times New Roman" w:cs="Times New Roman"/>
                <w:spacing w:val="4"/>
                <w:kern w:val="2"/>
                <w:sz w:val="24"/>
                <w:szCs w:val="24"/>
                <w:lang w:eastAsia="zh-CN"/>
              </w:rPr>
              <w:t>抑尘</w:t>
            </w:r>
            <w:r>
              <w:rPr>
                <w:rFonts w:ascii="Times New Roman" w:hAnsi="Times New Roman" w:cs="Times New Roman"/>
                <w:spacing w:val="4"/>
                <w:kern w:val="2"/>
                <w:sz w:val="24"/>
                <w:szCs w:val="24"/>
                <w:lang w:eastAsia="zh-CN"/>
              </w:rPr>
              <w:t>等措施，</w:t>
            </w:r>
            <w:r>
              <w:rPr>
                <w:rFonts w:hint="eastAsia" w:ascii="Times New Roman" w:hAnsi="Times New Roman" w:cs="Times New Roman"/>
                <w:spacing w:val="4"/>
                <w:kern w:val="2"/>
                <w:sz w:val="24"/>
                <w:szCs w:val="24"/>
                <w:lang w:eastAsia="zh-CN"/>
              </w:rPr>
              <w:t>后期用于项目道路绿化工程覆土。剩余其他弃土拉运至</w:t>
            </w:r>
            <w:r>
              <w:rPr>
                <w:rFonts w:ascii="Times New Roman" w:hAnsi="Times New Roman" w:cs="Times New Roman"/>
                <w:spacing w:val="4"/>
                <w:kern w:val="2"/>
                <w:sz w:val="24"/>
                <w:szCs w:val="24"/>
                <w:lang w:eastAsia="zh-CN"/>
              </w:rPr>
              <w:t>弃土场排弃。</w:t>
            </w:r>
          </w:p>
          <w:p w14:paraId="1E44CE54">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（3）建筑垃圾</w:t>
            </w:r>
          </w:p>
          <w:p w14:paraId="50AC3BF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建筑垃圾主要为施工作业产生的废砼、废砂石，以及其他废弃施工材料（管材、钢筋、砖块、废木材等）、建筑材料包装等，</w:t>
            </w:r>
            <w:r>
              <w:rPr>
                <w:rFonts w:ascii="Times New Roman" w:hAnsi="Times New Roman" w:cs="Times New Roman"/>
                <w:sz w:val="24"/>
                <w:szCs w:val="24"/>
                <w:lang w:eastAsia="zh-CN"/>
              </w:rPr>
              <w:t>建筑垃圾的产生量按0.5t/km估算，本项目工程总量89.14</w:t>
            </w:r>
            <w:r>
              <w:rPr>
                <w:rFonts w:hint="eastAsia" w:ascii="Times New Roman" w:hAnsi="Times New Roman" w:cs="Times New Roman"/>
                <w:sz w:val="24"/>
                <w:szCs w:val="24"/>
                <w:lang w:eastAsia="zh-CN"/>
              </w:rPr>
              <w:t>k</w:t>
            </w:r>
            <w:r>
              <w:rPr>
                <w:rFonts w:ascii="Times New Roman" w:hAnsi="Times New Roman" w:cs="Times New Roman"/>
                <w:sz w:val="24"/>
                <w:szCs w:val="24"/>
                <w:lang w:eastAsia="zh-CN"/>
              </w:rPr>
              <w:t>m，则建筑垃圾产生量约为45t。对于建筑垃圾，</w:t>
            </w:r>
            <w:r>
              <w:rPr>
                <w:rFonts w:hint="eastAsia" w:ascii="Times New Roman" w:hAnsi="Times New Roman" w:cs="Times New Roman"/>
                <w:sz w:val="24"/>
                <w:szCs w:val="24"/>
                <w:lang w:eastAsia="zh-CN"/>
              </w:rPr>
              <w:t>进行集中分拣回收，</w:t>
            </w:r>
            <w:r>
              <w:rPr>
                <w:rFonts w:ascii="Times New Roman" w:hAnsi="Times New Roman" w:cs="Times New Roman"/>
                <w:sz w:val="24"/>
                <w:szCs w:val="24"/>
                <w:lang w:eastAsia="zh-CN"/>
              </w:rPr>
              <w:t>能回用的尽量循环利用，没有利用价值的建筑垃圾</w:t>
            </w:r>
            <w:r>
              <w:rPr>
                <w:rFonts w:hint="eastAsia" w:ascii="Times New Roman" w:hAnsi="Times New Roman" w:cs="Times New Roman"/>
                <w:sz w:val="24"/>
                <w:szCs w:val="24"/>
                <w:lang w:eastAsia="zh-CN"/>
              </w:rPr>
              <w:t>收集暂存，施工结束后</w:t>
            </w:r>
            <w:r>
              <w:rPr>
                <w:rFonts w:ascii="Times New Roman" w:hAnsi="Times New Roman" w:cs="Times New Roman"/>
                <w:sz w:val="24"/>
                <w:szCs w:val="24"/>
                <w:lang w:eastAsia="zh-CN"/>
              </w:rPr>
              <w:t>由施工单位运送至</w:t>
            </w:r>
            <w:r>
              <w:rPr>
                <w:rFonts w:hint="eastAsia" w:ascii="Times New Roman" w:hAnsi="Times New Roman" w:cs="Times New Roman"/>
                <w:sz w:val="24"/>
                <w:szCs w:val="24"/>
                <w:lang w:eastAsia="zh-CN"/>
              </w:rPr>
              <w:t>城市管理部门</w:t>
            </w:r>
            <w:r>
              <w:rPr>
                <w:rFonts w:ascii="Times New Roman" w:hAnsi="Times New Roman" w:cs="Times New Roman"/>
                <w:sz w:val="24"/>
                <w:szCs w:val="24"/>
                <w:lang w:eastAsia="zh-CN"/>
              </w:rPr>
              <w:t>指定地点处置。</w:t>
            </w:r>
          </w:p>
          <w:p w14:paraId="7A8454B4">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5、施工期水土流失影响分析</w:t>
            </w:r>
          </w:p>
          <w:p w14:paraId="41B27A85">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本项目水土流失范围包括主体工程和施工便道、弃土场等临时工程占地范围，主要因素包括：</w:t>
            </w:r>
          </w:p>
          <w:p w14:paraId="77132757">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ascii="Times New Roman" w:hAnsi="Times New Roman" w:cs="Times New Roman"/>
                <w:sz w:val="24"/>
                <w:szCs w:val="24"/>
                <w:lang w:eastAsia="zh-CN"/>
              </w:rPr>
              <w:t>路线路基挖填对原地貌、植被的破坏；</w:t>
            </w:r>
          </w:p>
          <w:p w14:paraId="34D92B71">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ascii="Times New Roman" w:hAnsi="Times New Roman" w:cs="Times New Roman"/>
                <w:sz w:val="24"/>
                <w:szCs w:val="24"/>
                <w:lang w:eastAsia="zh-CN"/>
              </w:rPr>
              <w:t>路基填挖形成的路堑边坡与路堤边坡裸露；</w:t>
            </w:r>
          </w:p>
          <w:p w14:paraId="0A646B31">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ascii="Times New Roman" w:hAnsi="Times New Roman" w:cs="Times New Roman"/>
                <w:sz w:val="24"/>
                <w:szCs w:val="24"/>
                <w:lang w:eastAsia="zh-CN"/>
              </w:rPr>
              <w:t>工程建设期间，项目建设区地表将遭受扰动，改变了原地貌形态和地表土层结构，土壤表层营养元素流失，土壤肥力下降，同时破坏了植被，产生大量的裸露地面和疏松土体，使土壤抗蚀抗冲能力下降，如遇大风大雨天气，将加剧水土流失。</w:t>
            </w:r>
          </w:p>
          <w:p w14:paraId="4970E1CF">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④</w:t>
            </w:r>
            <w:r>
              <w:rPr>
                <w:rFonts w:ascii="Times New Roman" w:hAnsi="Times New Roman" w:cs="Times New Roman"/>
                <w:sz w:val="24"/>
                <w:szCs w:val="24"/>
                <w:lang w:eastAsia="zh-CN"/>
              </w:rPr>
              <w:t>工程建设期间有大量土方挖填、倒运、堆放、调配等，如施工过程中遇到大风吹蚀，降雨冲刷，则可能产生水土流失。</w:t>
            </w:r>
          </w:p>
          <w:p w14:paraId="0A93A615">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本评价要求本项目应根据水利主管部门批复的水土保持方案，做好公路建设及运营期的水土流失防治工作，有效控制本项目可能带来水土流失问题。</w:t>
            </w:r>
          </w:p>
          <w:p w14:paraId="5D572BF9">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6、施工期</w:t>
            </w:r>
            <w:r>
              <w:rPr>
                <w:rFonts w:hint="eastAsia" w:ascii="Times New Roman" w:hAnsi="Times New Roman" w:cs="Times New Roman" w:eastAsiaTheme="minorEastAsia"/>
                <w:b/>
                <w:bCs/>
                <w:sz w:val="28"/>
                <w:szCs w:val="28"/>
                <w:lang w:eastAsia="zh-CN"/>
              </w:rPr>
              <w:t>土地沙化</w:t>
            </w:r>
            <w:r>
              <w:rPr>
                <w:rFonts w:ascii="Times New Roman" w:hAnsi="Times New Roman" w:cs="Times New Roman" w:eastAsiaTheme="minorEastAsia"/>
                <w:b/>
                <w:bCs/>
                <w:sz w:val="28"/>
                <w:szCs w:val="28"/>
                <w:lang w:eastAsia="zh-CN"/>
              </w:rPr>
              <w:t>影响分析</w:t>
            </w:r>
          </w:p>
          <w:p w14:paraId="743EE012">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本项目沿线分布有荒漠生态系统，项目施工活动对土地沙化的影响主要包括：</w:t>
            </w:r>
          </w:p>
          <w:p w14:paraId="2B2712F8">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①</w:t>
            </w:r>
            <w:r>
              <w:rPr>
                <w:rFonts w:ascii="Times New Roman" w:hAnsi="Times New Roman" w:cs="Times New Roman"/>
                <w:sz w:val="24"/>
                <w:szCs w:val="24"/>
                <w:lang w:eastAsia="zh-CN"/>
              </w:rPr>
              <w:t>公路施工期间，路基填筑、取土、设置施工便道、</w:t>
            </w:r>
            <w:r>
              <w:rPr>
                <w:rFonts w:hint="eastAsia" w:ascii="Times New Roman" w:hAnsi="Times New Roman" w:cs="Times New Roman"/>
                <w:sz w:val="24"/>
                <w:szCs w:val="24"/>
                <w:lang w:eastAsia="zh-CN"/>
              </w:rPr>
              <w:t>施工</w:t>
            </w:r>
            <w:r>
              <w:rPr>
                <w:rFonts w:ascii="Times New Roman" w:hAnsi="Times New Roman" w:cs="Times New Roman"/>
                <w:sz w:val="24"/>
                <w:szCs w:val="24"/>
                <w:lang w:eastAsia="zh-CN"/>
              </w:rPr>
              <w:t>营地等工程活动将不可避免地扰动原地貌、破坏地表植被，改变土体结构，使土壤抗蚀性降低，为风力侵蚀提供了丰富的沙源，加剧局部</w:t>
            </w:r>
            <w:r>
              <w:rPr>
                <w:rFonts w:hint="eastAsia" w:ascii="Times New Roman" w:hAnsi="Times New Roman" w:cs="Times New Roman"/>
                <w:sz w:val="24"/>
                <w:szCs w:val="24"/>
                <w:lang w:eastAsia="zh-CN"/>
              </w:rPr>
              <w:t>区域</w:t>
            </w:r>
            <w:r>
              <w:rPr>
                <w:rFonts w:ascii="Times New Roman" w:hAnsi="Times New Roman" w:cs="Times New Roman"/>
                <w:sz w:val="24"/>
                <w:szCs w:val="24"/>
                <w:lang w:eastAsia="zh-CN"/>
              </w:rPr>
              <w:t>土地沙化现象。</w:t>
            </w:r>
          </w:p>
          <w:p w14:paraId="150F7476">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ascii="Times New Roman" w:hAnsi="Times New Roman" w:cs="Times New Roman"/>
                <w:sz w:val="24"/>
                <w:szCs w:val="24"/>
                <w:lang w:eastAsia="zh-CN"/>
              </w:rPr>
              <w:t>本项目地处温带大陆性干旱气候区，气候干燥少雨，地表干燥，公路沿线的荒漠戈壁地区，地势起伏平缓，地表植被稀疏，砂砾裸露，植被覆盖度</w:t>
            </w:r>
            <w:r>
              <w:rPr>
                <w:rFonts w:hint="eastAsia" w:ascii="Times New Roman" w:hAnsi="Times New Roman" w:cs="Times New Roman"/>
                <w:sz w:val="24"/>
                <w:szCs w:val="24"/>
                <w:lang w:eastAsia="zh-CN"/>
              </w:rPr>
              <w:t>约5</w:t>
            </w:r>
            <w:r>
              <w:rPr>
                <w:rFonts w:ascii="Times New Roman" w:hAnsi="Times New Roman" w:cs="Times New Roman"/>
                <w:sz w:val="24"/>
                <w:szCs w:val="24"/>
                <w:lang w:eastAsia="zh-CN"/>
              </w:rPr>
              <w:t>%。风沙活动频繁，戈壁地面因细砂已被风刮走，地面覆盖大片砾石，砾石之下仍然具有沙物质，公路施工过程中破坏地表砾石层，使戈壁下层沙砾裸露，易被吹扬，加剧周边地区土地沙化。</w:t>
            </w:r>
          </w:p>
          <w:p w14:paraId="0CF38778">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本项目施工过程中采取风沙防护工程、坡面防护措施，严格限定施工活动范围等，可将工程活动对沿线土地沙化的影响降低到最小程度，减缓和控制土地沙化范围的扩大和程度的加重。</w:t>
            </w:r>
          </w:p>
        </w:tc>
      </w:tr>
      <w:tr w14:paraId="7F41B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11" w:hRule="atLeast"/>
        </w:trPr>
        <w:tc>
          <w:tcPr>
            <w:tcW w:w="372" w:type="pct"/>
            <w:tcBorders>
              <w:top w:val="single" w:color="000000" w:sz="4" w:space="0"/>
              <w:bottom w:val="single" w:color="000000" w:sz="4" w:space="0"/>
              <w:right w:val="single" w:color="000000" w:sz="4" w:space="0"/>
            </w:tcBorders>
            <w:vAlign w:val="center"/>
          </w:tcPr>
          <w:p w14:paraId="35003454">
            <w:pPr>
              <w:pStyle w:val="18"/>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运营期生态环境影响分析</w:t>
            </w:r>
          </w:p>
        </w:tc>
        <w:tc>
          <w:tcPr>
            <w:tcW w:w="4628" w:type="pct"/>
            <w:tcBorders>
              <w:top w:val="single" w:color="000000" w:sz="4" w:space="0"/>
              <w:left w:val="single" w:color="000000" w:sz="4" w:space="0"/>
              <w:bottom w:val="single" w:color="000000" w:sz="4" w:space="0"/>
            </w:tcBorders>
          </w:tcPr>
          <w:p w14:paraId="63E44E5C">
            <w:pPr>
              <w:pStyle w:val="18"/>
              <w:spacing w:before="120" w:beforeLines="50"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1、</w:t>
            </w:r>
            <w:r>
              <w:rPr>
                <w:rFonts w:hint="eastAsia" w:ascii="Times New Roman" w:hAnsi="Times New Roman" w:cs="Times New Roman" w:eastAsiaTheme="minorEastAsia"/>
                <w:b/>
                <w:bCs/>
                <w:sz w:val="28"/>
                <w:szCs w:val="28"/>
                <w:lang w:eastAsia="zh-CN"/>
              </w:rPr>
              <w:t>运营期</w:t>
            </w:r>
            <w:r>
              <w:rPr>
                <w:rFonts w:ascii="Times New Roman" w:hAnsi="Times New Roman" w:cs="Times New Roman" w:eastAsiaTheme="minorEastAsia"/>
                <w:b/>
                <w:bCs/>
                <w:sz w:val="28"/>
                <w:szCs w:val="28"/>
                <w:lang w:eastAsia="zh-CN"/>
              </w:rPr>
              <w:t>生态环境影响分析</w:t>
            </w:r>
          </w:p>
          <w:p w14:paraId="489F0314">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本项目设置生态环境影响专项评价，运营期生态环境影响相关分析见专项评价。</w:t>
            </w:r>
          </w:p>
          <w:p w14:paraId="1745E013">
            <w:pPr>
              <w:pStyle w:val="18"/>
              <w:spacing w:before="120" w:beforeLines="50" w:line="360" w:lineRule="auto"/>
              <w:rPr>
                <w:rFonts w:ascii="Times New Roman" w:hAnsi="Times New Roman" w:cs="Times New Roman" w:eastAsiaTheme="minorEastAsia"/>
                <w:b/>
                <w:bCs/>
                <w:sz w:val="28"/>
                <w:szCs w:val="28"/>
                <w:lang w:eastAsia="zh-CN"/>
              </w:rPr>
            </w:pPr>
            <w:r>
              <w:rPr>
                <w:rFonts w:hint="eastAsia" w:ascii="Times New Roman" w:hAnsi="Times New Roman" w:cs="Times New Roman" w:eastAsiaTheme="minorEastAsia"/>
                <w:b/>
                <w:bCs/>
                <w:sz w:val="28"/>
                <w:szCs w:val="28"/>
                <w:lang w:eastAsia="zh-CN"/>
              </w:rPr>
              <w:t>2</w:t>
            </w:r>
            <w:r>
              <w:rPr>
                <w:rFonts w:ascii="Times New Roman" w:hAnsi="Times New Roman" w:cs="Times New Roman" w:eastAsiaTheme="minorEastAsia"/>
                <w:b/>
                <w:bCs/>
                <w:sz w:val="28"/>
                <w:szCs w:val="28"/>
                <w:lang w:eastAsia="zh-CN"/>
              </w:rPr>
              <w:t>、运营期大气环境影响分析</w:t>
            </w:r>
          </w:p>
          <w:p w14:paraId="6EB1E927">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项目沿线服务区、养护工区、收费站冬季供暖均采用电采暖方式，不设置锅炉。服务区西区和东区预留加油加气站用地，加油加气站建设前单独做环评，本次评价不再对其环境影响进行分析。</w:t>
            </w:r>
            <w:r>
              <w:rPr>
                <w:rFonts w:ascii="Times New Roman" w:hAnsi="Times New Roman" w:cs="Times New Roman"/>
                <w:sz w:val="24"/>
                <w:szCs w:val="24"/>
                <w:lang w:eastAsia="zh-CN"/>
              </w:rPr>
              <w:t>项目运营期</w:t>
            </w:r>
            <w:r>
              <w:rPr>
                <w:rFonts w:hint="eastAsia" w:ascii="Times New Roman" w:hAnsi="Times New Roman" w:cs="Times New Roman"/>
                <w:sz w:val="24"/>
                <w:szCs w:val="24"/>
                <w:lang w:eastAsia="zh-CN"/>
              </w:rPr>
              <w:t>废气主要为：行驶在道路上的机动车排放的燃油废气、服务区内餐厅排放的食堂油烟。</w:t>
            </w:r>
          </w:p>
          <w:p w14:paraId="3A4A7C79">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（1）燃油废气</w:t>
            </w:r>
          </w:p>
          <w:p w14:paraId="5695F8C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燃油废气的污染因子主要为：</w:t>
            </w:r>
            <w:r>
              <w:rPr>
                <w:rFonts w:ascii="Times New Roman" w:hAnsi="Times New Roman" w:cs="Times New Roman"/>
                <w:sz w:val="24"/>
                <w:szCs w:val="24"/>
                <w:lang w:eastAsia="zh-CN"/>
              </w:rPr>
              <w:t>CO、NOx、HC</w:t>
            </w:r>
            <w:r>
              <w:rPr>
                <w:rFonts w:hint="eastAsia" w:ascii="Times New Roman" w:hAnsi="Times New Roman" w:cs="Times New Roman"/>
                <w:sz w:val="24"/>
                <w:szCs w:val="24"/>
                <w:lang w:eastAsia="zh-CN"/>
              </w:rPr>
              <w:t>等。气态污染物排放源强计算公式如下：</w:t>
            </w:r>
          </w:p>
          <w:p w14:paraId="527708A5">
            <w:pPr>
              <w:pStyle w:val="18"/>
              <w:spacing w:line="360" w:lineRule="auto"/>
              <w:jc w:val="center"/>
              <w:rPr>
                <w:rFonts w:ascii="Times New Roman" w:hAnsi="Times New Roman" w:cs="Times New Roman"/>
                <w:sz w:val="24"/>
                <w:szCs w:val="24"/>
                <w:lang w:eastAsia="zh-CN"/>
              </w:rPr>
            </w:pPr>
            <w:r>
              <w:rPr>
                <w:rFonts w:hint="eastAsia" w:ascii="Times New Roman" w:hAnsi="Times New Roman" w:cs="Times New Roman"/>
                <w:color w:val="000000"/>
                <w:kern w:val="2"/>
                <w:position w:val="-28"/>
                <w:sz w:val="21"/>
                <w:szCs w:val="21"/>
                <w:lang w:eastAsia="zh-CN"/>
              </w:rPr>
              <w:object>
                <v:shape id="_x0000_i1026" o:spt="75" type="#_x0000_t75" style="height:36pt;width:100.5pt;" o:ole="t" filled="f" o:preferrelative="t" stroked="f" coordsize="21600,21600">
                  <v:path/>
                  <v:fill on="f" focussize="0,0"/>
                  <v:stroke on="f" joinstyle="miter"/>
                  <v:imagedata r:id="rId34" o:title=""/>
                  <o:lock v:ext="edit" aspectratio="t"/>
                  <w10:wrap type="none"/>
                  <w10:anchorlock/>
                </v:shape>
                <o:OLEObject Type="Embed" ProgID="Equation.3" ShapeID="_x0000_i1026" DrawAspect="Content" ObjectID="_1468075726" r:id="rId33">
                  <o:LockedField>false</o:LockedField>
                </o:OLEObject>
              </w:object>
            </w:r>
          </w:p>
          <w:p w14:paraId="3B938DEA">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式中：</w:t>
            </w:r>
            <w:r>
              <w:rPr>
                <w:rFonts w:ascii="Times New Roman" w:hAnsi="Times New Roman" w:cs="Times New Roman"/>
                <w:sz w:val="24"/>
                <w:szCs w:val="24"/>
                <w:lang w:eastAsia="zh-CN"/>
              </w:rPr>
              <w:t>Q</w:t>
            </w:r>
            <w:r>
              <w:rPr>
                <w:rFonts w:ascii="Times New Roman" w:hAnsi="Times New Roman" w:cs="Times New Roman"/>
                <w:sz w:val="24"/>
                <w:szCs w:val="24"/>
                <w:vertAlign w:val="subscript"/>
                <w:lang w:eastAsia="zh-CN"/>
              </w:rPr>
              <w:t>j</w:t>
            </w:r>
            <w:r>
              <w:rPr>
                <w:rFonts w:ascii="Times New Roman" w:hAnsi="Times New Roman" w:cs="Times New Roman"/>
                <w:sz w:val="24"/>
                <w:szCs w:val="24"/>
                <w:lang w:eastAsia="zh-CN"/>
              </w:rPr>
              <w:t xml:space="preserve"> —— j类气态污染物排放强度，mg/(s·m)；</w:t>
            </w:r>
          </w:p>
          <w:p w14:paraId="26B81A08">
            <w:pPr>
              <w:pStyle w:val="18"/>
              <w:spacing w:line="360" w:lineRule="auto"/>
              <w:ind w:firstLine="1200" w:firstLineChars="500"/>
              <w:jc w:val="both"/>
              <w:rPr>
                <w:rFonts w:ascii="Times New Roman" w:hAnsi="Times New Roman" w:cs="Times New Roman"/>
                <w:sz w:val="24"/>
                <w:szCs w:val="24"/>
                <w:lang w:eastAsia="zh-CN"/>
              </w:rPr>
            </w:pPr>
            <w:r>
              <w:rPr>
                <w:rFonts w:ascii="Times New Roman" w:hAnsi="Times New Roman" w:cs="Times New Roman"/>
                <w:sz w:val="24"/>
                <w:szCs w:val="24"/>
                <w:lang w:eastAsia="zh-CN"/>
              </w:rPr>
              <w:t>A</w:t>
            </w:r>
            <w:r>
              <w:rPr>
                <w:rFonts w:ascii="Times New Roman" w:hAnsi="Times New Roman" w:cs="Times New Roman"/>
                <w:sz w:val="24"/>
                <w:szCs w:val="24"/>
                <w:vertAlign w:val="subscript"/>
                <w:lang w:eastAsia="zh-CN"/>
              </w:rPr>
              <w:t>i</w:t>
            </w:r>
            <w:r>
              <w:rPr>
                <w:rFonts w:ascii="Times New Roman" w:hAnsi="Times New Roman" w:cs="Times New Roman"/>
                <w:sz w:val="24"/>
                <w:szCs w:val="24"/>
                <w:lang w:eastAsia="zh-CN"/>
              </w:rPr>
              <w:t xml:space="preserve"> —— i车型预测年的小时交通量，辆/h；</w:t>
            </w:r>
          </w:p>
          <w:p w14:paraId="7FCB7E71">
            <w:pPr>
              <w:pStyle w:val="18"/>
              <w:spacing w:line="360" w:lineRule="auto"/>
              <w:ind w:firstLine="1200" w:firstLineChars="500"/>
              <w:jc w:val="both"/>
              <w:rPr>
                <w:rFonts w:ascii="Times New Roman" w:hAnsi="Times New Roman" w:cs="Times New Roman"/>
                <w:sz w:val="24"/>
                <w:szCs w:val="24"/>
                <w:lang w:eastAsia="zh-CN"/>
              </w:rPr>
            </w:pPr>
            <w:r>
              <w:rPr>
                <w:rFonts w:ascii="Times New Roman" w:hAnsi="Times New Roman" w:cs="Times New Roman"/>
                <w:sz w:val="24"/>
                <w:szCs w:val="24"/>
                <w:lang w:eastAsia="zh-CN"/>
              </w:rPr>
              <w:t>E</w:t>
            </w:r>
            <w:r>
              <w:rPr>
                <w:rFonts w:ascii="Times New Roman" w:hAnsi="Times New Roman" w:cs="Times New Roman"/>
                <w:sz w:val="24"/>
                <w:szCs w:val="24"/>
                <w:vertAlign w:val="subscript"/>
                <w:lang w:eastAsia="zh-CN"/>
              </w:rPr>
              <w:t>ij</w:t>
            </w:r>
            <w:r>
              <w:rPr>
                <w:rFonts w:ascii="Times New Roman" w:hAnsi="Times New Roman" w:cs="Times New Roman"/>
                <w:sz w:val="24"/>
                <w:szCs w:val="24"/>
                <w:lang w:eastAsia="zh-CN"/>
              </w:rPr>
              <w:t xml:space="preserve"> —— 汽车专用公路运行工况下，i型车j类排放物在预测年的单车排放因</w:t>
            </w:r>
          </w:p>
          <w:p w14:paraId="3CBEB794">
            <w:pPr>
              <w:pStyle w:val="18"/>
              <w:spacing w:line="360" w:lineRule="auto"/>
              <w:ind w:firstLine="2040" w:firstLineChars="850"/>
              <w:jc w:val="both"/>
              <w:rPr>
                <w:rFonts w:ascii="Times New Roman" w:hAnsi="Times New Roman" w:cs="Times New Roman"/>
                <w:sz w:val="24"/>
                <w:szCs w:val="24"/>
                <w:lang w:eastAsia="zh-CN"/>
              </w:rPr>
            </w:pPr>
            <w:r>
              <w:rPr>
                <w:rFonts w:ascii="Times New Roman" w:hAnsi="Times New Roman" w:cs="Times New Roman"/>
                <w:sz w:val="24"/>
                <w:szCs w:val="24"/>
                <w:lang w:eastAsia="zh-CN"/>
              </w:rPr>
              <w:t>子</w:t>
            </w:r>
            <w:r>
              <w:rPr>
                <w:rFonts w:hint="eastAsia" w:ascii="Times New Roman" w:hAnsi="Times New Roman" w:cs="Times New Roman"/>
                <w:sz w:val="24"/>
                <w:szCs w:val="24"/>
                <w:lang w:eastAsia="zh-CN"/>
              </w:rPr>
              <w:t>。</w:t>
            </w:r>
          </w:p>
          <w:p w14:paraId="7B956C6C">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本次评价</w:t>
            </w:r>
            <w:r>
              <w:rPr>
                <w:rFonts w:ascii="Times New Roman" w:hAnsi="Times New Roman" w:cs="Times New Roman"/>
                <w:sz w:val="24"/>
                <w:szCs w:val="24"/>
                <w:lang w:eastAsia="zh-CN"/>
              </w:rPr>
              <w:t>E</w:t>
            </w:r>
            <w:r>
              <w:rPr>
                <w:rFonts w:ascii="Times New Roman" w:hAnsi="Times New Roman" w:cs="Times New Roman"/>
                <w:sz w:val="24"/>
                <w:szCs w:val="24"/>
                <w:vertAlign w:val="subscript"/>
                <w:lang w:eastAsia="zh-CN"/>
              </w:rPr>
              <w:t>ij</w:t>
            </w:r>
            <w:r>
              <w:rPr>
                <w:rFonts w:ascii="Times New Roman" w:hAnsi="Times New Roman" w:cs="Times New Roman"/>
                <w:sz w:val="24"/>
                <w:szCs w:val="24"/>
                <w:lang w:eastAsia="zh-CN"/>
              </w:rPr>
              <w:t>采用《公路建设项目环境影响评价规范》</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JTGB 03-2006</w:t>
            </w:r>
            <w:r>
              <w:rPr>
                <w:rFonts w:hint="eastAsia" w:ascii="Times New Roman" w:hAnsi="Times New Roman" w:cs="Times New Roman"/>
                <w:sz w:val="24"/>
                <w:szCs w:val="24"/>
                <w:lang w:eastAsia="zh-CN"/>
              </w:rPr>
              <w:t>）的车辆单车排放因子</w:t>
            </w:r>
            <w:r>
              <w:rPr>
                <w:rFonts w:ascii="Times New Roman" w:hAnsi="Times New Roman" w:cs="Times New Roman"/>
                <w:sz w:val="24"/>
                <w:szCs w:val="24"/>
                <w:lang w:eastAsia="zh-CN"/>
              </w:rPr>
              <w:t>推荐值</w:t>
            </w:r>
            <w:r>
              <w:rPr>
                <w:rFonts w:hint="eastAsia" w:ascii="Times New Roman" w:hAnsi="Times New Roman" w:cs="Times New Roman"/>
                <w:sz w:val="24"/>
                <w:szCs w:val="24"/>
                <w:lang w:eastAsia="zh-CN"/>
              </w:rPr>
              <w:t>进行计算</w:t>
            </w:r>
            <w:r>
              <w:rPr>
                <w:rFonts w:ascii="Times New Roman" w:hAnsi="Times New Roman" w:cs="Times New Roman"/>
                <w:sz w:val="24"/>
                <w:szCs w:val="24"/>
                <w:lang w:eastAsia="zh-CN"/>
              </w:rPr>
              <w:t>，具体见表4.3。</w:t>
            </w:r>
          </w:p>
          <w:p w14:paraId="2E6D6C43">
            <w:pPr>
              <w:autoSpaceDE/>
              <w:autoSpaceDN/>
              <w:jc w:val="center"/>
              <w:rPr>
                <w:rFonts w:ascii="Times New Roman" w:hAnsi="Times New Roman" w:cs="Times New Roman"/>
                <w:b/>
                <w:color w:val="000000"/>
                <w:kern w:val="2"/>
                <w:sz w:val="21"/>
                <w:szCs w:val="21"/>
                <w:lang w:eastAsia="zh-CN"/>
              </w:rPr>
            </w:pPr>
            <w:bookmarkStart w:id="4" w:name="_Ref231187423"/>
            <w:r>
              <w:rPr>
                <w:rFonts w:ascii="Times New Roman" w:hAnsi="Times New Roman" w:cs="Times New Roman"/>
                <w:b/>
                <w:color w:val="000000"/>
                <w:kern w:val="2"/>
                <w:sz w:val="21"/>
                <w:szCs w:val="21"/>
                <w:lang w:eastAsia="zh-CN"/>
              </w:rPr>
              <w:t>表</w:t>
            </w:r>
            <w:bookmarkEnd w:id="4"/>
            <w:r>
              <w:rPr>
                <w:rFonts w:ascii="Times New Roman" w:hAnsi="Times New Roman" w:cs="Times New Roman"/>
                <w:b/>
                <w:color w:val="000000"/>
                <w:kern w:val="2"/>
                <w:sz w:val="21"/>
                <w:szCs w:val="21"/>
                <w:lang w:eastAsia="zh-CN"/>
              </w:rPr>
              <w:t>4.3  现阶段车辆单车排放因子推荐值</w:t>
            </w:r>
            <w:r>
              <w:rPr>
                <w:rFonts w:hint="eastAsia" w:ascii="Times New Roman" w:hAnsi="Times New Roman" w:cs="Times New Roman"/>
                <w:b/>
                <w:color w:val="000000"/>
                <w:kern w:val="2"/>
                <w:sz w:val="21"/>
                <w:szCs w:val="21"/>
                <w:lang w:eastAsia="zh-CN"/>
              </w:rPr>
              <w:t xml:space="preserve"> </w:t>
            </w:r>
            <w:r>
              <w:rPr>
                <w:rFonts w:ascii="Times New Roman" w:hAnsi="Times New Roman" w:cs="Times New Roman"/>
                <w:b/>
                <w:color w:val="000000"/>
                <w:kern w:val="2"/>
                <w:sz w:val="21"/>
                <w:szCs w:val="21"/>
                <w:lang w:eastAsia="zh-CN"/>
              </w:rPr>
              <w:t xml:space="preserve">   单位：</w:t>
            </w:r>
            <w:r>
              <w:rPr>
                <w:rFonts w:hint="eastAsia" w:ascii="Times New Roman" w:hAnsi="Times New Roman" w:cs="Times New Roman"/>
                <w:b/>
                <w:color w:val="000000"/>
                <w:kern w:val="2"/>
                <w:sz w:val="21"/>
                <w:szCs w:val="21"/>
                <w:lang w:eastAsia="zh-CN"/>
              </w:rPr>
              <w:t>m</w:t>
            </w:r>
            <w:r>
              <w:rPr>
                <w:rFonts w:ascii="Times New Roman" w:hAnsi="Times New Roman" w:cs="Times New Roman"/>
                <w:b/>
                <w:color w:val="000000"/>
                <w:kern w:val="2"/>
                <w:sz w:val="21"/>
                <w:szCs w:val="21"/>
                <w:lang w:eastAsia="zh-CN"/>
              </w:rPr>
              <w:t xml:space="preserve">g / </w:t>
            </w:r>
            <w:r>
              <w:rPr>
                <w:rFonts w:hint="eastAsia" w:ascii="Times New Roman" w:hAnsi="Times New Roman" w:cs="Times New Roman"/>
                <w:b/>
                <w:color w:val="000000"/>
                <w:kern w:val="2"/>
                <w:sz w:val="21"/>
                <w:szCs w:val="21"/>
                <w:lang w:eastAsia="zh-CN"/>
              </w:rPr>
              <w:t>辆</w:t>
            </w:r>
            <w:r>
              <w:rPr>
                <w:rFonts w:ascii="Times New Roman" w:hAnsi="Times New Roman" w:cs="Times New Roman"/>
                <w:b/>
                <w:color w:val="000000"/>
                <w:kern w:val="2"/>
                <w:sz w:val="21"/>
                <w:szCs w:val="21"/>
                <w:lang w:eastAsia="zh-CN"/>
              </w:rPr>
              <w:t>·m</w:t>
            </w:r>
          </w:p>
          <w:tbl>
            <w:tblPr>
              <w:tblStyle w:val="11"/>
              <w:tblW w:w="478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895"/>
              <w:gridCol w:w="1051"/>
              <w:gridCol w:w="1104"/>
              <w:gridCol w:w="1104"/>
              <w:gridCol w:w="1104"/>
              <w:gridCol w:w="1104"/>
              <w:gridCol w:w="1104"/>
              <w:gridCol w:w="1077"/>
            </w:tblGrid>
            <w:tr w14:paraId="7F8F0F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jc w:val="center"/>
              </w:trPr>
              <w:tc>
                <w:tcPr>
                  <w:tcW w:w="1139" w:type="pct"/>
                  <w:gridSpan w:val="2"/>
                  <w:tcBorders>
                    <w:bottom w:val="single" w:color="auto" w:sz="6" w:space="0"/>
                    <w:right w:val="single" w:color="auto" w:sz="6" w:space="0"/>
                  </w:tcBorders>
                  <w:vAlign w:val="center"/>
                </w:tcPr>
                <w:p w14:paraId="36DF1816">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平均车速（km/h）</w:t>
                  </w:r>
                </w:p>
              </w:tc>
              <w:tc>
                <w:tcPr>
                  <w:tcW w:w="646" w:type="pct"/>
                  <w:tcBorders>
                    <w:left w:val="single" w:color="auto" w:sz="6" w:space="0"/>
                    <w:bottom w:val="single" w:color="auto" w:sz="6" w:space="0"/>
                    <w:right w:val="single" w:color="auto" w:sz="6" w:space="0"/>
                  </w:tcBorders>
                  <w:vAlign w:val="center"/>
                </w:tcPr>
                <w:p w14:paraId="27ABE45A">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50</w:t>
                  </w:r>
                </w:p>
              </w:tc>
              <w:tc>
                <w:tcPr>
                  <w:tcW w:w="646" w:type="pct"/>
                  <w:tcBorders>
                    <w:left w:val="single" w:color="auto" w:sz="6" w:space="0"/>
                    <w:bottom w:val="single" w:color="auto" w:sz="6" w:space="0"/>
                    <w:right w:val="single" w:color="auto" w:sz="6" w:space="0"/>
                  </w:tcBorders>
                  <w:vAlign w:val="center"/>
                </w:tcPr>
                <w:p w14:paraId="08641ACE">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60</w:t>
                  </w:r>
                </w:p>
              </w:tc>
              <w:tc>
                <w:tcPr>
                  <w:tcW w:w="646" w:type="pct"/>
                  <w:tcBorders>
                    <w:left w:val="single" w:color="auto" w:sz="6" w:space="0"/>
                    <w:bottom w:val="single" w:color="auto" w:sz="6" w:space="0"/>
                    <w:right w:val="single" w:color="auto" w:sz="6" w:space="0"/>
                  </w:tcBorders>
                  <w:vAlign w:val="center"/>
                </w:tcPr>
                <w:p w14:paraId="0364F69B">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70</w:t>
                  </w:r>
                </w:p>
              </w:tc>
              <w:tc>
                <w:tcPr>
                  <w:tcW w:w="646" w:type="pct"/>
                  <w:tcBorders>
                    <w:left w:val="single" w:color="auto" w:sz="6" w:space="0"/>
                    <w:bottom w:val="single" w:color="auto" w:sz="6" w:space="0"/>
                    <w:right w:val="single" w:color="auto" w:sz="6" w:space="0"/>
                  </w:tcBorders>
                  <w:vAlign w:val="center"/>
                </w:tcPr>
                <w:p w14:paraId="53553A66">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80</w:t>
                  </w:r>
                </w:p>
              </w:tc>
              <w:tc>
                <w:tcPr>
                  <w:tcW w:w="646" w:type="pct"/>
                  <w:tcBorders>
                    <w:left w:val="single" w:color="auto" w:sz="6" w:space="0"/>
                    <w:bottom w:val="single" w:color="auto" w:sz="6" w:space="0"/>
                    <w:right w:val="single" w:color="auto" w:sz="6" w:space="0"/>
                  </w:tcBorders>
                  <w:vAlign w:val="center"/>
                </w:tcPr>
                <w:p w14:paraId="07AE4DB3">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90</w:t>
                  </w:r>
                </w:p>
              </w:tc>
              <w:tc>
                <w:tcPr>
                  <w:tcW w:w="630" w:type="pct"/>
                  <w:tcBorders>
                    <w:left w:val="single" w:color="auto" w:sz="6" w:space="0"/>
                    <w:bottom w:val="single" w:color="auto" w:sz="6" w:space="0"/>
                  </w:tcBorders>
                  <w:vAlign w:val="center"/>
                </w:tcPr>
                <w:p w14:paraId="44E77C0E">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100</w:t>
                  </w:r>
                </w:p>
              </w:tc>
            </w:tr>
            <w:tr w14:paraId="775222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jc w:val="center"/>
              </w:trPr>
              <w:tc>
                <w:tcPr>
                  <w:tcW w:w="524" w:type="pct"/>
                  <w:vMerge w:val="restart"/>
                  <w:tcBorders>
                    <w:top w:val="single" w:color="auto" w:sz="6" w:space="0"/>
                    <w:bottom w:val="single" w:color="auto" w:sz="6" w:space="0"/>
                    <w:right w:val="single" w:color="auto" w:sz="6" w:space="0"/>
                  </w:tcBorders>
                  <w:vAlign w:val="center"/>
                </w:tcPr>
                <w:p w14:paraId="2E51DF31">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小型车</w:t>
                  </w:r>
                </w:p>
              </w:tc>
              <w:tc>
                <w:tcPr>
                  <w:tcW w:w="615" w:type="pct"/>
                  <w:tcBorders>
                    <w:top w:val="single" w:color="auto" w:sz="6" w:space="0"/>
                    <w:left w:val="single" w:color="auto" w:sz="6" w:space="0"/>
                    <w:bottom w:val="single" w:color="auto" w:sz="6" w:space="0"/>
                    <w:right w:val="single" w:color="auto" w:sz="6" w:space="0"/>
                  </w:tcBorders>
                  <w:vAlign w:val="center"/>
                </w:tcPr>
                <w:p w14:paraId="15EC17DF">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CO</w:t>
                  </w:r>
                </w:p>
              </w:tc>
              <w:tc>
                <w:tcPr>
                  <w:tcW w:w="646" w:type="pct"/>
                  <w:tcBorders>
                    <w:top w:val="single" w:color="auto" w:sz="6" w:space="0"/>
                    <w:left w:val="single" w:color="auto" w:sz="6" w:space="0"/>
                    <w:bottom w:val="single" w:color="auto" w:sz="6" w:space="0"/>
                    <w:right w:val="single" w:color="auto" w:sz="6" w:space="0"/>
                  </w:tcBorders>
                  <w:vAlign w:val="center"/>
                </w:tcPr>
                <w:p w14:paraId="1D5C7AEA">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31.34</w:t>
                  </w:r>
                </w:p>
              </w:tc>
              <w:tc>
                <w:tcPr>
                  <w:tcW w:w="646" w:type="pct"/>
                  <w:tcBorders>
                    <w:top w:val="single" w:color="auto" w:sz="6" w:space="0"/>
                    <w:left w:val="single" w:color="auto" w:sz="6" w:space="0"/>
                    <w:bottom w:val="single" w:color="auto" w:sz="6" w:space="0"/>
                    <w:right w:val="single" w:color="auto" w:sz="6" w:space="0"/>
                  </w:tcBorders>
                  <w:vAlign w:val="center"/>
                </w:tcPr>
                <w:p w14:paraId="7FE41F9F">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23.68</w:t>
                  </w:r>
                </w:p>
              </w:tc>
              <w:tc>
                <w:tcPr>
                  <w:tcW w:w="646" w:type="pct"/>
                  <w:tcBorders>
                    <w:top w:val="single" w:color="auto" w:sz="6" w:space="0"/>
                    <w:left w:val="single" w:color="auto" w:sz="6" w:space="0"/>
                    <w:bottom w:val="single" w:color="auto" w:sz="6" w:space="0"/>
                    <w:right w:val="single" w:color="auto" w:sz="6" w:space="0"/>
                  </w:tcBorders>
                  <w:vAlign w:val="center"/>
                </w:tcPr>
                <w:p w14:paraId="6D9E14F0">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17.90</w:t>
                  </w:r>
                </w:p>
              </w:tc>
              <w:tc>
                <w:tcPr>
                  <w:tcW w:w="646" w:type="pct"/>
                  <w:tcBorders>
                    <w:top w:val="single" w:color="auto" w:sz="6" w:space="0"/>
                    <w:left w:val="single" w:color="auto" w:sz="6" w:space="0"/>
                    <w:bottom w:val="single" w:color="auto" w:sz="6" w:space="0"/>
                    <w:right w:val="single" w:color="auto" w:sz="6" w:space="0"/>
                  </w:tcBorders>
                  <w:vAlign w:val="center"/>
                </w:tcPr>
                <w:p w14:paraId="649636E4">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14.76</w:t>
                  </w:r>
                </w:p>
              </w:tc>
              <w:tc>
                <w:tcPr>
                  <w:tcW w:w="646" w:type="pct"/>
                  <w:tcBorders>
                    <w:top w:val="single" w:color="auto" w:sz="6" w:space="0"/>
                    <w:left w:val="single" w:color="auto" w:sz="6" w:space="0"/>
                    <w:bottom w:val="single" w:color="auto" w:sz="6" w:space="0"/>
                    <w:right w:val="single" w:color="auto" w:sz="6" w:space="0"/>
                  </w:tcBorders>
                  <w:vAlign w:val="center"/>
                </w:tcPr>
                <w:p w14:paraId="71C4C4D5">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10.24</w:t>
                  </w:r>
                </w:p>
              </w:tc>
              <w:tc>
                <w:tcPr>
                  <w:tcW w:w="630" w:type="pct"/>
                  <w:tcBorders>
                    <w:top w:val="single" w:color="auto" w:sz="6" w:space="0"/>
                    <w:left w:val="single" w:color="auto" w:sz="6" w:space="0"/>
                    <w:bottom w:val="single" w:color="auto" w:sz="6" w:space="0"/>
                  </w:tcBorders>
                  <w:vAlign w:val="center"/>
                </w:tcPr>
                <w:p w14:paraId="24C010D3">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7.72</w:t>
                  </w:r>
                </w:p>
              </w:tc>
            </w:tr>
            <w:tr w14:paraId="5BA108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jc w:val="center"/>
              </w:trPr>
              <w:tc>
                <w:tcPr>
                  <w:tcW w:w="524" w:type="pct"/>
                  <w:vMerge w:val="continue"/>
                  <w:tcBorders>
                    <w:top w:val="single" w:color="auto" w:sz="6" w:space="0"/>
                    <w:bottom w:val="single" w:color="auto" w:sz="6" w:space="0"/>
                    <w:right w:val="single" w:color="auto" w:sz="6" w:space="0"/>
                  </w:tcBorders>
                  <w:vAlign w:val="center"/>
                </w:tcPr>
                <w:p w14:paraId="24FF9D25">
                  <w:pPr>
                    <w:autoSpaceDE/>
                    <w:autoSpaceDN/>
                    <w:jc w:val="center"/>
                    <w:rPr>
                      <w:rFonts w:ascii="Times New Roman" w:hAnsi="Times New Roman" w:cs="Times New Roman"/>
                      <w:bCs/>
                      <w:color w:val="000000"/>
                      <w:kern w:val="2"/>
                      <w:sz w:val="21"/>
                      <w:szCs w:val="21"/>
                      <w:lang w:eastAsia="zh-CN"/>
                    </w:rPr>
                  </w:pPr>
                </w:p>
              </w:tc>
              <w:tc>
                <w:tcPr>
                  <w:tcW w:w="615" w:type="pct"/>
                  <w:tcBorders>
                    <w:top w:val="single" w:color="auto" w:sz="6" w:space="0"/>
                    <w:left w:val="single" w:color="auto" w:sz="6" w:space="0"/>
                    <w:bottom w:val="single" w:color="auto" w:sz="6" w:space="0"/>
                    <w:right w:val="single" w:color="auto" w:sz="6" w:space="0"/>
                  </w:tcBorders>
                  <w:vAlign w:val="center"/>
                </w:tcPr>
                <w:p w14:paraId="7D3C5D7E">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NO</w:t>
                  </w:r>
                  <w:r>
                    <w:rPr>
                      <w:rFonts w:ascii="Times New Roman" w:hAnsi="Times New Roman" w:cs="Times New Roman"/>
                      <w:bCs/>
                      <w:color w:val="000000"/>
                      <w:kern w:val="2"/>
                      <w:sz w:val="21"/>
                      <w:szCs w:val="21"/>
                      <w:vertAlign w:val="subscript"/>
                      <w:lang w:eastAsia="zh-CN"/>
                    </w:rPr>
                    <w:t>x</w:t>
                  </w:r>
                </w:p>
              </w:tc>
              <w:tc>
                <w:tcPr>
                  <w:tcW w:w="646" w:type="pct"/>
                  <w:tcBorders>
                    <w:top w:val="single" w:color="auto" w:sz="6" w:space="0"/>
                    <w:left w:val="single" w:color="auto" w:sz="6" w:space="0"/>
                    <w:bottom w:val="single" w:color="auto" w:sz="6" w:space="0"/>
                    <w:right w:val="single" w:color="auto" w:sz="6" w:space="0"/>
                  </w:tcBorders>
                  <w:vAlign w:val="center"/>
                </w:tcPr>
                <w:p w14:paraId="0FDBAECD">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1.77</w:t>
                  </w:r>
                </w:p>
              </w:tc>
              <w:tc>
                <w:tcPr>
                  <w:tcW w:w="646" w:type="pct"/>
                  <w:tcBorders>
                    <w:top w:val="single" w:color="auto" w:sz="6" w:space="0"/>
                    <w:left w:val="single" w:color="auto" w:sz="6" w:space="0"/>
                    <w:bottom w:val="single" w:color="auto" w:sz="6" w:space="0"/>
                    <w:right w:val="single" w:color="auto" w:sz="6" w:space="0"/>
                  </w:tcBorders>
                  <w:vAlign w:val="center"/>
                </w:tcPr>
                <w:p w14:paraId="79CDA40B">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2.37</w:t>
                  </w:r>
                </w:p>
              </w:tc>
              <w:tc>
                <w:tcPr>
                  <w:tcW w:w="646" w:type="pct"/>
                  <w:tcBorders>
                    <w:top w:val="single" w:color="auto" w:sz="6" w:space="0"/>
                    <w:left w:val="single" w:color="auto" w:sz="6" w:space="0"/>
                    <w:bottom w:val="single" w:color="auto" w:sz="6" w:space="0"/>
                    <w:right w:val="single" w:color="auto" w:sz="6" w:space="0"/>
                  </w:tcBorders>
                  <w:vAlign w:val="center"/>
                </w:tcPr>
                <w:p w14:paraId="611B3554">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2.96</w:t>
                  </w:r>
                </w:p>
              </w:tc>
              <w:tc>
                <w:tcPr>
                  <w:tcW w:w="646" w:type="pct"/>
                  <w:tcBorders>
                    <w:top w:val="single" w:color="auto" w:sz="6" w:space="0"/>
                    <w:left w:val="single" w:color="auto" w:sz="6" w:space="0"/>
                    <w:bottom w:val="single" w:color="auto" w:sz="6" w:space="0"/>
                    <w:right w:val="single" w:color="auto" w:sz="6" w:space="0"/>
                  </w:tcBorders>
                  <w:vAlign w:val="center"/>
                </w:tcPr>
                <w:p w14:paraId="6BD9B0C1">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3.71</w:t>
                  </w:r>
                </w:p>
              </w:tc>
              <w:tc>
                <w:tcPr>
                  <w:tcW w:w="646" w:type="pct"/>
                  <w:tcBorders>
                    <w:top w:val="single" w:color="auto" w:sz="6" w:space="0"/>
                    <w:left w:val="single" w:color="auto" w:sz="6" w:space="0"/>
                    <w:bottom w:val="single" w:color="auto" w:sz="6" w:space="0"/>
                    <w:right w:val="single" w:color="auto" w:sz="6" w:space="0"/>
                  </w:tcBorders>
                  <w:vAlign w:val="center"/>
                </w:tcPr>
                <w:p w14:paraId="195EC2C5">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3.85</w:t>
                  </w:r>
                </w:p>
              </w:tc>
              <w:tc>
                <w:tcPr>
                  <w:tcW w:w="630" w:type="pct"/>
                  <w:tcBorders>
                    <w:top w:val="single" w:color="auto" w:sz="6" w:space="0"/>
                    <w:left w:val="single" w:color="auto" w:sz="6" w:space="0"/>
                    <w:bottom w:val="single" w:color="auto" w:sz="6" w:space="0"/>
                  </w:tcBorders>
                  <w:vAlign w:val="center"/>
                </w:tcPr>
                <w:p w14:paraId="6362AD59">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3.99</w:t>
                  </w:r>
                </w:p>
              </w:tc>
            </w:tr>
            <w:tr w14:paraId="2762D9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jc w:val="center"/>
              </w:trPr>
              <w:tc>
                <w:tcPr>
                  <w:tcW w:w="524" w:type="pct"/>
                  <w:vMerge w:val="restart"/>
                  <w:tcBorders>
                    <w:top w:val="single" w:color="auto" w:sz="6" w:space="0"/>
                    <w:bottom w:val="single" w:color="auto" w:sz="6" w:space="0"/>
                    <w:right w:val="single" w:color="auto" w:sz="6" w:space="0"/>
                  </w:tcBorders>
                  <w:vAlign w:val="center"/>
                </w:tcPr>
                <w:p w14:paraId="4BCFCFD2">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中型车</w:t>
                  </w:r>
                </w:p>
              </w:tc>
              <w:tc>
                <w:tcPr>
                  <w:tcW w:w="615" w:type="pct"/>
                  <w:tcBorders>
                    <w:top w:val="single" w:color="auto" w:sz="6" w:space="0"/>
                    <w:left w:val="single" w:color="auto" w:sz="6" w:space="0"/>
                    <w:bottom w:val="single" w:color="auto" w:sz="6" w:space="0"/>
                    <w:right w:val="single" w:color="auto" w:sz="6" w:space="0"/>
                  </w:tcBorders>
                  <w:vAlign w:val="center"/>
                </w:tcPr>
                <w:p w14:paraId="7E648367">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CO</w:t>
                  </w:r>
                </w:p>
              </w:tc>
              <w:tc>
                <w:tcPr>
                  <w:tcW w:w="646" w:type="pct"/>
                  <w:tcBorders>
                    <w:top w:val="single" w:color="auto" w:sz="6" w:space="0"/>
                    <w:left w:val="single" w:color="auto" w:sz="6" w:space="0"/>
                    <w:bottom w:val="single" w:color="auto" w:sz="6" w:space="0"/>
                    <w:right w:val="single" w:color="auto" w:sz="6" w:space="0"/>
                  </w:tcBorders>
                  <w:vAlign w:val="center"/>
                </w:tcPr>
                <w:p w14:paraId="7111F7A2">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30.18</w:t>
                  </w:r>
                </w:p>
              </w:tc>
              <w:tc>
                <w:tcPr>
                  <w:tcW w:w="646" w:type="pct"/>
                  <w:tcBorders>
                    <w:top w:val="single" w:color="auto" w:sz="6" w:space="0"/>
                    <w:left w:val="single" w:color="auto" w:sz="6" w:space="0"/>
                    <w:bottom w:val="single" w:color="auto" w:sz="6" w:space="0"/>
                    <w:right w:val="single" w:color="auto" w:sz="6" w:space="0"/>
                  </w:tcBorders>
                  <w:vAlign w:val="center"/>
                </w:tcPr>
                <w:p w14:paraId="5955ED5F">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26.19</w:t>
                  </w:r>
                </w:p>
              </w:tc>
              <w:tc>
                <w:tcPr>
                  <w:tcW w:w="646" w:type="pct"/>
                  <w:tcBorders>
                    <w:top w:val="single" w:color="auto" w:sz="6" w:space="0"/>
                    <w:left w:val="single" w:color="auto" w:sz="6" w:space="0"/>
                    <w:bottom w:val="single" w:color="auto" w:sz="6" w:space="0"/>
                    <w:right w:val="single" w:color="auto" w:sz="6" w:space="0"/>
                  </w:tcBorders>
                  <w:vAlign w:val="center"/>
                </w:tcPr>
                <w:p w14:paraId="50804887">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24.76</w:t>
                  </w:r>
                </w:p>
              </w:tc>
              <w:tc>
                <w:tcPr>
                  <w:tcW w:w="646" w:type="pct"/>
                  <w:tcBorders>
                    <w:top w:val="single" w:color="auto" w:sz="6" w:space="0"/>
                    <w:left w:val="single" w:color="auto" w:sz="6" w:space="0"/>
                    <w:bottom w:val="single" w:color="auto" w:sz="6" w:space="0"/>
                    <w:right w:val="single" w:color="auto" w:sz="6" w:space="0"/>
                  </w:tcBorders>
                  <w:vAlign w:val="center"/>
                </w:tcPr>
                <w:p w14:paraId="646B35E9">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25.47</w:t>
                  </w:r>
                </w:p>
              </w:tc>
              <w:tc>
                <w:tcPr>
                  <w:tcW w:w="646" w:type="pct"/>
                  <w:tcBorders>
                    <w:top w:val="single" w:color="auto" w:sz="6" w:space="0"/>
                    <w:left w:val="single" w:color="auto" w:sz="6" w:space="0"/>
                    <w:bottom w:val="single" w:color="auto" w:sz="6" w:space="0"/>
                    <w:right w:val="single" w:color="auto" w:sz="6" w:space="0"/>
                  </w:tcBorders>
                  <w:vAlign w:val="center"/>
                </w:tcPr>
                <w:p w14:paraId="000027CE">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28.55</w:t>
                  </w:r>
                </w:p>
              </w:tc>
              <w:tc>
                <w:tcPr>
                  <w:tcW w:w="630" w:type="pct"/>
                  <w:tcBorders>
                    <w:top w:val="single" w:color="auto" w:sz="6" w:space="0"/>
                    <w:left w:val="single" w:color="auto" w:sz="6" w:space="0"/>
                    <w:bottom w:val="single" w:color="auto" w:sz="6" w:space="0"/>
                  </w:tcBorders>
                  <w:vAlign w:val="center"/>
                </w:tcPr>
                <w:p w14:paraId="2103BC7D">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34.78</w:t>
                  </w:r>
                </w:p>
              </w:tc>
            </w:tr>
            <w:tr w14:paraId="68FD30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jc w:val="center"/>
              </w:trPr>
              <w:tc>
                <w:tcPr>
                  <w:tcW w:w="524" w:type="pct"/>
                  <w:vMerge w:val="continue"/>
                  <w:tcBorders>
                    <w:top w:val="single" w:color="auto" w:sz="6" w:space="0"/>
                    <w:bottom w:val="single" w:color="auto" w:sz="6" w:space="0"/>
                    <w:right w:val="single" w:color="auto" w:sz="6" w:space="0"/>
                  </w:tcBorders>
                  <w:vAlign w:val="center"/>
                </w:tcPr>
                <w:p w14:paraId="1631C1AE">
                  <w:pPr>
                    <w:autoSpaceDE/>
                    <w:autoSpaceDN/>
                    <w:jc w:val="center"/>
                    <w:rPr>
                      <w:rFonts w:ascii="Times New Roman" w:hAnsi="Times New Roman" w:cs="Times New Roman"/>
                      <w:bCs/>
                      <w:color w:val="000000"/>
                      <w:kern w:val="2"/>
                      <w:sz w:val="21"/>
                      <w:szCs w:val="21"/>
                      <w:lang w:eastAsia="zh-CN"/>
                    </w:rPr>
                  </w:pPr>
                </w:p>
              </w:tc>
              <w:tc>
                <w:tcPr>
                  <w:tcW w:w="615" w:type="pct"/>
                  <w:tcBorders>
                    <w:top w:val="single" w:color="auto" w:sz="6" w:space="0"/>
                    <w:left w:val="single" w:color="auto" w:sz="6" w:space="0"/>
                    <w:bottom w:val="single" w:color="auto" w:sz="6" w:space="0"/>
                    <w:right w:val="single" w:color="auto" w:sz="6" w:space="0"/>
                  </w:tcBorders>
                  <w:vAlign w:val="center"/>
                </w:tcPr>
                <w:p w14:paraId="0DDFE424">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NO</w:t>
                  </w:r>
                  <w:r>
                    <w:rPr>
                      <w:rFonts w:ascii="Times New Roman" w:hAnsi="Times New Roman" w:cs="Times New Roman"/>
                      <w:bCs/>
                      <w:color w:val="000000"/>
                      <w:kern w:val="2"/>
                      <w:sz w:val="21"/>
                      <w:szCs w:val="21"/>
                      <w:vertAlign w:val="subscript"/>
                      <w:lang w:eastAsia="zh-CN"/>
                    </w:rPr>
                    <w:t>x</w:t>
                  </w:r>
                </w:p>
              </w:tc>
              <w:tc>
                <w:tcPr>
                  <w:tcW w:w="646" w:type="pct"/>
                  <w:tcBorders>
                    <w:top w:val="single" w:color="auto" w:sz="6" w:space="0"/>
                    <w:left w:val="single" w:color="auto" w:sz="6" w:space="0"/>
                    <w:bottom w:val="single" w:color="auto" w:sz="6" w:space="0"/>
                    <w:right w:val="single" w:color="auto" w:sz="6" w:space="0"/>
                  </w:tcBorders>
                  <w:vAlign w:val="center"/>
                </w:tcPr>
                <w:p w14:paraId="613FE7D5">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5.40</w:t>
                  </w:r>
                </w:p>
              </w:tc>
              <w:tc>
                <w:tcPr>
                  <w:tcW w:w="646" w:type="pct"/>
                  <w:tcBorders>
                    <w:top w:val="single" w:color="auto" w:sz="6" w:space="0"/>
                    <w:left w:val="single" w:color="auto" w:sz="6" w:space="0"/>
                    <w:bottom w:val="single" w:color="auto" w:sz="6" w:space="0"/>
                    <w:right w:val="single" w:color="auto" w:sz="6" w:space="0"/>
                  </w:tcBorders>
                  <w:vAlign w:val="center"/>
                </w:tcPr>
                <w:p w14:paraId="6BADBD67">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6.30</w:t>
                  </w:r>
                </w:p>
              </w:tc>
              <w:tc>
                <w:tcPr>
                  <w:tcW w:w="646" w:type="pct"/>
                  <w:tcBorders>
                    <w:top w:val="single" w:color="auto" w:sz="6" w:space="0"/>
                    <w:left w:val="single" w:color="auto" w:sz="6" w:space="0"/>
                    <w:bottom w:val="single" w:color="auto" w:sz="6" w:space="0"/>
                    <w:right w:val="single" w:color="auto" w:sz="6" w:space="0"/>
                  </w:tcBorders>
                  <w:vAlign w:val="center"/>
                </w:tcPr>
                <w:p w14:paraId="03480F42">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7.20</w:t>
                  </w:r>
                </w:p>
              </w:tc>
              <w:tc>
                <w:tcPr>
                  <w:tcW w:w="646" w:type="pct"/>
                  <w:tcBorders>
                    <w:top w:val="single" w:color="auto" w:sz="6" w:space="0"/>
                    <w:left w:val="single" w:color="auto" w:sz="6" w:space="0"/>
                    <w:bottom w:val="single" w:color="auto" w:sz="6" w:space="0"/>
                    <w:right w:val="single" w:color="auto" w:sz="6" w:space="0"/>
                  </w:tcBorders>
                  <w:vAlign w:val="center"/>
                </w:tcPr>
                <w:p w14:paraId="7E7E0DBF">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8.30</w:t>
                  </w:r>
                </w:p>
              </w:tc>
              <w:tc>
                <w:tcPr>
                  <w:tcW w:w="646" w:type="pct"/>
                  <w:tcBorders>
                    <w:top w:val="single" w:color="auto" w:sz="6" w:space="0"/>
                    <w:left w:val="single" w:color="auto" w:sz="6" w:space="0"/>
                    <w:bottom w:val="single" w:color="auto" w:sz="6" w:space="0"/>
                    <w:right w:val="single" w:color="auto" w:sz="6" w:space="0"/>
                  </w:tcBorders>
                  <w:vAlign w:val="center"/>
                </w:tcPr>
                <w:p w14:paraId="44E25020">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8.80</w:t>
                  </w:r>
                </w:p>
              </w:tc>
              <w:tc>
                <w:tcPr>
                  <w:tcW w:w="630" w:type="pct"/>
                  <w:tcBorders>
                    <w:top w:val="single" w:color="auto" w:sz="6" w:space="0"/>
                    <w:left w:val="single" w:color="auto" w:sz="6" w:space="0"/>
                    <w:bottom w:val="single" w:color="auto" w:sz="6" w:space="0"/>
                  </w:tcBorders>
                  <w:vAlign w:val="center"/>
                </w:tcPr>
                <w:p w14:paraId="3928B038">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9.30</w:t>
                  </w:r>
                </w:p>
              </w:tc>
            </w:tr>
            <w:tr w14:paraId="5C86C1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jc w:val="center"/>
              </w:trPr>
              <w:tc>
                <w:tcPr>
                  <w:tcW w:w="524" w:type="pct"/>
                  <w:vMerge w:val="restart"/>
                  <w:tcBorders>
                    <w:top w:val="single" w:color="auto" w:sz="6" w:space="0"/>
                    <w:bottom w:val="single" w:color="auto" w:sz="6" w:space="0"/>
                    <w:right w:val="single" w:color="auto" w:sz="6" w:space="0"/>
                  </w:tcBorders>
                  <w:vAlign w:val="center"/>
                </w:tcPr>
                <w:p w14:paraId="544BEDF6">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大型车</w:t>
                  </w:r>
                </w:p>
              </w:tc>
              <w:tc>
                <w:tcPr>
                  <w:tcW w:w="615" w:type="pct"/>
                  <w:tcBorders>
                    <w:top w:val="single" w:color="auto" w:sz="6" w:space="0"/>
                    <w:left w:val="single" w:color="auto" w:sz="6" w:space="0"/>
                    <w:bottom w:val="single" w:color="auto" w:sz="6" w:space="0"/>
                    <w:right w:val="single" w:color="auto" w:sz="6" w:space="0"/>
                  </w:tcBorders>
                  <w:vAlign w:val="center"/>
                </w:tcPr>
                <w:p w14:paraId="7FF4D0BA">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CO</w:t>
                  </w:r>
                </w:p>
              </w:tc>
              <w:tc>
                <w:tcPr>
                  <w:tcW w:w="646" w:type="pct"/>
                  <w:tcBorders>
                    <w:top w:val="single" w:color="auto" w:sz="6" w:space="0"/>
                    <w:left w:val="single" w:color="auto" w:sz="6" w:space="0"/>
                    <w:bottom w:val="single" w:color="auto" w:sz="6" w:space="0"/>
                    <w:right w:val="single" w:color="auto" w:sz="6" w:space="0"/>
                  </w:tcBorders>
                  <w:vAlign w:val="center"/>
                </w:tcPr>
                <w:p w14:paraId="6DF87205">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5.25</w:t>
                  </w:r>
                </w:p>
              </w:tc>
              <w:tc>
                <w:tcPr>
                  <w:tcW w:w="646" w:type="pct"/>
                  <w:tcBorders>
                    <w:top w:val="single" w:color="auto" w:sz="6" w:space="0"/>
                    <w:left w:val="single" w:color="auto" w:sz="6" w:space="0"/>
                    <w:bottom w:val="single" w:color="auto" w:sz="6" w:space="0"/>
                    <w:right w:val="single" w:color="auto" w:sz="6" w:space="0"/>
                  </w:tcBorders>
                  <w:vAlign w:val="center"/>
                </w:tcPr>
                <w:p w14:paraId="6F3B0CCB">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4.48</w:t>
                  </w:r>
                </w:p>
              </w:tc>
              <w:tc>
                <w:tcPr>
                  <w:tcW w:w="646" w:type="pct"/>
                  <w:tcBorders>
                    <w:top w:val="single" w:color="auto" w:sz="6" w:space="0"/>
                    <w:left w:val="single" w:color="auto" w:sz="6" w:space="0"/>
                    <w:bottom w:val="single" w:color="auto" w:sz="6" w:space="0"/>
                    <w:right w:val="single" w:color="auto" w:sz="6" w:space="0"/>
                  </w:tcBorders>
                  <w:vAlign w:val="center"/>
                </w:tcPr>
                <w:p w14:paraId="4766C600">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4.10</w:t>
                  </w:r>
                </w:p>
              </w:tc>
              <w:tc>
                <w:tcPr>
                  <w:tcW w:w="646" w:type="pct"/>
                  <w:tcBorders>
                    <w:top w:val="single" w:color="auto" w:sz="6" w:space="0"/>
                    <w:left w:val="single" w:color="auto" w:sz="6" w:space="0"/>
                    <w:bottom w:val="single" w:color="auto" w:sz="6" w:space="0"/>
                    <w:right w:val="single" w:color="auto" w:sz="6" w:space="0"/>
                  </w:tcBorders>
                  <w:vAlign w:val="center"/>
                </w:tcPr>
                <w:p w14:paraId="4CC6CA63">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4.01</w:t>
                  </w:r>
                </w:p>
              </w:tc>
              <w:tc>
                <w:tcPr>
                  <w:tcW w:w="646" w:type="pct"/>
                  <w:tcBorders>
                    <w:top w:val="single" w:color="auto" w:sz="6" w:space="0"/>
                    <w:left w:val="single" w:color="auto" w:sz="6" w:space="0"/>
                    <w:bottom w:val="single" w:color="auto" w:sz="6" w:space="0"/>
                    <w:right w:val="single" w:color="auto" w:sz="6" w:space="0"/>
                  </w:tcBorders>
                  <w:vAlign w:val="center"/>
                </w:tcPr>
                <w:p w14:paraId="014F1062">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4.23</w:t>
                  </w:r>
                </w:p>
              </w:tc>
              <w:tc>
                <w:tcPr>
                  <w:tcW w:w="630" w:type="pct"/>
                  <w:tcBorders>
                    <w:top w:val="single" w:color="auto" w:sz="6" w:space="0"/>
                    <w:left w:val="single" w:color="auto" w:sz="6" w:space="0"/>
                    <w:bottom w:val="single" w:color="auto" w:sz="6" w:space="0"/>
                  </w:tcBorders>
                  <w:vAlign w:val="center"/>
                </w:tcPr>
                <w:p w14:paraId="51343FF7">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4.77</w:t>
                  </w:r>
                </w:p>
              </w:tc>
            </w:tr>
            <w:tr w14:paraId="3D6D5E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jc w:val="center"/>
              </w:trPr>
              <w:tc>
                <w:tcPr>
                  <w:tcW w:w="524" w:type="pct"/>
                  <w:vMerge w:val="continue"/>
                  <w:tcBorders>
                    <w:top w:val="single" w:color="auto" w:sz="6" w:space="0"/>
                    <w:right w:val="single" w:color="auto" w:sz="6" w:space="0"/>
                  </w:tcBorders>
                  <w:vAlign w:val="center"/>
                </w:tcPr>
                <w:p w14:paraId="38C19C3C">
                  <w:pPr>
                    <w:autoSpaceDE/>
                    <w:autoSpaceDN/>
                    <w:jc w:val="center"/>
                    <w:rPr>
                      <w:rFonts w:ascii="Times New Roman" w:hAnsi="Times New Roman" w:cs="Times New Roman"/>
                      <w:bCs/>
                      <w:color w:val="000000"/>
                      <w:kern w:val="2"/>
                      <w:sz w:val="21"/>
                      <w:szCs w:val="21"/>
                      <w:lang w:eastAsia="zh-CN"/>
                    </w:rPr>
                  </w:pPr>
                </w:p>
              </w:tc>
              <w:tc>
                <w:tcPr>
                  <w:tcW w:w="615" w:type="pct"/>
                  <w:tcBorders>
                    <w:top w:val="single" w:color="auto" w:sz="6" w:space="0"/>
                    <w:left w:val="single" w:color="auto" w:sz="6" w:space="0"/>
                    <w:right w:val="single" w:color="auto" w:sz="6" w:space="0"/>
                  </w:tcBorders>
                  <w:vAlign w:val="center"/>
                </w:tcPr>
                <w:p w14:paraId="76938A14">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NO</w:t>
                  </w:r>
                  <w:r>
                    <w:rPr>
                      <w:rFonts w:ascii="Times New Roman" w:hAnsi="Times New Roman" w:cs="Times New Roman"/>
                      <w:bCs/>
                      <w:color w:val="000000"/>
                      <w:kern w:val="2"/>
                      <w:sz w:val="21"/>
                      <w:szCs w:val="21"/>
                      <w:vertAlign w:val="subscript"/>
                      <w:lang w:eastAsia="zh-CN"/>
                    </w:rPr>
                    <w:t>x</w:t>
                  </w:r>
                </w:p>
              </w:tc>
              <w:tc>
                <w:tcPr>
                  <w:tcW w:w="646" w:type="pct"/>
                  <w:tcBorders>
                    <w:top w:val="single" w:color="auto" w:sz="6" w:space="0"/>
                    <w:left w:val="single" w:color="auto" w:sz="6" w:space="0"/>
                    <w:right w:val="single" w:color="auto" w:sz="6" w:space="0"/>
                  </w:tcBorders>
                  <w:vAlign w:val="center"/>
                </w:tcPr>
                <w:p w14:paraId="15250AC5">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10.44</w:t>
                  </w:r>
                </w:p>
              </w:tc>
              <w:tc>
                <w:tcPr>
                  <w:tcW w:w="646" w:type="pct"/>
                  <w:tcBorders>
                    <w:top w:val="single" w:color="auto" w:sz="6" w:space="0"/>
                    <w:left w:val="single" w:color="auto" w:sz="6" w:space="0"/>
                    <w:right w:val="single" w:color="auto" w:sz="6" w:space="0"/>
                  </w:tcBorders>
                  <w:vAlign w:val="center"/>
                </w:tcPr>
                <w:p w14:paraId="491AD173">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10.48</w:t>
                  </w:r>
                </w:p>
              </w:tc>
              <w:tc>
                <w:tcPr>
                  <w:tcW w:w="646" w:type="pct"/>
                  <w:tcBorders>
                    <w:top w:val="single" w:color="auto" w:sz="6" w:space="0"/>
                    <w:left w:val="single" w:color="auto" w:sz="6" w:space="0"/>
                    <w:right w:val="single" w:color="auto" w:sz="6" w:space="0"/>
                  </w:tcBorders>
                  <w:vAlign w:val="center"/>
                </w:tcPr>
                <w:p w14:paraId="24E21739">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11.10</w:t>
                  </w:r>
                </w:p>
              </w:tc>
              <w:tc>
                <w:tcPr>
                  <w:tcW w:w="646" w:type="pct"/>
                  <w:tcBorders>
                    <w:top w:val="single" w:color="auto" w:sz="6" w:space="0"/>
                    <w:left w:val="single" w:color="auto" w:sz="6" w:space="0"/>
                    <w:right w:val="single" w:color="auto" w:sz="6" w:space="0"/>
                  </w:tcBorders>
                  <w:vAlign w:val="center"/>
                </w:tcPr>
                <w:p w14:paraId="10A1B582">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14.71</w:t>
                  </w:r>
                </w:p>
              </w:tc>
              <w:tc>
                <w:tcPr>
                  <w:tcW w:w="646" w:type="pct"/>
                  <w:tcBorders>
                    <w:top w:val="single" w:color="auto" w:sz="6" w:space="0"/>
                    <w:left w:val="single" w:color="auto" w:sz="6" w:space="0"/>
                    <w:right w:val="single" w:color="auto" w:sz="6" w:space="0"/>
                  </w:tcBorders>
                  <w:vAlign w:val="center"/>
                </w:tcPr>
                <w:p w14:paraId="26BD00DD">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15.64</w:t>
                  </w:r>
                </w:p>
              </w:tc>
              <w:tc>
                <w:tcPr>
                  <w:tcW w:w="630" w:type="pct"/>
                  <w:tcBorders>
                    <w:top w:val="single" w:color="auto" w:sz="6" w:space="0"/>
                    <w:left w:val="single" w:color="auto" w:sz="6" w:space="0"/>
                  </w:tcBorders>
                  <w:vAlign w:val="center"/>
                </w:tcPr>
                <w:p w14:paraId="3BD6E073">
                  <w:pPr>
                    <w:autoSpaceDE/>
                    <w:autoSpaceDN/>
                    <w:jc w:val="center"/>
                    <w:rPr>
                      <w:rFonts w:ascii="Times New Roman" w:hAnsi="Times New Roman" w:cs="Times New Roman"/>
                      <w:bCs/>
                      <w:color w:val="000000"/>
                      <w:kern w:val="2"/>
                      <w:sz w:val="21"/>
                      <w:szCs w:val="21"/>
                      <w:lang w:eastAsia="zh-CN"/>
                    </w:rPr>
                  </w:pPr>
                  <w:r>
                    <w:rPr>
                      <w:rFonts w:ascii="Times New Roman" w:hAnsi="Times New Roman" w:cs="Times New Roman"/>
                      <w:bCs/>
                      <w:color w:val="000000"/>
                      <w:kern w:val="2"/>
                      <w:sz w:val="21"/>
                      <w:szCs w:val="21"/>
                      <w:lang w:eastAsia="zh-CN"/>
                    </w:rPr>
                    <w:t>18.38</w:t>
                  </w:r>
                </w:p>
              </w:tc>
            </w:tr>
          </w:tbl>
          <w:p w14:paraId="27C2488D">
            <w:pPr>
              <w:pStyle w:val="18"/>
              <w:jc w:val="center"/>
              <w:rPr>
                <w:rFonts w:ascii="Times New Roman" w:hAnsi="Times New Roman" w:cs="Times New Roman"/>
                <w:sz w:val="21"/>
                <w:szCs w:val="21"/>
                <w:lang w:eastAsia="zh-CN"/>
              </w:rPr>
            </w:pPr>
          </w:p>
          <w:p w14:paraId="63661426">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项目道路所有路段运营期交通量预测见表4</w:t>
            </w:r>
            <w:r>
              <w:rPr>
                <w:rFonts w:ascii="Times New Roman" w:hAnsi="Times New Roman" w:cs="Times New Roman"/>
                <w:sz w:val="24"/>
                <w:szCs w:val="24"/>
                <w:lang w:eastAsia="zh-CN"/>
              </w:rPr>
              <w:t>.4</w:t>
            </w:r>
            <w:r>
              <w:rPr>
                <w:rFonts w:hint="eastAsia" w:ascii="Times New Roman" w:hAnsi="Times New Roman" w:cs="Times New Roman"/>
                <w:sz w:val="24"/>
                <w:szCs w:val="24"/>
                <w:lang w:eastAsia="zh-CN"/>
              </w:rPr>
              <w:t>（详细计算过程见本项目声环境专项评价），计算出燃油废气污染物源强及排放量见表</w:t>
            </w:r>
            <w:r>
              <w:rPr>
                <w:rFonts w:ascii="Times New Roman" w:hAnsi="Times New Roman" w:cs="Times New Roman"/>
                <w:sz w:val="24"/>
                <w:szCs w:val="24"/>
                <w:lang w:eastAsia="zh-CN"/>
              </w:rPr>
              <w:t>4.5</w:t>
            </w:r>
            <w:r>
              <w:rPr>
                <w:rFonts w:hint="eastAsia" w:ascii="Times New Roman" w:hAnsi="Times New Roman" w:cs="Times New Roman"/>
                <w:sz w:val="24"/>
                <w:szCs w:val="24"/>
                <w:lang w:eastAsia="zh-CN"/>
              </w:rPr>
              <w:t>。</w:t>
            </w:r>
          </w:p>
          <w:p w14:paraId="5E1FE838">
            <w:pPr>
              <w:autoSpaceDE/>
              <w:autoSpaceDN/>
              <w:jc w:val="center"/>
              <w:rPr>
                <w:rFonts w:ascii="Times New Roman" w:hAnsi="Times New Roman" w:cs="Times New Roman"/>
                <w:b/>
                <w:color w:val="000000"/>
                <w:kern w:val="2"/>
                <w:sz w:val="21"/>
                <w:szCs w:val="21"/>
                <w:lang w:eastAsia="zh-CN"/>
              </w:rPr>
            </w:pPr>
            <w:r>
              <w:rPr>
                <w:rFonts w:ascii="Times New Roman" w:hAnsi="Times New Roman" w:cs="Times New Roman"/>
                <w:b/>
                <w:color w:val="000000"/>
                <w:kern w:val="2"/>
                <w:sz w:val="21"/>
                <w:szCs w:val="21"/>
                <w:lang w:eastAsia="zh-CN"/>
              </w:rPr>
              <w:t>表4.4  项目道路所有路段运营期交通量预测一览表    pcu/h</w:t>
            </w:r>
          </w:p>
          <w:tbl>
            <w:tblPr>
              <w:tblStyle w:val="12"/>
              <w:tblW w:w="48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821"/>
              <w:gridCol w:w="1817"/>
              <w:gridCol w:w="1817"/>
              <w:gridCol w:w="1816"/>
            </w:tblGrid>
            <w:tr w14:paraId="44F3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Align w:val="center"/>
                </w:tcPr>
                <w:p w14:paraId="091C9433">
                  <w:pPr>
                    <w:jc w:val="center"/>
                    <w:rPr>
                      <w:rFonts w:ascii="Times New Roman" w:hAnsi="Times New Roman" w:cs="Times New Roman"/>
                      <w:b/>
                      <w:bCs/>
                      <w:spacing w:val="4"/>
                      <w:sz w:val="21"/>
                      <w:szCs w:val="21"/>
                      <w:lang w:eastAsia="zh-CN"/>
                    </w:rPr>
                  </w:pPr>
                  <w:r>
                    <w:rPr>
                      <w:rFonts w:ascii="Times New Roman" w:hAnsi="Times New Roman" w:cs="Times New Roman"/>
                      <w:b/>
                      <w:bCs/>
                      <w:spacing w:val="4"/>
                      <w:sz w:val="21"/>
                      <w:szCs w:val="21"/>
                      <w:lang w:eastAsia="zh-CN"/>
                    </w:rPr>
                    <w:t>特征年</w:t>
                  </w:r>
                </w:p>
              </w:tc>
              <w:tc>
                <w:tcPr>
                  <w:tcW w:w="1054" w:type="pct"/>
                </w:tcPr>
                <w:p w14:paraId="286E1290">
                  <w:pPr>
                    <w:jc w:val="center"/>
                    <w:rPr>
                      <w:rFonts w:ascii="Times New Roman" w:hAnsi="Times New Roman" w:cs="Times New Roman"/>
                      <w:b/>
                      <w:bCs/>
                      <w:spacing w:val="4"/>
                      <w:sz w:val="21"/>
                      <w:szCs w:val="21"/>
                      <w:lang w:eastAsia="zh-CN"/>
                    </w:rPr>
                  </w:pPr>
                  <w:r>
                    <w:rPr>
                      <w:rFonts w:hint="eastAsia" w:ascii="Times New Roman" w:hAnsi="Times New Roman" w:cs="Times New Roman"/>
                      <w:b/>
                      <w:bCs/>
                      <w:spacing w:val="4"/>
                      <w:sz w:val="21"/>
                      <w:szCs w:val="21"/>
                      <w:lang w:eastAsia="zh-CN"/>
                    </w:rPr>
                    <w:t>时间段</w:t>
                  </w:r>
                </w:p>
              </w:tc>
              <w:tc>
                <w:tcPr>
                  <w:tcW w:w="1052" w:type="pct"/>
                </w:tcPr>
                <w:p w14:paraId="21CAF455">
                  <w:pPr>
                    <w:jc w:val="center"/>
                    <w:rPr>
                      <w:rFonts w:ascii="Times New Roman" w:hAnsi="Times New Roman" w:cs="Times New Roman"/>
                      <w:b/>
                      <w:bCs/>
                      <w:spacing w:val="4"/>
                      <w:sz w:val="21"/>
                      <w:szCs w:val="21"/>
                      <w:lang w:eastAsia="zh-CN"/>
                    </w:rPr>
                  </w:pPr>
                  <w:r>
                    <w:rPr>
                      <w:rFonts w:ascii="Times New Roman" w:hAnsi="Times New Roman" w:cs="Times New Roman"/>
                      <w:b/>
                      <w:bCs/>
                      <w:spacing w:val="4"/>
                      <w:sz w:val="21"/>
                      <w:szCs w:val="21"/>
                      <w:lang w:eastAsia="zh-CN"/>
                    </w:rPr>
                    <w:t>小型车</w:t>
                  </w:r>
                </w:p>
              </w:tc>
              <w:tc>
                <w:tcPr>
                  <w:tcW w:w="1052" w:type="pct"/>
                </w:tcPr>
                <w:p w14:paraId="020C2871">
                  <w:pPr>
                    <w:jc w:val="center"/>
                    <w:rPr>
                      <w:rFonts w:ascii="Times New Roman" w:hAnsi="Times New Roman" w:cs="Times New Roman"/>
                      <w:b/>
                      <w:bCs/>
                      <w:spacing w:val="4"/>
                      <w:sz w:val="21"/>
                      <w:szCs w:val="21"/>
                      <w:lang w:eastAsia="zh-CN"/>
                    </w:rPr>
                  </w:pPr>
                  <w:r>
                    <w:rPr>
                      <w:rFonts w:ascii="Times New Roman" w:hAnsi="Times New Roman" w:cs="Times New Roman"/>
                      <w:b/>
                      <w:bCs/>
                      <w:spacing w:val="4"/>
                      <w:sz w:val="21"/>
                      <w:szCs w:val="21"/>
                      <w:lang w:eastAsia="zh-CN"/>
                    </w:rPr>
                    <w:t>中型车</w:t>
                  </w:r>
                </w:p>
              </w:tc>
              <w:tc>
                <w:tcPr>
                  <w:tcW w:w="1051" w:type="pct"/>
                </w:tcPr>
                <w:p w14:paraId="27781613">
                  <w:pPr>
                    <w:jc w:val="center"/>
                    <w:rPr>
                      <w:rFonts w:ascii="Times New Roman" w:hAnsi="Times New Roman" w:cs="Times New Roman"/>
                      <w:b/>
                      <w:bCs/>
                      <w:spacing w:val="4"/>
                      <w:sz w:val="21"/>
                      <w:szCs w:val="21"/>
                      <w:lang w:eastAsia="zh-CN"/>
                    </w:rPr>
                  </w:pPr>
                  <w:r>
                    <w:rPr>
                      <w:rFonts w:ascii="Times New Roman" w:hAnsi="Times New Roman" w:cs="Times New Roman"/>
                      <w:b/>
                      <w:bCs/>
                      <w:spacing w:val="4"/>
                      <w:sz w:val="21"/>
                      <w:szCs w:val="21"/>
                      <w:lang w:eastAsia="zh-CN"/>
                    </w:rPr>
                    <w:t>大型车</w:t>
                  </w:r>
                </w:p>
              </w:tc>
            </w:tr>
            <w:tr w14:paraId="5556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Merge w:val="restart"/>
                  <w:vAlign w:val="center"/>
                </w:tcPr>
                <w:p w14:paraId="4F35C6B9">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2027年</w:t>
                  </w:r>
                </w:p>
              </w:tc>
              <w:tc>
                <w:tcPr>
                  <w:tcW w:w="1054" w:type="pct"/>
                  <w:vAlign w:val="center"/>
                </w:tcPr>
                <w:p w14:paraId="5D15792D">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昼间</w:t>
                  </w:r>
                </w:p>
              </w:tc>
              <w:tc>
                <w:tcPr>
                  <w:tcW w:w="1052" w:type="pct"/>
                  <w:vAlign w:val="center"/>
                </w:tcPr>
                <w:p w14:paraId="1BD6A89D">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362</w:t>
                  </w:r>
                </w:p>
              </w:tc>
              <w:tc>
                <w:tcPr>
                  <w:tcW w:w="1052" w:type="pct"/>
                  <w:vAlign w:val="center"/>
                </w:tcPr>
                <w:p w14:paraId="150F4CC7">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217</w:t>
                  </w:r>
                </w:p>
              </w:tc>
              <w:tc>
                <w:tcPr>
                  <w:tcW w:w="1051" w:type="pct"/>
                  <w:vAlign w:val="center"/>
                </w:tcPr>
                <w:p w14:paraId="07013B8C">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145</w:t>
                  </w:r>
                </w:p>
              </w:tc>
            </w:tr>
            <w:tr w14:paraId="65E9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Merge w:val="continue"/>
                  <w:vAlign w:val="center"/>
                </w:tcPr>
                <w:p w14:paraId="4D6850BC">
                  <w:pPr>
                    <w:jc w:val="center"/>
                    <w:rPr>
                      <w:rFonts w:ascii="Times New Roman" w:hAnsi="Times New Roman" w:cs="Times New Roman"/>
                      <w:spacing w:val="4"/>
                      <w:sz w:val="21"/>
                      <w:szCs w:val="21"/>
                      <w:lang w:eastAsia="zh-CN"/>
                    </w:rPr>
                  </w:pPr>
                </w:p>
              </w:tc>
              <w:tc>
                <w:tcPr>
                  <w:tcW w:w="1054" w:type="pct"/>
                  <w:vAlign w:val="center"/>
                </w:tcPr>
                <w:p w14:paraId="35EE2592">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夜间</w:t>
                  </w:r>
                </w:p>
              </w:tc>
              <w:tc>
                <w:tcPr>
                  <w:tcW w:w="1052" w:type="pct"/>
                  <w:vAlign w:val="center"/>
                </w:tcPr>
                <w:p w14:paraId="0C2433C0">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80</w:t>
                  </w:r>
                </w:p>
              </w:tc>
              <w:tc>
                <w:tcPr>
                  <w:tcW w:w="1052" w:type="pct"/>
                  <w:vAlign w:val="center"/>
                </w:tcPr>
                <w:p w14:paraId="63E1FAD4">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48</w:t>
                  </w:r>
                </w:p>
              </w:tc>
              <w:tc>
                <w:tcPr>
                  <w:tcW w:w="1051" w:type="pct"/>
                  <w:vAlign w:val="center"/>
                </w:tcPr>
                <w:p w14:paraId="6F608C0D">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32</w:t>
                  </w:r>
                </w:p>
              </w:tc>
            </w:tr>
            <w:tr w14:paraId="1304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Merge w:val="restart"/>
                  <w:vAlign w:val="center"/>
                </w:tcPr>
                <w:p w14:paraId="653FCBF0">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2033年</w:t>
                  </w:r>
                </w:p>
              </w:tc>
              <w:tc>
                <w:tcPr>
                  <w:tcW w:w="1054" w:type="pct"/>
                  <w:vAlign w:val="center"/>
                </w:tcPr>
                <w:p w14:paraId="5B7F9233">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昼间</w:t>
                  </w:r>
                </w:p>
              </w:tc>
              <w:tc>
                <w:tcPr>
                  <w:tcW w:w="1052" w:type="pct"/>
                  <w:vAlign w:val="center"/>
                </w:tcPr>
                <w:p w14:paraId="48188A77">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448</w:t>
                  </w:r>
                </w:p>
              </w:tc>
              <w:tc>
                <w:tcPr>
                  <w:tcW w:w="1052" w:type="pct"/>
                  <w:vAlign w:val="center"/>
                </w:tcPr>
                <w:p w14:paraId="7084CC32">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270</w:t>
                  </w:r>
                </w:p>
              </w:tc>
              <w:tc>
                <w:tcPr>
                  <w:tcW w:w="1051" w:type="pct"/>
                  <w:vAlign w:val="center"/>
                </w:tcPr>
                <w:p w14:paraId="319A999E">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180</w:t>
                  </w:r>
                </w:p>
              </w:tc>
            </w:tr>
            <w:tr w14:paraId="0CB0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Merge w:val="continue"/>
                  <w:vAlign w:val="center"/>
                </w:tcPr>
                <w:p w14:paraId="69451733">
                  <w:pPr>
                    <w:jc w:val="center"/>
                    <w:rPr>
                      <w:rFonts w:ascii="Times New Roman" w:hAnsi="Times New Roman" w:cs="Times New Roman"/>
                      <w:spacing w:val="4"/>
                      <w:sz w:val="21"/>
                      <w:szCs w:val="21"/>
                      <w:lang w:eastAsia="zh-CN"/>
                    </w:rPr>
                  </w:pPr>
                </w:p>
              </w:tc>
              <w:tc>
                <w:tcPr>
                  <w:tcW w:w="1054" w:type="pct"/>
                  <w:vAlign w:val="center"/>
                </w:tcPr>
                <w:p w14:paraId="1A97DD91">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夜间</w:t>
                  </w:r>
                </w:p>
              </w:tc>
              <w:tc>
                <w:tcPr>
                  <w:tcW w:w="1052" w:type="pct"/>
                  <w:vAlign w:val="center"/>
                </w:tcPr>
                <w:p w14:paraId="4F1BB594">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100</w:t>
                  </w:r>
                </w:p>
              </w:tc>
              <w:tc>
                <w:tcPr>
                  <w:tcW w:w="1052" w:type="pct"/>
                  <w:vAlign w:val="center"/>
                </w:tcPr>
                <w:p w14:paraId="7511C78E">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60</w:t>
                  </w:r>
                </w:p>
              </w:tc>
              <w:tc>
                <w:tcPr>
                  <w:tcW w:w="1051" w:type="pct"/>
                  <w:vAlign w:val="center"/>
                </w:tcPr>
                <w:p w14:paraId="462175CA">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40</w:t>
                  </w:r>
                </w:p>
              </w:tc>
            </w:tr>
            <w:tr w14:paraId="6AB9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Merge w:val="restart"/>
                  <w:vAlign w:val="center"/>
                </w:tcPr>
                <w:p w14:paraId="1F93E3A5">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2041年</w:t>
                  </w:r>
                </w:p>
              </w:tc>
              <w:tc>
                <w:tcPr>
                  <w:tcW w:w="1054" w:type="pct"/>
                  <w:vAlign w:val="center"/>
                </w:tcPr>
                <w:p w14:paraId="0790F74E">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昼间</w:t>
                  </w:r>
                </w:p>
              </w:tc>
              <w:tc>
                <w:tcPr>
                  <w:tcW w:w="1052" w:type="pct"/>
                  <w:vAlign w:val="center"/>
                </w:tcPr>
                <w:p w14:paraId="5F6C0DF4">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5</w:t>
                  </w:r>
                  <w:r>
                    <w:rPr>
                      <w:rFonts w:ascii="Times New Roman" w:hAnsi="Times New Roman" w:cs="Times New Roman"/>
                      <w:spacing w:val="4"/>
                      <w:sz w:val="21"/>
                      <w:szCs w:val="21"/>
                      <w:lang w:eastAsia="zh-CN"/>
                    </w:rPr>
                    <w:t>46</w:t>
                  </w:r>
                </w:p>
              </w:tc>
              <w:tc>
                <w:tcPr>
                  <w:tcW w:w="1052" w:type="pct"/>
                  <w:vAlign w:val="center"/>
                </w:tcPr>
                <w:p w14:paraId="4F602055">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3</w:t>
                  </w:r>
                  <w:r>
                    <w:rPr>
                      <w:rFonts w:ascii="Times New Roman" w:hAnsi="Times New Roman" w:cs="Times New Roman"/>
                      <w:spacing w:val="4"/>
                      <w:sz w:val="21"/>
                      <w:szCs w:val="21"/>
                      <w:lang w:eastAsia="zh-CN"/>
                    </w:rPr>
                    <w:t>28</w:t>
                  </w:r>
                </w:p>
              </w:tc>
              <w:tc>
                <w:tcPr>
                  <w:tcW w:w="1051" w:type="pct"/>
                  <w:vAlign w:val="center"/>
                </w:tcPr>
                <w:p w14:paraId="35C53CCA">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2</w:t>
                  </w:r>
                  <w:r>
                    <w:rPr>
                      <w:rFonts w:ascii="Times New Roman" w:hAnsi="Times New Roman" w:cs="Times New Roman"/>
                      <w:spacing w:val="4"/>
                      <w:sz w:val="21"/>
                      <w:szCs w:val="21"/>
                      <w:lang w:eastAsia="zh-CN"/>
                    </w:rPr>
                    <w:t>18</w:t>
                  </w:r>
                </w:p>
              </w:tc>
            </w:tr>
            <w:tr w14:paraId="478C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Merge w:val="continue"/>
                  <w:vAlign w:val="center"/>
                </w:tcPr>
                <w:p w14:paraId="036D0655">
                  <w:pPr>
                    <w:jc w:val="center"/>
                    <w:rPr>
                      <w:rFonts w:ascii="Times New Roman" w:hAnsi="Times New Roman" w:cs="Times New Roman"/>
                      <w:spacing w:val="4"/>
                      <w:sz w:val="21"/>
                      <w:szCs w:val="21"/>
                      <w:lang w:eastAsia="zh-CN"/>
                    </w:rPr>
                  </w:pPr>
                </w:p>
              </w:tc>
              <w:tc>
                <w:tcPr>
                  <w:tcW w:w="1054" w:type="pct"/>
                  <w:vAlign w:val="center"/>
                </w:tcPr>
                <w:p w14:paraId="0898A4CD">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夜间</w:t>
                  </w:r>
                </w:p>
              </w:tc>
              <w:tc>
                <w:tcPr>
                  <w:tcW w:w="1052" w:type="pct"/>
                  <w:vAlign w:val="center"/>
                </w:tcPr>
                <w:p w14:paraId="62F70F9B">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1</w:t>
                  </w:r>
                  <w:r>
                    <w:rPr>
                      <w:rFonts w:ascii="Times New Roman" w:hAnsi="Times New Roman" w:cs="Times New Roman"/>
                      <w:spacing w:val="4"/>
                      <w:sz w:val="21"/>
                      <w:szCs w:val="21"/>
                      <w:lang w:eastAsia="zh-CN"/>
                    </w:rPr>
                    <w:t>22</w:t>
                  </w:r>
                </w:p>
              </w:tc>
              <w:tc>
                <w:tcPr>
                  <w:tcW w:w="1052" w:type="pct"/>
                  <w:vAlign w:val="center"/>
                </w:tcPr>
                <w:p w14:paraId="3B1EA3EC">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7</w:t>
                  </w:r>
                  <w:r>
                    <w:rPr>
                      <w:rFonts w:ascii="Times New Roman" w:hAnsi="Times New Roman" w:cs="Times New Roman"/>
                      <w:spacing w:val="4"/>
                      <w:sz w:val="21"/>
                      <w:szCs w:val="21"/>
                      <w:lang w:eastAsia="zh-CN"/>
                    </w:rPr>
                    <w:t>3</w:t>
                  </w:r>
                </w:p>
              </w:tc>
              <w:tc>
                <w:tcPr>
                  <w:tcW w:w="1051" w:type="pct"/>
                  <w:vAlign w:val="center"/>
                </w:tcPr>
                <w:p w14:paraId="21835CD1">
                  <w:pPr>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4</w:t>
                  </w:r>
                  <w:r>
                    <w:rPr>
                      <w:rFonts w:ascii="Times New Roman" w:hAnsi="Times New Roman" w:cs="Times New Roman"/>
                      <w:spacing w:val="4"/>
                      <w:sz w:val="21"/>
                      <w:szCs w:val="21"/>
                      <w:lang w:eastAsia="zh-CN"/>
                    </w:rPr>
                    <w:t>9</w:t>
                  </w:r>
                </w:p>
              </w:tc>
            </w:tr>
          </w:tbl>
          <w:p w14:paraId="76A1DC7C">
            <w:pPr>
              <w:autoSpaceDE/>
              <w:autoSpaceDN/>
              <w:jc w:val="center"/>
              <w:rPr>
                <w:rFonts w:ascii="Times New Roman" w:hAnsi="Times New Roman" w:cs="Times New Roman"/>
                <w:b/>
                <w:color w:val="000000"/>
                <w:kern w:val="2"/>
                <w:sz w:val="21"/>
                <w:szCs w:val="21"/>
                <w:lang w:eastAsia="zh-CN"/>
              </w:rPr>
            </w:pPr>
          </w:p>
          <w:p w14:paraId="3A946D9E">
            <w:pPr>
              <w:autoSpaceDE/>
              <w:autoSpaceDN/>
              <w:jc w:val="center"/>
              <w:rPr>
                <w:rFonts w:ascii="Times New Roman" w:hAnsi="Times New Roman" w:cs="Times New Roman"/>
                <w:b/>
                <w:color w:val="000000"/>
                <w:kern w:val="2"/>
                <w:sz w:val="21"/>
                <w:szCs w:val="21"/>
                <w:lang w:eastAsia="zh-CN"/>
              </w:rPr>
            </w:pPr>
            <w:r>
              <w:rPr>
                <w:rFonts w:ascii="Times New Roman" w:hAnsi="Times New Roman" w:cs="Times New Roman"/>
                <w:b/>
                <w:color w:val="000000"/>
                <w:kern w:val="2"/>
                <w:sz w:val="21"/>
                <w:szCs w:val="21"/>
                <w:lang w:eastAsia="zh-CN"/>
              </w:rPr>
              <w:t>表4.5  项目道路燃油废气污染物源强及排放量一览表</w:t>
            </w:r>
          </w:p>
          <w:tbl>
            <w:tblPr>
              <w:tblStyle w:val="11"/>
              <w:tblW w:w="0" w:type="auto"/>
              <w:jc w:val="center"/>
              <w:tblLayout w:type="autofit"/>
              <w:tblCellMar>
                <w:top w:w="0" w:type="dxa"/>
                <w:left w:w="108" w:type="dxa"/>
                <w:bottom w:w="0" w:type="dxa"/>
                <w:right w:w="108" w:type="dxa"/>
              </w:tblCellMar>
            </w:tblPr>
            <w:tblGrid>
              <w:gridCol w:w="1359"/>
              <w:gridCol w:w="1863"/>
              <w:gridCol w:w="1889"/>
              <w:gridCol w:w="1712"/>
              <w:gridCol w:w="1775"/>
            </w:tblGrid>
            <w:tr w14:paraId="3642797A">
              <w:tblPrEx>
                <w:tblCellMar>
                  <w:top w:w="0" w:type="dxa"/>
                  <w:left w:w="108" w:type="dxa"/>
                  <w:bottom w:w="0" w:type="dxa"/>
                  <w:right w:w="108" w:type="dxa"/>
                </w:tblCellMar>
              </w:tblPrEx>
              <w:trPr>
                <w:trHeight w:val="266" w:hRule="atLeast"/>
                <w:jc w:val="center"/>
              </w:trPr>
              <w:tc>
                <w:tcPr>
                  <w:tcW w:w="1359" w:type="dxa"/>
                  <w:vMerge w:val="restart"/>
                  <w:tcBorders>
                    <w:top w:val="single" w:color="000000" w:sz="8" w:space="0"/>
                    <w:left w:val="single" w:color="000000" w:sz="8" w:space="0"/>
                    <w:bottom w:val="single" w:color="000000" w:sz="4" w:space="0"/>
                    <w:right w:val="nil"/>
                  </w:tcBorders>
                  <w:vAlign w:val="center"/>
                </w:tcPr>
                <w:p w14:paraId="6B3E27E1">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特征年</w:t>
                  </w:r>
                </w:p>
              </w:tc>
              <w:tc>
                <w:tcPr>
                  <w:tcW w:w="3752" w:type="dxa"/>
                  <w:gridSpan w:val="2"/>
                  <w:tcBorders>
                    <w:top w:val="single" w:color="000000" w:sz="8" w:space="0"/>
                    <w:left w:val="single" w:color="auto" w:sz="4" w:space="0"/>
                    <w:bottom w:val="nil"/>
                    <w:right w:val="single" w:color="000000" w:sz="4" w:space="0"/>
                  </w:tcBorders>
                  <w:vAlign w:val="center"/>
                </w:tcPr>
                <w:p w14:paraId="4A8CC8A4">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CO</w:t>
                  </w:r>
                </w:p>
              </w:tc>
              <w:tc>
                <w:tcPr>
                  <w:tcW w:w="3487" w:type="dxa"/>
                  <w:gridSpan w:val="2"/>
                  <w:tcBorders>
                    <w:top w:val="single" w:color="000000" w:sz="8" w:space="0"/>
                    <w:left w:val="nil"/>
                    <w:bottom w:val="nil"/>
                    <w:right w:val="single" w:color="000000" w:sz="8" w:space="0"/>
                  </w:tcBorders>
                  <w:vAlign w:val="center"/>
                </w:tcPr>
                <w:p w14:paraId="15FA169E">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NOx</w:t>
                  </w:r>
                </w:p>
              </w:tc>
            </w:tr>
            <w:tr w14:paraId="5D8AC2F4">
              <w:tblPrEx>
                <w:tblCellMar>
                  <w:top w:w="0" w:type="dxa"/>
                  <w:left w:w="108" w:type="dxa"/>
                  <w:bottom w:w="0" w:type="dxa"/>
                  <w:right w:w="108" w:type="dxa"/>
                </w:tblCellMar>
              </w:tblPrEx>
              <w:trPr>
                <w:trHeight w:val="283" w:hRule="atLeast"/>
                <w:jc w:val="center"/>
              </w:trPr>
              <w:tc>
                <w:tcPr>
                  <w:tcW w:w="1359" w:type="dxa"/>
                  <w:vMerge w:val="continue"/>
                  <w:tcBorders>
                    <w:top w:val="single" w:color="000000" w:sz="8" w:space="0"/>
                    <w:left w:val="single" w:color="000000" w:sz="8" w:space="0"/>
                    <w:bottom w:val="single" w:color="000000" w:sz="4" w:space="0"/>
                    <w:right w:val="nil"/>
                  </w:tcBorders>
                  <w:vAlign w:val="center"/>
                </w:tcPr>
                <w:p w14:paraId="2F3AFB23">
                  <w:pPr>
                    <w:jc w:val="center"/>
                    <w:rPr>
                      <w:rFonts w:ascii="Times New Roman" w:hAnsi="Times New Roman" w:cs="Times New Roman"/>
                      <w:b/>
                      <w:bCs/>
                      <w:sz w:val="21"/>
                      <w:szCs w:val="21"/>
                      <w:lang w:eastAsia="zh-CN"/>
                    </w:rPr>
                  </w:pPr>
                </w:p>
              </w:tc>
              <w:tc>
                <w:tcPr>
                  <w:tcW w:w="1863" w:type="dxa"/>
                  <w:tcBorders>
                    <w:top w:val="single" w:color="000000" w:sz="4" w:space="0"/>
                    <w:left w:val="single" w:color="000000" w:sz="4" w:space="0"/>
                    <w:bottom w:val="single" w:color="auto" w:sz="4" w:space="0"/>
                    <w:right w:val="single" w:color="auto" w:sz="4" w:space="0"/>
                  </w:tcBorders>
                  <w:vAlign w:val="center"/>
                </w:tcPr>
                <w:p w14:paraId="04C141F0">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源强mg/(s·m)</w:t>
                  </w:r>
                </w:p>
              </w:tc>
              <w:tc>
                <w:tcPr>
                  <w:tcW w:w="1889" w:type="dxa"/>
                  <w:tcBorders>
                    <w:top w:val="single" w:color="000000" w:sz="4" w:space="0"/>
                    <w:left w:val="nil"/>
                    <w:bottom w:val="single" w:color="auto" w:sz="4" w:space="0"/>
                    <w:right w:val="single" w:color="auto" w:sz="4" w:space="0"/>
                  </w:tcBorders>
                  <w:vAlign w:val="center"/>
                </w:tcPr>
                <w:p w14:paraId="050B4DF6">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排放量t/a</w:t>
                  </w:r>
                </w:p>
              </w:tc>
              <w:tc>
                <w:tcPr>
                  <w:tcW w:w="1712" w:type="dxa"/>
                  <w:tcBorders>
                    <w:top w:val="single" w:color="000000" w:sz="4" w:space="0"/>
                    <w:left w:val="nil"/>
                    <w:bottom w:val="single" w:color="auto" w:sz="4" w:space="0"/>
                    <w:right w:val="single" w:color="auto" w:sz="4" w:space="0"/>
                  </w:tcBorders>
                  <w:vAlign w:val="center"/>
                </w:tcPr>
                <w:p w14:paraId="1DBA8B92">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源强mg/(s·m)</w:t>
                  </w:r>
                </w:p>
              </w:tc>
              <w:tc>
                <w:tcPr>
                  <w:tcW w:w="1775" w:type="dxa"/>
                  <w:tcBorders>
                    <w:top w:val="single" w:color="000000" w:sz="4" w:space="0"/>
                    <w:left w:val="nil"/>
                    <w:bottom w:val="single" w:color="auto" w:sz="4" w:space="0"/>
                    <w:right w:val="single" w:color="000000" w:sz="8" w:space="0"/>
                  </w:tcBorders>
                  <w:vAlign w:val="center"/>
                </w:tcPr>
                <w:p w14:paraId="1889122B">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排放量t/a</w:t>
                  </w:r>
                </w:p>
              </w:tc>
            </w:tr>
            <w:tr w14:paraId="3760C482">
              <w:tblPrEx>
                <w:tblCellMar>
                  <w:top w:w="0" w:type="dxa"/>
                  <w:left w:w="108" w:type="dxa"/>
                  <w:bottom w:w="0" w:type="dxa"/>
                  <w:right w:w="108" w:type="dxa"/>
                </w:tblCellMar>
              </w:tblPrEx>
              <w:trPr>
                <w:trHeight w:val="70" w:hRule="atLeast"/>
                <w:jc w:val="center"/>
              </w:trPr>
              <w:tc>
                <w:tcPr>
                  <w:tcW w:w="1359" w:type="dxa"/>
                  <w:tcBorders>
                    <w:top w:val="nil"/>
                    <w:left w:val="single" w:color="000000" w:sz="8" w:space="0"/>
                    <w:bottom w:val="single" w:color="auto" w:sz="4" w:space="0"/>
                    <w:right w:val="nil"/>
                  </w:tcBorders>
                  <w:vAlign w:val="center"/>
                </w:tcPr>
                <w:p w14:paraId="2F65E17C">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2027年</w:t>
                  </w:r>
                </w:p>
              </w:tc>
              <w:tc>
                <w:tcPr>
                  <w:tcW w:w="1863" w:type="dxa"/>
                  <w:tcBorders>
                    <w:top w:val="nil"/>
                    <w:left w:val="single" w:color="000000" w:sz="4" w:space="0"/>
                    <w:bottom w:val="single" w:color="auto" w:sz="4" w:space="0"/>
                    <w:right w:val="single" w:color="auto" w:sz="4" w:space="0"/>
                  </w:tcBorders>
                  <w:vAlign w:val="center"/>
                </w:tcPr>
                <w:p w14:paraId="7288198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5.75</w:t>
                  </w:r>
                </w:p>
              </w:tc>
              <w:tc>
                <w:tcPr>
                  <w:tcW w:w="1889" w:type="dxa"/>
                  <w:tcBorders>
                    <w:top w:val="nil"/>
                    <w:left w:val="nil"/>
                    <w:bottom w:val="single" w:color="auto" w:sz="4" w:space="0"/>
                    <w:right w:val="single" w:color="auto" w:sz="4" w:space="0"/>
                  </w:tcBorders>
                  <w:vAlign w:val="center"/>
                </w:tcPr>
                <w:p w14:paraId="6A4834D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5.87</w:t>
                  </w:r>
                </w:p>
              </w:tc>
              <w:tc>
                <w:tcPr>
                  <w:tcW w:w="1712" w:type="dxa"/>
                  <w:tcBorders>
                    <w:top w:val="nil"/>
                    <w:left w:val="nil"/>
                    <w:bottom w:val="single" w:color="auto" w:sz="4" w:space="0"/>
                    <w:right w:val="single" w:color="auto" w:sz="4" w:space="0"/>
                  </w:tcBorders>
                  <w:vAlign w:val="center"/>
                </w:tcPr>
                <w:p w14:paraId="6F1F41F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0.68</w:t>
                  </w:r>
                </w:p>
              </w:tc>
              <w:tc>
                <w:tcPr>
                  <w:tcW w:w="1775" w:type="dxa"/>
                  <w:tcBorders>
                    <w:top w:val="nil"/>
                    <w:left w:val="nil"/>
                    <w:bottom w:val="single" w:color="auto" w:sz="4" w:space="0"/>
                    <w:right w:val="single" w:color="000000" w:sz="8" w:space="0"/>
                  </w:tcBorders>
                  <w:vAlign w:val="center"/>
                </w:tcPr>
                <w:p w14:paraId="1D328D3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.88</w:t>
                  </w:r>
                </w:p>
              </w:tc>
            </w:tr>
            <w:tr w14:paraId="00267B3D">
              <w:tblPrEx>
                <w:tblCellMar>
                  <w:top w:w="0" w:type="dxa"/>
                  <w:left w:w="108" w:type="dxa"/>
                  <w:bottom w:w="0" w:type="dxa"/>
                  <w:right w:w="108" w:type="dxa"/>
                </w:tblCellMar>
              </w:tblPrEx>
              <w:trPr>
                <w:trHeight w:val="70" w:hRule="atLeast"/>
                <w:jc w:val="center"/>
              </w:trPr>
              <w:tc>
                <w:tcPr>
                  <w:tcW w:w="1359" w:type="dxa"/>
                  <w:tcBorders>
                    <w:top w:val="nil"/>
                    <w:left w:val="single" w:color="000000" w:sz="8" w:space="0"/>
                    <w:bottom w:val="single" w:color="auto" w:sz="4" w:space="0"/>
                    <w:right w:val="nil"/>
                  </w:tcBorders>
                  <w:vAlign w:val="center"/>
                </w:tcPr>
                <w:p w14:paraId="165F9249">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2033年</w:t>
                  </w:r>
                </w:p>
              </w:tc>
              <w:tc>
                <w:tcPr>
                  <w:tcW w:w="1863" w:type="dxa"/>
                  <w:tcBorders>
                    <w:top w:val="nil"/>
                    <w:left w:val="single" w:color="000000" w:sz="4" w:space="0"/>
                    <w:bottom w:val="single" w:color="auto" w:sz="4" w:space="0"/>
                    <w:right w:val="single" w:color="auto" w:sz="4" w:space="0"/>
                  </w:tcBorders>
                  <w:vAlign w:val="center"/>
                </w:tcPr>
                <w:p w14:paraId="6B7BB2F0">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8.39</w:t>
                  </w:r>
                </w:p>
              </w:tc>
              <w:tc>
                <w:tcPr>
                  <w:tcW w:w="1889" w:type="dxa"/>
                  <w:tcBorders>
                    <w:top w:val="nil"/>
                    <w:left w:val="nil"/>
                    <w:bottom w:val="single" w:color="auto" w:sz="4" w:space="0"/>
                    <w:right w:val="single" w:color="auto" w:sz="4" w:space="0"/>
                  </w:tcBorders>
                  <w:vAlign w:val="center"/>
                </w:tcPr>
                <w:p w14:paraId="038C98C7">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r>
                    <w:rPr>
                      <w:rFonts w:ascii="Times New Roman" w:hAnsi="Times New Roman" w:cs="Times New Roman"/>
                      <w:sz w:val="21"/>
                      <w:szCs w:val="21"/>
                      <w:lang w:eastAsia="zh-CN"/>
                    </w:rPr>
                    <w:t>3.15</w:t>
                  </w:r>
                </w:p>
              </w:tc>
              <w:tc>
                <w:tcPr>
                  <w:tcW w:w="1712" w:type="dxa"/>
                  <w:tcBorders>
                    <w:top w:val="nil"/>
                    <w:left w:val="nil"/>
                    <w:bottom w:val="single" w:color="auto" w:sz="4" w:space="0"/>
                    <w:right w:val="single" w:color="auto" w:sz="4" w:space="0"/>
                  </w:tcBorders>
                  <w:vAlign w:val="center"/>
                </w:tcPr>
                <w:p w14:paraId="43CDB9DF">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0.99</w:t>
                  </w:r>
                </w:p>
              </w:tc>
              <w:tc>
                <w:tcPr>
                  <w:tcW w:w="1775" w:type="dxa"/>
                  <w:tcBorders>
                    <w:top w:val="nil"/>
                    <w:left w:val="nil"/>
                    <w:bottom w:val="single" w:color="auto" w:sz="4" w:space="0"/>
                    <w:right w:val="single" w:color="000000" w:sz="8" w:space="0"/>
                  </w:tcBorders>
                  <w:vAlign w:val="center"/>
                </w:tcPr>
                <w:p w14:paraId="466086F7">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r>
                    <w:rPr>
                      <w:rFonts w:ascii="Times New Roman" w:hAnsi="Times New Roman" w:cs="Times New Roman"/>
                      <w:sz w:val="21"/>
                      <w:szCs w:val="21"/>
                      <w:lang w:eastAsia="zh-CN"/>
                    </w:rPr>
                    <w:t>.75</w:t>
                  </w:r>
                </w:p>
              </w:tc>
            </w:tr>
            <w:tr w14:paraId="61F4A28B">
              <w:tblPrEx>
                <w:tblCellMar>
                  <w:top w:w="0" w:type="dxa"/>
                  <w:left w:w="108" w:type="dxa"/>
                  <w:bottom w:w="0" w:type="dxa"/>
                  <w:right w:w="108" w:type="dxa"/>
                </w:tblCellMar>
              </w:tblPrEx>
              <w:trPr>
                <w:trHeight w:val="70" w:hRule="atLeast"/>
                <w:jc w:val="center"/>
              </w:trPr>
              <w:tc>
                <w:tcPr>
                  <w:tcW w:w="1359" w:type="dxa"/>
                  <w:tcBorders>
                    <w:top w:val="nil"/>
                    <w:left w:val="single" w:color="000000" w:sz="8" w:space="0"/>
                    <w:bottom w:val="single" w:color="auto" w:sz="4" w:space="0"/>
                    <w:right w:val="nil"/>
                  </w:tcBorders>
                  <w:vAlign w:val="center"/>
                </w:tcPr>
                <w:p w14:paraId="5F528DE7">
                  <w:pPr>
                    <w:jc w:val="center"/>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2041年</w:t>
                  </w:r>
                </w:p>
              </w:tc>
              <w:tc>
                <w:tcPr>
                  <w:tcW w:w="1863" w:type="dxa"/>
                  <w:tcBorders>
                    <w:top w:val="nil"/>
                    <w:left w:val="single" w:color="000000" w:sz="4" w:space="0"/>
                    <w:bottom w:val="single" w:color="auto" w:sz="4" w:space="0"/>
                    <w:right w:val="single" w:color="auto" w:sz="4" w:space="0"/>
                  </w:tcBorders>
                  <w:vAlign w:val="center"/>
                </w:tcPr>
                <w:p w14:paraId="7D1AC05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12.16</w:t>
                  </w:r>
                </w:p>
              </w:tc>
              <w:tc>
                <w:tcPr>
                  <w:tcW w:w="1889" w:type="dxa"/>
                  <w:tcBorders>
                    <w:top w:val="nil"/>
                    <w:left w:val="nil"/>
                    <w:bottom w:val="single" w:color="auto" w:sz="4" w:space="0"/>
                    <w:right w:val="single" w:color="auto" w:sz="4" w:space="0"/>
                  </w:tcBorders>
                  <w:vAlign w:val="center"/>
                </w:tcPr>
                <w:p w14:paraId="0651C7A4">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r>
                    <w:rPr>
                      <w:rFonts w:ascii="Times New Roman" w:hAnsi="Times New Roman" w:cs="Times New Roman"/>
                      <w:sz w:val="21"/>
                      <w:szCs w:val="21"/>
                      <w:lang w:eastAsia="zh-CN"/>
                    </w:rPr>
                    <w:t>3.55</w:t>
                  </w:r>
                </w:p>
              </w:tc>
              <w:tc>
                <w:tcPr>
                  <w:tcW w:w="1712" w:type="dxa"/>
                  <w:tcBorders>
                    <w:top w:val="nil"/>
                    <w:left w:val="nil"/>
                    <w:bottom w:val="single" w:color="auto" w:sz="4" w:space="0"/>
                    <w:right w:val="single" w:color="auto" w:sz="4" w:space="0"/>
                  </w:tcBorders>
                  <w:vAlign w:val="center"/>
                </w:tcPr>
                <w:p w14:paraId="0A647FC6">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1.44</w:t>
                  </w:r>
                </w:p>
              </w:tc>
              <w:tc>
                <w:tcPr>
                  <w:tcW w:w="1775" w:type="dxa"/>
                  <w:tcBorders>
                    <w:top w:val="nil"/>
                    <w:left w:val="nil"/>
                    <w:bottom w:val="single" w:color="auto" w:sz="4" w:space="0"/>
                    <w:right w:val="single" w:color="000000" w:sz="8" w:space="0"/>
                  </w:tcBorders>
                  <w:vAlign w:val="center"/>
                </w:tcPr>
                <w:p w14:paraId="4C869450">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r>
                    <w:rPr>
                      <w:rFonts w:ascii="Times New Roman" w:hAnsi="Times New Roman" w:cs="Times New Roman"/>
                      <w:sz w:val="21"/>
                      <w:szCs w:val="21"/>
                      <w:lang w:eastAsia="zh-CN"/>
                    </w:rPr>
                    <w:t>.99</w:t>
                  </w:r>
                </w:p>
              </w:tc>
            </w:tr>
          </w:tbl>
          <w:p w14:paraId="010C9467">
            <w:pPr>
              <w:autoSpaceDE/>
              <w:autoSpaceDN/>
              <w:jc w:val="center"/>
              <w:rPr>
                <w:rFonts w:ascii="Times New Roman" w:hAnsi="Times New Roman" w:cs="Times New Roman"/>
                <w:b/>
                <w:color w:val="000000"/>
                <w:kern w:val="2"/>
                <w:sz w:val="21"/>
                <w:szCs w:val="21"/>
                <w:lang w:eastAsia="zh-CN"/>
              </w:rPr>
            </w:pPr>
          </w:p>
          <w:p w14:paraId="5AA5E817">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根据近几年已建成的道路工程的竣工环境保护验收调查报告的综合结果，机动车燃油废气影响范围主要集中在道路中心线两侧</w:t>
            </w:r>
            <w:r>
              <w:rPr>
                <w:rFonts w:ascii="Times New Roman" w:hAnsi="Times New Roman" w:cs="Times New Roman"/>
                <w:sz w:val="24"/>
                <w:szCs w:val="24"/>
                <w:lang w:eastAsia="zh-CN"/>
              </w:rPr>
              <w:t>60m范围内，CO、NOx均不存在超标现象，TSP扬尘主要来源于环境本底，</w:t>
            </w:r>
            <w:r>
              <w:rPr>
                <w:rFonts w:hint="eastAsia" w:ascii="Times New Roman" w:hAnsi="Times New Roman" w:cs="Times New Roman"/>
                <w:sz w:val="24"/>
                <w:szCs w:val="24"/>
                <w:lang w:eastAsia="zh-CN"/>
              </w:rPr>
              <w:t>沥青</w:t>
            </w:r>
            <w:r>
              <w:rPr>
                <w:rFonts w:ascii="Times New Roman" w:hAnsi="Times New Roman" w:cs="Times New Roman"/>
                <w:sz w:val="24"/>
                <w:szCs w:val="24"/>
                <w:lang w:eastAsia="zh-CN"/>
              </w:rPr>
              <w:t>路面起尘贡献值极小。道路两侧</w:t>
            </w:r>
            <w:r>
              <w:rPr>
                <w:rFonts w:hint="eastAsia" w:ascii="Times New Roman" w:hAnsi="Times New Roman" w:cs="Times New Roman"/>
                <w:sz w:val="24"/>
                <w:szCs w:val="24"/>
                <w:lang w:eastAsia="zh-CN"/>
              </w:rPr>
              <w:t>地表空旷，大气环境保护目标较少，距离较远</w:t>
            </w:r>
            <w:r>
              <w:rPr>
                <w:rFonts w:ascii="Times New Roman" w:hAnsi="Times New Roman" w:cs="Times New Roman"/>
                <w:sz w:val="24"/>
                <w:szCs w:val="24"/>
                <w:lang w:eastAsia="zh-CN"/>
              </w:rPr>
              <w:t>。随着我国执行</w:t>
            </w:r>
            <w:r>
              <w:rPr>
                <w:rFonts w:hint="eastAsia" w:ascii="Times New Roman" w:hAnsi="Times New Roman" w:cs="Times New Roman"/>
                <w:sz w:val="24"/>
                <w:szCs w:val="24"/>
                <w:lang w:eastAsia="zh-CN"/>
              </w:rPr>
              <w:t>机动车</w:t>
            </w:r>
            <w:r>
              <w:rPr>
                <w:rFonts w:ascii="Times New Roman" w:hAnsi="Times New Roman" w:cs="Times New Roman"/>
                <w:sz w:val="24"/>
                <w:szCs w:val="24"/>
                <w:lang w:eastAsia="zh-CN"/>
              </w:rPr>
              <w:t>单车排放标准的</w:t>
            </w:r>
            <w:r>
              <w:rPr>
                <w:rFonts w:hint="eastAsia" w:ascii="Times New Roman" w:hAnsi="Times New Roman" w:cs="Times New Roman"/>
                <w:sz w:val="24"/>
                <w:szCs w:val="24"/>
                <w:lang w:eastAsia="zh-CN"/>
              </w:rPr>
              <w:t>环保要求</w:t>
            </w:r>
            <w:r>
              <w:rPr>
                <w:rFonts w:ascii="Times New Roman" w:hAnsi="Times New Roman" w:cs="Times New Roman"/>
                <w:sz w:val="24"/>
                <w:szCs w:val="24"/>
                <w:lang w:eastAsia="zh-CN"/>
              </w:rPr>
              <w:t>不断提高，</w:t>
            </w:r>
            <w:r>
              <w:rPr>
                <w:rFonts w:hint="eastAsia" w:ascii="Times New Roman" w:hAnsi="Times New Roman" w:cs="Times New Roman"/>
                <w:sz w:val="24"/>
                <w:szCs w:val="24"/>
                <w:lang w:eastAsia="zh-CN"/>
              </w:rPr>
              <w:t>清洁能源燃料的推广使用，单车燃油废气的污染物排放量将会不断降低</w:t>
            </w:r>
            <w:r>
              <w:rPr>
                <w:rFonts w:ascii="Times New Roman" w:hAnsi="Times New Roman" w:cs="Times New Roman"/>
                <w:sz w:val="24"/>
                <w:szCs w:val="24"/>
                <w:lang w:eastAsia="zh-CN"/>
              </w:rPr>
              <w:t>。项目所在区域环境空气质量现状良好，大气环境容量较大，因此，本项目运营期对环境空</w:t>
            </w:r>
            <w:r>
              <w:rPr>
                <w:rFonts w:hint="eastAsia" w:ascii="Times New Roman" w:hAnsi="Times New Roman" w:cs="Times New Roman"/>
                <w:sz w:val="24"/>
                <w:szCs w:val="24"/>
                <w:lang w:eastAsia="zh-CN"/>
              </w:rPr>
              <w:t>气质量的影响很小。</w:t>
            </w:r>
          </w:p>
          <w:p w14:paraId="29C5AECC">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（2）食堂油烟</w:t>
            </w:r>
          </w:p>
          <w:p w14:paraId="1FCF9164">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沿线服务区的餐厅主要为服务区、养护工区、收费站的工作人员及驶入服务区需要补给的司乘人员提供餐食。餐厅烹饪过程中产生的食堂油烟经油烟净化器处理后，通过专用烟道延伸至楼顶排放。食堂油烟排放能</w:t>
            </w:r>
            <w:r>
              <w:rPr>
                <w:rFonts w:ascii="Times New Roman" w:hAnsi="Times New Roman" w:cs="Times New Roman"/>
                <w:sz w:val="24"/>
                <w:szCs w:val="24"/>
                <w:lang w:eastAsia="zh-CN"/>
              </w:rPr>
              <w:t>满足</w:t>
            </w:r>
            <w:r>
              <w:rPr>
                <w:rFonts w:hint="eastAsia" w:ascii="Times New Roman" w:hAnsi="Times New Roman" w:cs="Times New Roman"/>
                <w:sz w:val="24"/>
                <w:szCs w:val="24"/>
                <w:lang w:eastAsia="zh-CN"/>
              </w:rPr>
              <w:t>《饮食业油烟排放标准》（</w:t>
            </w:r>
            <w:r>
              <w:rPr>
                <w:rFonts w:ascii="Times New Roman" w:hAnsi="Times New Roman" w:cs="Times New Roman"/>
                <w:sz w:val="24"/>
                <w:szCs w:val="24"/>
                <w:lang w:eastAsia="zh-CN"/>
              </w:rPr>
              <w:t>GB 18483-2001</w:t>
            </w:r>
            <w:r>
              <w:rPr>
                <w:rFonts w:hint="eastAsia" w:ascii="Times New Roman" w:hAnsi="Times New Roman" w:cs="Times New Roman"/>
                <w:sz w:val="24"/>
                <w:szCs w:val="24"/>
                <w:lang w:eastAsia="zh-CN"/>
              </w:rPr>
              <w:t>）。</w:t>
            </w:r>
          </w:p>
          <w:p w14:paraId="79097587">
            <w:pPr>
              <w:pStyle w:val="18"/>
              <w:spacing w:line="360" w:lineRule="auto"/>
              <w:jc w:val="both"/>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3、运营期水环境影响分析</w:t>
            </w:r>
          </w:p>
          <w:p w14:paraId="7AEEB1D4">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项目运营期产生的废水主要是：路面径流、道路沿线设施工作人员产生的生活污水。</w:t>
            </w:r>
          </w:p>
          <w:p w14:paraId="32290089">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（1）路面径流</w:t>
            </w:r>
          </w:p>
          <w:p w14:paraId="6A065E9C">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路面径流的污染物主要为：</w:t>
            </w:r>
            <w:r>
              <w:rPr>
                <w:rFonts w:ascii="Times New Roman" w:hAnsi="Times New Roman" w:cs="Times New Roman"/>
                <w:sz w:val="24"/>
                <w:szCs w:val="24"/>
                <w:lang w:eastAsia="zh-CN"/>
              </w:rPr>
              <w:t>COD</w:t>
            </w:r>
            <w:r>
              <w:rPr>
                <w:rFonts w:hint="eastAsia" w:ascii="Times New Roman" w:hAnsi="Times New Roman" w:cs="Times New Roman"/>
                <w:sz w:val="24"/>
                <w:szCs w:val="24"/>
                <w:lang w:eastAsia="zh-CN"/>
              </w:rPr>
              <w:t>、S</w:t>
            </w:r>
            <w:r>
              <w:rPr>
                <w:rFonts w:ascii="Times New Roman" w:hAnsi="Times New Roman" w:cs="Times New Roman"/>
                <w:sz w:val="24"/>
                <w:szCs w:val="24"/>
                <w:lang w:eastAsia="zh-CN"/>
              </w:rPr>
              <w:t>S</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石油类</w:t>
            </w:r>
            <w:r>
              <w:rPr>
                <w:rFonts w:hint="eastAsia" w:ascii="Times New Roman" w:hAnsi="Times New Roman" w:cs="Times New Roman"/>
                <w:sz w:val="24"/>
                <w:szCs w:val="24"/>
                <w:lang w:eastAsia="zh-CN"/>
              </w:rPr>
              <w:t>等，影响路面径流污染物源强的因素众多，包括降雨量、降雨时间、车流量、两场降雨之间的时间间隔、路面宽度等，因此具有一定程度的不确定性。</w:t>
            </w:r>
          </w:p>
          <w:p w14:paraId="11687485">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根据目前国内对公路路面径流浓度的测试结果，降雨初期到形成路面径流的</w:t>
            </w:r>
            <w:r>
              <w:rPr>
                <w:rFonts w:ascii="Times New Roman" w:hAnsi="Times New Roman" w:cs="Times New Roman"/>
                <w:sz w:val="24"/>
                <w:szCs w:val="24"/>
                <w:lang w:eastAsia="zh-CN"/>
              </w:rPr>
              <w:t>30min内，水中悬浮物和石油类浓度较高，30min</w:t>
            </w:r>
            <w:r>
              <w:rPr>
                <w:rFonts w:hint="eastAsia" w:ascii="Times New Roman" w:hAnsi="Times New Roman" w:cs="Times New Roman"/>
                <w:sz w:val="24"/>
                <w:szCs w:val="24"/>
                <w:lang w:eastAsia="zh-CN"/>
              </w:rPr>
              <w:t>后</w:t>
            </w:r>
            <w:r>
              <w:rPr>
                <w:rFonts w:ascii="Times New Roman" w:hAnsi="Times New Roman" w:cs="Times New Roman"/>
                <w:sz w:val="24"/>
                <w:szCs w:val="24"/>
                <w:lang w:eastAsia="zh-CN"/>
              </w:rPr>
              <w:t>，其浓度随着降雨历时延长而较快下降，降雨历时40~60min后，路面基本被冲刷干净，路面径流污染物浓度基本稳定在较低水平。</w:t>
            </w:r>
          </w:p>
          <w:p w14:paraId="6F4AD0B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根据气象资料，本项目所在地吉木萨尔县为干旱地区，历年全年平均降水量</w:t>
            </w:r>
            <w:r>
              <w:rPr>
                <w:rFonts w:ascii="Times New Roman" w:hAnsi="Times New Roman" w:cs="Times New Roman"/>
                <w:sz w:val="24"/>
                <w:szCs w:val="24"/>
                <w:lang w:eastAsia="zh-CN"/>
              </w:rPr>
              <w:t>269.4mm，年均蒸发量2141mm，降水稀少，蒸发强烈，空气干燥，路面排水量较小，仅在暴雨冲刷路面或融雪期冰雪融水易形成路面水量汇流</w:t>
            </w:r>
            <w:r>
              <w:rPr>
                <w:rFonts w:hint="eastAsia" w:ascii="Times New Roman" w:hAnsi="Times New Roman" w:cs="Times New Roman"/>
                <w:sz w:val="24"/>
                <w:szCs w:val="24"/>
                <w:lang w:eastAsia="zh-CN"/>
              </w:rPr>
              <w:t>，路面径流利用道路纵坡及路面横坡排水系统自然蒸发。项目周边无地表水体，无水力联系，对环境影响较小，运营期通过加强道路的管理，及时清除车辆抛洒在路面的杂物、污染物，路面定期清扫保持清洁等措施，尽可能减少道路表面可能进入路面径流的污染物数量，从而将路面径流对环境的影响降到最低。</w:t>
            </w:r>
          </w:p>
          <w:p w14:paraId="24367B8A">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）生活污水</w:t>
            </w:r>
          </w:p>
          <w:p w14:paraId="592E1C4C">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根据工程设计资料，本项目共设置1处</w:t>
            </w:r>
            <w:r>
              <w:rPr>
                <w:rFonts w:ascii="Times New Roman" w:hAnsi="Times New Roman" w:cs="Times New Roman"/>
                <w:sz w:val="24"/>
                <w:szCs w:val="24"/>
                <w:lang w:eastAsia="zh-CN"/>
              </w:rPr>
              <w:t>收费站、1处</w:t>
            </w:r>
            <w:r>
              <w:rPr>
                <w:rFonts w:hint="eastAsia" w:ascii="Times New Roman" w:hAnsi="Times New Roman" w:cs="Times New Roman"/>
                <w:sz w:val="24"/>
                <w:szCs w:val="24"/>
                <w:lang w:eastAsia="zh-CN"/>
              </w:rPr>
              <w:t>服务区（西区、东区）、1处养护工区</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项目工作人员用水定额</w:t>
            </w:r>
            <w:r>
              <w:rPr>
                <w:rFonts w:ascii="Times New Roman" w:hAnsi="Times New Roman" w:cs="Times New Roman"/>
                <w:sz w:val="24"/>
                <w:szCs w:val="24"/>
                <w:lang w:eastAsia="zh-CN"/>
              </w:rPr>
              <w:t>80L/</w:t>
            </w:r>
            <w:r>
              <w:rPr>
                <w:rFonts w:hint="eastAsia" w:ascii="Times New Roman" w:hAnsi="Times New Roman" w:cs="Times New Roman"/>
                <w:sz w:val="24"/>
                <w:szCs w:val="24"/>
                <w:lang w:eastAsia="zh-CN"/>
              </w:rPr>
              <w:t>人·d，收费站劳动</w:t>
            </w:r>
            <w:r>
              <w:rPr>
                <w:rFonts w:ascii="Times New Roman" w:hAnsi="Times New Roman" w:cs="Times New Roman"/>
                <w:sz w:val="24"/>
                <w:szCs w:val="24"/>
                <w:lang w:eastAsia="zh-CN"/>
              </w:rPr>
              <w:t>定</w:t>
            </w:r>
            <w:r>
              <w:rPr>
                <w:rFonts w:hint="eastAsia" w:ascii="Times New Roman" w:hAnsi="Times New Roman" w:cs="Times New Roman"/>
                <w:sz w:val="24"/>
                <w:szCs w:val="24"/>
                <w:lang w:eastAsia="zh-CN"/>
              </w:rPr>
              <w:t>员70人</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则</w:t>
            </w:r>
            <w:r>
              <w:rPr>
                <w:rFonts w:ascii="Times New Roman" w:hAnsi="Times New Roman" w:cs="Times New Roman"/>
                <w:sz w:val="24"/>
                <w:szCs w:val="24"/>
                <w:lang w:eastAsia="zh-CN"/>
              </w:rPr>
              <w:t>收费站生活用水量</w:t>
            </w:r>
            <w:r>
              <w:rPr>
                <w:rFonts w:hint="eastAsia" w:ascii="Times New Roman" w:hAnsi="Times New Roman" w:cs="Times New Roman"/>
                <w:sz w:val="24"/>
                <w:szCs w:val="24"/>
                <w:lang w:eastAsia="zh-CN"/>
              </w:rPr>
              <w:t>5.6</w:t>
            </w:r>
            <w:r>
              <w:rPr>
                <w:rFonts w:ascii="Times New Roman" w:hAnsi="Times New Roman" w:cs="Times New Roman"/>
                <w:sz w:val="24"/>
                <w:szCs w:val="24"/>
                <w:lang w:eastAsia="zh-CN"/>
              </w:rPr>
              <w:t>m³/d；</w:t>
            </w:r>
            <w:r>
              <w:rPr>
                <w:rFonts w:hint="eastAsia" w:ascii="Times New Roman" w:hAnsi="Times New Roman" w:cs="Times New Roman"/>
                <w:sz w:val="24"/>
                <w:szCs w:val="24"/>
                <w:lang w:eastAsia="zh-CN"/>
              </w:rPr>
              <w:t>服务区（西区、东区）劳动定员总人数6</w:t>
            </w:r>
            <w:r>
              <w:rPr>
                <w:rFonts w:ascii="Times New Roman" w:hAnsi="Times New Roman" w:cs="Times New Roman"/>
                <w:sz w:val="24"/>
                <w:szCs w:val="24"/>
                <w:lang w:eastAsia="zh-CN"/>
              </w:rPr>
              <w:t>0</w:t>
            </w:r>
            <w:r>
              <w:rPr>
                <w:rFonts w:hint="eastAsia" w:ascii="Times New Roman" w:hAnsi="Times New Roman" w:cs="Times New Roman"/>
                <w:sz w:val="24"/>
                <w:szCs w:val="24"/>
                <w:lang w:eastAsia="zh-CN"/>
              </w:rPr>
              <w:t>人；服务区过往人员洗手、冲厕用水定额</w:t>
            </w:r>
            <w:r>
              <w:rPr>
                <w:rFonts w:ascii="Times New Roman" w:hAnsi="Times New Roman" w:cs="Times New Roman"/>
                <w:sz w:val="24"/>
                <w:szCs w:val="24"/>
                <w:lang w:eastAsia="zh-CN"/>
              </w:rPr>
              <w:t>20L/人，</w:t>
            </w:r>
            <w:r>
              <w:rPr>
                <w:rFonts w:hint="eastAsia" w:ascii="Times New Roman" w:hAnsi="Times New Roman" w:cs="Times New Roman"/>
                <w:sz w:val="24"/>
                <w:szCs w:val="24"/>
                <w:lang w:eastAsia="zh-CN"/>
              </w:rPr>
              <w:t>服务区（西区、东区）过往总人数约1</w:t>
            </w:r>
            <w:r>
              <w:rPr>
                <w:rFonts w:ascii="Times New Roman" w:hAnsi="Times New Roman" w:cs="Times New Roman"/>
                <w:sz w:val="24"/>
                <w:szCs w:val="24"/>
                <w:lang w:eastAsia="zh-CN"/>
              </w:rPr>
              <w:t>000</w:t>
            </w:r>
            <w:r>
              <w:rPr>
                <w:rFonts w:hint="eastAsia" w:ascii="Times New Roman" w:hAnsi="Times New Roman" w:cs="Times New Roman"/>
                <w:sz w:val="24"/>
                <w:szCs w:val="24"/>
                <w:lang w:eastAsia="zh-CN"/>
              </w:rPr>
              <w:t>人/d，则服务区过往人员生活用水总量</w:t>
            </w:r>
            <w:r>
              <w:rPr>
                <w:rFonts w:ascii="Times New Roman" w:hAnsi="Times New Roman" w:cs="Times New Roman"/>
                <w:sz w:val="24"/>
                <w:szCs w:val="24"/>
                <w:lang w:eastAsia="zh-CN"/>
              </w:rPr>
              <w:t>20</w:t>
            </w:r>
            <w:r>
              <w:rPr>
                <w:rFonts w:hint="eastAsia" w:ascii="Times New Roman" w:hAnsi="Times New Roman" w:cs="Times New Roman"/>
                <w:sz w:val="24"/>
                <w:szCs w:val="24"/>
                <w:lang w:eastAsia="zh-CN"/>
              </w:rPr>
              <w:t>m³</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d；养护工区劳动定员6</w:t>
            </w:r>
            <w:r>
              <w:rPr>
                <w:rFonts w:ascii="Times New Roman" w:hAnsi="Times New Roman" w:cs="Times New Roman"/>
                <w:sz w:val="24"/>
                <w:szCs w:val="24"/>
                <w:lang w:eastAsia="zh-CN"/>
              </w:rPr>
              <w:t>0</w:t>
            </w:r>
            <w:r>
              <w:rPr>
                <w:rFonts w:hint="eastAsia" w:ascii="Times New Roman" w:hAnsi="Times New Roman" w:cs="Times New Roman"/>
                <w:sz w:val="24"/>
                <w:szCs w:val="24"/>
                <w:lang w:eastAsia="zh-CN"/>
              </w:rPr>
              <w:t>人，则养护工区生活用水量</w:t>
            </w:r>
            <w:r>
              <w:rPr>
                <w:rFonts w:ascii="Times New Roman" w:hAnsi="Times New Roman" w:cs="Times New Roman"/>
                <w:sz w:val="24"/>
                <w:szCs w:val="24"/>
                <w:lang w:eastAsia="zh-CN"/>
              </w:rPr>
              <w:t>4.8m³/d</w:t>
            </w:r>
            <w:r>
              <w:rPr>
                <w:rFonts w:hint="eastAsia" w:ascii="Times New Roman" w:hAnsi="Times New Roman" w:cs="Times New Roman"/>
                <w:sz w:val="24"/>
                <w:szCs w:val="24"/>
                <w:lang w:eastAsia="zh-CN"/>
              </w:rPr>
              <w:t>。项目生活污水排放情况见表4</w:t>
            </w:r>
            <w:r>
              <w:rPr>
                <w:rFonts w:ascii="Times New Roman" w:hAnsi="Times New Roman" w:cs="Times New Roman"/>
                <w:sz w:val="24"/>
                <w:szCs w:val="24"/>
                <w:lang w:eastAsia="zh-CN"/>
              </w:rPr>
              <w:t>.6</w:t>
            </w:r>
            <w:r>
              <w:rPr>
                <w:rFonts w:hint="eastAsia" w:ascii="Times New Roman" w:hAnsi="Times New Roman" w:cs="Times New Roman"/>
                <w:sz w:val="24"/>
                <w:szCs w:val="24"/>
                <w:lang w:eastAsia="zh-CN"/>
              </w:rPr>
              <w:t>，生活污水产排污情况见表4</w:t>
            </w:r>
            <w:r>
              <w:rPr>
                <w:rFonts w:ascii="Times New Roman" w:hAnsi="Times New Roman" w:cs="Times New Roman"/>
                <w:sz w:val="24"/>
                <w:szCs w:val="24"/>
                <w:lang w:eastAsia="zh-CN"/>
              </w:rPr>
              <w:t>.7</w:t>
            </w:r>
            <w:r>
              <w:rPr>
                <w:rFonts w:hint="eastAsia" w:ascii="Times New Roman" w:hAnsi="Times New Roman" w:cs="Times New Roman"/>
                <w:sz w:val="24"/>
                <w:szCs w:val="24"/>
                <w:lang w:eastAsia="zh-CN"/>
              </w:rPr>
              <w:t>。</w:t>
            </w:r>
          </w:p>
          <w:p w14:paraId="77B1F1DD">
            <w:pPr>
              <w:autoSpaceDE/>
              <w:autoSpaceDN/>
              <w:ind w:firstLine="422"/>
              <w:jc w:val="center"/>
              <w:rPr>
                <w:rFonts w:ascii="Times New Roman" w:hAnsi="Times New Roman" w:cs="Times New Roman"/>
                <w:b/>
                <w:color w:val="000000"/>
                <w:kern w:val="2"/>
                <w:sz w:val="21"/>
                <w:szCs w:val="21"/>
                <w:lang w:eastAsia="zh-CN"/>
              </w:rPr>
            </w:pPr>
          </w:p>
          <w:p w14:paraId="4A63334B">
            <w:pPr>
              <w:autoSpaceDE/>
              <w:autoSpaceDN/>
              <w:ind w:firstLine="422"/>
              <w:jc w:val="center"/>
              <w:rPr>
                <w:rFonts w:ascii="Times New Roman" w:hAnsi="Times New Roman" w:cs="Times New Roman"/>
                <w:b/>
                <w:color w:val="000000"/>
                <w:kern w:val="2"/>
                <w:sz w:val="21"/>
                <w:szCs w:val="21"/>
                <w:lang w:eastAsia="zh-CN"/>
              </w:rPr>
            </w:pPr>
          </w:p>
          <w:p w14:paraId="4FD68F34">
            <w:pPr>
              <w:autoSpaceDE/>
              <w:autoSpaceDN/>
              <w:ind w:firstLine="422"/>
              <w:jc w:val="center"/>
              <w:rPr>
                <w:rFonts w:ascii="Times New Roman" w:hAnsi="Times New Roman" w:cs="Times New Roman"/>
                <w:b/>
                <w:color w:val="000000"/>
                <w:kern w:val="2"/>
                <w:sz w:val="21"/>
                <w:szCs w:val="21"/>
                <w:lang w:eastAsia="zh-CN"/>
              </w:rPr>
            </w:pPr>
          </w:p>
          <w:p w14:paraId="59006E2B">
            <w:pPr>
              <w:autoSpaceDE/>
              <w:autoSpaceDN/>
              <w:ind w:firstLine="422"/>
              <w:jc w:val="center"/>
              <w:rPr>
                <w:rFonts w:ascii="Times New Roman" w:hAnsi="Times New Roman" w:cs="Times New Roman"/>
                <w:b/>
                <w:color w:val="000000"/>
                <w:kern w:val="2"/>
                <w:sz w:val="21"/>
                <w:szCs w:val="21"/>
                <w:lang w:eastAsia="zh-CN"/>
              </w:rPr>
            </w:pPr>
            <w:r>
              <w:rPr>
                <w:rFonts w:hint="eastAsia" w:ascii="Times New Roman" w:hAnsi="Times New Roman" w:cs="Times New Roman"/>
                <w:b/>
                <w:color w:val="000000"/>
                <w:kern w:val="2"/>
                <w:sz w:val="21"/>
                <w:szCs w:val="21"/>
                <w:lang w:eastAsia="zh-CN"/>
              </w:rPr>
              <w:t>表4</w:t>
            </w:r>
            <w:r>
              <w:rPr>
                <w:rFonts w:ascii="Times New Roman" w:hAnsi="Times New Roman" w:cs="Times New Roman"/>
                <w:b/>
                <w:color w:val="000000"/>
                <w:kern w:val="2"/>
                <w:sz w:val="21"/>
                <w:szCs w:val="21"/>
                <w:lang w:eastAsia="zh-CN"/>
              </w:rPr>
              <w:t xml:space="preserve">.6  </w:t>
            </w:r>
            <w:r>
              <w:rPr>
                <w:rFonts w:hint="eastAsia" w:ascii="Times New Roman" w:hAnsi="Times New Roman" w:cs="Times New Roman"/>
                <w:b/>
                <w:color w:val="000000"/>
                <w:kern w:val="2"/>
                <w:sz w:val="21"/>
                <w:szCs w:val="21"/>
                <w:lang w:eastAsia="zh-CN"/>
              </w:rPr>
              <w:t xml:space="preserve">项目生活污水排放情况一览表 </w:t>
            </w:r>
            <w:r>
              <w:rPr>
                <w:rFonts w:ascii="Times New Roman" w:hAnsi="Times New Roman" w:cs="Times New Roman"/>
                <w:b/>
                <w:color w:val="000000"/>
                <w:kern w:val="2"/>
                <w:sz w:val="21"/>
                <w:szCs w:val="21"/>
                <w:lang w:eastAsia="zh-CN"/>
              </w:rPr>
              <w:t xml:space="preserve">   </w:t>
            </w:r>
            <w:r>
              <w:rPr>
                <w:rFonts w:hint="eastAsia" w:ascii="Times New Roman" w:hAnsi="Times New Roman" w:cs="Times New Roman"/>
                <w:b/>
                <w:color w:val="000000"/>
                <w:kern w:val="2"/>
                <w:sz w:val="21"/>
                <w:szCs w:val="21"/>
                <w:lang w:eastAsia="zh-CN"/>
              </w:rPr>
              <w:t>单位：mg</w:t>
            </w:r>
            <w:r>
              <w:rPr>
                <w:rFonts w:ascii="Times New Roman" w:hAnsi="Times New Roman" w:cs="Times New Roman"/>
                <w:b/>
                <w:color w:val="000000"/>
                <w:kern w:val="2"/>
                <w:sz w:val="21"/>
                <w:szCs w:val="21"/>
                <w:lang w:eastAsia="zh-CN"/>
              </w:rPr>
              <w:t>/L</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743"/>
              <w:gridCol w:w="1276"/>
              <w:gridCol w:w="1100"/>
              <w:gridCol w:w="636"/>
              <w:gridCol w:w="691"/>
              <w:gridCol w:w="726"/>
              <w:gridCol w:w="2756"/>
            </w:tblGrid>
            <w:tr w14:paraId="423B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restart"/>
                  <w:vAlign w:val="center"/>
                </w:tcPr>
                <w:p w14:paraId="008F4A4E">
                  <w:pPr>
                    <w:spacing w:line="240" w:lineRule="exact"/>
                    <w:jc w:val="center"/>
                    <w:rPr>
                      <w:rFonts w:ascii="Times New Roman" w:hAnsi="Times New Roman" w:cs="Times New Roman"/>
                      <w:b/>
                      <w:sz w:val="21"/>
                      <w:szCs w:val="21"/>
                      <w:lang w:eastAsia="zh-CN"/>
                    </w:rPr>
                  </w:pPr>
                  <w:bookmarkStart w:id="5" w:name="_Ref262731465"/>
                  <w:r>
                    <w:rPr>
                      <w:rFonts w:hint="eastAsia" w:ascii="Times New Roman" w:hAnsi="Times New Roman" w:cs="Times New Roman"/>
                      <w:b/>
                      <w:sz w:val="21"/>
                      <w:szCs w:val="21"/>
                      <w:lang w:eastAsia="zh-CN"/>
                    </w:rPr>
                    <w:t>生活用水区域</w:t>
                  </w:r>
                </w:p>
              </w:tc>
              <w:tc>
                <w:tcPr>
                  <w:tcW w:w="2019" w:type="dxa"/>
                  <w:gridSpan w:val="2"/>
                  <w:vMerge w:val="restart"/>
                  <w:vAlign w:val="center"/>
                </w:tcPr>
                <w:p w14:paraId="14224E48">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污水种类</w:t>
                  </w:r>
                </w:p>
              </w:tc>
              <w:tc>
                <w:tcPr>
                  <w:tcW w:w="3153" w:type="dxa"/>
                  <w:gridSpan w:val="4"/>
                  <w:vAlign w:val="center"/>
                </w:tcPr>
                <w:p w14:paraId="0321DFA0">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废水排放量</w:t>
                  </w:r>
                </w:p>
              </w:tc>
              <w:tc>
                <w:tcPr>
                  <w:tcW w:w="2756" w:type="dxa"/>
                  <w:vMerge w:val="restart"/>
                  <w:vAlign w:val="center"/>
                </w:tcPr>
                <w:p w14:paraId="458CB655">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排放去向</w:t>
                  </w:r>
                </w:p>
              </w:tc>
            </w:tr>
            <w:tr w14:paraId="5DB1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continue"/>
                  <w:vAlign w:val="center"/>
                </w:tcPr>
                <w:p w14:paraId="089DA365">
                  <w:pPr>
                    <w:spacing w:line="240" w:lineRule="exact"/>
                    <w:jc w:val="center"/>
                    <w:rPr>
                      <w:rFonts w:ascii="Times New Roman" w:hAnsi="Times New Roman" w:cs="Times New Roman"/>
                      <w:sz w:val="21"/>
                      <w:szCs w:val="21"/>
                    </w:rPr>
                  </w:pPr>
                </w:p>
              </w:tc>
              <w:tc>
                <w:tcPr>
                  <w:tcW w:w="2019" w:type="dxa"/>
                  <w:gridSpan w:val="2"/>
                  <w:vMerge w:val="continue"/>
                  <w:vAlign w:val="center"/>
                </w:tcPr>
                <w:p w14:paraId="2291FE7C">
                  <w:pPr>
                    <w:spacing w:line="240" w:lineRule="exact"/>
                    <w:rPr>
                      <w:rFonts w:ascii="Times New Roman" w:hAnsi="Times New Roman" w:cs="Times New Roman"/>
                      <w:sz w:val="21"/>
                      <w:szCs w:val="21"/>
                    </w:rPr>
                  </w:pPr>
                </w:p>
              </w:tc>
              <w:tc>
                <w:tcPr>
                  <w:tcW w:w="1100" w:type="dxa"/>
                  <w:vAlign w:val="center"/>
                </w:tcPr>
                <w:p w14:paraId="55DC95A4">
                  <w:pPr>
                    <w:spacing w:line="240" w:lineRule="exact"/>
                    <w:rPr>
                      <w:rFonts w:ascii="Times New Roman" w:hAnsi="Times New Roman" w:cs="Times New Roman"/>
                      <w:sz w:val="21"/>
                      <w:szCs w:val="21"/>
                    </w:rPr>
                  </w:pPr>
                  <w:r>
                    <w:rPr>
                      <w:rFonts w:hint="eastAsia" w:ascii="Times New Roman" w:hAnsi="Times New Roman" w:cs="Times New Roman"/>
                      <w:sz w:val="21"/>
                      <w:szCs w:val="21"/>
                      <w:lang w:eastAsia="zh-CN"/>
                    </w:rPr>
                    <w:t>用水</w:t>
                  </w:r>
                  <w:r>
                    <w:rPr>
                      <w:rFonts w:ascii="Times New Roman" w:hAnsi="Times New Roman" w:cs="Times New Roman"/>
                      <w:sz w:val="21"/>
                      <w:szCs w:val="21"/>
                    </w:rPr>
                    <w:t>定额</w:t>
                  </w:r>
                </w:p>
                <w:p w14:paraId="0A659012">
                  <w:pPr>
                    <w:spacing w:line="240" w:lineRule="exact"/>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/人</w:t>
                  </w:r>
                  <w:r>
                    <w:rPr>
                      <w:rFonts w:hint="eastAsia" w:ascii="Times New Roman" w:hAnsi="Times New Roman" w:cs="Times New Roman"/>
                      <w:sz w:val="21"/>
                      <w:szCs w:val="21"/>
                      <w:lang w:eastAsia="zh-CN"/>
                    </w:rPr>
                    <w:t>·d</w:t>
                  </w:r>
                </w:p>
              </w:tc>
              <w:tc>
                <w:tcPr>
                  <w:tcW w:w="636" w:type="dxa"/>
                  <w:vAlign w:val="center"/>
                </w:tcPr>
                <w:p w14:paraId="7554ADB2">
                  <w:pPr>
                    <w:spacing w:line="240" w:lineRule="exact"/>
                    <w:jc w:val="center"/>
                    <w:rPr>
                      <w:rFonts w:ascii="Times New Roman" w:hAnsi="Times New Roman" w:cs="Times New Roman"/>
                      <w:sz w:val="21"/>
                      <w:szCs w:val="21"/>
                    </w:rPr>
                  </w:pPr>
                  <w:r>
                    <w:rPr>
                      <w:rFonts w:ascii="Times New Roman" w:hAnsi="Times New Roman" w:cs="Times New Roman"/>
                      <w:sz w:val="21"/>
                      <w:szCs w:val="21"/>
                    </w:rPr>
                    <w:t>人数</w:t>
                  </w:r>
                </w:p>
              </w:tc>
              <w:tc>
                <w:tcPr>
                  <w:tcW w:w="691" w:type="dxa"/>
                  <w:vAlign w:val="center"/>
                </w:tcPr>
                <w:p w14:paraId="4C98777B">
                  <w:pPr>
                    <w:spacing w:line="240" w:lineRule="exact"/>
                    <w:jc w:val="center"/>
                    <w:rPr>
                      <w:rFonts w:ascii="Times New Roman" w:hAnsi="Times New Roman" w:cs="Times New Roman"/>
                      <w:sz w:val="21"/>
                      <w:szCs w:val="21"/>
                    </w:rPr>
                  </w:pPr>
                  <w:r>
                    <w:rPr>
                      <w:rFonts w:ascii="Times New Roman" w:hAnsi="Times New Roman" w:cs="Times New Roman"/>
                      <w:sz w:val="21"/>
                      <w:szCs w:val="21"/>
                    </w:rPr>
                    <w:t>排放</w:t>
                  </w:r>
                </w:p>
                <w:p w14:paraId="102C803B">
                  <w:pPr>
                    <w:spacing w:line="240" w:lineRule="exact"/>
                    <w:jc w:val="center"/>
                    <w:rPr>
                      <w:rFonts w:ascii="Times New Roman" w:hAnsi="Times New Roman" w:cs="Times New Roman"/>
                      <w:sz w:val="21"/>
                      <w:szCs w:val="21"/>
                    </w:rPr>
                  </w:pPr>
                  <w:r>
                    <w:rPr>
                      <w:rFonts w:ascii="Times New Roman" w:hAnsi="Times New Roman" w:cs="Times New Roman"/>
                      <w:sz w:val="21"/>
                      <w:szCs w:val="21"/>
                    </w:rPr>
                    <w:t>系数</w:t>
                  </w:r>
                </w:p>
              </w:tc>
              <w:tc>
                <w:tcPr>
                  <w:tcW w:w="726" w:type="dxa"/>
                  <w:vAlign w:val="center"/>
                </w:tcPr>
                <w:p w14:paraId="1640030B">
                  <w:pPr>
                    <w:spacing w:line="240" w:lineRule="exact"/>
                    <w:jc w:val="center"/>
                    <w:rPr>
                      <w:rFonts w:ascii="Times New Roman" w:hAnsi="Times New Roman" w:cs="Times New Roman"/>
                      <w:sz w:val="21"/>
                      <w:szCs w:val="21"/>
                    </w:rPr>
                  </w:pPr>
                  <w:r>
                    <w:rPr>
                      <w:rFonts w:ascii="Times New Roman" w:hAnsi="Times New Roman" w:cs="Times New Roman"/>
                      <w:sz w:val="21"/>
                      <w:szCs w:val="21"/>
                    </w:rPr>
                    <w:t>小计</w:t>
                  </w:r>
                </w:p>
                <w:p w14:paraId="30C18BE6">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/d</w:t>
                  </w:r>
                </w:p>
              </w:tc>
              <w:tc>
                <w:tcPr>
                  <w:tcW w:w="2756" w:type="dxa"/>
                  <w:vMerge w:val="continue"/>
                  <w:vAlign w:val="center"/>
                </w:tcPr>
                <w:p w14:paraId="0C20B44D">
                  <w:pPr>
                    <w:spacing w:line="240" w:lineRule="exact"/>
                    <w:rPr>
                      <w:rFonts w:ascii="Times New Roman" w:hAnsi="Times New Roman" w:cs="Times New Roman"/>
                      <w:sz w:val="21"/>
                      <w:szCs w:val="21"/>
                    </w:rPr>
                  </w:pPr>
                </w:p>
              </w:tc>
            </w:tr>
            <w:tr w14:paraId="57A8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Align w:val="center"/>
                </w:tcPr>
                <w:p w14:paraId="00A8A02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lang w:eastAsia="zh-CN"/>
                    </w:rPr>
                    <w:t>收费站</w:t>
                  </w:r>
                </w:p>
              </w:tc>
              <w:tc>
                <w:tcPr>
                  <w:tcW w:w="743" w:type="dxa"/>
                  <w:vAlign w:val="center"/>
                </w:tcPr>
                <w:p w14:paraId="0A4EC7F3">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生活</w:t>
                  </w:r>
                </w:p>
                <w:p w14:paraId="3C7B98C8">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lang w:eastAsia="zh-CN"/>
                    </w:rPr>
                    <w:t>污水</w:t>
                  </w:r>
                </w:p>
              </w:tc>
              <w:tc>
                <w:tcPr>
                  <w:tcW w:w="1276" w:type="dxa"/>
                  <w:vAlign w:val="center"/>
                </w:tcPr>
                <w:p w14:paraId="6CA1180E">
                  <w:pPr>
                    <w:spacing w:line="240" w:lineRule="exact"/>
                    <w:jc w:val="center"/>
                    <w:rPr>
                      <w:rFonts w:ascii="Times New Roman" w:hAnsi="Times New Roman" w:cs="Times New Roman"/>
                      <w:sz w:val="21"/>
                      <w:szCs w:val="21"/>
                    </w:rPr>
                  </w:pPr>
                  <w:r>
                    <w:rPr>
                      <w:rFonts w:ascii="Times New Roman" w:hAnsi="Times New Roman" w:cs="Times New Roman"/>
                      <w:sz w:val="21"/>
                      <w:szCs w:val="21"/>
                      <w:lang w:eastAsia="zh-CN"/>
                    </w:rPr>
                    <w:t>工作人员</w:t>
                  </w:r>
                </w:p>
              </w:tc>
              <w:tc>
                <w:tcPr>
                  <w:tcW w:w="1100" w:type="dxa"/>
                  <w:vAlign w:val="center"/>
                </w:tcPr>
                <w:p w14:paraId="7B24C466">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0.08</w:t>
                  </w:r>
                </w:p>
              </w:tc>
              <w:tc>
                <w:tcPr>
                  <w:tcW w:w="636" w:type="dxa"/>
                  <w:vAlign w:val="center"/>
                </w:tcPr>
                <w:p w14:paraId="4C8F6BE0">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7</w:t>
                  </w:r>
                  <w:r>
                    <w:rPr>
                      <w:rFonts w:ascii="Times New Roman" w:hAnsi="Times New Roman" w:cs="Times New Roman"/>
                      <w:sz w:val="21"/>
                      <w:szCs w:val="21"/>
                      <w:lang w:eastAsia="zh-CN"/>
                    </w:rPr>
                    <w:t>0</w:t>
                  </w:r>
                </w:p>
              </w:tc>
              <w:tc>
                <w:tcPr>
                  <w:tcW w:w="691" w:type="dxa"/>
                  <w:vAlign w:val="center"/>
                </w:tcPr>
                <w:p w14:paraId="352A3CBA">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w:t>
                  </w:r>
                  <w:r>
                    <w:rPr>
                      <w:rFonts w:ascii="Times New Roman" w:hAnsi="Times New Roman" w:cs="Times New Roman"/>
                      <w:sz w:val="21"/>
                      <w:szCs w:val="21"/>
                      <w:lang w:eastAsia="zh-CN"/>
                    </w:rPr>
                    <w:t>.8</w:t>
                  </w:r>
                </w:p>
              </w:tc>
              <w:tc>
                <w:tcPr>
                  <w:tcW w:w="726" w:type="dxa"/>
                  <w:vAlign w:val="center"/>
                </w:tcPr>
                <w:p w14:paraId="306888EF">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4.48</w:t>
                  </w:r>
                </w:p>
              </w:tc>
              <w:tc>
                <w:tcPr>
                  <w:tcW w:w="2756" w:type="dxa"/>
                  <w:vAlign w:val="center"/>
                </w:tcPr>
                <w:p w14:paraId="3559F8BD">
                  <w:pPr>
                    <w:spacing w:line="240" w:lineRule="exact"/>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设置</w:t>
                  </w:r>
                  <w:r>
                    <w:rPr>
                      <w:rFonts w:ascii="Times New Roman" w:hAnsi="Times New Roman" w:cs="Times New Roman"/>
                      <w:sz w:val="21"/>
                      <w:szCs w:val="21"/>
                      <w:lang w:eastAsia="zh-CN"/>
                    </w:rPr>
                    <w:t>1座化粪池（15m³），</w:t>
                  </w:r>
                  <w:r>
                    <w:rPr>
                      <w:rFonts w:hint="eastAsia" w:ascii="Times New Roman" w:hAnsi="Times New Roman" w:cs="Times New Roman"/>
                      <w:sz w:val="21"/>
                      <w:szCs w:val="21"/>
                      <w:lang w:eastAsia="zh-CN"/>
                    </w:rPr>
                    <w:t>设置1座处理能力5</w:t>
                  </w:r>
                  <w:r>
                    <w:rPr>
                      <w:rFonts w:ascii="Times New Roman" w:hAnsi="Times New Roman" w:cs="Times New Roman"/>
                      <w:sz w:val="21"/>
                      <w:szCs w:val="21"/>
                      <w:lang w:eastAsia="zh-CN"/>
                    </w:rPr>
                    <w:t>0</w:t>
                  </w:r>
                  <w:r>
                    <w:rPr>
                      <w:rFonts w:hint="eastAsia" w:ascii="Times New Roman" w:hAnsi="Times New Roman" w:cs="Times New Roman"/>
                      <w:sz w:val="21"/>
                      <w:szCs w:val="21"/>
                      <w:lang w:eastAsia="zh-CN"/>
                    </w:rPr>
                    <w:t>m³</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d的污水处理站（A</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/O</w:t>
                  </w:r>
                  <w:r>
                    <w:rPr>
                      <w:rFonts w:hint="eastAsia" w:ascii="Times New Roman" w:hAnsi="Times New Roman" w:cs="Times New Roman"/>
                      <w:sz w:val="21"/>
                      <w:szCs w:val="21"/>
                      <w:lang w:eastAsia="zh-CN"/>
                    </w:rPr>
                    <w:t>处理工艺）。</w:t>
                  </w:r>
                </w:p>
              </w:tc>
            </w:tr>
            <w:tr w14:paraId="0C94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restart"/>
                  <w:vAlign w:val="center"/>
                </w:tcPr>
                <w:p w14:paraId="6CFF982E">
                  <w:pPr>
                    <w:spacing w:line="240" w:lineRule="exact"/>
                    <w:jc w:val="center"/>
                    <w:rPr>
                      <w:rFonts w:ascii="Times New Roman" w:hAnsi="Times New Roman" w:cs="Times New Roman"/>
                      <w:sz w:val="21"/>
                      <w:szCs w:val="21"/>
                    </w:rPr>
                  </w:pPr>
                  <w:r>
                    <w:rPr>
                      <w:rFonts w:ascii="Times New Roman" w:hAnsi="Times New Roman" w:cs="Times New Roman"/>
                      <w:sz w:val="21"/>
                      <w:szCs w:val="21"/>
                    </w:rPr>
                    <w:t>服务区</w:t>
                  </w:r>
                </w:p>
              </w:tc>
              <w:tc>
                <w:tcPr>
                  <w:tcW w:w="743" w:type="dxa"/>
                  <w:vMerge w:val="restart"/>
                  <w:vAlign w:val="center"/>
                </w:tcPr>
                <w:p w14:paraId="247E02C4">
                  <w:pPr>
                    <w:spacing w:line="240" w:lineRule="exact"/>
                    <w:jc w:val="center"/>
                    <w:rPr>
                      <w:rFonts w:ascii="Times New Roman" w:hAnsi="Times New Roman" w:cs="Times New Roman"/>
                      <w:sz w:val="21"/>
                      <w:szCs w:val="21"/>
                    </w:rPr>
                  </w:pPr>
                  <w:r>
                    <w:rPr>
                      <w:rFonts w:ascii="Times New Roman" w:hAnsi="Times New Roman" w:cs="Times New Roman"/>
                      <w:sz w:val="21"/>
                      <w:szCs w:val="21"/>
                    </w:rPr>
                    <w:t>生活</w:t>
                  </w:r>
                </w:p>
                <w:p w14:paraId="113CDBF8">
                  <w:pPr>
                    <w:spacing w:line="240" w:lineRule="exact"/>
                    <w:jc w:val="center"/>
                    <w:rPr>
                      <w:rFonts w:ascii="Times New Roman" w:hAnsi="Times New Roman" w:cs="Times New Roman"/>
                      <w:sz w:val="21"/>
                      <w:szCs w:val="21"/>
                    </w:rPr>
                  </w:pPr>
                  <w:r>
                    <w:rPr>
                      <w:rFonts w:ascii="Times New Roman" w:hAnsi="Times New Roman" w:cs="Times New Roman"/>
                      <w:sz w:val="21"/>
                      <w:szCs w:val="21"/>
                    </w:rPr>
                    <w:t>污水</w:t>
                  </w:r>
                </w:p>
              </w:tc>
              <w:tc>
                <w:tcPr>
                  <w:tcW w:w="1276" w:type="dxa"/>
                  <w:vAlign w:val="center"/>
                </w:tcPr>
                <w:p w14:paraId="66CF6680">
                  <w:pPr>
                    <w:spacing w:line="240" w:lineRule="exact"/>
                    <w:jc w:val="center"/>
                    <w:rPr>
                      <w:rFonts w:ascii="Times New Roman" w:hAnsi="Times New Roman" w:cs="Times New Roman"/>
                      <w:sz w:val="21"/>
                      <w:szCs w:val="21"/>
                    </w:rPr>
                  </w:pPr>
                  <w:r>
                    <w:rPr>
                      <w:rFonts w:ascii="Times New Roman" w:hAnsi="Times New Roman" w:cs="Times New Roman"/>
                      <w:sz w:val="21"/>
                      <w:szCs w:val="21"/>
                    </w:rPr>
                    <w:t>工作人员</w:t>
                  </w:r>
                </w:p>
              </w:tc>
              <w:tc>
                <w:tcPr>
                  <w:tcW w:w="1100" w:type="dxa"/>
                  <w:vAlign w:val="center"/>
                </w:tcPr>
                <w:p w14:paraId="3D9C1930">
                  <w:pPr>
                    <w:spacing w:line="240" w:lineRule="exact"/>
                    <w:jc w:val="center"/>
                    <w:rPr>
                      <w:rFonts w:ascii="Times New Roman" w:hAnsi="Times New Roman" w:cs="Times New Roman"/>
                      <w:sz w:val="21"/>
                      <w:szCs w:val="21"/>
                    </w:rPr>
                  </w:pPr>
                  <w:r>
                    <w:rPr>
                      <w:rFonts w:ascii="Times New Roman" w:hAnsi="Times New Roman" w:cs="Times New Roman"/>
                      <w:sz w:val="21"/>
                      <w:szCs w:val="21"/>
                    </w:rPr>
                    <w:t>0.08</w:t>
                  </w:r>
                </w:p>
              </w:tc>
              <w:tc>
                <w:tcPr>
                  <w:tcW w:w="636" w:type="dxa"/>
                  <w:vAlign w:val="center"/>
                </w:tcPr>
                <w:p w14:paraId="287F145D">
                  <w:pPr>
                    <w:spacing w:line="240" w:lineRule="exact"/>
                    <w:jc w:val="center"/>
                    <w:rPr>
                      <w:rFonts w:ascii="Times New Roman" w:hAnsi="Times New Roman" w:cs="Times New Roman"/>
                      <w:sz w:val="21"/>
                      <w:szCs w:val="21"/>
                    </w:rPr>
                  </w:pPr>
                  <w:r>
                    <w:rPr>
                      <w:rFonts w:ascii="Times New Roman" w:hAnsi="Times New Roman" w:cs="Times New Roman"/>
                      <w:sz w:val="21"/>
                      <w:szCs w:val="21"/>
                    </w:rPr>
                    <w:t>60</w:t>
                  </w:r>
                </w:p>
              </w:tc>
              <w:tc>
                <w:tcPr>
                  <w:tcW w:w="691" w:type="dxa"/>
                  <w:vAlign w:val="center"/>
                </w:tcPr>
                <w:p w14:paraId="2E3D0A07">
                  <w:pPr>
                    <w:spacing w:line="240" w:lineRule="exact"/>
                    <w:jc w:val="center"/>
                    <w:rPr>
                      <w:rFonts w:ascii="Times New Roman" w:hAnsi="Times New Roman" w:cs="Times New Roman"/>
                      <w:sz w:val="21"/>
                      <w:szCs w:val="21"/>
                    </w:rPr>
                  </w:pPr>
                  <w:r>
                    <w:rPr>
                      <w:rFonts w:ascii="Times New Roman" w:hAnsi="Times New Roman" w:cs="Times New Roman"/>
                      <w:sz w:val="21"/>
                      <w:szCs w:val="21"/>
                    </w:rPr>
                    <w:t>0.8</w:t>
                  </w:r>
                </w:p>
              </w:tc>
              <w:tc>
                <w:tcPr>
                  <w:tcW w:w="726" w:type="dxa"/>
                  <w:vAlign w:val="center"/>
                </w:tcPr>
                <w:p w14:paraId="76B68B00">
                  <w:pPr>
                    <w:spacing w:line="240" w:lineRule="exact"/>
                    <w:jc w:val="center"/>
                    <w:rPr>
                      <w:rFonts w:ascii="Times New Roman" w:hAnsi="Times New Roman" w:cs="Times New Roman"/>
                      <w:sz w:val="21"/>
                      <w:szCs w:val="21"/>
                    </w:rPr>
                  </w:pPr>
                  <w:r>
                    <w:rPr>
                      <w:rFonts w:ascii="Times New Roman" w:hAnsi="Times New Roman" w:cs="Times New Roman"/>
                      <w:sz w:val="21"/>
                      <w:szCs w:val="21"/>
                    </w:rPr>
                    <w:t>3.84</w:t>
                  </w:r>
                </w:p>
              </w:tc>
              <w:tc>
                <w:tcPr>
                  <w:tcW w:w="2756" w:type="dxa"/>
                  <w:vMerge w:val="restart"/>
                  <w:vAlign w:val="center"/>
                </w:tcPr>
                <w:p w14:paraId="53FF84BF">
                  <w:pPr>
                    <w:spacing w:line="240" w:lineRule="exact"/>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服务区西区、东区各设置1座化粪池（3</w:t>
                  </w:r>
                  <w:r>
                    <w:rPr>
                      <w:rFonts w:ascii="Times New Roman" w:hAnsi="Times New Roman" w:cs="Times New Roman"/>
                      <w:sz w:val="21"/>
                      <w:szCs w:val="21"/>
                      <w:lang w:eastAsia="zh-CN"/>
                    </w:rPr>
                    <w:t>0</w:t>
                  </w:r>
                  <w:r>
                    <w:rPr>
                      <w:rFonts w:hint="eastAsia" w:ascii="Times New Roman" w:hAnsi="Times New Roman" w:cs="Times New Roman"/>
                      <w:sz w:val="21"/>
                      <w:szCs w:val="21"/>
                      <w:lang w:eastAsia="zh-CN"/>
                    </w:rPr>
                    <w:t>m³），各设置1座处理能力5</w:t>
                  </w:r>
                  <w:r>
                    <w:rPr>
                      <w:rFonts w:ascii="Times New Roman" w:hAnsi="Times New Roman" w:cs="Times New Roman"/>
                      <w:sz w:val="21"/>
                      <w:szCs w:val="21"/>
                      <w:lang w:eastAsia="zh-CN"/>
                    </w:rPr>
                    <w:t>0</w:t>
                  </w:r>
                  <w:r>
                    <w:rPr>
                      <w:rFonts w:hint="eastAsia" w:ascii="Times New Roman" w:hAnsi="Times New Roman" w:cs="Times New Roman"/>
                      <w:sz w:val="21"/>
                      <w:szCs w:val="21"/>
                      <w:lang w:eastAsia="zh-CN"/>
                    </w:rPr>
                    <w:t>m³</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d的污水处理站（A</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/O</w:t>
                  </w:r>
                  <w:r>
                    <w:rPr>
                      <w:rFonts w:hint="eastAsia" w:ascii="Times New Roman" w:hAnsi="Times New Roman" w:cs="Times New Roman"/>
                      <w:sz w:val="21"/>
                      <w:szCs w:val="21"/>
                      <w:lang w:eastAsia="zh-CN"/>
                    </w:rPr>
                    <w:t>处理工艺）。</w:t>
                  </w:r>
                </w:p>
              </w:tc>
            </w:tr>
            <w:tr w14:paraId="01C0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continue"/>
                  <w:vAlign w:val="center"/>
                </w:tcPr>
                <w:p w14:paraId="36824C7C">
                  <w:pPr>
                    <w:spacing w:line="240" w:lineRule="exact"/>
                    <w:jc w:val="center"/>
                    <w:rPr>
                      <w:rFonts w:ascii="Times New Roman" w:hAnsi="Times New Roman" w:cs="Times New Roman"/>
                      <w:sz w:val="21"/>
                      <w:szCs w:val="21"/>
                      <w:lang w:eastAsia="zh-CN"/>
                    </w:rPr>
                  </w:pPr>
                </w:p>
              </w:tc>
              <w:tc>
                <w:tcPr>
                  <w:tcW w:w="743" w:type="dxa"/>
                  <w:vMerge w:val="continue"/>
                  <w:vAlign w:val="center"/>
                </w:tcPr>
                <w:p w14:paraId="3FBCF083">
                  <w:pPr>
                    <w:spacing w:line="240" w:lineRule="exact"/>
                    <w:jc w:val="center"/>
                    <w:rPr>
                      <w:rFonts w:ascii="Times New Roman" w:hAnsi="Times New Roman" w:cs="Times New Roman"/>
                      <w:sz w:val="21"/>
                      <w:szCs w:val="21"/>
                      <w:lang w:eastAsia="zh-CN"/>
                    </w:rPr>
                  </w:pPr>
                </w:p>
              </w:tc>
              <w:tc>
                <w:tcPr>
                  <w:tcW w:w="1276" w:type="dxa"/>
                  <w:vAlign w:val="center"/>
                </w:tcPr>
                <w:p w14:paraId="4E63A5A9">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过往人员洗手、冲厕</w:t>
                  </w:r>
                </w:p>
              </w:tc>
              <w:tc>
                <w:tcPr>
                  <w:tcW w:w="1100" w:type="dxa"/>
                  <w:vAlign w:val="center"/>
                </w:tcPr>
                <w:p w14:paraId="5FD71697">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0.02</w:t>
                  </w:r>
                </w:p>
              </w:tc>
              <w:tc>
                <w:tcPr>
                  <w:tcW w:w="636" w:type="dxa"/>
                  <w:vAlign w:val="center"/>
                </w:tcPr>
                <w:p w14:paraId="598A82A9">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1000</w:t>
                  </w:r>
                </w:p>
              </w:tc>
              <w:tc>
                <w:tcPr>
                  <w:tcW w:w="691" w:type="dxa"/>
                  <w:vAlign w:val="center"/>
                </w:tcPr>
                <w:p w14:paraId="31C36523">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0.8</w:t>
                  </w:r>
                </w:p>
              </w:tc>
              <w:tc>
                <w:tcPr>
                  <w:tcW w:w="726" w:type="dxa"/>
                  <w:vAlign w:val="center"/>
                </w:tcPr>
                <w:p w14:paraId="300BBE17">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16</w:t>
                  </w:r>
                </w:p>
              </w:tc>
              <w:tc>
                <w:tcPr>
                  <w:tcW w:w="2756" w:type="dxa"/>
                  <w:vMerge w:val="continue"/>
                  <w:vAlign w:val="center"/>
                </w:tcPr>
                <w:p w14:paraId="4D88520B">
                  <w:pPr>
                    <w:spacing w:line="240" w:lineRule="exact"/>
                    <w:rPr>
                      <w:rFonts w:ascii="Times New Roman" w:hAnsi="Times New Roman" w:cs="Times New Roman"/>
                      <w:sz w:val="21"/>
                      <w:szCs w:val="21"/>
                      <w:lang w:eastAsia="zh-CN"/>
                    </w:rPr>
                  </w:pPr>
                </w:p>
              </w:tc>
            </w:tr>
            <w:tr w14:paraId="18CB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Align w:val="center"/>
                </w:tcPr>
                <w:p w14:paraId="48BA8E34">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养护</w:t>
                  </w:r>
                </w:p>
                <w:p w14:paraId="70577040">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工区</w:t>
                  </w:r>
                </w:p>
              </w:tc>
              <w:tc>
                <w:tcPr>
                  <w:tcW w:w="743" w:type="dxa"/>
                  <w:vAlign w:val="center"/>
                </w:tcPr>
                <w:p w14:paraId="657A4ABF">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生活污水</w:t>
                  </w:r>
                </w:p>
              </w:tc>
              <w:tc>
                <w:tcPr>
                  <w:tcW w:w="1276" w:type="dxa"/>
                  <w:vAlign w:val="center"/>
                </w:tcPr>
                <w:p w14:paraId="1F927933">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工作人员</w:t>
                  </w:r>
                </w:p>
              </w:tc>
              <w:tc>
                <w:tcPr>
                  <w:tcW w:w="1100" w:type="dxa"/>
                  <w:vAlign w:val="center"/>
                </w:tcPr>
                <w:p w14:paraId="51405E03">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w:t>
                  </w:r>
                  <w:r>
                    <w:rPr>
                      <w:rFonts w:ascii="Times New Roman" w:hAnsi="Times New Roman" w:cs="Times New Roman"/>
                      <w:sz w:val="21"/>
                      <w:szCs w:val="21"/>
                      <w:lang w:eastAsia="zh-CN"/>
                    </w:rPr>
                    <w:t>.08</w:t>
                  </w:r>
                </w:p>
              </w:tc>
              <w:tc>
                <w:tcPr>
                  <w:tcW w:w="636" w:type="dxa"/>
                  <w:vAlign w:val="center"/>
                </w:tcPr>
                <w:p w14:paraId="2D6373AE">
                  <w:pPr>
                    <w:spacing w:line="240" w:lineRule="exac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w:t>
                  </w:r>
                  <w:r>
                    <w:rPr>
                      <w:rFonts w:ascii="Times New Roman" w:hAnsi="Times New Roman" w:cs="Times New Roman"/>
                      <w:sz w:val="21"/>
                      <w:szCs w:val="21"/>
                      <w:lang w:eastAsia="zh-CN"/>
                    </w:rPr>
                    <w:t>0</w:t>
                  </w:r>
                </w:p>
              </w:tc>
              <w:tc>
                <w:tcPr>
                  <w:tcW w:w="691" w:type="dxa"/>
                  <w:vAlign w:val="center"/>
                </w:tcPr>
                <w:p w14:paraId="5B59A4D7">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0.8</w:t>
                  </w:r>
                </w:p>
              </w:tc>
              <w:tc>
                <w:tcPr>
                  <w:tcW w:w="726" w:type="dxa"/>
                  <w:vAlign w:val="center"/>
                </w:tcPr>
                <w:p w14:paraId="1915A2A6">
                  <w:pPr>
                    <w:spacing w:line="24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3.84</w:t>
                  </w:r>
                </w:p>
              </w:tc>
              <w:tc>
                <w:tcPr>
                  <w:tcW w:w="2756" w:type="dxa"/>
                  <w:vAlign w:val="center"/>
                </w:tcPr>
                <w:p w14:paraId="6E0D8C46">
                  <w:pPr>
                    <w:spacing w:line="240" w:lineRule="exact"/>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设置</w:t>
                  </w:r>
                  <w:r>
                    <w:rPr>
                      <w:rFonts w:ascii="Times New Roman" w:hAnsi="Times New Roman" w:cs="Times New Roman"/>
                      <w:sz w:val="21"/>
                      <w:szCs w:val="21"/>
                      <w:lang w:eastAsia="zh-CN"/>
                    </w:rPr>
                    <w:t>1座化粪池（50m³），生活污水</w:t>
                  </w:r>
                  <w:r>
                    <w:rPr>
                      <w:rFonts w:hint="eastAsia" w:ascii="Times New Roman" w:hAnsi="Times New Roman" w:cs="Times New Roman"/>
                      <w:sz w:val="21"/>
                      <w:szCs w:val="21"/>
                      <w:lang w:eastAsia="zh-CN"/>
                    </w:rPr>
                    <w:t>拉运至</w:t>
                  </w:r>
                  <w:r>
                    <w:rPr>
                      <w:rFonts w:ascii="Times New Roman" w:hAnsi="Times New Roman" w:cs="Times New Roman"/>
                      <w:sz w:val="21"/>
                      <w:szCs w:val="21"/>
                      <w:lang w:eastAsia="zh-CN"/>
                    </w:rPr>
                    <w:t>服务区（东区）污水处理站处理。</w:t>
                  </w:r>
                </w:p>
              </w:tc>
            </w:tr>
            <w:bookmarkEnd w:id="5"/>
          </w:tbl>
          <w:p w14:paraId="3F0AF521">
            <w:pPr>
              <w:autoSpaceDE/>
              <w:autoSpaceDN/>
              <w:jc w:val="center"/>
              <w:rPr>
                <w:rFonts w:ascii="Times New Roman" w:hAnsi="Times New Roman" w:cs="Times New Roman"/>
                <w:b/>
                <w:color w:val="000000"/>
                <w:kern w:val="2"/>
                <w:sz w:val="21"/>
                <w:szCs w:val="21"/>
                <w:lang w:eastAsia="zh-CN"/>
              </w:rPr>
            </w:pPr>
          </w:p>
          <w:p w14:paraId="226ACC4E">
            <w:pPr>
              <w:autoSpaceDE/>
              <w:autoSpaceDN/>
              <w:ind w:firstLine="422"/>
              <w:jc w:val="center"/>
              <w:rPr>
                <w:rFonts w:ascii="Times New Roman" w:hAnsi="Times New Roman" w:cs="Times New Roman"/>
                <w:b/>
                <w:color w:val="000000"/>
                <w:kern w:val="2"/>
                <w:sz w:val="21"/>
                <w:szCs w:val="21"/>
                <w:lang w:eastAsia="zh-CN"/>
              </w:rPr>
            </w:pPr>
            <w:r>
              <w:rPr>
                <w:rFonts w:hint="eastAsia" w:ascii="Times New Roman" w:hAnsi="Times New Roman" w:cs="Times New Roman"/>
                <w:b/>
                <w:color w:val="000000"/>
                <w:kern w:val="2"/>
                <w:sz w:val="21"/>
                <w:szCs w:val="21"/>
                <w:lang w:eastAsia="zh-CN"/>
              </w:rPr>
              <w:t>表4</w:t>
            </w:r>
            <w:r>
              <w:rPr>
                <w:rFonts w:ascii="Times New Roman" w:hAnsi="Times New Roman" w:cs="Times New Roman"/>
                <w:b/>
                <w:color w:val="000000"/>
                <w:kern w:val="2"/>
                <w:sz w:val="21"/>
                <w:szCs w:val="21"/>
                <w:lang w:eastAsia="zh-CN"/>
              </w:rPr>
              <w:t xml:space="preserve">.7  </w:t>
            </w:r>
            <w:r>
              <w:rPr>
                <w:rFonts w:hint="eastAsia" w:ascii="Times New Roman" w:hAnsi="Times New Roman" w:cs="Times New Roman"/>
                <w:b/>
                <w:color w:val="000000"/>
                <w:kern w:val="2"/>
                <w:sz w:val="21"/>
                <w:szCs w:val="21"/>
                <w:lang w:eastAsia="zh-CN"/>
              </w:rPr>
              <w:t xml:space="preserve">项目生活污水产排污情况一览表 </w:t>
            </w:r>
            <w:r>
              <w:rPr>
                <w:rFonts w:ascii="Times New Roman" w:hAnsi="Times New Roman" w:cs="Times New Roman"/>
                <w:b/>
                <w:color w:val="000000"/>
                <w:kern w:val="2"/>
                <w:sz w:val="21"/>
                <w:szCs w:val="21"/>
                <w:lang w:eastAsia="zh-CN"/>
              </w:rPr>
              <w:t xml:space="preserve">   </w:t>
            </w:r>
            <w:r>
              <w:rPr>
                <w:rFonts w:hint="eastAsia" w:ascii="Times New Roman" w:hAnsi="Times New Roman" w:cs="Times New Roman"/>
                <w:b/>
                <w:color w:val="000000"/>
                <w:kern w:val="2"/>
                <w:sz w:val="21"/>
                <w:szCs w:val="21"/>
                <w:lang w:eastAsia="zh-CN"/>
              </w:rPr>
              <w:t>单位：mg</w:t>
            </w:r>
            <w:r>
              <w:rPr>
                <w:rFonts w:ascii="Times New Roman" w:hAnsi="Times New Roman" w:cs="Times New Roman"/>
                <w:b/>
                <w:color w:val="000000"/>
                <w:kern w:val="2"/>
                <w:sz w:val="21"/>
                <w:szCs w:val="21"/>
                <w:lang w:eastAsia="zh-CN"/>
              </w:rPr>
              <w:t>/L</w:t>
            </w:r>
          </w:p>
          <w:tbl>
            <w:tblPr>
              <w:tblStyle w:val="12"/>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028"/>
              <w:gridCol w:w="1160"/>
              <w:gridCol w:w="1028"/>
              <w:gridCol w:w="1160"/>
              <w:gridCol w:w="1160"/>
              <w:gridCol w:w="1692"/>
            </w:tblGrid>
            <w:tr w14:paraId="77FE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Align w:val="center"/>
                </w:tcPr>
                <w:p w14:paraId="762C9397">
                  <w:pPr>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来源</w:t>
                  </w:r>
                </w:p>
              </w:tc>
              <w:tc>
                <w:tcPr>
                  <w:tcW w:w="585" w:type="pct"/>
                  <w:vAlign w:val="center"/>
                </w:tcPr>
                <w:p w14:paraId="2726FE18">
                  <w:pPr>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污染物</w:t>
                  </w:r>
                </w:p>
              </w:tc>
              <w:tc>
                <w:tcPr>
                  <w:tcW w:w="660" w:type="pct"/>
                  <w:vAlign w:val="center"/>
                </w:tcPr>
                <w:p w14:paraId="1DEEAA79">
                  <w:pPr>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产生浓度mg/L</w:t>
                  </w:r>
                </w:p>
              </w:tc>
              <w:tc>
                <w:tcPr>
                  <w:tcW w:w="585" w:type="pct"/>
                  <w:vAlign w:val="center"/>
                </w:tcPr>
                <w:p w14:paraId="680EAFEF">
                  <w:pPr>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产生量t/a</w:t>
                  </w:r>
                </w:p>
              </w:tc>
              <w:tc>
                <w:tcPr>
                  <w:tcW w:w="660" w:type="pct"/>
                  <w:vAlign w:val="center"/>
                </w:tcPr>
                <w:p w14:paraId="168044B6">
                  <w:pPr>
                    <w:jc w:val="center"/>
                    <w:rPr>
                      <w:rFonts w:ascii="Times New Roman" w:hAnsi="Times New Roman" w:cs="Times New Roman"/>
                      <w:b/>
                      <w:bCs/>
                      <w:color w:val="000000" w:themeColor="text1"/>
                      <w:sz w:val="21"/>
                      <w:szCs w:val="21"/>
                      <w:lang w:eastAsia="zh-CN"/>
                    </w:rPr>
                  </w:pPr>
                  <w:r>
                    <w:rPr>
                      <w:rFonts w:hint="eastAsia" w:ascii="Times New Roman" w:hAnsi="Times New Roman" w:cs="Times New Roman"/>
                      <w:b/>
                      <w:bCs/>
                      <w:color w:val="000000" w:themeColor="text1"/>
                      <w:sz w:val="21"/>
                      <w:szCs w:val="21"/>
                      <w:lang w:eastAsia="zh-CN"/>
                    </w:rPr>
                    <w:t>治理</w:t>
                  </w:r>
                  <w:r>
                    <w:rPr>
                      <w:rFonts w:ascii="Times New Roman" w:hAnsi="Times New Roman" w:cs="Times New Roman"/>
                      <w:b/>
                      <w:bCs/>
                      <w:color w:val="000000" w:themeColor="text1"/>
                      <w:sz w:val="21"/>
                      <w:szCs w:val="21"/>
                      <w:lang w:eastAsia="zh-CN"/>
                    </w:rPr>
                    <w:t>措施</w:t>
                  </w:r>
                </w:p>
              </w:tc>
              <w:tc>
                <w:tcPr>
                  <w:tcW w:w="660" w:type="pct"/>
                  <w:vAlign w:val="center"/>
                </w:tcPr>
                <w:p w14:paraId="51D8A846">
                  <w:pPr>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排放浓度mg/L</w:t>
                  </w:r>
                </w:p>
              </w:tc>
              <w:tc>
                <w:tcPr>
                  <w:tcW w:w="963" w:type="pct"/>
                  <w:vAlign w:val="center"/>
                </w:tcPr>
                <w:p w14:paraId="7FBC5B12">
                  <w:pPr>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排放量t/a</w:t>
                  </w:r>
                </w:p>
              </w:tc>
            </w:tr>
            <w:tr w14:paraId="2E50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restart"/>
                  <w:vAlign w:val="center"/>
                </w:tcPr>
                <w:p w14:paraId="791C55FD">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收费站</w:t>
                  </w:r>
                </w:p>
                <w:p w14:paraId="087C346A">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服务区</w:t>
                  </w:r>
                </w:p>
                <w:p w14:paraId="332633FE">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养护工区</w:t>
                  </w:r>
                </w:p>
                <w:p w14:paraId="5336986C">
                  <w:pPr>
                    <w:jc w:val="center"/>
                    <w:rPr>
                      <w:rFonts w:ascii="Times New Roman" w:hAnsi="Times New Roman" w:cs="Times New Roman"/>
                      <w:color w:val="000000" w:themeColor="text1"/>
                      <w:sz w:val="21"/>
                      <w:szCs w:val="21"/>
                      <w:lang w:eastAsia="zh-CN"/>
                    </w:rPr>
                  </w:pPr>
                  <w:r>
                    <w:rPr>
                      <w:rFonts w:ascii="Times New Roman" w:hAnsi="Times New Roman" w:cs="Times New Roman"/>
                      <w:sz w:val="24"/>
                      <w:szCs w:val="24"/>
                      <w:lang w:eastAsia="zh-CN"/>
                    </w:rPr>
                    <w:t>10278.4m</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/a</w:t>
                  </w:r>
                </w:p>
              </w:tc>
              <w:tc>
                <w:tcPr>
                  <w:tcW w:w="585" w:type="pct"/>
                  <w:vAlign w:val="center"/>
                </w:tcPr>
                <w:p w14:paraId="708250BB">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pH值</w:t>
                  </w:r>
                </w:p>
              </w:tc>
              <w:tc>
                <w:tcPr>
                  <w:tcW w:w="1245" w:type="pct"/>
                  <w:gridSpan w:val="2"/>
                  <w:vAlign w:val="center"/>
                </w:tcPr>
                <w:p w14:paraId="52600C8B">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6~9（无量纲）</w:t>
                  </w:r>
                </w:p>
              </w:tc>
              <w:tc>
                <w:tcPr>
                  <w:tcW w:w="660" w:type="pct"/>
                  <w:vMerge w:val="restart"/>
                  <w:vAlign w:val="center"/>
                </w:tcPr>
                <w:p w14:paraId="49CE1F04">
                  <w:pPr>
                    <w:jc w:val="both"/>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污水处理站处理</w:t>
                  </w:r>
                  <w:r>
                    <w:rPr>
                      <w:rFonts w:ascii="Times New Roman" w:hAnsi="Times New Roman" w:cs="Times New Roman"/>
                      <w:color w:val="000000" w:themeColor="text1"/>
                      <w:sz w:val="21"/>
                      <w:szCs w:val="21"/>
                      <w:lang w:eastAsia="zh-CN"/>
                    </w:rPr>
                    <w:t>后，</w:t>
                  </w:r>
                  <w:r>
                    <w:rPr>
                      <w:rFonts w:hint="eastAsia" w:ascii="Times New Roman" w:hAnsi="Times New Roman" w:cs="Times New Roman"/>
                      <w:color w:val="000000" w:themeColor="text1"/>
                      <w:sz w:val="21"/>
                      <w:szCs w:val="21"/>
                      <w:lang w:eastAsia="zh-CN"/>
                    </w:rPr>
                    <w:t>用于站区绿化，冬储夏灌不外排。</w:t>
                  </w:r>
                </w:p>
              </w:tc>
              <w:tc>
                <w:tcPr>
                  <w:tcW w:w="1623" w:type="pct"/>
                  <w:gridSpan w:val="2"/>
                  <w:vAlign w:val="center"/>
                </w:tcPr>
                <w:p w14:paraId="0388B339">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6~9（无量纲）</w:t>
                  </w:r>
                </w:p>
              </w:tc>
            </w:tr>
            <w:tr w14:paraId="26EF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vAlign w:val="center"/>
                </w:tcPr>
                <w:p w14:paraId="5A6F173E">
                  <w:pPr>
                    <w:jc w:val="center"/>
                    <w:rPr>
                      <w:rFonts w:ascii="Times New Roman" w:hAnsi="Times New Roman" w:cs="Times New Roman"/>
                      <w:color w:val="000000" w:themeColor="text1"/>
                      <w:sz w:val="21"/>
                      <w:szCs w:val="21"/>
                      <w:lang w:eastAsia="zh-CN"/>
                    </w:rPr>
                  </w:pPr>
                </w:p>
              </w:tc>
              <w:tc>
                <w:tcPr>
                  <w:tcW w:w="585" w:type="pct"/>
                  <w:vAlign w:val="center"/>
                </w:tcPr>
                <w:p w14:paraId="72DB8AC0">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BOD</w:t>
                  </w:r>
                  <w:r>
                    <w:rPr>
                      <w:rFonts w:ascii="Times New Roman" w:hAnsi="Times New Roman" w:cs="Times New Roman"/>
                      <w:color w:val="000000" w:themeColor="text1"/>
                      <w:sz w:val="21"/>
                      <w:szCs w:val="21"/>
                      <w:vertAlign w:val="subscript"/>
                      <w:lang w:eastAsia="zh-CN"/>
                    </w:rPr>
                    <w:t>5</w:t>
                  </w:r>
                </w:p>
              </w:tc>
              <w:tc>
                <w:tcPr>
                  <w:tcW w:w="660" w:type="pct"/>
                  <w:vAlign w:val="center"/>
                </w:tcPr>
                <w:p w14:paraId="6B66D0CC">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2</w:t>
                  </w:r>
                  <w:r>
                    <w:rPr>
                      <w:rFonts w:ascii="Times New Roman" w:hAnsi="Times New Roman" w:cs="Times New Roman"/>
                      <w:color w:val="000000" w:themeColor="text1"/>
                      <w:sz w:val="21"/>
                      <w:szCs w:val="21"/>
                      <w:lang w:eastAsia="zh-CN"/>
                    </w:rPr>
                    <w:t>50</w:t>
                  </w:r>
                </w:p>
              </w:tc>
              <w:tc>
                <w:tcPr>
                  <w:tcW w:w="585" w:type="pct"/>
                  <w:vAlign w:val="center"/>
                </w:tcPr>
                <w:p w14:paraId="6265156C">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2.</w:t>
                  </w:r>
                  <w:r>
                    <w:rPr>
                      <w:rFonts w:ascii="Times New Roman" w:hAnsi="Times New Roman" w:cs="Times New Roman"/>
                      <w:color w:val="000000" w:themeColor="text1"/>
                      <w:sz w:val="21"/>
                      <w:szCs w:val="21"/>
                      <w:lang w:eastAsia="zh-CN"/>
                    </w:rPr>
                    <w:t>57</w:t>
                  </w:r>
                </w:p>
              </w:tc>
              <w:tc>
                <w:tcPr>
                  <w:tcW w:w="660" w:type="pct"/>
                  <w:vMerge w:val="continue"/>
                </w:tcPr>
                <w:p w14:paraId="5AF3BF0D">
                  <w:pPr>
                    <w:jc w:val="center"/>
                    <w:rPr>
                      <w:rFonts w:ascii="Times New Roman" w:hAnsi="Times New Roman" w:cs="Times New Roman"/>
                      <w:color w:val="000000" w:themeColor="text1"/>
                      <w:sz w:val="21"/>
                      <w:szCs w:val="21"/>
                      <w:lang w:eastAsia="zh-CN"/>
                    </w:rPr>
                  </w:pPr>
                </w:p>
              </w:tc>
              <w:tc>
                <w:tcPr>
                  <w:tcW w:w="660" w:type="pct"/>
                  <w:vAlign w:val="center"/>
                </w:tcPr>
                <w:p w14:paraId="53F5485D">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1</w:t>
                  </w:r>
                  <w:r>
                    <w:rPr>
                      <w:rFonts w:ascii="Times New Roman" w:hAnsi="Times New Roman" w:cs="Times New Roman"/>
                      <w:color w:val="000000" w:themeColor="text1"/>
                      <w:sz w:val="21"/>
                      <w:szCs w:val="21"/>
                      <w:lang w:eastAsia="zh-CN"/>
                    </w:rPr>
                    <w:t>0</w:t>
                  </w:r>
                </w:p>
              </w:tc>
              <w:tc>
                <w:tcPr>
                  <w:tcW w:w="963" w:type="pct"/>
                  <w:vAlign w:val="center"/>
                </w:tcPr>
                <w:p w14:paraId="03E5EE2E">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0</w:t>
                  </w:r>
                  <w:r>
                    <w:rPr>
                      <w:rFonts w:ascii="Times New Roman" w:hAnsi="Times New Roman" w:cs="Times New Roman"/>
                      <w:color w:val="000000" w:themeColor="text1"/>
                      <w:sz w:val="21"/>
                      <w:szCs w:val="21"/>
                      <w:lang w:eastAsia="zh-CN"/>
                    </w:rPr>
                    <w:t>.10</w:t>
                  </w:r>
                </w:p>
              </w:tc>
            </w:tr>
            <w:tr w14:paraId="653D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vAlign w:val="center"/>
                </w:tcPr>
                <w:p w14:paraId="3E7B5C87">
                  <w:pPr>
                    <w:jc w:val="center"/>
                    <w:rPr>
                      <w:rFonts w:ascii="Times New Roman" w:hAnsi="Times New Roman" w:cs="Times New Roman"/>
                      <w:color w:val="000000" w:themeColor="text1"/>
                      <w:sz w:val="21"/>
                      <w:szCs w:val="21"/>
                      <w:lang w:eastAsia="zh-CN"/>
                    </w:rPr>
                  </w:pPr>
                </w:p>
              </w:tc>
              <w:tc>
                <w:tcPr>
                  <w:tcW w:w="585" w:type="pct"/>
                  <w:vAlign w:val="center"/>
                </w:tcPr>
                <w:p w14:paraId="1D998A66">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COD</w:t>
                  </w:r>
                </w:p>
              </w:tc>
              <w:tc>
                <w:tcPr>
                  <w:tcW w:w="660" w:type="pct"/>
                  <w:vAlign w:val="center"/>
                </w:tcPr>
                <w:p w14:paraId="265F3F5A">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3</w:t>
                  </w:r>
                  <w:r>
                    <w:rPr>
                      <w:rFonts w:ascii="Times New Roman" w:hAnsi="Times New Roman" w:cs="Times New Roman"/>
                      <w:color w:val="000000" w:themeColor="text1"/>
                      <w:sz w:val="21"/>
                      <w:szCs w:val="21"/>
                      <w:lang w:eastAsia="zh-CN"/>
                    </w:rPr>
                    <w:t>50</w:t>
                  </w:r>
                </w:p>
              </w:tc>
              <w:tc>
                <w:tcPr>
                  <w:tcW w:w="585" w:type="pct"/>
                  <w:vAlign w:val="center"/>
                </w:tcPr>
                <w:p w14:paraId="2F0E206F">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3</w:t>
                  </w:r>
                  <w:r>
                    <w:rPr>
                      <w:rFonts w:ascii="Times New Roman" w:hAnsi="Times New Roman" w:cs="Times New Roman"/>
                      <w:color w:val="000000" w:themeColor="text1"/>
                      <w:sz w:val="21"/>
                      <w:szCs w:val="21"/>
                      <w:lang w:eastAsia="zh-CN"/>
                    </w:rPr>
                    <w:t>.60</w:t>
                  </w:r>
                </w:p>
              </w:tc>
              <w:tc>
                <w:tcPr>
                  <w:tcW w:w="660" w:type="pct"/>
                  <w:vMerge w:val="continue"/>
                </w:tcPr>
                <w:p w14:paraId="4BFF19C4">
                  <w:pPr>
                    <w:jc w:val="center"/>
                    <w:rPr>
                      <w:rFonts w:ascii="Times New Roman" w:hAnsi="Times New Roman" w:cs="Times New Roman"/>
                      <w:color w:val="000000" w:themeColor="text1"/>
                      <w:sz w:val="21"/>
                      <w:szCs w:val="21"/>
                      <w:lang w:eastAsia="zh-CN"/>
                    </w:rPr>
                  </w:pPr>
                </w:p>
              </w:tc>
              <w:tc>
                <w:tcPr>
                  <w:tcW w:w="660" w:type="pct"/>
                  <w:vAlign w:val="center"/>
                </w:tcPr>
                <w:p w14:paraId="148C4D12">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5</w:t>
                  </w:r>
                  <w:r>
                    <w:rPr>
                      <w:rFonts w:ascii="Times New Roman" w:hAnsi="Times New Roman" w:cs="Times New Roman"/>
                      <w:color w:val="000000" w:themeColor="text1"/>
                      <w:sz w:val="21"/>
                      <w:szCs w:val="21"/>
                      <w:lang w:eastAsia="zh-CN"/>
                    </w:rPr>
                    <w:t>0</w:t>
                  </w:r>
                </w:p>
              </w:tc>
              <w:tc>
                <w:tcPr>
                  <w:tcW w:w="963" w:type="pct"/>
                  <w:vAlign w:val="center"/>
                </w:tcPr>
                <w:p w14:paraId="65756F59">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0.</w:t>
                  </w:r>
                  <w:r>
                    <w:rPr>
                      <w:rFonts w:ascii="Times New Roman" w:hAnsi="Times New Roman" w:cs="Times New Roman"/>
                      <w:color w:val="000000" w:themeColor="text1"/>
                      <w:sz w:val="21"/>
                      <w:szCs w:val="21"/>
                      <w:lang w:eastAsia="zh-CN"/>
                    </w:rPr>
                    <w:t>51</w:t>
                  </w:r>
                </w:p>
              </w:tc>
            </w:tr>
            <w:tr w14:paraId="2E30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vAlign w:val="center"/>
                </w:tcPr>
                <w:p w14:paraId="0614472F">
                  <w:pPr>
                    <w:jc w:val="center"/>
                    <w:rPr>
                      <w:rFonts w:ascii="Times New Roman" w:hAnsi="Times New Roman" w:cs="Times New Roman"/>
                      <w:color w:val="000000" w:themeColor="text1"/>
                      <w:sz w:val="21"/>
                      <w:szCs w:val="21"/>
                      <w:lang w:eastAsia="zh-CN"/>
                    </w:rPr>
                  </w:pPr>
                </w:p>
              </w:tc>
              <w:tc>
                <w:tcPr>
                  <w:tcW w:w="585" w:type="pct"/>
                  <w:vAlign w:val="center"/>
                </w:tcPr>
                <w:p w14:paraId="52FB82E1">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SS</w:t>
                  </w:r>
                </w:p>
              </w:tc>
              <w:tc>
                <w:tcPr>
                  <w:tcW w:w="660" w:type="pct"/>
                  <w:vAlign w:val="center"/>
                </w:tcPr>
                <w:p w14:paraId="15D8E368">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3</w:t>
                  </w:r>
                  <w:r>
                    <w:rPr>
                      <w:rFonts w:ascii="Times New Roman" w:hAnsi="Times New Roman" w:cs="Times New Roman"/>
                      <w:color w:val="000000" w:themeColor="text1"/>
                      <w:sz w:val="21"/>
                      <w:szCs w:val="21"/>
                      <w:lang w:eastAsia="zh-CN"/>
                    </w:rPr>
                    <w:t>00</w:t>
                  </w:r>
                </w:p>
              </w:tc>
              <w:tc>
                <w:tcPr>
                  <w:tcW w:w="585" w:type="pct"/>
                  <w:vAlign w:val="center"/>
                </w:tcPr>
                <w:p w14:paraId="3C98D550">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3</w:t>
                  </w:r>
                  <w:r>
                    <w:rPr>
                      <w:rFonts w:ascii="Times New Roman" w:hAnsi="Times New Roman" w:cs="Times New Roman"/>
                      <w:color w:val="000000" w:themeColor="text1"/>
                      <w:sz w:val="21"/>
                      <w:szCs w:val="21"/>
                      <w:lang w:eastAsia="zh-CN"/>
                    </w:rPr>
                    <w:t>.08</w:t>
                  </w:r>
                </w:p>
              </w:tc>
              <w:tc>
                <w:tcPr>
                  <w:tcW w:w="660" w:type="pct"/>
                  <w:vMerge w:val="continue"/>
                </w:tcPr>
                <w:p w14:paraId="4E3C314F">
                  <w:pPr>
                    <w:jc w:val="center"/>
                    <w:rPr>
                      <w:rFonts w:ascii="Times New Roman" w:hAnsi="Times New Roman" w:cs="Times New Roman"/>
                      <w:color w:val="000000" w:themeColor="text1"/>
                      <w:sz w:val="21"/>
                      <w:szCs w:val="21"/>
                      <w:lang w:eastAsia="zh-CN"/>
                    </w:rPr>
                  </w:pPr>
                </w:p>
              </w:tc>
              <w:tc>
                <w:tcPr>
                  <w:tcW w:w="660" w:type="pct"/>
                  <w:vAlign w:val="center"/>
                </w:tcPr>
                <w:p w14:paraId="763C75F8">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1</w:t>
                  </w:r>
                  <w:r>
                    <w:rPr>
                      <w:rFonts w:ascii="Times New Roman" w:hAnsi="Times New Roman" w:cs="Times New Roman"/>
                      <w:color w:val="000000" w:themeColor="text1"/>
                      <w:sz w:val="21"/>
                      <w:szCs w:val="21"/>
                      <w:lang w:eastAsia="zh-CN"/>
                    </w:rPr>
                    <w:t>0</w:t>
                  </w:r>
                </w:p>
              </w:tc>
              <w:tc>
                <w:tcPr>
                  <w:tcW w:w="963" w:type="pct"/>
                  <w:vAlign w:val="center"/>
                </w:tcPr>
                <w:p w14:paraId="088695DF">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0.</w:t>
                  </w:r>
                  <w:r>
                    <w:rPr>
                      <w:rFonts w:ascii="Times New Roman" w:hAnsi="Times New Roman" w:cs="Times New Roman"/>
                      <w:color w:val="000000" w:themeColor="text1"/>
                      <w:sz w:val="21"/>
                      <w:szCs w:val="21"/>
                      <w:lang w:eastAsia="zh-CN"/>
                    </w:rPr>
                    <w:t>10</w:t>
                  </w:r>
                </w:p>
              </w:tc>
            </w:tr>
            <w:tr w14:paraId="17A7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87" w:type="pct"/>
                  <w:vMerge w:val="continue"/>
                  <w:vAlign w:val="center"/>
                </w:tcPr>
                <w:p w14:paraId="0B14BAB1">
                  <w:pPr>
                    <w:jc w:val="center"/>
                    <w:rPr>
                      <w:rFonts w:ascii="Times New Roman" w:hAnsi="Times New Roman" w:cs="Times New Roman"/>
                      <w:color w:val="000000" w:themeColor="text1"/>
                      <w:sz w:val="21"/>
                      <w:szCs w:val="21"/>
                      <w:lang w:eastAsia="zh-CN"/>
                    </w:rPr>
                  </w:pPr>
                </w:p>
              </w:tc>
              <w:tc>
                <w:tcPr>
                  <w:tcW w:w="585" w:type="pct"/>
                  <w:vAlign w:val="center"/>
                </w:tcPr>
                <w:p w14:paraId="354AC3FC">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NH</w:t>
                  </w:r>
                  <w:r>
                    <w:rPr>
                      <w:rFonts w:ascii="Times New Roman" w:hAnsi="Times New Roman" w:cs="Times New Roman"/>
                      <w:color w:val="000000" w:themeColor="text1"/>
                      <w:sz w:val="21"/>
                      <w:szCs w:val="21"/>
                      <w:vertAlign w:val="subscript"/>
                      <w:lang w:eastAsia="zh-CN"/>
                    </w:rPr>
                    <w:t>3</w:t>
                  </w:r>
                  <w:r>
                    <w:rPr>
                      <w:rFonts w:ascii="Times New Roman" w:hAnsi="Times New Roman" w:cs="Times New Roman"/>
                      <w:color w:val="000000" w:themeColor="text1"/>
                      <w:sz w:val="21"/>
                      <w:szCs w:val="21"/>
                      <w:lang w:eastAsia="zh-CN"/>
                    </w:rPr>
                    <w:t>-N</w:t>
                  </w:r>
                </w:p>
              </w:tc>
              <w:tc>
                <w:tcPr>
                  <w:tcW w:w="660" w:type="pct"/>
                  <w:vAlign w:val="center"/>
                </w:tcPr>
                <w:p w14:paraId="104D706B">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3</w:t>
                  </w:r>
                  <w:r>
                    <w:rPr>
                      <w:rFonts w:ascii="Times New Roman" w:hAnsi="Times New Roman" w:cs="Times New Roman"/>
                      <w:color w:val="000000" w:themeColor="text1"/>
                      <w:sz w:val="21"/>
                      <w:szCs w:val="21"/>
                      <w:lang w:eastAsia="zh-CN"/>
                    </w:rPr>
                    <w:t>0</w:t>
                  </w:r>
                </w:p>
              </w:tc>
              <w:tc>
                <w:tcPr>
                  <w:tcW w:w="585" w:type="pct"/>
                  <w:vAlign w:val="center"/>
                </w:tcPr>
                <w:p w14:paraId="05DE727F">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0</w:t>
                  </w:r>
                  <w:r>
                    <w:rPr>
                      <w:rFonts w:ascii="Times New Roman" w:hAnsi="Times New Roman" w:cs="Times New Roman"/>
                      <w:color w:val="000000" w:themeColor="text1"/>
                      <w:sz w:val="21"/>
                      <w:szCs w:val="21"/>
                      <w:lang w:eastAsia="zh-CN"/>
                    </w:rPr>
                    <w:t>.31</w:t>
                  </w:r>
                </w:p>
              </w:tc>
              <w:tc>
                <w:tcPr>
                  <w:tcW w:w="660" w:type="pct"/>
                  <w:vMerge w:val="continue"/>
                </w:tcPr>
                <w:p w14:paraId="41DB1966">
                  <w:pPr>
                    <w:jc w:val="center"/>
                    <w:rPr>
                      <w:rFonts w:ascii="Times New Roman" w:hAnsi="Times New Roman" w:cs="Times New Roman"/>
                      <w:color w:val="000000" w:themeColor="text1"/>
                      <w:sz w:val="21"/>
                      <w:szCs w:val="21"/>
                      <w:lang w:eastAsia="zh-CN"/>
                    </w:rPr>
                  </w:pPr>
                </w:p>
              </w:tc>
              <w:tc>
                <w:tcPr>
                  <w:tcW w:w="660" w:type="pct"/>
                  <w:vAlign w:val="center"/>
                </w:tcPr>
                <w:p w14:paraId="0D6A3ECA">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8</w:t>
                  </w:r>
                </w:p>
              </w:tc>
              <w:tc>
                <w:tcPr>
                  <w:tcW w:w="963" w:type="pct"/>
                  <w:vAlign w:val="center"/>
                </w:tcPr>
                <w:p w14:paraId="3FF791F7">
                  <w:pPr>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0.0</w:t>
                  </w:r>
                  <w:r>
                    <w:rPr>
                      <w:rFonts w:ascii="Times New Roman" w:hAnsi="Times New Roman" w:cs="Times New Roman"/>
                      <w:color w:val="000000" w:themeColor="text1"/>
                      <w:sz w:val="21"/>
                      <w:szCs w:val="21"/>
                      <w:lang w:eastAsia="zh-CN"/>
                    </w:rPr>
                    <w:t>8</w:t>
                  </w:r>
                </w:p>
              </w:tc>
            </w:tr>
          </w:tbl>
          <w:p w14:paraId="12170DBB">
            <w:pPr>
              <w:autoSpaceDE/>
              <w:autoSpaceDN/>
              <w:ind w:firstLine="422"/>
              <w:jc w:val="center"/>
              <w:rPr>
                <w:rFonts w:ascii="Times New Roman" w:hAnsi="Times New Roman" w:cs="Times New Roman"/>
                <w:b/>
                <w:color w:val="000000"/>
                <w:kern w:val="2"/>
                <w:sz w:val="21"/>
                <w:szCs w:val="21"/>
                <w:lang w:eastAsia="zh-CN"/>
              </w:rPr>
            </w:pPr>
          </w:p>
          <w:p w14:paraId="1976799B">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ascii="Times New Roman" w:hAnsi="Times New Roman" w:cs="Times New Roman"/>
                <w:sz w:val="24"/>
                <w:szCs w:val="24"/>
                <w:lang w:eastAsia="zh-CN"/>
              </w:rPr>
              <w:t>废水非正常工况</w:t>
            </w:r>
          </w:p>
          <w:p w14:paraId="7123EB66">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污水处理站</w:t>
            </w:r>
            <w:r>
              <w:rPr>
                <w:rFonts w:ascii="Times New Roman" w:hAnsi="Times New Roman" w:cs="Times New Roman"/>
                <w:sz w:val="24"/>
                <w:szCs w:val="24"/>
                <w:lang w:eastAsia="zh-CN"/>
              </w:rPr>
              <w:t>异常工况会导致部分或全部</w:t>
            </w:r>
            <w:r>
              <w:rPr>
                <w:rFonts w:hint="eastAsia" w:ascii="Times New Roman" w:hAnsi="Times New Roman" w:cs="Times New Roman"/>
                <w:sz w:val="24"/>
                <w:szCs w:val="24"/>
                <w:lang w:eastAsia="zh-CN"/>
              </w:rPr>
              <w:t>生活</w:t>
            </w:r>
            <w:r>
              <w:rPr>
                <w:rFonts w:ascii="Times New Roman" w:hAnsi="Times New Roman" w:cs="Times New Roman"/>
                <w:sz w:val="24"/>
                <w:szCs w:val="24"/>
                <w:lang w:eastAsia="zh-CN"/>
              </w:rPr>
              <w:t>污水未经过处理直接排放，本项目以28.16m</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/d（1.17m</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/h）污水排放量作为事故源进行计算，事故排放时间按照1h计算，非正常工况下污染源废水排放情况见表4.8。</w:t>
            </w:r>
          </w:p>
          <w:p w14:paraId="0A0A9BD3">
            <w:pPr>
              <w:pStyle w:val="18"/>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表4.8  本项目非正常工况水污染物排放情况一览表</w:t>
            </w:r>
          </w:p>
          <w:tbl>
            <w:tblPr>
              <w:tblStyle w:val="12"/>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692"/>
              <w:gridCol w:w="2053"/>
              <w:gridCol w:w="1437"/>
              <w:gridCol w:w="1300"/>
              <w:gridCol w:w="1184"/>
            </w:tblGrid>
            <w:tr w14:paraId="2FF7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restart"/>
                  <w:vAlign w:val="center"/>
                </w:tcPr>
                <w:p w14:paraId="54089331">
                  <w:pPr>
                    <w:pStyle w:val="36"/>
                    <w:spacing w:line="240" w:lineRule="auto"/>
                    <w:jc w:val="center"/>
                    <w:rPr>
                      <w:rFonts w:cs="Times New Roman"/>
                      <w:sz w:val="21"/>
                    </w:rPr>
                  </w:pPr>
                  <w:r>
                    <w:rPr>
                      <w:rFonts w:cs="Times New Roman"/>
                      <w:sz w:val="21"/>
                    </w:rPr>
                    <w:t>污染源</w:t>
                  </w:r>
                </w:p>
              </w:tc>
              <w:tc>
                <w:tcPr>
                  <w:tcW w:w="962" w:type="pct"/>
                  <w:vMerge w:val="restart"/>
                  <w:vAlign w:val="center"/>
                </w:tcPr>
                <w:p w14:paraId="680398B6">
                  <w:pPr>
                    <w:pStyle w:val="36"/>
                    <w:spacing w:line="240" w:lineRule="auto"/>
                    <w:jc w:val="center"/>
                    <w:rPr>
                      <w:rFonts w:cs="Times New Roman"/>
                      <w:sz w:val="21"/>
                    </w:rPr>
                  </w:pPr>
                  <w:r>
                    <w:rPr>
                      <w:rFonts w:cs="Times New Roman"/>
                      <w:sz w:val="21"/>
                    </w:rPr>
                    <w:t>污染因子</w:t>
                  </w:r>
                </w:p>
              </w:tc>
              <w:tc>
                <w:tcPr>
                  <w:tcW w:w="2723" w:type="pct"/>
                  <w:gridSpan w:val="3"/>
                  <w:vAlign w:val="center"/>
                </w:tcPr>
                <w:p w14:paraId="6D067D1E">
                  <w:pPr>
                    <w:pStyle w:val="36"/>
                    <w:spacing w:line="240" w:lineRule="auto"/>
                    <w:jc w:val="center"/>
                    <w:rPr>
                      <w:rFonts w:cs="Times New Roman"/>
                      <w:sz w:val="21"/>
                    </w:rPr>
                  </w:pPr>
                  <w:r>
                    <w:rPr>
                      <w:rFonts w:cs="Times New Roman"/>
                      <w:sz w:val="21"/>
                    </w:rPr>
                    <w:t>非正常排放情况</w:t>
                  </w:r>
                </w:p>
              </w:tc>
              <w:tc>
                <w:tcPr>
                  <w:tcW w:w="673" w:type="pct"/>
                  <w:vMerge w:val="restart"/>
                  <w:vAlign w:val="center"/>
                </w:tcPr>
                <w:p w14:paraId="2CFAE388">
                  <w:pPr>
                    <w:pStyle w:val="36"/>
                    <w:spacing w:line="240" w:lineRule="auto"/>
                    <w:jc w:val="center"/>
                    <w:rPr>
                      <w:rFonts w:cs="Times New Roman"/>
                      <w:sz w:val="21"/>
                    </w:rPr>
                  </w:pPr>
                  <w:r>
                    <w:rPr>
                      <w:rFonts w:cs="Times New Roman"/>
                      <w:sz w:val="21"/>
                    </w:rPr>
                    <w:t>非正常排放原因</w:t>
                  </w:r>
                </w:p>
              </w:tc>
            </w:tr>
            <w:tr w14:paraId="44A7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continue"/>
                  <w:vAlign w:val="center"/>
                </w:tcPr>
                <w:p w14:paraId="4AD47FB3">
                  <w:pPr>
                    <w:pStyle w:val="36"/>
                    <w:spacing w:line="240" w:lineRule="auto"/>
                    <w:jc w:val="center"/>
                    <w:rPr>
                      <w:rFonts w:cs="Times New Roman"/>
                      <w:sz w:val="21"/>
                    </w:rPr>
                  </w:pPr>
                </w:p>
              </w:tc>
              <w:tc>
                <w:tcPr>
                  <w:tcW w:w="962" w:type="pct"/>
                  <w:vMerge w:val="continue"/>
                  <w:vAlign w:val="center"/>
                </w:tcPr>
                <w:p w14:paraId="5533CB85">
                  <w:pPr>
                    <w:pStyle w:val="36"/>
                    <w:spacing w:line="240" w:lineRule="auto"/>
                    <w:jc w:val="center"/>
                    <w:rPr>
                      <w:rFonts w:cs="Times New Roman"/>
                      <w:sz w:val="21"/>
                    </w:rPr>
                  </w:pPr>
                </w:p>
              </w:tc>
              <w:tc>
                <w:tcPr>
                  <w:tcW w:w="1167" w:type="pct"/>
                  <w:vAlign w:val="center"/>
                </w:tcPr>
                <w:p w14:paraId="3F1390D2">
                  <w:pPr>
                    <w:pStyle w:val="36"/>
                    <w:spacing w:line="240" w:lineRule="auto"/>
                    <w:jc w:val="center"/>
                    <w:rPr>
                      <w:rFonts w:cs="Times New Roman"/>
                      <w:sz w:val="21"/>
                    </w:rPr>
                  </w:pPr>
                  <w:r>
                    <w:rPr>
                      <w:rFonts w:cs="Times New Roman"/>
                      <w:sz w:val="21"/>
                    </w:rPr>
                    <w:t>频次及持续时间</w:t>
                  </w:r>
                </w:p>
              </w:tc>
              <w:tc>
                <w:tcPr>
                  <w:tcW w:w="817" w:type="pct"/>
                  <w:vAlign w:val="center"/>
                </w:tcPr>
                <w:p w14:paraId="6CA7AA85">
                  <w:pPr>
                    <w:pStyle w:val="36"/>
                    <w:spacing w:line="240" w:lineRule="auto"/>
                    <w:jc w:val="center"/>
                    <w:rPr>
                      <w:rFonts w:cs="Times New Roman"/>
                      <w:sz w:val="21"/>
                    </w:rPr>
                  </w:pPr>
                  <w:r>
                    <w:rPr>
                      <w:rFonts w:cs="Times New Roman"/>
                      <w:sz w:val="21"/>
                    </w:rPr>
                    <w:t>排放浓度</w:t>
                  </w:r>
                </w:p>
                <w:p w14:paraId="77458F2C">
                  <w:pPr>
                    <w:pStyle w:val="36"/>
                    <w:spacing w:line="240" w:lineRule="auto"/>
                    <w:jc w:val="center"/>
                    <w:rPr>
                      <w:rFonts w:cs="Times New Roman"/>
                      <w:sz w:val="21"/>
                    </w:rPr>
                  </w:pPr>
                  <w:r>
                    <w:rPr>
                      <w:rFonts w:cs="Times New Roman"/>
                      <w:sz w:val="21"/>
                    </w:rPr>
                    <w:t>mg/L</w:t>
                  </w:r>
                </w:p>
              </w:tc>
              <w:tc>
                <w:tcPr>
                  <w:tcW w:w="739" w:type="pct"/>
                  <w:vAlign w:val="center"/>
                </w:tcPr>
                <w:p w14:paraId="429289B0">
                  <w:pPr>
                    <w:pStyle w:val="36"/>
                    <w:spacing w:line="240" w:lineRule="auto"/>
                    <w:jc w:val="center"/>
                    <w:rPr>
                      <w:rFonts w:cs="Times New Roman"/>
                      <w:sz w:val="21"/>
                    </w:rPr>
                  </w:pPr>
                  <w:r>
                    <w:rPr>
                      <w:rFonts w:cs="Times New Roman"/>
                      <w:sz w:val="21"/>
                    </w:rPr>
                    <w:t>排放量</w:t>
                  </w:r>
                </w:p>
                <w:p w14:paraId="0AB904C6">
                  <w:pPr>
                    <w:pStyle w:val="36"/>
                    <w:spacing w:line="240" w:lineRule="auto"/>
                    <w:jc w:val="center"/>
                    <w:rPr>
                      <w:rFonts w:cs="Times New Roman"/>
                      <w:sz w:val="21"/>
                    </w:rPr>
                  </w:pPr>
                  <w:r>
                    <w:rPr>
                      <w:rFonts w:cs="Times New Roman"/>
                      <w:sz w:val="21"/>
                    </w:rPr>
                    <w:t>t/次</w:t>
                  </w:r>
                </w:p>
              </w:tc>
              <w:tc>
                <w:tcPr>
                  <w:tcW w:w="673" w:type="pct"/>
                  <w:vMerge w:val="continue"/>
                </w:tcPr>
                <w:p w14:paraId="76F8DF9E">
                  <w:pPr>
                    <w:pStyle w:val="36"/>
                    <w:spacing w:line="240" w:lineRule="auto"/>
                    <w:jc w:val="center"/>
                    <w:rPr>
                      <w:rFonts w:cs="Times New Roman"/>
                      <w:sz w:val="21"/>
                    </w:rPr>
                  </w:pPr>
                </w:p>
              </w:tc>
            </w:tr>
            <w:tr w14:paraId="484D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1" w:type="pct"/>
                  <w:vMerge w:val="restart"/>
                  <w:vAlign w:val="center"/>
                </w:tcPr>
                <w:p w14:paraId="6CB3BDC8">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生活污水</w:t>
                  </w:r>
                </w:p>
              </w:tc>
              <w:tc>
                <w:tcPr>
                  <w:tcW w:w="962" w:type="pct"/>
                  <w:vAlign w:val="center"/>
                </w:tcPr>
                <w:p w14:paraId="46848D8E">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pH（无量纲）</w:t>
                  </w:r>
                </w:p>
              </w:tc>
              <w:tc>
                <w:tcPr>
                  <w:tcW w:w="1167" w:type="pct"/>
                  <w:vAlign w:val="center"/>
                </w:tcPr>
                <w:p w14:paraId="663749A4">
                  <w:pPr>
                    <w:pStyle w:val="36"/>
                    <w:spacing w:line="240" w:lineRule="auto"/>
                    <w:jc w:val="center"/>
                    <w:rPr>
                      <w:rFonts w:cs="Times New Roman"/>
                      <w:b w:val="0"/>
                      <w:bCs/>
                      <w:sz w:val="21"/>
                    </w:rPr>
                  </w:pPr>
                  <w:r>
                    <w:rPr>
                      <w:rFonts w:cs="Times New Roman"/>
                      <w:b w:val="0"/>
                      <w:bCs/>
                      <w:sz w:val="21"/>
                    </w:rPr>
                    <w:t>1次/a，1h/次</w:t>
                  </w:r>
                </w:p>
              </w:tc>
              <w:tc>
                <w:tcPr>
                  <w:tcW w:w="817" w:type="pct"/>
                  <w:vAlign w:val="center"/>
                </w:tcPr>
                <w:p w14:paraId="7210F63C">
                  <w:pPr>
                    <w:pStyle w:val="36"/>
                    <w:spacing w:line="240" w:lineRule="auto"/>
                    <w:jc w:val="center"/>
                    <w:rPr>
                      <w:rFonts w:cs="Times New Roman"/>
                      <w:b w:val="0"/>
                      <w:bCs/>
                      <w:sz w:val="21"/>
                    </w:rPr>
                  </w:pPr>
                  <w:r>
                    <w:rPr>
                      <w:rFonts w:cs="Times New Roman"/>
                      <w:b w:val="0"/>
                      <w:bCs/>
                      <w:sz w:val="21"/>
                    </w:rPr>
                    <w:t>—</w:t>
                  </w:r>
                </w:p>
              </w:tc>
              <w:tc>
                <w:tcPr>
                  <w:tcW w:w="739" w:type="pct"/>
                  <w:vAlign w:val="center"/>
                </w:tcPr>
                <w:p w14:paraId="0FC35DF3">
                  <w:pPr>
                    <w:pStyle w:val="36"/>
                    <w:spacing w:line="240" w:lineRule="auto"/>
                    <w:jc w:val="center"/>
                    <w:rPr>
                      <w:rFonts w:cs="Times New Roman"/>
                      <w:b w:val="0"/>
                      <w:bCs/>
                      <w:sz w:val="21"/>
                    </w:rPr>
                  </w:pPr>
                  <w:r>
                    <w:rPr>
                      <w:rFonts w:cs="Times New Roman"/>
                      <w:b w:val="0"/>
                      <w:bCs/>
                      <w:sz w:val="21"/>
                    </w:rPr>
                    <w:t>—</w:t>
                  </w:r>
                </w:p>
              </w:tc>
              <w:tc>
                <w:tcPr>
                  <w:tcW w:w="673" w:type="pct"/>
                  <w:vMerge w:val="restart"/>
                  <w:vAlign w:val="center"/>
                </w:tcPr>
                <w:p w14:paraId="54F7FA62">
                  <w:pPr>
                    <w:pStyle w:val="36"/>
                    <w:spacing w:line="240" w:lineRule="auto"/>
                    <w:rPr>
                      <w:rFonts w:cs="Times New Roman"/>
                      <w:b w:val="0"/>
                      <w:bCs/>
                      <w:sz w:val="21"/>
                    </w:rPr>
                  </w:pPr>
                  <w:r>
                    <w:rPr>
                      <w:rFonts w:cs="Times New Roman"/>
                      <w:b w:val="0"/>
                      <w:bCs/>
                      <w:sz w:val="21"/>
                    </w:rPr>
                    <w:t>废水处理设施失效，处理效率为0</w:t>
                  </w:r>
                </w:p>
              </w:tc>
            </w:tr>
            <w:tr w14:paraId="0FD1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1" w:type="pct"/>
                  <w:vMerge w:val="continue"/>
                  <w:vAlign w:val="center"/>
                </w:tcPr>
                <w:p w14:paraId="5CE496C3">
                  <w:pPr>
                    <w:pStyle w:val="36"/>
                    <w:spacing w:line="240" w:lineRule="auto"/>
                    <w:jc w:val="center"/>
                    <w:rPr>
                      <w:rFonts w:cs="Times New Roman"/>
                      <w:b w:val="0"/>
                      <w:bCs/>
                      <w:sz w:val="21"/>
                    </w:rPr>
                  </w:pPr>
                </w:p>
              </w:tc>
              <w:tc>
                <w:tcPr>
                  <w:tcW w:w="962" w:type="pct"/>
                  <w:vAlign w:val="center"/>
                </w:tcPr>
                <w:p w14:paraId="48789A7F">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BOD</w:t>
                  </w:r>
                  <w:r>
                    <w:rPr>
                      <w:rFonts w:ascii="Times New Roman" w:hAnsi="Times New Roman" w:cs="Times New Roman"/>
                      <w:iCs/>
                      <w:sz w:val="21"/>
                      <w:szCs w:val="21"/>
                      <w:vertAlign w:val="subscript"/>
                      <w:lang w:eastAsia="zh-CN"/>
                    </w:rPr>
                    <w:t>5</w:t>
                  </w:r>
                </w:p>
              </w:tc>
              <w:tc>
                <w:tcPr>
                  <w:tcW w:w="1167" w:type="pct"/>
                  <w:vAlign w:val="center"/>
                </w:tcPr>
                <w:p w14:paraId="55CBC3F1">
                  <w:pPr>
                    <w:pStyle w:val="36"/>
                    <w:spacing w:line="240" w:lineRule="auto"/>
                    <w:jc w:val="center"/>
                    <w:rPr>
                      <w:rFonts w:cs="Times New Roman"/>
                      <w:b w:val="0"/>
                      <w:bCs/>
                      <w:sz w:val="21"/>
                    </w:rPr>
                  </w:pPr>
                  <w:r>
                    <w:rPr>
                      <w:rFonts w:cs="Times New Roman"/>
                      <w:b w:val="0"/>
                      <w:bCs/>
                      <w:sz w:val="21"/>
                    </w:rPr>
                    <w:t>1次/a，1h/次</w:t>
                  </w:r>
                </w:p>
              </w:tc>
              <w:tc>
                <w:tcPr>
                  <w:tcW w:w="817" w:type="pct"/>
                  <w:vAlign w:val="center"/>
                </w:tcPr>
                <w:p w14:paraId="0528CB2C">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250</w:t>
                  </w:r>
                </w:p>
              </w:tc>
              <w:tc>
                <w:tcPr>
                  <w:tcW w:w="739" w:type="pct"/>
                  <w:vAlign w:val="center"/>
                </w:tcPr>
                <w:p w14:paraId="09070991">
                  <w:pPr>
                    <w:pStyle w:val="36"/>
                    <w:spacing w:line="240" w:lineRule="auto"/>
                    <w:jc w:val="center"/>
                    <w:rPr>
                      <w:rFonts w:cs="Times New Roman"/>
                      <w:b w:val="0"/>
                      <w:bCs/>
                      <w:sz w:val="21"/>
                    </w:rPr>
                  </w:pPr>
                  <w:r>
                    <w:rPr>
                      <w:rFonts w:hint="eastAsia" w:cs="Times New Roman"/>
                      <w:b w:val="0"/>
                      <w:bCs/>
                      <w:sz w:val="21"/>
                    </w:rPr>
                    <w:t>0</w:t>
                  </w:r>
                  <w:r>
                    <w:rPr>
                      <w:rFonts w:cs="Times New Roman"/>
                      <w:b w:val="0"/>
                      <w:bCs/>
                      <w:sz w:val="21"/>
                    </w:rPr>
                    <w:t>.0003</w:t>
                  </w:r>
                </w:p>
              </w:tc>
              <w:tc>
                <w:tcPr>
                  <w:tcW w:w="673" w:type="pct"/>
                  <w:vMerge w:val="continue"/>
                </w:tcPr>
                <w:p w14:paraId="6E06A417">
                  <w:pPr>
                    <w:pStyle w:val="36"/>
                    <w:spacing w:line="240" w:lineRule="auto"/>
                    <w:jc w:val="center"/>
                    <w:rPr>
                      <w:rFonts w:cs="Times New Roman"/>
                      <w:b w:val="0"/>
                      <w:bCs/>
                      <w:sz w:val="21"/>
                    </w:rPr>
                  </w:pPr>
                </w:p>
              </w:tc>
            </w:tr>
            <w:tr w14:paraId="19C9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1" w:type="pct"/>
                  <w:vMerge w:val="continue"/>
                  <w:vAlign w:val="center"/>
                </w:tcPr>
                <w:p w14:paraId="032ADD8D">
                  <w:pPr>
                    <w:pStyle w:val="36"/>
                    <w:spacing w:line="240" w:lineRule="auto"/>
                    <w:jc w:val="center"/>
                    <w:rPr>
                      <w:rFonts w:cs="Times New Roman"/>
                      <w:b w:val="0"/>
                      <w:bCs/>
                      <w:sz w:val="21"/>
                    </w:rPr>
                  </w:pPr>
                </w:p>
              </w:tc>
              <w:tc>
                <w:tcPr>
                  <w:tcW w:w="962" w:type="pct"/>
                  <w:vAlign w:val="center"/>
                </w:tcPr>
                <w:p w14:paraId="1E821A7B">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COD</w:t>
                  </w:r>
                </w:p>
              </w:tc>
              <w:tc>
                <w:tcPr>
                  <w:tcW w:w="1167" w:type="pct"/>
                  <w:vAlign w:val="center"/>
                </w:tcPr>
                <w:p w14:paraId="003E9344">
                  <w:pPr>
                    <w:pStyle w:val="36"/>
                    <w:spacing w:line="240" w:lineRule="auto"/>
                    <w:jc w:val="center"/>
                    <w:rPr>
                      <w:rFonts w:cs="Times New Roman"/>
                      <w:b w:val="0"/>
                      <w:bCs/>
                      <w:sz w:val="21"/>
                    </w:rPr>
                  </w:pPr>
                  <w:r>
                    <w:rPr>
                      <w:rFonts w:cs="Times New Roman"/>
                      <w:b w:val="0"/>
                      <w:bCs/>
                      <w:sz w:val="21"/>
                    </w:rPr>
                    <w:t>1次/a，1h/次</w:t>
                  </w:r>
                </w:p>
              </w:tc>
              <w:tc>
                <w:tcPr>
                  <w:tcW w:w="817" w:type="pct"/>
                  <w:vAlign w:val="center"/>
                </w:tcPr>
                <w:p w14:paraId="7BA4531E">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350</w:t>
                  </w:r>
                </w:p>
              </w:tc>
              <w:tc>
                <w:tcPr>
                  <w:tcW w:w="739" w:type="pct"/>
                  <w:vAlign w:val="center"/>
                </w:tcPr>
                <w:p w14:paraId="6A15A7AC">
                  <w:pPr>
                    <w:pStyle w:val="36"/>
                    <w:spacing w:line="240" w:lineRule="auto"/>
                    <w:jc w:val="center"/>
                    <w:rPr>
                      <w:rFonts w:cs="Times New Roman"/>
                      <w:b w:val="0"/>
                      <w:bCs/>
                      <w:sz w:val="21"/>
                    </w:rPr>
                  </w:pPr>
                  <w:r>
                    <w:rPr>
                      <w:rFonts w:hint="eastAsia" w:cs="Times New Roman"/>
                      <w:b w:val="0"/>
                      <w:bCs/>
                      <w:sz w:val="21"/>
                    </w:rPr>
                    <w:t>0</w:t>
                  </w:r>
                  <w:r>
                    <w:rPr>
                      <w:rFonts w:cs="Times New Roman"/>
                      <w:b w:val="0"/>
                      <w:bCs/>
                      <w:sz w:val="21"/>
                    </w:rPr>
                    <w:t>.0004</w:t>
                  </w:r>
                </w:p>
              </w:tc>
              <w:tc>
                <w:tcPr>
                  <w:tcW w:w="673" w:type="pct"/>
                  <w:vMerge w:val="continue"/>
                </w:tcPr>
                <w:p w14:paraId="5BCE70C9">
                  <w:pPr>
                    <w:pStyle w:val="36"/>
                    <w:spacing w:line="240" w:lineRule="auto"/>
                    <w:jc w:val="center"/>
                    <w:rPr>
                      <w:rFonts w:cs="Times New Roman"/>
                      <w:b w:val="0"/>
                      <w:bCs/>
                      <w:sz w:val="21"/>
                    </w:rPr>
                  </w:pPr>
                </w:p>
              </w:tc>
            </w:tr>
            <w:tr w14:paraId="0CA1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1" w:type="pct"/>
                  <w:vMerge w:val="continue"/>
                  <w:vAlign w:val="center"/>
                </w:tcPr>
                <w:p w14:paraId="6BDDC95F">
                  <w:pPr>
                    <w:pStyle w:val="36"/>
                    <w:spacing w:line="240" w:lineRule="auto"/>
                    <w:jc w:val="center"/>
                    <w:rPr>
                      <w:rFonts w:cs="Times New Roman"/>
                      <w:b w:val="0"/>
                      <w:bCs/>
                      <w:sz w:val="21"/>
                    </w:rPr>
                  </w:pPr>
                </w:p>
              </w:tc>
              <w:tc>
                <w:tcPr>
                  <w:tcW w:w="962" w:type="pct"/>
                  <w:vAlign w:val="center"/>
                </w:tcPr>
                <w:p w14:paraId="3683319B">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SS</w:t>
                  </w:r>
                </w:p>
              </w:tc>
              <w:tc>
                <w:tcPr>
                  <w:tcW w:w="1167" w:type="pct"/>
                  <w:vAlign w:val="center"/>
                </w:tcPr>
                <w:p w14:paraId="6212D6F5">
                  <w:pPr>
                    <w:pStyle w:val="36"/>
                    <w:spacing w:line="240" w:lineRule="auto"/>
                    <w:jc w:val="center"/>
                    <w:rPr>
                      <w:rFonts w:cs="Times New Roman"/>
                      <w:b w:val="0"/>
                      <w:bCs/>
                      <w:sz w:val="21"/>
                    </w:rPr>
                  </w:pPr>
                  <w:r>
                    <w:rPr>
                      <w:rFonts w:cs="Times New Roman"/>
                      <w:b w:val="0"/>
                      <w:bCs/>
                      <w:sz w:val="21"/>
                    </w:rPr>
                    <w:t>1次/a，1h/次</w:t>
                  </w:r>
                </w:p>
              </w:tc>
              <w:tc>
                <w:tcPr>
                  <w:tcW w:w="817" w:type="pct"/>
                  <w:vAlign w:val="center"/>
                </w:tcPr>
                <w:p w14:paraId="07CD5212">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300</w:t>
                  </w:r>
                </w:p>
              </w:tc>
              <w:tc>
                <w:tcPr>
                  <w:tcW w:w="739" w:type="pct"/>
                  <w:vAlign w:val="center"/>
                </w:tcPr>
                <w:p w14:paraId="6AD22094">
                  <w:pPr>
                    <w:pStyle w:val="36"/>
                    <w:spacing w:line="240" w:lineRule="auto"/>
                    <w:jc w:val="center"/>
                    <w:rPr>
                      <w:rFonts w:cs="Times New Roman"/>
                      <w:b w:val="0"/>
                      <w:bCs/>
                      <w:sz w:val="21"/>
                    </w:rPr>
                  </w:pPr>
                  <w:r>
                    <w:rPr>
                      <w:rFonts w:hint="eastAsia" w:cs="Times New Roman"/>
                      <w:b w:val="0"/>
                      <w:bCs/>
                      <w:sz w:val="21"/>
                    </w:rPr>
                    <w:t>0</w:t>
                  </w:r>
                  <w:r>
                    <w:rPr>
                      <w:rFonts w:cs="Times New Roman"/>
                      <w:b w:val="0"/>
                      <w:bCs/>
                      <w:sz w:val="21"/>
                    </w:rPr>
                    <w:t>.00035</w:t>
                  </w:r>
                </w:p>
              </w:tc>
              <w:tc>
                <w:tcPr>
                  <w:tcW w:w="673" w:type="pct"/>
                  <w:vMerge w:val="continue"/>
                </w:tcPr>
                <w:p w14:paraId="1A38B5C5">
                  <w:pPr>
                    <w:pStyle w:val="36"/>
                    <w:spacing w:line="240" w:lineRule="auto"/>
                    <w:jc w:val="center"/>
                    <w:rPr>
                      <w:rFonts w:cs="Times New Roman"/>
                      <w:b w:val="0"/>
                      <w:bCs/>
                      <w:sz w:val="21"/>
                    </w:rPr>
                  </w:pPr>
                </w:p>
              </w:tc>
            </w:tr>
            <w:tr w14:paraId="414A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1" w:type="pct"/>
                  <w:vMerge w:val="continue"/>
                  <w:vAlign w:val="center"/>
                </w:tcPr>
                <w:p w14:paraId="3DAEC1E9">
                  <w:pPr>
                    <w:pStyle w:val="18"/>
                    <w:rPr>
                      <w:rFonts w:ascii="Times New Roman" w:hAnsi="Times New Roman" w:cs="Times New Roman"/>
                      <w:kern w:val="2"/>
                      <w:sz w:val="21"/>
                      <w:szCs w:val="21"/>
                      <w:lang w:eastAsia="zh-CN" w:bidi="zh-CN"/>
                    </w:rPr>
                  </w:pPr>
                </w:p>
              </w:tc>
              <w:tc>
                <w:tcPr>
                  <w:tcW w:w="962" w:type="pct"/>
                  <w:vAlign w:val="center"/>
                </w:tcPr>
                <w:p w14:paraId="7451CFF3">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NH</w:t>
                  </w:r>
                  <w:r>
                    <w:rPr>
                      <w:rFonts w:ascii="Times New Roman" w:hAnsi="Times New Roman" w:cs="Times New Roman"/>
                      <w:iCs/>
                      <w:sz w:val="21"/>
                      <w:szCs w:val="21"/>
                      <w:vertAlign w:val="subscript"/>
                      <w:lang w:eastAsia="zh-CN"/>
                    </w:rPr>
                    <w:t>3-</w:t>
                  </w:r>
                  <w:r>
                    <w:rPr>
                      <w:rFonts w:ascii="Times New Roman" w:hAnsi="Times New Roman" w:cs="Times New Roman"/>
                      <w:iCs/>
                      <w:sz w:val="21"/>
                      <w:szCs w:val="21"/>
                      <w:lang w:eastAsia="zh-CN"/>
                    </w:rPr>
                    <w:t>N</w:t>
                  </w:r>
                </w:p>
              </w:tc>
              <w:tc>
                <w:tcPr>
                  <w:tcW w:w="1167" w:type="pct"/>
                  <w:vAlign w:val="center"/>
                </w:tcPr>
                <w:p w14:paraId="01A381FC">
                  <w:pPr>
                    <w:pStyle w:val="36"/>
                    <w:spacing w:line="240" w:lineRule="auto"/>
                    <w:jc w:val="center"/>
                    <w:rPr>
                      <w:rFonts w:cs="Times New Roman"/>
                      <w:b w:val="0"/>
                      <w:bCs/>
                      <w:sz w:val="21"/>
                    </w:rPr>
                  </w:pPr>
                  <w:r>
                    <w:rPr>
                      <w:rFonts w:cs="Times New Roman"/>
                      <w:b w:val="0"/>
                      <w:bCs/>
                      <w:sz w:val="21"/>
                    </w:rPr>
                    <w:t>1次/a，1h/次</w:t>
                  </w:r>
                </w:p>
              </w:tc>
              <w:tc>
                <w:tcPr>
                  <w:tcW w:w="817" w:type="pct"/>
                  <w:vAlign w:val="center"/>
                </w:tcPr>
                <w:p w14:paraId="78BE58D1">
                  <w:pPr>
                    <w:pStyle w:val="18"/>
                    <w:jc w:val="center"/>
                    <w:rPr>
                      <w:rFonts w:ascii="Times New Roman" w:hAnsi="Times New Roman" w:cs="Times New Roman"/>
                      <w:iCs/>
                      <w:sz w:val="21"/>
                      <w:szCs w:val="21"/>
                      <w:lang w:eastAsia="zh-CN"/>
                    </w:rPr>
                  </w:pPr>
                  <w:r>
                    <w:rPr>
                      <w:rFonts w:ascii="Times New Roman" w:hAnsi="Times New Roman" w:cs="Times New Roman"/>
                      <w:iCs/>
                      <w:sz w:val="21"/>
                      <w:szCs w:val="21"/>
                      <w:lang w:eastAsia="zh-CN"/>
                    </w:rPr>
                    <w:t>30</w:t>
                  </w:r>
                </w:p>
              </w:tc>
              <w:tc>
                <w:tcPr>
                  <w:tcW w:w="739" w:type="pct"/>
                  <w:vAlign w:val="center"/>
                </w:tcPr>
                <w:p w14:paraId="39623394">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0</w:t>
                  </w:r>
                  <w:r>
                    <w:rPr>
                      <w:rFonts w:ascii="Times New Roman" w:hAnsi="Times New Roman" w:cs="Times New Roman"/>
                      <w:bCs/>
                      <w:sz w:val="21"/>
                      <w:szCs w:val="21"/>
                      <w:lang w:eastAsia="zh-CN"/>
                    </w:rPr>
                    <w:t>.00004</w:t>
                  </w:r>
                </w:p>
              </w:tc>
              <w:tc>
                <w:tcPr>
                  <w:tcW w:w="673" w:type="pct"/>
                  <w:vMerge w:val="continue"/>
                </w:tcPr>
                <w:p w14:paraId="07617821">
                  <w:pPr>
                    <w:pStyle w:val="18"/>
                    <w:jc w:val="center"/>
                    <w:rPr>
                      <w:rFonts w:ascii="Times New Roman" w:hAnsi="Times New Roman" w:cs="Times New Roman"/>
                      <w:bCs/>
                      <w:sz w:val="21"/>
                      <w:szCs w:val="21"/>
                      <w:lang w:eastAsia="zh-CN"/>
                    </w:rPr>
                  </w:pPr>
                </w:p>
              </w:tc>
            </w:tr>
          </w:tbl>
          <w:p w14:paraId="59D6DC5F">
            <w:pPr>
              <w:pStyle w:val="18"/>
              <w:jc w:val="center"/>
              <w:rPr>
                <w:rFonts w:ascii="Times New Roman" w:hAnsi="Times New Roman" w:cs="Times New Roman"/>
                <w:b/>
                <w:bCs/>
                <w:sz w:val="21"/>
                <w:szCs w:val="21"/>
                <w:lang w:eastAsia="zh-CN"/>
              </w:rPr>
            </w:pPr>
          </w:p>
          <w:p w14:paraId="22D11FCD">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由上表可知，在</w:t>
            </w:r>
            <w:r>
              <w:rPr>
                <w:rFonts w:hint="eastAsia" w:ascii="Times New Roman" w:hAnsi="Times New Roman" w:cs="Times New Roman"/>
                <w:sz w:val="24"/>
                <w:szCs w:val="24"/>
                <w:lang w:eastAsia="zh-CN"/>
              </w:rPr>
              <w:t>污水处理站发生</w:t>
            </w:r>
            <w:r>
              <w:rPr>
                <w:rFonts w:ascii="Times New Roman" w:hAnsi="Times New Roman" w:cs="Times New Roman"/>
                <w:sz w:val="24"/>
                <w:szCs w:val="24"/>
                <w:lang w:eastAsia="zh-CN"/>
              </w:rPr>
              <w:t>故障时，项目</w:t>
            </w:r>
            <w:r>
              <w:rPr>
                <w:rFonts w:hint="eastAsia" w:ascii="Times New Roman" w:hAnsi="Times New Roman" w:cs="Times New Roman"/>
                <w:sz w:val="24"/>
                <w:szCs w:val="24"/>
                <w:lang w:eastAsia="zh-CN"/>
              </w:rPr>
              <w:t>生活污水</w:t>
            </w:r>
            <w:r>
              <w:rPr>
                <w:rFonts w:ascii="Times New Roman" w:hAnsi="Times New Roman" w:cs="Times New Roman"/>
                <w:sz w:val="24"/>
                <w:szCs w:val="24"/>
                <w:lang w:eastAsia="zh-CN"/>
              </w:rPr>
              <w:t>不能</w:t>
            </w:r>
            <w:r>
              <w:rPr>
                <w:rFonts w:hint="eastAsia" w:ascii="Times New Roman" w:hAnsi="Times New Roman" w:cs="Times New Roman"/>
                <w:sz w:val="24"/>
                <w:szCs w:val="24"/>
                <w:lang w:eastAsia="zh-CN"/>
              </w:rPr>
              <w:t>实现</w:t>
            </w:r>
            <w:r>
              <w:rPr>
                <w:rFonts w:ascii="Times New Roman" w:hAnsi="Times New Roman" w:cs="Times New Roman"/>
                <w:sz w:val="24"/>
                <w:szCs w:val="24"/>
                <w:lang w:eastAsia="zh-CN"/>
              </w:rPr>
              <w:t>达标排放，本项目投产后，平时应加强对</w:t>
            </w:r>
            <w:r>
              <w:rPr>
                <w:rFonts w:hint="eastAsia" w:ascii="Times New Roman" w:hAnsi="Times New Roman" w:cs="Times New Roman"/>
                <w:sz w:val="24"/>
                <w:szCs w:val="24"/>
                <w:lang w:eastAsia="zh-CN"/>
              </w:rPr>
              <w:t>污水处理站</w:t>
            </w:r>
            <w:r>
              <w:rPr>
                <w:rFonts w:ascii="Times New Roman" w:hAnsi="Times New Roman" w:cs="Times New Roman"/>
                <w:sz w:val="24"/>
                <w:szCs w:val="24"/>
                <w:lang w:eastAsia="zh-CN"/>
              </w:rPr>
              <w:t>的维护和保养，确保其正常运转，避免事故性排放情况的发生，如果一旦发现</w:t>
            </w:r>
            <w:r>
              <w:rPr>
                <w:rFonts w:hint="eastAsia" w:ascii="Times New Roman" w:hAnsi="Times New Roman" w:cs="Times New Roman"/>
                <w:sz w:val="24"/>
                <w:szCs w:val="24"/>
                <w:lang w:eastAsia="zh-CN"/>
              </w:rPr>
              <w:t>污水处理站</w:t>
            </w:r>
            <w:r>
              <w:rPr>
                <w:rFonts w:ascii="Times New Roman" w:hAnsi="Times New Roman" w:cs="Times New Roman"/>
                <w:sz w:val="24"/>
                <w:szCs w:val="24"/>
                <w:lang w:eastAsia="zh-CN"/>
              </w:rPr>
              <w:t>出现故障，建设单位应立即采取措施进行抢修，相应工段应停止运行，直至抢修完成，处理设备正常工作。</w:t>
            </w:r>
          </w:p>
          <w:p w14:paraId="4BBDB58B">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ascii="Times New Roman" w:hAnsi="Times New Roman" w:cs="Times New Roman"/>
                <w:sz w:val="24"/>
                <w:szCs w:val="24"/>
                <w:lang w:eastAsia="zh-CN"/>
              </w:rPr>
              <w:t>项目废水处理工艺可行性及达标排放分析</w:t>
            </w:r>
          </w:p>
          <w:p w14:paraId="47EA6691">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a、</w:t>
            </w:r>
            <w:r>
              <w:rPr>
                <w:rFonts w:ascii="Times New Roman" w:hAnsi="Times New Roman" w:cs="Times New Roman"/>
                <w:sz w:val="24"/>
                <w:szCs w:val="24"/>
                <w:lang w:eastAsia="zh-CN"/>
              </w:rPr>
              <w:t>项目废水处理工艺可行性分析</w:t>
            </w:r>
          </w:p>
          <w:p w14:paraId="066DB70D">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A</w:t>
            </w:r>
            <w:r>
              <w:rPr>
                <w:rFonts w:ascii="Times New Roman" w:hAnsi="Times New Roman" w:cs="Times New Roman"/>
                <w:sz w:val="24"/>
                <w:szCs w:val="24"/>
                <w:vertAlign w:val="subscript"/>
                <w:lang w:eastAsia="zh-CN"/>
              </w:rPr>
              <w:t>2</w:t>
            </w:r>
            <w:r>
              <w:rPr>
                <w:rFonts w:ascii="Times New Roman" w:hAnsi="Times New Roman" w:cs="Times New Roman"/>
                <w:sz w:val="24"/>
                <w:szCs w:val="24"/>
                <w:lang w:eastAsia="zh-CN"/>
              </w:rPr>
              <w:t>/O生化处理工艺”是80年代初期开创的污水处理技术，该工艺在污水处理领域应用广泛，技术成熟，作为目前采用较为广泛的一种脱氮工艺，该工艺是在厌氧-好氧、除磷工艺中加一缺氧池，将好氧池中部分混合液回流至缺氧池前端，以达到硝化－反硝化脱氮的目的。所以A</w:t>
            </w:r>
            <w:r>
              <w:rPr>
                <w:rFonts w:ascii="Times New Roman" w:hAnsi="Times New Roman" w:cs="Times New Roman"/>
                <w:sz w:val="24"/>
                <w:szCs w:val="24"/>
                <w:vertAlign w:val="subscript"/>
                <w:lang w:eastAsia="zh-CN"/>
              </w:rPr>
              <w:t>2</w:t>
            </w:r>
            <w:r>
              <w:rPr>
                <w:rFonts w:ascii="Times New Roman" w:hAnsi="Times New Roman" w:cs="Times New Roman"/>
                <w:sz w:val="24"/>
                <w:szCs w:val="24"/>
                <w:lang w:eastAsia="zh-CN"/>
              </w:rPr>
              <w:t>/O</w:t>
            </w:r>
            <w:r>
              <w:rPr>
                <w:rFonts w:hint="eastAsia" w:ascii="Times New Roman" w:hAnsi="Times New Roman" w:cs="Times New Roman"/>
                <w:sz w:val="24"/>
                <w:szCs w:val="24"/>
                <w:lang w:eastAsia="zh-CN"/>
              </w:rPr>
              <w:t>生化处理</w:t>
            </w:r>
            <w:r>
              <w:rPr>
                <w:rFonts w:ascii="Times New Roman" w:hAnsi="Times New Roman" w:cs="Times New Roman"/>
                <w:sz w:val="24"/>
                <w:szCs w:val="24"/>
                <w:lang w:eastAsia="zh-CN"/>
              </w:rPr>
              <w:t>工艺可以同时完成有机物的去除、脱氮、除磷等功能，脱氮的前提是NH</w:t>
            </w:r>
            <w:r>
              <w:rPr>
                <w:rFonts w:ascii="Times New Roman" w:hAnsi="Times New Roman" w:cs="Times New Roman"/>
                <w:sz w:val="24"/>
                <w:szCs w:val="24"/>
                <w:vertAlign w:val="subscript"/>
                <w:lang w:eastAsia="zh-CN"/>
              </w:rPr>
              <w:t>3</w:t>
            </w:r>
            <w:r>
              <w:rPr>
                <w:rFonts w:ascii="Times New Roman" w:hAnsi="Times New Roman" w:cs="Times New Roman"/>
                <w:sz w:val="24"/>
                <w:szCs w:val="24"/>
                <w:lang w:eastAsia="zh-CN"/>
              </w:rPr>
              <w:t>-N应完全硝化，好氧池能完成这一功能；缺氧池则完成脱氮功能；厌氧池和好氧池联合完成除磷功能。</w:t>
            </w:r>
          </w:p>
          <w:p w14:paraId="3A141031">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本项目废水主要是生活污水，水质简单，废水量较小，项目拟建污水处理站采用“</w:t>
            </w:r>
            <w:r>
              <w:rPr>
                <w:rFonts w:ascii="Times New Roman" w:hAnsi="Times New Roman" w:cs="Times New Roman"/>
                <w:sz w:val="24"/>
                <w:szCs w:val="24"/>
                <w:lang w:eastAsia="zh-CN"/>
              </w:rPr>
              <w:t>A</w:t>
            </w:r>
            <w:r>
              <w:rPr>
                <w:rFonts w:ascii="Times New Roman" w:hAnsi="Times New Roman" w:cs="Times New Roman"/>
                <w:sz w:val="24"/>
                <w:szCs w:val="24"/>
                <w:vertAlign w:val="subscript"/>
                <w:lang w:eastAsia="zh-CN"/>
              </w:rPr>
              <w:t>2</w:t>
            </w:r>
            <w:r>
              <w:rPr>
                <w:rFonts w:ascii="Times New Roman" w:hAnsi="Times New Roman" w:cs="Times New Roman"/>
                <w:sz w:val="24"/>
                <w:szCs w:val="24"/>
                <w:lang w:eastAsia="zh-CN"/>
              </w:rPr>
              <w:t>/O生化处理工艺”，该污水处理工艺为《排污许可证申请与核发技术规范    水处理（试行）》（HJ 978-2018）中推荐的可行技术。由以上分析可知，本项目废水污水处理工艺是可行的。</w:t>
            </w:r>
          </w:p>
          <w:p w14:paraId="2EBDF08F">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项目污水预处理阶段主要有：格栅、</w:t>
            </w:r>
            <w:r>
              <w:rPr>
                <w:rFonts w:hint="eastAsia" w:ascii="Times New Roman" w:hAnsi="Times New Roman" w:cs="Times New Roman"/>
                <w:sz w:val="24"/>
                <w:szCs w:val="24"/>
                <w:lang w:eastAsia="zh-CN"/>
              </w:rPr>
              <w:t>沉淀</w:t>
            </w:r>
            <w:r>
              <w:rPr>
                <w:rFonts w:ascii="Times New Roman" w:hAnsi="Times New Roman" w:cs="Times New Roman"/>
                <w:sz w:val="24"/>
                <w:szCs w:val="24"/>
                <w:lang w:eastAsia="zh-CN"/>
              </w:rPr>
              <w:t>池、调节池；生化处理阶段主要是：</w:t>
            </w:r>
            <w:r>
              <w:rPr>
                <w:rFonts w:hint="eastAsia" w:ascii="Times New Roman" w:hAnsi="Times New Roman" w:cs="Times New Roman"/>
                <w:sz w:val="24"/>
                <w:szCs w:val="24"/>
                <w:lang w:eastAsia="zh-CN"/>
              </w:rPr>
              <w:t>厌氧池</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缺氧池、好氧池、二沉池、清水池等</w:t>
            </w:r>
            <w:r>
              <w:rPr>
                <w:rFonts w:ascii="Times New Roman" w:hAnsi="Times New Roman" w:cs="Times New Roman"/>
                <w:sz w:val="24"/>
                <w:szCs w:val="24"/>
                <w:lang w:eastAsia="zh-CN"/>
              </w:rPr>
              <w:t>。项目污水处理所有工艺环节全部使用《排污许可证申请与核发技术规范    水处理（试行）》（HJ 978-2018）中推荐的可行技术，</w:t>
            </w:r>
            <w:r>
              <w:rPr>
                <w:rFonts w:hint="eastAsia" w:ascii="Times New Roman" w:hAnsi="Times New Roman" w:cs="Times New Roman"/>
                <w:sz w:val="24"/>
                <w:szCs w:val="24"/>
                <w:lang w:eastAsia="zh-CN"/>
              </w:rPr>
              <w:t>比对情况见表4</w:t>
            </w:r>
            <w:r>
              <w:rPr>
                <w:rFonts w:ascii="Times New Roman" w:hAnsi="Times New Roman" w:cs="Times New Roman"/>
                <w:sz w:val="24"/>
                <w:szCs w:val="24"/>
                <w:lang w:eastAsia="zh-CN"/>
              </w:rPr>
              <w:t>.9</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由以上分析可知，本项目废水处理工艺是可行的。</w:t>
            </w:r>
          </w:p>
          <w:p w14:paraId="47C25FBC">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表4.9  项目</w:t>
            </w:r>
            <w:r>
              <w:rPr>
                <w:rFonts w:hint="eastAsia" w:ascii="Times New Roman" w:hAnsi="Times New Roman" w:cs="Times New Roman"/>
                <w:b/>
                <w:sz w:val="21"/>
                <w:szCs w:val="21"/>
                <w:lang w:eastAsia="zh-CN"/>
              </w:rPr>
              <w:t>废水处理工艺比对</w:t>
            </w:r>
            <w:r>
              <w:rPr>
                <w:rFonts w:ascii="Times New Roman" w:hAnsi="Times New Roman" w:cs="Times New Roman"/>
                <w:b/>
                <w:sz w:val="21"/>
                <w:szCs w:val="21"/>
                <w:lang w:eastAsia="zh-CN"/>
              </w:rPr>
              <w:t>一览表</w:t>
            </w:r>
          </w:p>
          <w:tbl>
            <w:tblPr>
              <w:tblStyle w:val="12"/>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4729"/>
              <w:gridCol w:w="2436"/>
              <w:gridCol w:w="943"/>
            </w:tblGrid>
            <w:tr w14:paraId="096F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14:paraId="06DF9B92">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废水类别</w:t>
                  </w:r>
                </w:p>
              </w:tc>
              <w:tc>
                <w:tcPr>
                  <w:tcW w:w="2673" w:type="pct"/>
                  <w:vAlign w:val="center"/>
                </w:tcPr>
                <w:p w14:paraId="4B5FF592">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HJ 978-2018</w:t>
                  </w:r>
                  <w:r>
                    <w:rPr>
                      <w:rFonts w:hint="eastAsia" w:ascii="Times New Roman" w:hAnsi="Times New Roman" w:cs="Times New Roman"/>
                      <w:b/>
                      <w:sz w:val="21"/>
                      <w:szCs w:val="21"/>
                      <w:lang w:eastAsia="zh-CN"/>
                    </w:rPr>
                    <w:t>中推荐可行技术</w:t>
                  </w:r>
                </w:p>
              </w:tc>
              <w:tc>
                <w:tcPr>
                  <w:tcW w:w="1377" w:type="pct"/>
                  <w:vAlign w:val="center"/>
                </w:tcPr>
                <w:p w14:paraId="3B5CD175">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项目采用技术</w:t>
                  </w:r>
                </w:p>
              </w:tc>
              <w:tc>
                <w:tcPr>
                  <w:tcW w:w="533" w:type="pct"/>
                  <w:vAlign w:val="center"/>
                </w:tcPr>
                <w:p w14:paraId="72DC5329">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是否可行技术</w:t>
                  </w:r>
                </w:p>
              </w:tc>
            </w:tr>
            <w:tr w14:paraId="4849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restart"/>
                  <w:vAlign w:val="center"/>
                </w:tcPr>
                <w:p w14:paraId="0E11E978">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生活污水</w:t>
                  </w:r>
                </w:p>
              </w:tc>
              <w:tc>
                <w:tcPr>
                  <w:tcW w:w="2673" w:type="pct"/>
                  <w:vAlign w:val="center"/>
                </w:tcPr>
                <w:p w14:paraId="60366287">
                  <w:pPr>
                    <w:pStyle w:val="18"/>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预处理：格栅、沉淀、调节；</w:t>
                  </w:r>
                </w:p>
              </w:tc>
              <w:tc>
                <w:tcPr>
                  <w:tcW w:w="1377" w:type="pct"/>
                  <w:vAlign w:val="center"/>
                </w:tcPr>
                <w:p w14:paraId="216ECF41">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项目设置有格栅、沉淀池、调节池</w:t>
                  </w:r>
                </w:p>
              </w:tc>
              <w:tc>
                <w:tcPr>
                  <w:tcW w:w="533" w:type="pct"/>
                  <w:vAlign w:val="center"/>
                </w:tcPr>
                <w:p w14:paraId="3311ADE8">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是</w:t>
                  </w:r>
                </w:p>
              </w:tc>
            </w:tr>
            <w:tr w14:paraId="0D70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vAlign w:val="center"/>
                </w:tcPr>
                <w:p w14:paraId="43048D9C">
                  <w:pPr>
                    <w:pStyle w:val="18"/>
                    <w:jc w:val="center"/>
                    <w:rPr>
                      <w:rFonts w:ascii="Times New Roman" w:hAnsi="Times New Roman" w:cs="Times New Roman"/>
                      <w:bCs/>
                      <w:sz w:val="21"/>
                      <w:szCs w:val="21"/>
                      <w:lang w:eastAsia="zh-CN"/>
                    </w:rPr>
                  </w:pPr>
                </w:p>
              </w:tc>
              <w:tc>
                <w:tcPr>
                  <w:tcW w:w="2673" w:type="pct"/>
                  <w:vAlign w:val="center"/>
                </w:tcPr>
                <w:p w14:paraId="20B9729D">
                  <w:pPr>
                    <w:pStyle w:val="18"/>
                    <w:jc w:val="both"/>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生化处理：缺氧好氧、厌氧缺氧好氧、序批式活性污泥、接触氧化、氧化沟、移动生物床反应器、膜生物反应器；</w:t>
                  </w:r>
                </w:p>
              </w:tc>
              <w:tc>
                <w:tcPr>
                  <w:tcW w:w="1377" w:type="pct"/>
                  <w:vAlign w:val="center"/>
                </w:tcPr>
                <w:p w14:paraId="056EBBD1">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项目采用</w:t>
                  </w:r>
                  <w:r>
                    <w:rPr>
                      <w:rFonts w:ascii="Times New Roman" w:hAnsi="Times New Roman" w:cs="Times New Roman"/>
                      <w:bCs/>
                      <w:sz w:val="21"/>
                      <w:szCs w:val="21"/>
                      <w:lang w:eastAsia="zh-CN"/>
                    </w:rPr>
                    <w:t>A</w:t>
                  </w:r>
                  <w:r>
                    <w:rPr>
                      <w:rFonts w:ascii="Times New Roman" w:hAnsi="Times New Roman" w:cs="Times New Roman"/>
                      <w:bCs/>
                      <w:sz w:val="21"/>
                      <w:szCs w:val="21"/>
                      <w:vertAlign w:val="subscript"/>
                      <w:lang w:eastAsia="zh-CN"/>
                    </w:rPr>
                    <w:t>2</w:t>
                  </w:r>
                  <w:r>
                    <w:rPr>
                      <w:rFonts w:ascii="Times New Roman" w:hAnsi="Times New Roman" w:cs="Times New Roman"/>
                      <w:bCs/>
                      <w:sz w:val="21"/>
                      <w:szCs w:val="21"/>
                      <w:lang w:eastAsia="zh-CN"/>
                    </w:rPr>
                    <w:t>/O工艺</w:t>
                  </w:r>
                </w:p>
              </w:tc>
              <w:tc>
                <w:tcPr>
                  <w:tcW w:w="533" w:type="pct"/>
                  <w:vAlign w:val="center"/>
                </w:tcPr>
                <w:p w14:paraId="0427FF0C">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是</w:t>
                  </w:r>
                </w:p>
              </w:tc>
            </w:tr>
          </w:tbl>
          <w:p w14:paraId="1F8B3939">
            <w:pPr>
              <w:pStyle w:val="18"/>
              <w:jc w:val="center"/>
              <w:rPr>
                <w:rFonts w:ascii="Times New Roman" w:hAnsi="Times New Roman" w:cs="Times New Roman"/>
                <w:b/>
                <w:sz w:val="21"/>
                <w:szCs w:val="21"/>
                <w:lang w:eastAsia="zh-CN"/>
              </w:rPr>
            </w:pPr>
          </w:p>
          <w:p w14:paraId="3B1EF668">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ascii="Times New Roman" w:hAnsi="Times New Roman" w:cs="Times New Roman"/>
                <w:sz w:val="24"/>
                <w:szCs w:val="24"/>
                <w:lang w:eastAsia="zh-CN"/>
              </w:rPr>
              <w:t>项目废水达标排放分析</w:t>
            </w:r>
          </w:p>
          <w:p w14:paraId="2DDFBE3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项目各工艺单元水污染物处理效率情况见表4</w:t>
            </w:r>
            <w:r>
              <w:rPr>
                <w:rFonts w:ascii="Times New Roman" w:hAnsi="Times New Roman" w:cs="Times New Roman"/>
                <w:sz w:val="24"/>
                <w:szCs w:val="24"/>
                <w:lang w:eastAsia="zh-CN"/>
              </w:rPr>
              <w:t>.10</w:t>
            </w:r>
            <w:r>
              <w:rPr>
                <w:rFonts w:hint="eastAsia" w:ascii="Times New Roman" w:hAnsi="Times New Roman" w:cs="Times New Roman"/>
                <w:sz w:val="24"/>
                <w:szCs w:val="24"/>
                <w:lang w:eastAsia="zh-CN"/>
              </w:rPr>
              <w:t>。</w:t>
            </w:r>
          </w:p>
          <w:p w14:paraId="7B8FF912">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表4.10  项目</w:t>
            </w:r>
            <w:r>
              <w:rPr>
                <w:rFonts w:hint="eastAsia" w:ascii="Times New Roman" w:hAnsi="Times New Roman" w:cs="Times New Roman"/>
                <w:b/>
                <w:sz w:val="21"/>
                <w:szCs w:val="21"/>
                <w:lang w:eastAsia="zh-CN"/>
              </w:rPr>
              <w:t>废水污染物去除效率</w:t>
            </w:r>
            <w:r>
              <w:rPr>
                <w:rFonts w:ascii="Times New Roman" w:hAnsi="Times New Roman" w:cs="Times New Roman"/>
                <w:b/>
                <w:sz w:val="21"/>
                <w:szCs w:val="21"/>
                <w:lang w:eastAsia="zh-CN"/>
              </w:rPr>
              <w:t>一览表</w:t>
            </w:r>
          </w:p>
          <w:tbl>
            <w:tblPr>
              <w:tblStyle w:val="12"/>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2230"/>
              <w:gridCol w:w="1227"/>
              <w:gridCol w:w="1141"/>
              <w:gridCol w:w="1047"/>
              <w:gridCol w:w="1292"/>
              <w:gridCol w:w="1097"/>
            </w:tblGrid>
            <w:tr w14:paraId="0835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vAlign w:val="center"/>
                </w:tcPr>
                <w:p w14:paraId="5D532C3C">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处理</w:t>
                  </w:r>
                </w:p>
                <w:p w14:paraId="5AD4EE02">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阶段</w:t>
                  </w:r>
                </w:p>
              </w:tc>
              <w:tc>
                <w:tcPr>
                  <w:tcW w:w="1270" w:type="pct"/>
                  <w:vMerge w:val="restart"/>
                  <w:vAlign w:val="center"/>
                </w:tcPr>
                <w:p w14:paraId="35BBB85D">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工艺</w:t>
                  </w:r>
                </w:p>
                <w:p w14:paraId="7D9CA85D">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单元</w:t>
                  </w:r>
                </w:p>
              </w:tc>
              <w:tc>
                <w:tcPr>
                  <w:tcW w:w="699" w:type="pct"/>
                  <w:vMerge w:val="restart"/>
                  <w:vAlign w:val="center"/>
                </w:tcPr>
                <w:p w14:paraId="7DF3FD27">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进出水</w:t>
                  </w:r>
                </w:p>
              </w:tc>
              <w:tc>
                <w:tcPr>
                  <w:tcW w:w="2606" w:type="pct"/>
                  <w:gridSpan w:val="4"/>
                  <w:vAlign w:val="center"/>
                </w:tcPr>
                <w:p w14:paraId="1443CDA9">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废水污染因子</w:t>
                  </w:r>
                </w:p>
              </w:tc>
            </w:tr>
            <w:tr w14:paraId="5FD7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vAlign w:val="center"/>
                </w:tcPr>
                <w:p w14:paraId="0ACA3968">
                  <w:pPr>
                    <w:pStyle w:val="18"/>
                    <w:jc w:val="center"/>
                    <w:rPr>
                      <w:rFonts w:ascii="Times New Roman" w:hAnsi="Times New Roman" w:cs="Times New Roman"/>
                      <w:b/>
                      <w:sz w:val="21"/>
                      <w:szCs w:val="21"/>
                      <w:lang w:eastAsia="zh-CN"/>
                    </w:rPr>
                  </w:pPr>
                </w:p>
              </w:tc>
              <w:tc>
                <w:tcPr>
                  <w:tcW w:w="1270" w:type="pct"/>
                  <w:vMerge w:val="continue"/>
                  <w:vAlign w:val="center"/>
                </w:tcPr>
                <w:p w14:paraId="0B09059B">
                  <w:pPr>
                    <w:pStyle w:val="18"/>
                    <w:jc w:val="center"/>
                    <w:rPr>
                      <w:rFonts w:ascii="Times New Roman" w:hAnsi="Times New Roman" w:cs="Times New Roman"/>
                      <w:bCs/>
                      <w:sz w:val="21"/>
                      <w:szCs w:val="21"/>
                      <w:lang w:eastAsia="zh-CN"/>
                    </w:rPr>
                  </w:pPr>
                </w:p>
              </w:tc>
              <w:tc>
                <w:tcPr>
                  <w:tcW w:w="699" w:type="pct"/>
                  <w:vMerge w:val="continue"/>
                  <w:vAlign w:val="center"/>
                </w:tcPr>
                <w:p w14:paraId="7428AEF9">
                  <w:pPr>
                    <w:pStyle w:val="18"/>
                    <w:jc w:val="center"/>
                    <w:rPr>
                      <w:rFonts w:ascii="Times New Roman" w:hAnsi="Times New Roman" w:cs="Times New Roman"/>
                      <w:bCs/>
                      <w:sz w:val="21"/>
                      <w:szCs w:val="21"/>
                      <w:lang w:eastAsia="zh-CN"/>
                    </w:rPr>
                  </w:pPr>
                </w:p>
              </w:tc>
              <w:tc>
                <w:tcPr>
                  <w:tcW w:w="650" w:type="pct"/>
                  <w:vAlign w:val="center"/>
                </w:tcPr>
                <w:p w14:paraId="57CD71FA">
                  <w:pPr>
                    <w:pStyle w:val="18"/>
                    <w:jc w:val="center"/>
                    <w:rPr>
                      <w:rFonts w:ascii="Times New Roman" w:hAnsi="Times New Roman" w:cs="Times New Roman"/>
                      <w:bCs/>
                      <w:sz w:val="21"/>
                      <w:szCs w:val="21"/>
                      <w:lang w:eastAsia="zh-CN"/>
                    </w:rPr>
                  </w:pPr>
                  <w:r>
                    <w:rPr>
                      <w:rFonts w:ascii="Times New Roman" w:hAnsi="Times New Roman" w:cs="Times New Roman"/>
                      <w:bCs/>
                      <w:spacing w:val="4"/>
                      <w:kern w:val="2"/>
                      <w:sz w:val="21"/>
                      <w:szCs w:val="21"/>
                      <w:lang w:eastAsia="zh-CN"/>
                    </w:rPr>
                    <w:t>BOD</w:t>
                  </w:r>
                  <w:r>
                    <w:rPr>
                      <w:rFonts w:ascii="Times New Roman" w:hAnsi="Times New Roman" w:cs="Times New Roman"/>
                      <w:bCs/>
                      <w:spacing w:val="4"/>
                      <w:kern w:val="2"/>
                      <w:sz w:val="21"/>
                      <w:szCs w:val="21"/>
                      <w:vertAlign w:val="subscript"/>
                      <w:lang w:eastAsia="zh-CN"/>
                    </w:rPr>
                    <w:t>5</w:t>
                  </w:r>
                </w:p>
              </w:tc>
              <w:tc>
                <w:tcPr>
                  <w:tcW w:w="596" w:type="pct"/>
                  <w:vAlign w:val="center"/>
                </w:tcPr>
                <w:p w14:paraId="7F9A76D5">
                  <w:pPr>
                    <w:pStyle w:val="18"/>
                    <w:jc w:val="center"/>
                    <w:rPr>
                      <w:rFonts w:ascii="Times New Roman" w:hAnsi="Times New Roman" w:cs="Times New Roman"/>
                      <w:bCs/>
                      <w:sz w:val="21"/>
                      <w:szCs w:val="21"/>
                      <w:lang w:eastAsia="zh-CN"/>
                    </w:rPr>
                  </w:pPr>
                  <w:r>
                    <w:rPr>
                      <w:rFonts w:ascii="Times New Roman" w:hAnsi="Times New Roman" w:cs="Times New Roman"/>
                      <w:bCs/>
                      <w:spacing w:val="4"/>
                      <w:kern w:val="2"/>
                      <w:sz w:val="21"/>
                      <w:szCs w:val="21"/>
                      <w:lang w:eastAsia="zh-CN"/>
                    </w:rPr>
                    <w:t>COD</w:t>
                  </w:r>
                </w:p>
              </w:tc>
              <w:tc>
                <w:tcPr>
                  <w:tcW w:w="736" w:type="pct"/>
                  <w:vAlign w:val="center"/>
                </w:tcPr>
                <w:p w14:paraId="63CDC29C">
                  <w:pPr>
                    <w:pStyle w:val="18"/>
                    <w:jc w:val="center"/>
                    <w:rPr>
                      <w:rFonts w:ascii="Times New Roman" w:hAnsi="Times New Roman" w:cs="Times New Roman"/>
                      <w:bCs/>
                      <w:sz w:val="21"/>
                      <w:szCs w:val="21"/>
                      <w:lang w:eastAsia="zh-CN"/>
                    </w:rPr>
                  </w:pPr>
                  <w:r>
                    <w:rPr>
                      <w:rFonts w:ascii="Times New Roman" w:hAnsi="Times New Roman" w:cs="Times New Roman"/>
                      <w:bCs/>
                      <w:spacing w:val="4"/>
                      <w:kern w:val="2"/>
                      <w:sz w:val="21"/>
                      <w:szCs w:val="21"/>
                      <w:lang w:eastAsia="zh-CN"/>
                    </w:rPr>
                    <w:t>SS</w:t>
                  </w:r>
                </w:p>
              </w:tc>
              <w:tc>
                <w:tcPr>
                  <w:tcW w:w="624" w:type="pct"/>
                  <w:vAlign w:val="center"/>
                </w:tcPr>
                <w:p w14:paraId="67AFD6FA">
                  <w:pPr>
                    <w:pStyle w:val="18"/>
                    <w:jc w:val="center"/>
                    <w:rPr>
                      <w:rFonts w:ascii="Times New Roman" w:hAnsi="Times New Roman" w:cs="Times New Roman"/>
                      <w:bCs/>
                      <w:sz w:val="21"/>
                      <w:szCs w:val="21"/>
                      <w:lang w:eastAsia="zh-CN"/>
                    </w:rPr>
                  </w:pPr>
                  <w:r>
                    <w:rPr>
                      <w:rFonts w:ascii="Times New Roman" w:hAnsi="Times New Roman" w:cs="Times New Roman"/>
                      <w:bCs/>
                      <w:spacing w:val="4"/>
                      <w:kern w:val="2"/>
                      <w:sz w:val="21"/>
                      <w:szCs w:val="21"/>
                      <w:lang w:eastAsia="zh-CN"/>
                    </w:rPr>
                    <w:t>NH</w:t>
                  </w:r>
                  <w:r>
                    <w:rPr>
                      <w:rFonts w:ascii="Times New Roman" w:hAnsi="Times New Roman" w:cs="Times New Roman"/>
                      <w:bCs/>
                      <w:spacing w:val="4"/>
                      <w:kern w:val="2"/>
                      <w:sz w:val="21"/>
                      <w:szCs w:val="21"/>
                      <w:vertAlign w:val="subscript"/>
                      <w:lang w:eastAsia="zh-CN"/>
                    </w:rPr>
                    <w:t>3</w:t>
                  </w:r>
                  <w:r>
                    <w:rPr>
                      <w:rFonts w:ascii="Times New Roman" w:hAnsi="Times New Roman" w:cs="Times New Roman"/>
                      <w:bCs/>
                      <w:spacing w:val="4"/>
                      <w:kern w:val="2"/>
                      <w:sz w:val="21"/>
                      <w:szCs w:val="21"/>
                      <w:lang w:eastAsia="zh-CN"/>
                    </w:rPr>
                    <w:t>-N</w:t>
                  </w:r>
                </w:p>
              </w:tc>
            </w:tr>
            <w:tr w14:paraId="581F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vAlign w:val="center"/>
                </w:tcPr>
                <w:p w14:paraId="5A51446F">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预处理阶段</w:t>
                  </w:r>
                </w:p>
              </w:tc>
              <w:tc>
                <w:tcPr>
                  <w:tcW w:w="1270" w:type="pct"/>
                  <w:vMerge w:val="restart"/>
                  <w:vAlign w:val="center"/>
                </w:tcPr>
                <w:p w14:paraId="7ABB376E">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格栅、沉淀池、调节池</w:t>
                  </w:r>
                </w:p>
              </w:tc>
              <w:tc>
                <w:tcPr>
                  <w:tcW w:w="699" w:type="pct"/>
                  <w:vAlign w:val="center"/>
                </w:tcPr>
                <w:p w14:paraId="7B4A6062">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进水</w:t>
                  </w:r>
                </w:p>
              </w:tc>
              <w:tc>
                <w:tcPr>
                  <w:tcW w:w="650" w:type="pct"/>
                  <w:vAlign w:val="center"/>
                </w:tcPr>
                <w:p w14:paraId="6F607F51">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250</w:t>
                  </w:r>
                </w:p>
              </w:tc>
              <w:tc>
                <w:tcPr>
                  <w:tcW w:w="596" w:type="pct"/>
                  <w:vAlign w:val="center"/>
                </w:tcPr>
                <w:p w14:paraId="64014008">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350</w:t>
                  </w:r>
                </w:p>
              </w:tc>
              <w:tc>
                <w:tcPr>
                  <w:tcW w:w="736" w:type="pct"/>
                  <w:vAlign w:val="center"/>
                </w:tcPr>
                <w:p w14:paraId="1F026B9E">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300</w:t>
                  </w:r>
                </w:p>
              </w:tc>
              <w:tc>
                <w:tcPr>
                  <w:tcW w:w="624" w:type="pct"/>
                  <w:vAlign w:val="center"/>
                </w:tcPr>
                <w:p w14:paraId="3AE757C7">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30</w:t>
                  </w:r>
                </w:p>
              </w:tc>
            </w:tr>
            <w:tr w14:paraId="77C5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vAlign w:val="center"/>
                </w:tcPr>
                <w:p w14:paraId="416C06DF">
                  <w:pPr>
                    <w:pStyle w:val="18"/>
                    <w:jc w:val="center"/>
                    <w:rPr>
                      <w:rFonts w:ascii="Times New Roman" w:hAnsi="Times New Roman" w:cs="Times New Roman"/>
                      <w:b/>
                      <w:sz w:val="21"/>
                      <w:szCs w:val="21"/>
                      <w:lang w:eastAsia="zh-CN"/>
                    </w:rPr>
                  </w:pPr>
                </w:p>
              </w:tc>
              <w:tc>
                <w:tcPr>
                  <w:tcW w:w="1270" w:type="pct"/>
                  <w:vMerge w:val="continue"/>
                  <w:vAlign w:val="center"/>
                </w:tcPr>
                <w:p w14:paraId="68506BA8">
                  <w:pPr>
                    <w:pStyle w:val="18"/>
                    <w:jc w:val="center"/>
                    <w:rPr>
                      <w:rFonts w:ascii="Times New Roman" w:hAnsi="Times New Roman" w:cs="Times New Roman"/>
                      <w:bCs/>
                      <w:sz w:val="21"/>
                      <w:szCs w:val="21"/>
                      <w:lang w:eastAsia="zh-CN"/>
                    </w:rPr>
                  </w:pPr>
                </w:p>
              </w:tc>
              <w:tc>
                <w:tcPr>
                  <w:tcW w:w="699" w:type="pct"/>
                </w:tcPr>
                <w:p w14:paraId="703EF348">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去除率</w:t>
                  </w:r>
                </w:p>
              </w:tc>
              <w:tc>
                <w:tcPr>
                  <w:tcW w:w="650" w:type="pct"/>
                </w:tcPr>
                <w:p w14:paraId="3A07F689">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20%</w:t>
                  </w:r>
                </w:p>
              </w:tc>
              <w:tc>
                <w:tcPr>
                  <w:tcW w:w="596" w:type="pct"/>
                </w:tcPr>
                <w:p w14:paraId="5E89B677">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15%</w:t>
                  </w:r>
                </w:p>
              </w:tc>
              <w:tc>
                <w:tcPr>
                  <w:tcW w:w="736" w:type="pct"/>
                </w:tcPr>
                <w:p w14:paraId="6429E51F">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70%</w:t>
                  </w:r>
                </w:p>
              </w:tc>
              <w:tc>
                <w:tcPr>
                  <w:tcW w:w="624" w:type="pct"/>
                </w:tcPr>
                <w:p w14:paraId="3647B3B3">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w:t>
                  </w:r>
                </w:p>
              </w:tc>
            </w:tr>
            <w:tr w14:paraId="2B03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vAlign w:val="center"/>
                </w:tcPr>
                <w:p w14:paraId="73BADE09">
                  <w:pPr>
                    <w:pStyle w:val="18"/>
                    <w:jc w:val="center"/>
                    <w:rPr>
                      <w:rFonts w:ascii="Times New Roman" w:hAnsi="Times New Roman" w:cs="Times New Roman"/>
                      <w:b/>
                      <w:sz w:val="21"/>
                      <w:szCs w:val="21"/>
                      <w:lang w:eastAsia="zh-CN"/>
                    </w:rPr>
                  </w:pPr>
                </w:p>
              </w:tc>
              <w:tc>
                <w:tcPr>
                  <w:tcW w:w="1270" w:type="pct"/>
                  <w:vMerge w:val="continue"/>
                  <w:vAlign w:val="center"/>
                </w:tcPr>
                <w:p w14:paraId="62E505EA">
                  <w:pPr>
                    <w:pStyle w:val="18"/>
                    <w:jc w:val="center"/>
                    <w:rPr>
                      <w:rFonts w:ascii="Times New Roman" w:hAnsi="Times New Roman" w:cs="Times New Roman"/>
                      <w:bCs/>
                      <w:sz w:val="21"/>
                      <w:szCs w:val="21"/>
                      <w:lang w:eastAsia="zh-CN"/>
                    </w:rPr>
                  </w:pPr>
                </w:p>
              </w:tc>
              <w:tc>
                <w:tcPr>
                  <w:tcW w:w="699" w:type="pct"/>
                </w:tcPr>
                <w:p w14:paraId="0720CB96">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出水</w:t>
                  </w:r>
                </w:p>
              </w:tc>
              <w:tc>
                <w:tcPr>
                  <w:tcW w:w="650" w:type="pct"/>
                </w:tcPr>
                <w:p w14:paraId="102EEA59">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200</w:t>
                  </w:r>
                </w:p>
              </w:tc>
              <w:tc>
                <w:tcPr>
                  <w:tcW w:w="596" w:type="pct"/>
                </w:tcPr>
                <w:p w14:paraId="72E11C4A">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298</w:t>
                  </w:r>
                </w:p>
              </w:tc>
              <w:tc>
                <w:tcPr>
                  <w:tcW w:w="736" w:type="pct"/>
                </w:tcPr>
                <w:p w14:paraId="4107396B">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90</w:t>
                  </w:r>
                </w:p>
              </w:tc>
              <w:tc>
                <w:tcPr>
                  <w:tcW w:w="624" w:type="pct"/>
                </w:tcPr>
                <w:p w14:paraId="4D32A57F">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30</w:t>
                  </w:r>
                </w:p>
              </w:tc>
            </w:tr>
            <w:tr w14:paraId="0333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vAlign w:val="center"/>
                </w:tcPr>
                <w:p w14:paraId="4DF524A7">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生化处理阶段</w:t>
                  </w:r>
                </w:p>
              </w:tc>
              <w:tc>
                <w:tcPr>
                  <w:tcW w:w="1270" w:type="pct"/>
                  <w:vMerge w:val="restart"/>
                  <w:vAlign w:val="center"/>
                </w:tcPr>
                <w:p w14:paraId="508C0777">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厌氧池、缺氧池、好氧池、二沉池、清水池</w:t>
                  </w:r>
                </w:p>
              </w:tc>
              <w:tc>
                <w:tcPr>
                  <w:tcW w:w="699" w:type="pct"/>
                </w:tcPr>
                <w:p w14:paraId="2707302E">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进水</w:t>
                  </w:r>
                </w:p>
              </w:tc>
              <w:tc>
                <w:tcPr>
                  <w:tcW w:w="650" w:type="pct"/>
                </w:tcPr>
                <w:p w14:paraId="59D02748">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200</w:t>
                  </w:r>
                </w:p>
              </w:tc>
              <w:tc>
                <w:tcPr>
                  <w:tcW w:w="596" w:type="pct"/>
                </w:tcPr>
                <w:p w14:paraId="217FD571">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298</w:t>
                  </w:r>
                </w:p>
              </w:tc>
              <w:tc>
                <w:tcPr>
                  <w:tcW w:w="736" w:type="pct"/>
                </w:tcPr>
                <w:p w14:paraId="402C1330">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90</w:t>
                  </w:r>
                </w:p>
              </w:tc>
              <w:tc>
                <w:tcPr>
                  <w:tcW w:w="624" w:type="pct"/>
                </w:tcPr>
                <w:p w14:paraId="75E8E8AF">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30</w:t>
                  </w:r>
                </w:p>
              </w:tc>
            </w:tr>
            <w:tr w14:paraId="78DF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vAlign w:val="center"/>
                </w:tcPr>
                <w:p w14:paraId="675D3FC3">
                  <w:pPr>
                    <w:pStyle w:val="18"/>
                    <w:jc w:val="center"/>
                    <w:rPr>
                      <w:rFonts w:ascii="Times New Roman" w:hAnsi="Times New Roman" w:cs="Times New Roman"/>
                      <w:b/>
                      <w:sz w:val="21"/>
                      <w:szCs w:val="21"/>
                      <w:lang w:eastAsia="zh-CN"/>
                    </w:rPr>
                  </w:pPr>
                </w:p>
              </w:tc>
              <w:tc>
                <w:tcPr>
                  <w:tcW w:w="1270" w:type="pct"/>
                  <w:vMerge w:val="continue"/>
                  <w:vAlign w:val="center"/>
                </w:tcPr>
                <w:p w14:paraId="7F6414C6">
                  <w:pPr>
                    <w:pStyle w:val="18"/>
                    <w:jc w:val="center"/>
                    <w:rPr>
                      <w:rFonts w:ascii="Times New Roman" w:hAnsi="Times New Roman" w:cs="Times New Roman"/>
                      <w:bCs/>
                      <w:sz w:val="21"/>
                      <w:szCs w:val="21"/>
                      <w:lang w:eastAsia="zh-CN"/>
                    </w:rPr>
                  </w:pPr>
                </w:p>
              </w:tc>
              <w:tc>
                <w:tcPr>
                  <w:tcW w:w="699" w:type="pct"/>
                </w:tcPr>
                <w:p w14:paraId="3D7DE737">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去除率</w:t>
                  </w:r>
                </w:p>
              </w:tc>
              <w:tc>
                <w:tcPr>
                  <w:tcW w:w="650" w:type="pct"/>
                </w:tcPr>
                <w:p w14:paraId="221C096A">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95%</w:t>
                  </w:r>
                </w:p>
              </w:tc>
              <w:tc>
                <w:tcPr>
                  <w:tcW w:w="596" w:type="pct"/>
                </w:tcPr>
                <w:p w14:paraId="28A1F895">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84%</w:t>
                  </w:r>
                </w:p>
              </w:tc>
              <w:tc>
                <w:tcPr>
                  <w:tcW w:w="736" w:type="pct"/>
                </w:tcPr>
                <w:p w14:paraId="68CA3422">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89%</w:t>
                  </w:r>
                </w:p>
              </w:tc>
              <w:tc>
                <w:tcPr>
                  <w:tcW w:w="624" w:type="pct"/>
                </w:tcPr>
                <w:p w14:paraId="303EEB8C">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84%</w:t>
                  </w:r>
                </w:p>
              </w:tc>
            </w:tr>
            <w:tr w14:paraId="2FB1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vAlign w:val="center"/>
                </w:tcPr>
                <w:p w14:paraId="233FC930">
                  <w:pPr>
                    <w:pStyle w:val="18"/>
                    <w:jc w:val="center"/>
                    <w:rPr>
                      <w:rFonts w:ascii="Times New Roman" w:hAnsi="Times New Roman" w:cs="Times New Roman"/>
                      <w:b/>
                      <w:sz w:val="21"/>
                      <w:szCs w:val="21"/>
                      <w:lang w:eastAsia="zh-CN"/>
                    </w:rPr>
                  </w:pPr>
                </w:p>
              </w:tc>
              <w:tc>
                <w:tcPr>
                  <w:tcW w:w="1270" w:type="pct"/>
                  <w:vMerge w:val="continue"/>
                  <w:vAlign w:val="center"/>
                </w:tcPr>
                <w:p w14:paraId="6115FC7E">
                  <w:pPr>
                    <w:pStyle w:val="18"/>
                    <w:jc w:val="center"/>
                    <w:rPr>
                      <w:rFonts w:ascii="Times New Roman" w:hAnsi="Times New Roman" w:cs="Times New Roman"/>
                      <w:bCs/>
                      <w:sz w:val="21"/>
                      <w:szCs w:val="21"/>
                      <w:lang w:eastAsia="zh-CN"/>
                    </w:rPr>
                  </w:pPr>
                </w:p>
              </w:tc>
              <w:tc>
                <w:tcPr>
                  <w:tcW w:w="699" w:type="pct"/>
                </w:tcPr>
                <w:p w14:paraId="2384679C">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出水</w:t>
                  </w:r>
                </w:p>
              </w:tc>
              <w:tc>
                <w:tcPr>
                  <w:tcW w:w="650" w:type="pct"/>
                </w:tcPr>
                <w:p w14:paraId="29878C7D">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10</w:t>
                  </w:r>
                </w:p>
              </w:tc>
              <w:tc>
                <w:tcPr>
                  <w:tcW w:w="596" w:type="pct"/>
                </w:tcPr>
                <w:p w14:paraId="50254F75">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50</w:t>
                  </w:r>
                </w:p>
              </w:tc>
              <w:tc>
                <w:tcPr>
                  <w:tcW w:w="736" w:type="pct"/>
                </w:tcPr>
                <w:p w14:paraId="4266103F">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10</w:t>
                  </w:r>
                </w:p>
              </w:tc>
              <w:tc>
                <w:tcPr>
                  <w:tcW w:w="624" w:type="pct"/>
                </w:tcPr>
                <w:p w14:paraId="608A2B6F">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8</w:t>
                  </w:r>
                </w:p>
              </w:tc>
            </w:tr>
            <w:tr w14:paraId="6D2E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4" w:type="pct"/>
                  <w:gridSpan w:val="3"/>
                  <w:vAlign w:val="center"/>
                </w:tcPr>
                <w:p w14:paraId="3A1B1888">
                  <w:pPr>
                    <w:pStyle w:val="18"/>
                    <w:jc w:val="both"/>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《农村生活污水处理排放标准》（</w:t>
                  </w:r>
                  <w:r>
                    <w:rPr>
                      <w:rFonts w:ascii="Times New Roman" w:hAnsi="Times New Roman" w:cs="Times New Roman"/>
                      <w:bCs/>
                      <w:sz w:val="21"/>
                      <w:szCs w:val="21"/>
                      <w:lang w:eastAsia="zh-CN"/>
                    </w:rPr>
                    <w:t>DB 65 4275-2019）表2中B级标准</w:t>
                  </w:r>
                </w:p>
              </w:tc>
              <w:tc>
                <w:tcPr>
                  <w:tcW w:w="650" w:type="pct"/>
                  <w:vAlign w:val="center"/>
                </w:tcPr>
                <w:p w14:paraId="3C88EE73">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w:t>
                  </w:r>
                </w:p>
              </w:tc>
              <w:tc>
                <w:tcPr>
                  <w:tcW w:w="596" w:type="pct"/>
                  <w:vAlign w:val="center"/>
                </w:tcPr>
                <w:p w14:paraId="6C3091D5">
                  <w:pPr>
                    <w:pStyle w:val="18"/>
                    <w:jc w:val="center"/>
                    <w:rPr>
                      <w:rFonts w:ascii="Times New Roman" w:hAnsi="Times New Roman" w:cs="Times New Roman"/>
                      <w:bCs/>
                      <w:sz w:val="21"/>
                      <w:szCs w:val="21"/>
                      <w:lang w:eastAsia="zh-CN"/>
                    </w:rPr>
                  </w:pPr>
                  <w:r>
                    <w:rPr>
                      <w:rFonts w:ascii="Times New Roman" w:hAnsi="Times New Roman" w:cs="Times New Roman"/>
                      <w:spacing w:val="4"/>
                      <w:kern w:val="2"/>
                      <w:sz w:val="21"/>
                      <w:szCs w:val="21"/>
                      <w:lang w:eastAsia="zh-CN"/>
                    </w:rPr>
                    <w:t>180</w:t>
                  </w:r>
                </w:p>
              </w:tc>
              <w:tc>
                <w:tcPr>
                  <w:tcW w:w="736" w:type="pct"/>
                  <w:vAlign w:val="center"/>
                </w:tcPr>
                <w:p w14:paraId="1E579357">
                  <w:pPr>
                    <w:pStyle w:val="18"/>
                    <w:jc w:val="center"/>
                    <w:rPr>
                      <w:rFonts w:ascii="Times New Roman" w:hAnsi="Times New Roman" w:cs="Times New Roman"/>
                      <w:bCs/>
                      <w:sz w:val="21"/>
                      <w:szCs w:val="21"/>
                      <w:lang w:eastAsia="zh-CN"/>
                    </w:rPr>
                  </w:pPr>
                  <w:r>
                    <w:rPr>
                      <w:rFonts w:ascii="Times New Roman" w:hAnsi="Times New Roman" w:cs="Times New Roman"/>
                      <w:spacing w:val="4"/>
                      <w:kern w:val="2"/>
                      <w:sz w:val="21"/>
                      <w:szCs w:val="21"/>
                      <w:lang w:eastAsia="zh-CN"/>
                    </w:rPr>
                    <w:t>90</w:t>
                  </w:r>
                </w:p>
              </w:tc>
              <w:tc>
                <w:tcPr>
                  <w:tcW w:w="624" w:type="pct"/>
                  <w:vAlign w:val="center"/>
                </w:tcPr>
                <w:p w14:paraId="20BC26EE">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w:t>
                  </w:r>
                </w:p>
              </w:tc>
            </w:tr>
            <w:tr w14:paraId="2AF6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4" w:type="pct"/>
                  <w:gridSpan w:val="3"/>
                </w:tcPr>
                <w:p w14:paraId="234F1A36">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达标情况</w:t>
                  </w:r>
                </w:p>
              </w:tc>
              <w:tc>
                <w:tcPr>
                  <w:tcW w:w="650" w:type="pct"/>
                  <w:vAlign w:val="center"/>
                </w:tcPr>
                <w:p w14:paraId="2CAD3FCB">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达标</w:t>
                  </w:r>
                </w:p>
              </w:tc>
              <w:tc>
                <w:tcPr>
                  <w:tcW w:w="596" w:type="pct"/>
                </w:tcPr>
                <w:p w14:paraId="0D750EBD">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达标</w:t>
                  </w:r>
                </w:p>
              </w:tc>
              <w:tc>
                <w:tcPr>
                  <w:tcW w:w="736" w:type="pct"/>
                </w:tcPr>
                <w:p w14:paraId="5EC320C8">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达标</w:t>
                  </w:r>
                </w:p>
              </w:tc>
              <w:tc>
                <w:tcPr>
                  <w:tcW w:w="624" w:type="pct"/>
                </w:tcPr>
                <w:p w14:paraId="7ECD745D">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达标</w:t>
                  </w:r>
                </w:p>
              </w:tc>
            </w:tr>
          </w:tbl>
          <w:p w14:paraId="3F4C8CEE">
            <w:pPr>
              <w:pStyle w:val="18"/>
              <w:jc w:val="center"/>
              <w:rPr>
                <w:rFonts w:ascii="Times New Roman" w:hAnsi="Times New Roman" w:cs="Times New Roman"/>
                <w:b/>
                <w:sz w:val="21"/>
                <w:szCs w:val="21"/>
                <w:lang w:eastAsia="zh-CN"/>
              </w:rPr>
            </w:pPr>
          </w:p>
          <w:p w14:paraId="76C76504">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通过分析可知，项目生活污水经污水处理站处理后，能满足《农村生活污水处理排放标准》（</w:t>
            </w:r>
            <w:r>
              <w:rPr>
                <w:rFonts w:ascii="Times New Roman" w:hAnsi="Times New Roman" w:cs="Times New Roman"/>
                <w:sz w:val="24"/>
                <w:szCs w:val="24"/>
                <w:lang w:eastAsia="zh-CN"/>
              </w:rPr>
              <w:t>DB 65 4275-2019）表2中B级标准限值</w:t>
            </w:r>
            <w:r>
              <w:rPr>
                <w:rFonts w:hint="eastAsia" w:ascii="Times New Roman" w:hAnsi="Times New Roman" w:cs="Times New Roman"/>
                <w:sz w:val="24"/>
                <w:szCs w:val="24"/>
                <w:lang w:eastAsia="zh-CN"/>
              </w:rPr>
              <w:t>，用于站区绿化。</w:t>
            </w:r>
          </w:p>
          <w:p w14:paraId="5A7B537F">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④</w:t>
            </w:r>
            <w:r>
              <w:rPr>
                <w:rFonts w:hint="eastAsia" w:ascii="Times New Roman" w:hAnsi="Times New Roman" w:cs="Times New Roman"/>
                <w:sz w:val="24"/>
                <w:szCs w:val="24"/>
                <w:lang w:eastAsia="zh-CN"/>
              </w:rPr>
              <w:t>中水蓄水池容量合理性分析</w:t>
            </w:r>
          </w:p>
          <w:p w14:paraId="483F1184">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本项目生活污水经污水处理站处理后，夏季直接用于站区区绿化，冬季排入中水蓄水池暂存。项目冬季生活污水排放总量约</w:t>
            </w:r>
            <w:r>
              <w:rPr>
                <w:rFonts w:ascii="Times New Roman" w:hAnsi="Times New Roman" w:cs="Times New Roman"/>
                <w:sz w:val="24"/>
                <w:szCs w:val="24"/>
                <w:lang w:eastAsia="zh-CN"/>
              </w:rPr>
              <w:t>2816</w:t>
            </w:r>
            <w:r>
              <w:rPr>
                <w:rFonts w:hint="eastAsia" w:ascii="Times New Roman" w:hAnsi="Times New Roman" w:cs="Times New Roman"/>
                <w:sz w:val="24"/>
                <w:szCs w:val="24"/>
                <w:lang w:eastAsia="zh-CN"/>
              </w:rPr>
              <w:t>m³，项目中水蓄水池总容积</w:t>
            </w:r>
            <w:r>
              <w:rPr>
                <w:rFonts w:ascii="Times New Roman" w:hAnsi="Times New Roman" w:cs="Times New Roman"/>
                <w:sz w:val="24"/>
                <w:szCs w:val="24"/>
                <w:lang w:eastAsia="zh-CN"/>
              </w:rPr>
              <w:t>3000</w:t>
            </w:r>
            <w:r>
              <w:rPr>
                <w:rFonts w:hint="eastAsia" w:ascii="Times New Roman" w:hAnsi="Times New Roman" w:cs="Times New Roman"/>
                <w:sz w:val="24"/>
                <w:szCs w:val="24"/>
                <w:lang w:eastAsia="zh-CN"/>
              </w:rPr>
              <w:t>m³，能满足项目冬季生活污水暂存。项目中水蓄水池设置情况见表4</w:t>
            </w:r>
            <w:r>
              <w:rPr>
                <w:rFonts w:ascii="Times New Roman" w:hAnsi="Times New Roman" w:cs="Times New Roman"/>
                <w:sz w:val="24"/>
                <w:szCs w:val="24"/>
                <w:lang w:eastAsia="zh-CN"/>
              </w:rPr>
              <w:t>.11</w:t>
            </w:r>
            <w:r>
              <w:rPr>
                <w:rFonts w:hint="eastAsia" w:ascii="Times New Roman" w:hAnsi="Times New Roman" w:cs="Times New Roman"/>
                <w:sz w:val="24"/>
                <w:szCs w:val="24"/>
                <w:lang w:eastAsia="zh-CN"/>
              </w:rPr>
              <w:t>。</w:t>
            </w:r>
          </w:p>
          <w:p w14:paraId="368FE1C0">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 xml:space="preserve">表4.11  </w:t>
            </w:r>
            <w:r>
              <w:rPr>
                <w:rFonts w:hint="eastAsia" w:ascii="Times New Roman" w:hAnsi="Times New Roman" w:cs="Times New Roman"/>
                <w:b/>
                <w:sz w:val="21"/>
                <w:szCs w:val="21"/>
                <w:lang w:eastAsia="zh-CN"/>
              </w:rPr>
              <w:t xml:space="preserve">项目中水蓄水池设置情况一览表 </w:t>
            </w:r>
            <w:r>
              <w:rPr>
                <w:rFonts w:ascii="Times New Roman" w:hAnsi="Times New Roman" w:cs="Times New Roman"/>
                <w:b/>
                <w:sz w:val="21"/>
                <w:szCs w:val="21"/>
                <w:lang w:eastAsia="zh-CN"/>
              </w:rPr>
              <w:t xml:space="preserve">   </w:t>
            </w:r>
            <w:r>
              <w:rPr>
                <w:rFonts w:hint="eastAsia" w:ascii="Times New Roman" w:hAnsi="Times New Roman" w:cs="Times New Roman"/>
                <w:b/>
                <w:sz w:val="21"/>
                <w:szCs w:val="21"/>
                <w:lang w:eastAsia="zh-CN"/>
              </w:rPr>
              <w:t>单位：m³</w:t>
            </w:r>
          </w:p>
          <w:tbl>
            <w:tblPr>
              <w:tblStyle w:val="12"/>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1"/>
              <w:gridCol w:w="1700"/>
              <w:gridCol w:w="2211"/>
              <w:gridCol w:w="2378"/>
            </w:tblGrid>
            <w:tr w14:paraId="2265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9" w:type="pct"/>
                  <w:vAlign w:val="center"/>
                </w:tcPr>
                <w:p w14:paraId="48D452B3">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中水蓄水池</w:t>
                  </w:r>
                  <w:r>
                    <w:rPr>
                      <w:rFonts w:hint="eastAsia" w:ascii="Times New Roman" w:hAnsi="Times New Roman" w:cs="Times New Roman"/>
                      <w:b/>
                      <w:sz w:val="21"/>
                      <w:szCs w:val="21"/>
                      <w:lang w:eastAsia="zh-CN"/>
                    </w:rPr>
                    <w:t>设置区域</w:t>
                  </w:r>
                </w:p>
              </w:tc>
              <w:tc>
                <w:tcPr>
                  <w:tcW w:w="968" w:type="pct"/>
                  <w:vAlign w:val="center"/>
                </w:tcPr>
                <w:p w14:paraId="14756F9A">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蓄水池容积</w:t>
                  </w:r>
                </w:p>
              </w:tc>
              <w:tc>
                <w:tcPr>
                  <w:tcW w:w="1259" w:type="pct"/>
                  <w:vAlign w:val="center"/>
                </w:tcPr>
                <w:p w14:paraId="784720DD">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暂存生活污水量</w:t>
                  </w:r>
                </w:p>
              </w:tc>
              <w:tc>
                <w:tcPr>
                  <w:tcW w:w="1354" w:type="pct"/>
                  <w:vAlign w:val="center"/>
                </w:tcPr>
                <w:p w14:paraId="5BC4A7C8">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暂存生活污水来源</w:t>
                  </w:r>
                </w:p>
              </w:tc>
            </w:tr>
            <w:tr w14:paraId="3BB9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pct"/>
                  <w:vAlign w:val="center"/>
                </w:tcPr>
                <w:p w14:paraId="5F8B6B56">
                  <w:pPr>
                    <w:pStyle w:val="18"/>
                    <w:jc w:val="center"/>
                    <w:rPr>
                      <w:rFonts w:ascii="Times New Roman" w:hAnsi="Times New Roman" w:cs="Times New Roman"/>
                      <w:sz w:val="21"/>
                      <w:szCs w:val="21"/>
                      <w:lang w:eastAsia="zh-CN"/>
                    </w:rPr>
                  </w:pPr>
                  <w:r>
                    <w:rPr>
                      <w:rFonts w:ascii="Times New Roman" w:hAnsi="Times New Roman" w:cs="Times New Roman"/>
                      <w:sz w:val="21"/>
                      <w:szCs w:val="21"/>
                      <w:lang w:eastAsia="zh-CN"/>
                    </w:rPr>
                    <w:t>收费站</w:t>
                  </w:r>
                </w:p>
              </w:tc>
              <w:tc>
                <w:tcPr>
                  <w:tcW w:w="968" w:type="pct"/>
                  <w:vAlign w:val="center"/>
                </w:tcPr>
                <w:p w14:paraId="02A1B603">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p>
              </w:tc>
              <w:tc>
                <w:tcPr>
                  <w:tcW w:w="1259" w:type="pct"/>
                  <w:vAlign w:val="center"/>
                </w:tcPr>
                <w:p w14:paraId="10D0368F">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w:t>
                  </w:r>
                  <w:r>
                    <w:rPr>
                      <w:rFonts w:ascii="Times New Roman" w:hAnsi="Times New Roman" w:cs="Times New Roman"/>
                      <w:sz w:val="21"/>
                      <w:szCs w:val="21"/>
                      <w:lang w:eastAsia="zh-CN"/>
                    </w:rPr>
                    <w:t>48</w:t>
                  </w:r>
                </w:p>
              </w:tc>
              <w:tc>
                <w:tcPr>
                  <w:tcW w:w="1354" w:type="pct"/>
                  <w:vAlign w:val="center"/>
                </w:tcPr>
                <w:p w14:paraId="1EC9B889">
                  <w:pPr>
                    <w:pStyle w:val="18"/>
                    <w:jc w:val="center"/>
                    <w:rPr>
                      <w:rFonts w:ascii="Times New Roman" w:hAnsi="Times New Roman" w:cs="Times New Roman"/>
                      <w:sz w:val="21"/>
                      <w:szCs w:val="21"/>
                      <w:lang w:eastAsia="zh-CN"/>
                    </w:rPr>
                  </w:pPr>
                  <w:r>
                    <w:rPr>
                      <w:rFonts w:ascii="Times New Roman" w:hAnsi="Times New Roman" w:cs="Times New Roman"/>
                      <w:sz w:val="21"/>
                      <w:szCs w:val="21"/>
                      <w:lang w:eastAsia="zh-CN"/>
                    </w:rPr>
                    <w:t>收费站</w:t>
                  </w:r>
                </w:p>
              </w:tc>
            </w:tr>
            <w:tr w14:paraId="6230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pct"/>
                  <w:vAlign w:val="center"/>
                </w:tcPr>
                <w:p w14:paraId="2EDC1126">
                  <w:pPr>
                    <w:pStyle w:val="18"/>
                    <w:jc w:val="center"/>
                    <w:rPr>
                      <w:rFonts w:ascii="Times New Roman" w:hAnsi="Times New Roman" w:cs="Times New Roman"/>
                      <w:sz w:val="21"/>
                      <w:szCs w:val="21"/>
                      <w:lang w:eastAsia="zh-CN"/>
                    </w:rPr>
                  </w:pPr>
                  <w:r>
                    <w:rPr>
                      <w:rFonts w:ascii="Times New Roman" w:hAnsi="Times New Roman" w:cs="Times New Roman"/>
                      <w:sz w:val="21"/>
                      <w:szCs w:val="21"/>
                      <w:lang w:eastAsia="zh-CN"/>
                    </w:rPr>
                    <w:t>服务区</w:t>
                  </w:r>
                  <w:r>
                    <w:rPr>
                      <w:rFonts w:hint="eastAsia" w:ascii="Times New Roman" w:hAnsi="Times New Roman" w:cs="Times New Roman"/>
                      <w:sz w:val="21"/>
                      <w:szCs w:val="21"/>
                      <w:lang w:eastAsia="zh-CN"/>
                    </w:rPr>
                    <w:t>（西区）</w:t>
                  </w:r>
                </w:p>
              </w:tc>
              <w:tc>
                <w:tcPr>
                  <w:tcW w:w="968" w:type="pct"/>
                  <w:vAlign w:val="center"/>
                </w:tcPr>
                <w:p w14:paraId="4B8AAE9A">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000</w:t>
                  </w:r>
                </w:p>
              </w:tc>
              <w:tc>
                <w:tcPr>
                  <w:tcW w:w="1259" w:type="pct"/>
                  <w:vAlign w:val="center"/>
                </w:tcPr>
                <w:p w14:paraId="225934F2">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w:t>
                  </w:r>
                  <w:r>
                    <w:rPr>
                      <w:rFonts w:ascii="Times New Roman" w:hAnsi="Times New Roman" w:cs="Times New Roman"/>
                      <w:sz w:val="21"/>
                      <w:szCs w:val="21"/>
                      <w:lang w:eastAsia="zh-CN"/>
                    </w:rPr>
                    <w:t>92</w:t>
                  </w:r>
                </w:p>
              </w:tc>
              <w:tc>
                <w:tcPr>
                  <w:tcW w:w="1354" w:type="pct"/>
                  <w:vAlign w:val="center"/>
                </w:tcPr>
                <w:p w14:paraId="5350EA13">
                  <w:pPr>
                    <w:pStyle w:val="18"/>
                    <w:jc w:val="center"/>
                    <w:rPr>
                      <w:rFonts w:ascii="Times New Roman" w:hAnsi="Times New Roman" w:cs="Times New Roman"/>
                      <w:sz w:val="21"/>
                      <w:szCs w:val="21"/>
                      <w:lang w:eastAsia="zh-CN"/>
                    </w:rPr>
                  </w:pPr>
                  <w:r>
                    <w:rPr>
                      <w:rFonts w:ascii="Times New Roman" w:hAnsi="Times New Roman" w:cs="Times New Roman"/>
                      <w:sz w:val="21"/>
                      <w:szCs w:val="21"/>
                      <w:lang w:eastAsia="zh-CN"/>
                    </w:rPr>
                    <w:t>服务区</w:t>
                  </w:r>
                  <w:r>
                    <w:rPr>
                      <w:rFonts w:hint="eastAsia" w:ascii="Times New Roman" w:hAnsi="Times New Roman" w:cs="Times New Roman"/>
                      <w:sz w:val="21"/>
                      <w:szCs w:val="21"/>
                      <w:lang w:eastAsia="zh-CN"/>
                    </w:rPr>
                    <w:t>（西区）</w:t>
                  </w:r>
                </w:p>
              </w:tc>
            </w:tr>
            <w:tr w14:paraId="79E7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pct"/>
                  <w:vAlign w:val="center"/>
                </w:tcPr>
                <w:p w14:paraId="51466D89">
                  <w:pPr>
                    <w:pStyle w:val="18"/>
                    <w:jc w:val="center"/>
                    <w:rPr>
                      <w:rFonts w:ascii="Times New Roman" w:hAnsi="Times New Roman" w:cs="Times New Roman"/>
                      <w:sz w:val="21"/>
                      <w:szCs w:val="21"/>
                      <w:lang w:eastAsia="zh-CN"/>
                    </w:rPr>
                  </w:pPr>
                  <w:r>
                    <w:rPr>
                      <w:rFonts w:ascii="Times New Roman" w:hAnsi="Times New Roman" w:cs="Times New Roman"/>
                      <w:sz w:val="21"/>
                      <w:szCs w:val="21"/>
                      <w:lang w:eastAsia="zh-CN"/>
                    </w:rPr>
                    <w:t>服务区</w:t>
                  </w:r>
                  <w:r>
                    <w:rPr>
                      <w:rFonts w:hint="eastAsia" w:ascii="Times New Roman" w:hAnsi="Times New Roman" w:cs="Times New Roman"/>
                      <w:sz w:val="21"/>
                      <w:szCs w:val="21"/>
                      <w:lang w:eastAsia="zh-CN"/>
                    </w:rPr>
                    <w:t>（东区）</w:t>
                  </w:r>
                </w:p>
              </w:tc>
              <w:tc>
                <w:tcPr>
                  <w:tcW w:w="968" w:type="pct"/>
                  <w:vAlign w:val="center"/>
                </w:tcPr>
                <w:p w14:paraId="15E50EB1">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000</w:t>
                  </w:r>
                </w:p>
              </w:tc>
              <w:tc>
                <w:tcPr>
                  <w:tcW w:w="1259" w:type="pct"/>
                  <w:vAlign w:val="center"/>
                </w:tcPr>
                <w:p w14:paraId="0F7161B0">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w:t>
                  </w:r>
                  <w:r>
                    <w:rPr>
                      <w:rFonts w:ascii="Times New Roman" w:hAnsi="Times New Roman" w:cs="Times New Roman"/>
                      <w:sz w:val="21"/>
                      <w:szCs w:val="21"/>
                      <w:lang w:eastAsia="zh-CN"/>
                    </w:rPr>
                    <w:t>92</w:t>
                  </w:r>
                </w:p>
              </w:tc>
              <w:tc>
                <w:tcPr>
                  <w:tcW w:w="1354" w:type="pct"/>
                  <w:vAlign w:val="center"/>
                </w:tcPr>
                <w:p w14:paraId="0BBD580F">
                  <w:pPr>
                    <w:pStyle w:val="18"/>
                    <w:jc w:val="center"/>
                    <w:rPr>
                      <w:rFonts w:ascii="Times New Roman" w:hAnsi="Times New Roman" w:cs="Times New Roman"/>
                      <w:sz w:val="21"/>
                      <w:szCs w:val="21"/>
                      <w:lang w:eastAsia="zh-CN"/>
                    </w:rPr>
                  </w:pPr>
                  <w:r>
                    <w:rPr>
                      <w:rFonts w:ascii="Times New Roman" w:hAnsi="Times New Roman" w:cs="Times New Roman"/>
                      <w:sz w:val="21"/>
                      <w:szCs w:val="21"/>
                      <w:lang w:eastAsia="zh-CN"/>
                    </w:rPr>
                    <w:t>服务区</w:t>
                  </w:r>
                  <w:r>
                    <w:rPr>
                      <w:rFonts w:hint="eastAsia" w:ascii="Times New Roman" w:hAnsi="Times New Roman" w:cs="Times New Roman"/>
                      <w:sz w:val="21"/>
                      <w:szCs w:val="21"/>
                      <w:lang w:eastAsia="zh-CN"/>
                    </w:rPr>
                    <w:t>（东区）</w:t>
                  </w:r>
                </w:p>
              </w:tc>
            </w:tr>
            <w:tr w14:paraId="1ECF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pct"/>
                  <w:vAlign w:val="center"/>
                </w:tcPr>
                <w:p w14:paraId="0F186D72">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养护工区</w:t>
                  </w:r>
                </w:p>
              </w:tc>
              <w:tc>
                <w:tcPr>
                  <w:tcW w:w="968" w:type="pct"/>
                  <w:vAlign w:val="center"/>
                </w:tcPr>
                <w:p w14:paraId="372B6A48">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00</w:t>
                  </w:r>
                </w:p>
              </w:tc>
              <w:tc>
                <w:tcPr>
                  <w:tcW w:w="1259" w:type="pct"/>
                  <w:vAlign w:val="center"/>
                </w:tcPr>
                <w:p w14:paraId="17992B05">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r>
                    <w:rPr>
                      <w:rFonts w:ascii="Times New Roman" w:hAnsi="Times New Roman" w:cs="Times New Roman"/>
                      <w:sz w:val="21"/>
                      <w:szCs w:val="21"/>
                      <w:lang w:eastAsia="zh-CN"/>
                    </w:rPr>
                    <w:t>84</w:t>
                  </w:r>
                </w:p>
              </w:tc>
              <w:tc>
                <w:tcPr>
                  <w:tcW w:w="1354" w:type="pct"/>
                  <w:vAlign w:val="center"/>
                </w:tcPr>
                <w:p w14:paraId="6A1410A4">
                  <w:pPr>
                    <w:pStyle w:val="18"/>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养护工区</w:t>
                  </w:r>
                </w:p>
              </w:tc>
            </w:tr>
            <w:tr w14:paraId="7FA3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pct"/>
                  <w:vAlign w:val="center"/>
                </w:tcPr>
                <w:p w14:paraId="2E627667">
                  <w:pPr>
                    <w:pStyle w:val="18"/>
                    <w:jc w:val="center"/>
                    <w:rPr>
                      <w:rFonts w:ascii="Times New Roman" w:hAnsi="Times New Roman" w:cs="Times New Roman"/>
                      <w:b/>
                      <w:sz w:val="21"/>
                      <w:szCs w:val="21"/>
                      <w:lang w:eastAsia="zh-CN"/>
                    </w:rPr>
                  </w:pPr>
                  <w:r>
                    <w:rPr>
                      <w:rFonts w:hint="eastAsia" w:ascii="Times New Roman" w:hAnsi="Times New Roman" w:cs="Times New Roman"/>
                      <w:b/>
                      <w:sz w:val="21"/>
                      <w:szCs w:val="21"/>
                      <w:lang w:eastAsia="zh-CN"/>
                    </w:rPr>
                    <w:t xml:space="preserve">合 </w:t>
                  </w:r>
                  <w:r>
                    <w:rPr>
                      <w:rFonts w:ascii="Times New Roman" w:hAnsi="Times New Roman" w:cs="Times New Roman"/>
                      <w:b/>
                      <w:sz w:val="21"/>
                      <w:szCs w:val="21"/>
                      <w:lang w:eastAsia="zh-CN"/>
                    </w:rPr>
                    <w:t xml:space="preserve">   </w:t>
                  </w:r>
                  <w:r>
                    <w:rPr>
                      <w:rFonts w:hint="eastAsia" w:ascii="Times New Roman" w:hAnsi="Times New Roman" w:cs="Times New Roman"/>
                      <w:b/>
                      <w:sz w:val="21"/>
                      <w:szCs w:val="21"/>
                      <w:lang w:eastAsia="zh-CN"/>
                    </w:rPr>
                    <w:t>计</w:t>
                  </w:r>
                </w:p>
              </w:tc>
              <w:tc>
                <w:tcPr>
                  <w:tcW w:w="968" w:type="pct"/>
                  <w:vAlign w:val="center"/>
                </w:tcPr>
                <w:p w14:paraId="12650EFC">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3000</w:t>
                  </w:r>
                </w:p>
              </w:tc>
              <w:tc>
                <w:tcPr>
                  <w:tcW w:w="1259" w:type="pct"/>
                  <w:vAlign w:val="center"/>
                </w:tcPr>
                <w:p w14:paraId="49FC8A8D">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2816</w:t>
                  </w:r>
                </w:p>
              </w:tc>
              <w:tc>
                <w:tcPr>
                  <w:tcW w:w="1354" w:type="pct"/>
                  <w:vAlign w:val="center"/>
                </w:tcPr>
                <w:p w14:paraId="785C151E">
                  <w:pPr>
                    <w:pStyle w:val="18"/>
                    <w:jc w:val="center"/>
                    <w:rPr>
                      <w:rFonts w:ascii="Times New Roman" w:hAnsi="Times New Roman" w:cs="Times New Roman"/>
                      <w:sz w:val="21"/>
                      <w:szCs w:val="21"/>
                      <w:lang w:eastAsia="zh-CN"/>
                    </w:rPr>
                  </w:pPr>
                </w:p>
              </w:tc>
            </w:tr>
          </w:tbl>
          <w:p w14:paraId="2D645607">
            <w:pPr>
              <w:pStyle w:val="18"/>
              <w:jc w:val="center"/>
              <w:rPr>
                <w:rFonts w:ascii="Times New Roman" w:hAnsi="Times New Roman" w:cs="Times New Roman"/>
                <w:b/>
                <w:sz w:val="21"/>
                <w:szCs w:val="21"/>
                <w:lang w:eastAsia="zh-CN"/>
              </w:rPr>
            </w:pPr>
          </w:p>
          <w:p w14:paraId="7D45177E">
            <w:pPr>
              <w:pStyle w:val="18"/>
              <w:spacing w:line="360" w:lineRule="auto"/>
              <w:ind w:firstLine="480" w:firstLineChars="200"/>
              <w:jc w:val="both"/>
              <w:rPr>
                <w:rFonts w:ascii="Times New Roman" w:hAnsi="Times New Roman" w:cs="Times New Roman"/>
                <w:bCs/>
                <w:sz w:val="24"/>
                <w:szCs w:val="24"/>
                <w:lang w:eastAsia="zh-CN"/>
              </w:rPr>
            </w:pPr>
            <w:r>
              <w:rPr>
                <w:bCs/>
                <w:sz w:val="24"/>
                <w:szCs w:val="24"/>
                <w:lang w:eastAsia="zh-CN"/>
              </w:rPr>
              <w:t>⑤</w:t>
            </w:r>
            <w:r>
              <w:rPr>
                <w:rFonts w:ascii="Times New Roman" w:hAnsi="Times New Roman" w:cs="Times New Roman"/>
                <w:bCs/>
                <w:sz w:val="24"/>
                <w:szCs w:val="24"/>
                <w:lang w:eastAsia="zh-CN"/>
              </w:rPr>
              <w:t>运营期废水监测计划</w:t>
            </w:r>
          </w:p>
          <w:p w14:paraId="5EA32B84">
            <w:pPr>
              <w:pStyle w:val="18"/>
              <w:spacing w:line="360" w:lineRule="auto"/>
              <w:ind w:firstLine="480" w:firstLineChars="200"/>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根据《排污单位自行监测技术指南   </w:t>
            </w:r>
            <w:r>
              <w:rPr>
                <w:rFonts w:hint="eastAsia" w:ascii="Times New Roman" w:hAnsi="Times New Roman" w:cs="Times New Roman"/>
                <w:bCs/>
                <w:sz w:val="24"/>
                <w:szCs w:val="24"/>
                <w:lang w:eastAsia="zh-CN"/>
              </w:rPr>
              <w:t>总则</w:t>
            </w:r>
            <w:r>
              <w:rPr>
                <w:rFonts w:ascii="Times New Roman" w:hAnsi="Times New Roman" w:cs="Times New Roman"/>
                <w:bCs/>
                <w:sz w:val="24"/>
                <w:szCs w:val="24"/>
                <w:lang w:eastAsia="zh-CN"/>
              </w:rPr>
              <w:t>》（HJ 819-2017），本项目运营期废水监测计划见表4.12。</w:t>
            </w:r>
          </w:p>
          <w:p w14:paraId="34C952C7">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表4.12  项目运营期废水监测计划一览表</w:t>
            </w:r>
          </w:p>
          <w:tbl>
            <w:tblPr>
              <w:tblStyle w:val="12"/>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3403"/>
              <w:gridCol w:w="1907"/>
              <w:gridCol w:w="1150"/>
              <w:gridCol w:w="1728"/>
            </w:tblGrid>
            <w:tr w14:paraId="290A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14:paraId="2A795E62">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监测内容</w:t>
                  </w:r>
                </w:p>
              </w:tc>
              <w:tc>
                <w:tcPr>
                  <w:tcW w:w="1918" w:type="pct"/>
                  <w:vAlign w:val="center"/>
                </w:tcPr>
                <w:p w14:paraId="0D269106">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监测项目</w:t>
                  </w:r>
                </w:p>
              </w:tc>
              <w:tc>
                <w:tcPr>
                  <w:tcW w:w="1075" w:type="pct"/>
                  <w:vAlign w:val="center"/>
                </w:tcPr>
                <w:p w14:paraId="1B96483B">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监测点位</w:t>
                  </w:r>
                </w:p>
              </w:tc>
              <w:tc>
                <w:tcPr>
                  <w:tcW w:w="648" w:type="pct"/>
                  <w:vAlign w:val="center"/>
                </w:tcPr>
                <w:p w14:paraId="6F5DC9FC">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监测频次</w:t>
                  </w:r>
                </w:p>
              </w:tc>
              <w:tc>
                <w:tcPr>
                  <w:tcW w:w="974" w:type="pct"/>
                  <w:vAlign w:val="center"/>
                </w:tcPr>
                <w:p w14:paraId="7C1ABE7B">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执行标准</w:t>
                  </w:r>
                </w:p>
              </w:tc>
            </w:tr>
            <w:tr w14:paraId="7F42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385" w:type="pct"/>
                  <w:vAlign w:val="center"/>
                </w:tcPr>
                <w:p w14:paraId="10A9006C">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生活污水</w:t>
                  </w:r>
                </w:p>
              </w:tc>
              <w:tc>
                <w:tcPr>
                  <w:tcW w:w="1918" w:type="pct"/>
                  <w:vAlign w:val="center"/>
                </w:tcPr>
                <w:p w14:paraId="3E81EF39">
                  <w:pPr>
                    <w:pStyle w:val="18"/>
                    <w:jc w:val="center"/>
                    <w:rPr>
                      <w:rFonts w:ascii="Times New Roman" w:hAnsi="Times New Roman" w:cs="Times New Roman"/>
                      <w:bCs/>
                      <w:sz w:val="21"/>
                      <w:szCs w:val="21"/>
                      <w:lang w:eastAsia="zh-CN"/>
                    </w:rPr>
                  </w:pPr>
                  <w:r>
                    <w:rPr>
                      <w:rFonts w:ascii="Times New Roman" w:hAnsi="Times New Roman" w:cs="Times New Roman"/>
                      <w:bCs/>
                      <w:sz w:val="21"/>
                      <w:szCs w:val="21"/>
                      <w:lang w:eastAsia="zh-CN"/>
                    </w:rPr>
                    <w:t>pH</w:t>
                  </w:r>
                  <w:r>
                    <w:rPr>
                      <w:rFonts w:hint="eastAsia" w:ascii="Times New Roman" w:hAnsi="Times New Roman" w:cs="Times New Roman"/>
                      <w:bCs/>
                      <w:sz w:val="21"/>
                      <w:szCs w:val="21"/>
                      <w:lang w:eastAsia="zh-CN"/>
                    </w:rPr>
                    <w:t>值、B</w:t>
                  </w:r>
                  <w:r>
                    <w:rPr>
                      <w:rFonts w:ascii="Times New Roman" w:hAnsi="Times New Roman" w:cs="Times New Roman"/>
                      <w:bCs/>
                      <w:sz w:val="21"/>
                      <w:szCs w:val="21"/>
                      <w:lang w:eastAsia="zh-CN"/>
                    </w:rPr>
                    <w:t>OD</w:t>
                  </w:r>
                  <w:r>
                    <w:rPr>
                      <w:rFonts w:ascii="Times New Roman" w:hAnsi="Times New Roman" w:cs="Times New Roman"/>
                      <w:bCs/>
                      <w:sz w:val="21"/>
                      <w:szCs w:val="21"/>
                      <w:vertAlign w:val="subscript"/>
                      <w:lang w:eastAsia="zh-CN"/>
                    </w:rPr>
                    <w:t>5</w:t>
                  </w:r>
                  <w:r>
                    <w:rPr>
                      <w:rFonts w:hint="eastAsia" w:ascii="Times New Roman" w:hAnsi="Times New Roman" w:cs="Times New Roman"/>
                      <w:bCs/>
                      <w:sz w:val="21"/>
                      <w:szCs w:val="21"/>
                      <w:lang w:eastAsia="zh-CN"/>
                    </w:rPr>
                    <w:t>、</w:t>
                  </w:r>
                  <w:r>
                    <w:rPr>
                      <w:rFonts w:ascii="Times New Roman" w:hAnsi="Times New Roman" w:cs="Times New Roman"/>
                      <w:bCs/>
                      <w:sz w:val="21"/>
                      <w:szCs w:val="21"/>
                      <w:lang w:eastAsia="zh-CN"/>
                    </w:rPr>
                    <w:t>COD、</w:t>
                  </w:r>
                  <w:r>
                    <w:rPr>
                      <w:rFonts w:hint="eastAsia" w:ascii="Times New Roman" w:hAnsi="Times New Roman" w:cs="Times New Roman"/>
                      <w:bCs/>
                      <w:sz w:val="21"/>
                      <w:szCs w:val="21"/>
                      <w:lang w:eastAsia="zh-CN"/>
                    </w:rPr>
                    <w:t>S</w:t>
                  </w:r>
                  <w:r>
                    <w:rPr>
                      <w:rFonts w:ascii="Times New Roman" w:hAnsi="Times New Roman" w:cs="Times New Roman"/>
                      <w:bCs/>
                      <w:sz w:val="21"/>
                      <w:szCs w:val="21"/>
                      <w:lang w:eastAsia="zh-CN"/>
                    </w:rPr>
                    <w:t>S</w:t>
                  </w:r>
                  <w:r>
                    <w:rPr>
                      <w:rFonts w:hint="eastAsia" w:ascii="Times New Roman" w:hAnsi="Times New Roman" w:cs="Times New Roman"/>
                      <w:bCs/>
                      <w:sz w:val="21"/>
                      <w:szCs w:val="21"/>
                      <w:lang w:eastAsia="zh-CN"/>
                    </w:rPr>
                    <w:t>、</w:t>
                  </w:r>
                  <w:r>
                    <w:rPr>
                      <w:rFonts w:ascii="Times New Roman" w:hAnsi="Times New Roman" w:cs="Times New Roman"/>
                      <w:bCs/>
                      <w:sz w:val="21"/>
                      <w:szCs w:val="21"/>
                      <w:lang w:eastAsia="zh-CN"/>
                    </w:rPr>
                    <w:t>NH</w:t>
                  </w:r>
                  <w:r>
                    <w:rPr>
                      <w:rFonts w:ascii="Times New Roman" w:hAnsi="Times New Roman" w:cs="Times New Roman"/>
                      <w:bCs/>
                      <w:sz w:val="21"/>
                      <w:szCs w:val="21"/>
                      <w:vertAlign w:val="subscript"/>
                      <w:lang w:eastAsia="zh-CN"/>
                    </w:rPr>
                    <w:t>3</w:t>
                  </w:r>
                  <w:r>
                    <w:rPr>
                      <w:rFonts w:ascii="Times New Roman" w:hAnsi="Times New Roman" w:cs="Times New Roman"/>
                      <w:bCs/>
                      <w:sz w:val="21"/>
                      <w:szCs w:val="21"/>
                      <w:lang w:eastAsia="zh-CN"/>
                    </w:rPr>
                    <w:t>-N</w:t>
                  </w:r>
                </w:p>
              </w:tc>
              <w:tc>
                <w:tcPr>
                  <w:tcW w:w="1075" w:type="pct"/>
                  <w:vAlign w:val="center"/>
                </w:tcPr>
                <w:p w14:paraId="19C33C32">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收费站、服务区的污水处理站排放口</w:t>
                  </w:r>
                </w:p>
              </w:tc>
              <w:tc>
                <w:tcPr>
                  <w:tcW w:w="648" w:type="pct"/>
                  <w:vAlign w:val="center"/>
                </w:tcPr>
                <w:p w14:paraId="71E8FF83">
                  <w:pPr>
                    <w:pStyle w:val="18"/>
                    <w:jc w:val="center"/>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1次/季度</w:t>
                  </w:r>
                </w:p>
              </w:tc>
              <w:tc>
                <w:tcPr>
                  <w:tcW w:w="974" w:type="pct"/>
                  <w:vAlign w:val="center"/>
                </w:tcPr>
                <w:p w14:paraId="129F2B05">
                  <w:pPr>
                    <w:pStyle w:val="18"/>
                    <w:jc w:val="both"/>
                    <w:rPr>
                      <w:rFonts w:ascii="Times New Roman" w:hAnsi="Times New Roman" w:cs="Times New Roman"/>
                      <w:bCs/>
                      <w:sz w:val="21"/>
                      <w:szCs w:val="21"/>
                      <w:lang w:eastAsia="zh-CN"/>
                    </w:rPr>
                  </w:pPr>
                  <w:r>
                    <w:rPr>
                      <w:rFonts w:hint="eastAsia" w:ascii="Times New Roman" w:hAnsi="Times New Roman" w:cs="Times New Roman"/>
                      <w:bCs/>
                      <w:sz w:val="21"/>
                      <w:szCs w:val="21"/>
                      <w:lang w:eastAsia="zh-CN"/>
                    </w:rPr>
                    <w:t>《农村生活污水处理排放标准》（</w:t>
                  </w:r>
                  <w:r>
                    <w:rPr>
                      <w:rFonts w:ascii="Times New Roman" w:hAnsi="Times New Roman" w:cs="Times New Roman"/>
                      <w:bCs/>
                      <w:sz w:val="21"/>
                      <w:szCs w:val="21"/>
                      <w:lang w:eastAsia="zh-CN"/>
                    </w:rPr>
                    <w:t>DB 65 4275-2019）表2中B级标准</w:t>
                  </w:r>
                </w:p>
              </w:tc>
            </w:tr>
          </w:tbl>
          <w:p w14:paraId="268504BF">
            <w:pPr>
              <w:pStyle w:val="18"/>
              <w:jc w:val="center"/>
              <w:rPr>
                <w:rFonts w:ascii="Times New Roman" w:hAnsi="Times New Roman" w:cs="Times New Roman"/>
                <w:sz w:val="21"/>
                <w:szCs w:val="21"/>
                <w:lang w:eastAsia="zh-CN"/>
              </w:rPr>
            </w:pPr>
          </w:p>
          <w:p w14:paraId="5813CFDA">
            <w:pPr>
              <w:pStyle w:val="18"/>
              <w:spacing w:line="360" w:lineRule="auto"/>
              <w:jc w:val="both"/>
              <w:rPr>
                <w:rFonts w:ascii="Times New Roman" w:hAnsi="Times New Roman" w:cs="Times New Roman"/>
                <w:sz w:val="24"/>
                <w:szCs w:val="24"/>
                <w:lang w:eastAsia="zh-CN"/>
              </w:rPr>
            </w:pPr>
            <w:r>
              <w:rPr>
                <w:rFonts w:ascii="Times New Roman" w:hAnsi="Times New Roman" w:cs="Times New Roman" w:eastAsiaTheme="minorEastAsia"/>
                <w:b/>
                <w:bCs/>
                <w:sz w:val="28"/>
                <w:szCs w:val="28"/>
                <w:lang w:eastAsia="zh-CN"/>
              </w:rPr>
              <w:t>4、运营期声环境影响分析</w:t>
            </w:r>
          </w:p>
          <w:p w14:paraId="0B19CE71">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运营期声环境影响分析详见声环境专项评价。</w:t>
            </w:r>
          </w:p>
          <w:p w14:paraId="78117C45">
            <w:pPr>
              <w:pStyle w:val="18"/>
              <w:spacing w:line="360" w:lineRule="auto"/>
              <w:jc w:val="both"/>
              <w:rPr>
                <w:rFonts w:ascii="Times New Roman" w:hAnsi="Times New Roman" w:cs="Times New Roman"/>
                <w:sz w:val="24"/>
                <w:szCs w:val="24"/>
                <w:lang w:eastAsia="zh-CN"/>
              </w:rPr>
            </w:pPr>
            <w:r>
              <w:rPr>
                <w:rFonts w:ascii="Times New Roman" w:hAnsi="Times New Roman" w:cs="Times New Roman" w:eastAsiaTheme="minorEastAsia"/>
                <w:b/>
                <w:bCs/>
                <w:sz w:val="28"/>
                <w:szCs w:val="28"/>
                <w:lang w:eastAsia="zh-CN"/>
              </w:rPr>
              <w:t>5、运营期固体废物影响分析</w:t>
            </w:r>
          </w:p>
          <w:p w14:paraId="51D95E3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项目运营期道路本身不产生固废，固体废物主要为：工作人员和过往人员产生的生活垃圾，道路养护产生的废沥青，服务区车辆检修产生的废机油。</w:t>
            </w:r>
          </w:p>
          <w:p w14:paraId="1B018868">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（1）一般固废</w:t>
            </w:r>
          </w:p>
          <w:p w14:paraId="24DAB861">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hint="eastAsia" w:ascii="Times New Roman" w:hAnsi="Times New Roman" w:cs="Times New Roman"/>
                <w:sz w:val="24"/>
                <w:szCs w:val="24"/>
                <w:lang w:eastAsia="zh-CN"/>
              </w:rPr>
              <w:t>生活垃圾</w:t>
            </w:r>
          </w:p>
          <w:p w14:paraId="75E0165C">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项目运营期劳动定员</w:t>
            </w:r>
            <w:r>
              <w:rPr>
                <w:rFonts w:ascii="Times New Roman" w:hAnsi="Times New Roman" w:cs="Times New Roman"/>
                <w:sz w:val="24"/>
                <w:szCs w:val="24"/>
                <w:lang w:eastAsia="zh-CN"/>
              </w:rPr>
              <w:t>190人，</w:t>
            </w:r>
            <w:r>
              <w:rPr>
                <w:rFonts w:hint="eastAsia" w:ascii="Times New Roman" w:hAnsi="Times New Roman" w:cs="Times New Roman"/>
                <w:sz w:val="24"/>
                <w:szCs w:val="24"/>
                <w:lang w:eastAsia="zh-CN"/>
              </w:rPr>
              <w:t>服务区过往人员1</w:t>
            </w:r>
            <w:r>
              <w:rPr>
                <w:rFonts w:ascii="Times New Roman" w:hAnsi="Times New Roman" w:cs="Times New Roman"/>
                <w:sz w:val="24"/>
                <w:szCs w:val="24"/>
                <w:lang w:eastAsia="zh-CN"/>
              </w:rPr>
              <w:t>000</w:t>
            </w:r>
            <w:r>
              <w:rPr>
                <w:rFonts w:hint="eastAsia" w:ascii="Times New Roman" w:hAnsi="Times New Roman" w:cs="Times New Roman"/>
                <w:sz w:val="24"/>
                <w:szCs w:val="24"/>
                <w:lang w:eastAsia="zh-CN"/>
              </w:rPr>
              <w:t>人/a，</w:t>
            </w:r>
            <w:r>
              <w:rPr>
                <w:rFonts w:ascii="Times New Roman" w:hAnsi="Times New Roman" w:cs="Times New Roman"/>
                <w:sz w:val="24"/>
                <w:szCs w:val="24"/>
                <w:lang w:eastAsia="zh-CN"/>
              </w:rPr>
              <w:t>生活垃圾产生量按平均每人0.5kg/d计，年</w:t>
            </w:r>
            <w:r>
              <w:rPr>
                <w:rFonts w:hint="eastAsia" w:ascii="Times New Roman" w:hAnsi="Times New Roman" w:cs="Times New Roman"/>
                <w:sz w:val="24"/>
                <w:szCs w:val="24"/>
                <w:lang w:eastAsia="zh-CN"/>
              </w:rPr>
              <w:t>运行</w:t>
            </w:r>
            <w:r>
              <w:rPr>
                <w:rFonts w:ascii="Times New Roman" w:hAnsi="Times New Roman" w:cs="Times New Roman"/>
                <w:sz w:val="24"/>
                <w:szCs w:val="24"/>
                <w:lang w:eastAsia="zh-CN"/>
              </w:rPr>
              <w:t>365d，</w:t>
            </w:r>
            <w:r>
              <w:rPr>
                <w:rFonts w:hint="eastAsia" w:ascii="Times New Roman" w:hAnsi="Times New Roman" w:cs="Times New Roman"/>
                <w:sz w:val="24"/>
                <w:szCs w:val="24"/>
                <w:lang w:eastAsia="zh-CN"/>
              </w:rPr>
              <w:t>则项目生活垃圾产生量为2</w:t>
            </w:r>
            <w:r>
              <w:rPr>
                <w:rFonts w:ascii="Times New Roman" w:hAnsi="Times New Roman" w:cs="Times New Roman"/>
                <w:sz w:val="24"/>
                <w:szCs w:val="24"/>
                <w:lang w:eastAsia="zh-CN"/>
              </w:rPr>
              <w:t>17.2</w:t>
            </w:r>
            <w:r>
              <w:rPr>
                <w:rFonts w:hint="eastAsia" w:ascii="Times New Roman" w:hAnsi="Times New Roman" w:cs="Times New Roman"/>
                <w:sz w:val="24"/>
                <w:szCs w:val="24"/>
                <w:lang w:eastAsia="zh-CN"/>
              </w:rPr>
              <w:t>t</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a，</w:t>
            </w:r>
            <w:r>
              <w:rPr>
                <w:rFonts w:ascii="Times New Roman" w:hAnsi="Times New Roman" w:cs="Times New Roman"/>
                <w:sz w:val="24"/>
                <w:szCs w:val="24"/>
                <w:lang w:eastAsia="zh-CN"/>
              </w:rPr>
              <w:t>生活垃圾通过相关区域设置垃圾桶收集，定期交由环卫部门处置。</w:t>
            </w:r>
          </w:p>
          <w:p w14:paraId="30C6BF4F">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hint="eastAsia" w:ascii="Times New Roman" w:hAnsi="Times New Roman" w:cs="Times New Roman"/>
                <w:sz w:val="24"/>
                <w:szCs w:val="24"/>
                <w:lang w:eastAsia="zh-CN"/>
              </w:rPr>
              <w:t>废沥青</w:t>
            </w:r>
          </w:p>
          <w:p w14:paraId="53A60527">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运营期，道路维修养护产生的废沥青，收集后回用。</w:t>
            </w:r>
          </w:p>
          <w:p w14:paraId="23207FA3">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根据《一般固体废物分类与代码》（GB/T 39198-2020），本项目一般固废信息见表4.13。</w:t>
            </w:r>
          </w:p>
          <w:p w14:paraId="30CD5B38">
            <w:pPr>
              <w:jc w:val="center"/>
              <w:rPr>
                <w:rFonts w:ascii="Times New Roman" w:hAnsi="Times New Roman" w:cs="Times New Roman"/>
                <w:sz w:val="24"/>
                <w:szCs w:val="24"/>
                <w:lang w:eastAsia="zh-CN"/>
              </w:rPr>
            </w:pPr>
            <w:r>
              <w:rPr>
                <w:rFonts w:ascii="Times New Roman" w:hAnsi="Times New Roman" w:cs="Times New Roman"/>
                <w:b/>
                <w:sz w:val="21"/>
                <w:szCs w:val="21"/>
                <w:lang w:eastAsia="zh-CN"/>
              </w:rPr>
              <w:t>表4.13  项目一般固废信息表</w:t>
            </w:r>
          </w:p>
          <w:tbl>
            <w:tblPr>
              <w:tblStyle w:val="12"/>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4254"/>
              <w:gridCol w:w="1829"/>
              <w:gridCol w:w="1632"/>
            </w:tblGrid>
            <w:tr w14:paraId="09D5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4" w:type="pct"/>
                  <w:tcBorders>
                    <w:top w:val="single" w:color="auto" w:sz="4" w:space="0"/>
                    <w:left w:val="single" w:color="auto" w:sz="4" w:space="0"/>
                    <w:bottom w:val="single" w:color="auto" w:sz="4" w:space="0"/>
                    <w:right w:val="single" w:color="auto" w:sz="4" w:space="0"/>
                  </w:tcBorders>
                  <w:vAlign w:val="center"/>
                </w:tcPr>
                <w:p w14:paraId="5131465D">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一般固废名称</w:t>
                  </w:r>
                </w:p>
              </w:tc>
              <w:tc>
                <w:tcPr>
                  <w:tcW w:w="2424" w:type="pct"/>
                  <w:tcBorders>
                    <w:top w:val="single" w:color="auto" w:sz="4" w:space="0"/>
                    <w:left w:val="single" w:color="auto" w:sz="4" w:space="0"/>
                    <w:bottom w:val="single" w:color="auto" w:sz="4" w:space="0"/>
                    <w:right w:val="single" w:color="auto" w:sz="4" w:space="0"/>
                  </w:tcBorders>
                  <w:vAlign w:val="center"/>
                </w:tcPr>
                <w:p w14:paraId="6A654183">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行业来源</w:t>
                  </w:r>
                </w:p>
              </w:tc>
              <w:tc>
                <w:tcPr>
                  <w:tcW w:w="1042" w:type="pct"/>
                  <w:tcBorders>
                    <w:top w:val="single" w:color="auto" w:sz="4" w:space="0"/>
                    <w:left w:val="single" w:color="auto" w:sz="4" w:space="0"/>
                    <w:bottom w:val="single" w:color="auto" w:sz="4" w:space="0"/>
                    <w:right w:val="single" w:color="auto" w:sz="4" w:space="0"/>
                  </w:tcBorders>
                  <w:vAlign w:val="center"/>
                </w:tcPr>
                <w:p w14:paraId="498F35BA">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类别、类别代码</w:t>
                  </w:r>
                </w:p>
              </w:tc>
              <w:tc>
                <w:tcPr>
                  <w:tcW w:w="930" w:type="pct"/>
                  <w:tcBorders>
                    <w:top w:val="single" w:color="auto" w:sz="4" w:space="0"/>
                    <w:left w:val="single" w:color="auto" w:sz="4" w:space="0"/>
                    <w:bottom w:val="single" w:color="auto" w:sz="4" w:space="0"/>
                    <w:right w:val="single" w:color="auto" w:sz="4" w:space="0"/>
                  </w:tcBorders>
                  <w:vAlign w:val="center"/>
                </w:tcPr>
                <w:p w14:paraId="160CF312">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一般固废代码</w:t>
                  </w:r>
                </w:p>
              </w:tc>
            </w:tr>
            <w:tr w14:paraId="052B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tcBorders>
                    <w:top w:val="single" w:color="auto" w:sz="4" w:space="0"/>
                    <w:left w:val="single" w:color="auto" w:sz="4" w:space="0"/>
                    <w:bottom w:val="single" w:color="auto" w:sz="4" w:space="0"/>
                    <w:right w:val="single" w:color="auto" w:sz="4" w:space="0"/>
                  </w:tcBorders>
                  <w:vAlign w:val="center"/>
                </w:tcPr>
                <w:p w14:paraId="6547250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生活垃圾</w:t>
                  </w:r>
                </w:p>
              </w:tc>
              <w:tc>
                <w:tcPr>
                  <w:tcW w:w="2424" w:type="pct"/>
                  <w:tcBorders>
                    <w:top w:val="single" w:color="auto" w:sz="4" w:space="0"/>
                    <w:left w:val="single" w:color="auto" w:sz="4" w:space="0"/>
                    <w:bottom w:val="single" w:color="auto" w:sz="4" w:space="0"/>
                    <w:right w:val="single" w:color="auto" w:sz="4" w:space="0"/>
                  </w:tcBorders>
                  <w:vAlign w:val="center"/>
                </w:tcPr>
                <w:p w14:paraId="756473C7">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481、</w:t>
                  </w:r>
                  <w:r>
                    <w:rPr>
                      <w:rFonts w:hint="eastAsia" w:ascii="Times New Roman" w:hAnsi="Times New Roman" w:cs="Times New Roman"/>
                      <w:sz w:val="21"/>
                      <w:szCs w:val="21"/>
                      <w:lang w:eastAsia="zh-CN"/>
                    </w:rPr>
                    <w:t>铁路、道路、隧道和桥梁工程建筑</w:t>
                  </w:r>
                </w:p>
              </w:tc>
              <w:tc>
                <w:tcPr>
                  <w:tcW w:w="1042" w:type="pct"/>
                  <w:tcBorders>
                    <w:top w:val="single" w:color="auto" w:sz="4" w:space="0"/>
                    <w:left w:val="single" w:color="auto" w:sz="4" w:space="0"/>
                    <w:bottom w:val="single" w:color="auto" w:sz="4" w:space="0"/>
                    <w:right w:val="single" w:color="auto" w:sz="4" w:space="0"/>
                  </w:tcBorders>
                  <w:vAlign w:val="center"/>
                </w:tcPr>
                <w:p w14:paraId="29BA8B43">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99、其他废物</w:t>
                  </w:r>
                </w:p>
              </w:tc>
              <w:tc>
                <w:tcPr>
                  <w:tcW w:w="930" w:type="pct"/>
                  <w:tcBorders>
                    <w:top w:val="single" w:color="auto" w:sz="4" w:space="0"/>
                    <w:left w:val="single" w:color="auto" w:sz="4" w:space="0"/>
                    <w:bottom w:val="single" w:color="auto" w:sz="4" w:space="0"/>
                    <w:right w:val="single" w:color="auto" w:sz="4" w:space="0"/>
                  </w:tcBorders>
                  <w:vAlign w:val="center"/>
                </w:tcPr>
                <w:p w14:paraId="747D4774">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303-999-99</w:t>
                  </w:r>
                </w:p>
              </w:tc>
            </w:tr>
            <w:tr w14:paraId="378F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tcBorders>
                    <w:top w:val="single" w:color="auto" w:sz="4" w:space="0"/>
                    <w:left w:val="single" w:color="auto" w:sz="4" w:space="0"/>
                    <w:bottom w:val="single" w:color="auto" w:sz="4" w:space="0"/>
                    <w:right w:val="single" w:color="auto" w:sz="4" w:space="0"/>
                  </w:tcBorders>
                  <w:vAlign w:val="center"/>
                </w:tcPr>
                <w:p w14:paraId="620D5672">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废沥青</w:t>
                  </w:r>
                </w:p>
              </w:tc>
              <w:tc>
                <w:tcPr>
                  <w:tcW w:w="2424" w:type="pct"/>
                  <w:tcBorders>
                    <w:top w:val="single" w:color="auto" w:sz="4" w:space="0"/>
                    <w:left w:val="single" w:color="auto" w:sz="4" w:space="0"/>
                    <w:bottom w:val="single" w:color="auto" w:sz="4" w:space="0"/>
                    <w:right w:val="single" w:color="auto" w:sz="4" w:space="0"/>
                  </w:tcBorders>
                </w:tcPr>
                <w:p w14:paraId="34BA307A">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481、</w:t>
                  </w:r>
                  <w:r>
                    <w:rPr>
                      <w:rFonts w:hint="eastAsia" w:ascii="Times New Roman" w:hAnsi="Times New Roman" w:cs="Times New Roman"/>
                      <w:sz w:val="21"/>
                      <w:szCs w:val="21"/>
                      <w:lang w:eastAsia="zh-CN"/>
                    </w:rPr>
                    <w:t>铁路、道路、隧道和桥梁工程建筑</w:t>
                  </w:r>
                </w:p>
              </w:tc>
              <w:tc>
                <w:tcPr>
                  <w:tcW w:w="1042" w:type="pct"/>
                  <w:tcBorders>
                    <w:top w:val="single" w:color="auto" w:sz="4" w:space="0"/>
                    <w:left w:val="single" w:color="auto" w:sz="4" w:space="0"/>
                    <w:bottom w:val="single" w:color="auto" w:sz="4" w:space="0"/>
                    <w:right w:val="single" w:color="auto" w:sz="4" w:space="0"/>
                  </w:tcBorders>
                  <w:vAlign w:val="center"/>
                </w:tcPr>
                <w:p w14:paraId="65E282B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99、其他废物</w:t>
                  </w:r>
                </w:p>
              </w:tc>
              <w:tc>
                <w:tcPr>
                  <w:tcW w:w="930" w:type="pct"/>
                  <w:tcBorders>
                    <w:top w:val="single" w:color="auto" w:sz="4" w:space="0"/>
                    <w:left w:val="single" w:color="auto" w:sz="4" w:space="0"/>
                    <w:bottom w:val="single" w:color="auto" w:sz="4" w:space="0"/>
                    <w:right w:val="single" w:color="auto" w:sz="4" w:space="0"/>
                  </w:tcBorders>
                  <w:vAlign w:val="center"/>
                </w:tcPr>
                <w:p w14:paraId="3DBDDB35">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303-999-99</w:t>
                  </w:r>
                </w:p>
              </w:tc>
            </w:tr>
          </w:tbl>
          <w:p w14:paraId="122C94A2">
            <w:pPr>
              <w:pStyle w:val="18"/>
              <w:jc w:val="center"/>
              <w:rPr>
                <w:rFonts w:ascii="Times New Roman" w:hAnsi="Times New Roman" w:cs="Times New Roman"/>
                <w:sz w:val="21"/>
                <w:szCs w:val="21"/>
                <w:lang w:eastAsia="zh-CN"/>
              </w:rPr>
            </w:pPr>
          </w:p>
          <w:p w14:paraId="534ED328">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ascii="Times New Roman" w:hAnsi="Times New Roman" w:cs="Times New Roman"/>
                <w:sz w:val="24"/>
                <w:szCs w:val="24"/>
                <w:lang w:eastAsia="zh-CN"/>
              </w:rPr>
              <w:t>一般固废暂存要求</w:t>
            </w:r>
          </w:p>
          <w:p w14:paraId="12078A3D">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一般工业固体废物暂存场所需按照《一般工业固体废物贮存和填埋污染控制标准》（GB 18599-2020）的规定进行规范化设置，具体要求如下：</w:t>
            </w:r>
          </w:p>
          <w:p w14:paraId="464EFE6E">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a、贮存场所的建设类型，必须与将要堆放的一般工业固体废物的类别相一致。</w:t>
            </w:r>
          </w:p>
          <w:p w14:paraId="5F83AB9C">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b、贮存场所应采取防止粉尘污染的措施。</w:t>
            </w:r>
          </w:p>
          <w:p w14:paraId="595B5DDB">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c、加强监督管理，贮存场所应按《环境保护图形标志—固体废物贮存（处置）场》（GB 15562.2-1995）设置环境保护图形标志。</w:t>
            </w:r>
          </w:p>
          <w:p w14:paraId="212C80C3">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④</w:t>
            </w:r>
            <w:r>
              <w:rPr>
                <w:rFonts w:ascii="Times New Roman" w:hAnsi="Times New Roman" w:cs="Times New Roman"/>
                <w:sz w:val="24"/>
                <w:szCs w:val="24"/>
                <w:lang w:eastAsia="zh-CN"/>
              </w:rPr>
              <w:t>一般固废环境管理台账</w:t>
            </w:r>
          </w:p>
          <w:p w14:paraId="43548963">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本项目一般固废环境管理台账记录要求：排污单位应建立环境管理台账制度，一般工业固体废物环境管理台账记录应符合生态环境部规定的一般工业固体废物环境管理台账相关标准及管理文件要求。</w:t>
            </w:r>
          </w:p>
          <w:p w14:paraId="1D277EEC">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经采取上述措施后，项目各固废合理处置，一般固废的处置符合《一般工业固体废物贮存和填埋污染控制标准》（GB 18599-2020）的要求，不会产生二次污染，对周围环境影响较小。</w:t>
            </w:r>
          </w:p>
          <w:p w14:paraId="0F3CE30D">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（2）危险废物</w:t>
            </w:r>
          </w:p>
          <w:p w14:paraId="2DDF2FDB">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hint="eastAsia" w:ascii="Times New Roman" w:hAnsi="Times New Roman" w:cs="Times New Roman"/>
                <w:sz w:val="24"/>
                <w:szCs w:val="24"/>
                <w:lang w:eastAsia="zh-CN"/>
              </w:rPr>
              <w:t>废机油</w:t>
            </w:r>
          </w:p>
          <w:p w14:paraId="663BBEF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项目的服务区（西区）、服务区（东区）各设置1座危废贮存点（面积1</w:t>
            </w:r>
            <w:r>
              <w:rPr>
                <w:rFonts w:ascii="Times New Roman" w:hAnsi="Times New Roman" w:cs="Times New Roman"/>
                <w:sz w:val="24"/>
                <w:szCs w:val="24"/>
                <w:lang w:eastAsia="zh-CN"/>
              </w:rPr>
              <w:t>0</w:t>
            </w:r>
            <w:r>
              <w:rPr>
                <w:rFonts w:hint="eastAsia" w:ascii="Times New Roman" w:hAnsi="Times New Roman" w:cs="Times New Roman"/>
                <w:sz w:val="24"/>
                <w:szCs w:val="24"/>
                <w:lang w:eastAsia="zh-CN"/>
              </w:rPr>
              <w:t>m²），运营期，进入服务区的部分车辆会进行检修，此过程会产生废机油，废机油产生量约</w:t>
            </w:r>
            <w:r>
              <w:rPr>
                <w:rFonts w:ascii="Times New Roman" w:hAnsi="Times New Roman" w:cs="Times New Roman"/>
                <w:sz w:val="24"/>
                <w:szCs w:val="24"/>
                <w:lang w:eastAsia="zh-CN"/>
              </w:rPr>
              <w:t>70</w:t>
            </w:r>
            <w:r>
              <w:rPr>
                <w:rFonts w:hint="eastAsia" w:ascii="Times New Roman" w:hAnsi="Times New Roman" w:cs="Times New Roman"/>
                <w:sz w:val="24"/>
                <w:szCs w:val="24"/>
                <w:lang w:eastAsia="zh-CN"/>
              </w:rPr>
              <w:t>t</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a，废机油由危废贮存点贮存，定期交由有处理资质的单位处置。</w:t>
            </w:r>
            <w:r>
              <w:rPr>
                <w:rFonts w:ascii="Times New Roman" w:hAnsi="Times New Roman" w:cs="Times New Roman"/>
                <w:sz w:val="24"/>
                <w:szCs w:val="24"/>
                <w:lang w:eastAsia="zh-CN"/>
              </w:rPr>
              <w:t>根据《国家危险废物名录（2021年版）》，废机油属于危险废物，废物类别为HW08废矿物油与含矿物油废物，废物代码为900-214-08。本项目</w:t>
            </w:r>
            <w:r>
              <w:rPr>
                <w:rFonts w:hint="eastAsia" w:ascii="Times New Roman" w:hAnsi="Times New Roman" w:cs="Times New Roman"/>
                <w:sz w:val="24"/>
                <w:szCs w:val="24"/>
                <w:lang w:eastAsia="zh-CN"/>
              </w:rPr>
              <w:t>危险废物信息见表4</w:t>
            </w:r>
            <w:r>
              <w:rPr>
                <w:rFonts w:ascii="Times New Roman" w:hAnsi="Times New Roman" w:cs="Times New Roman"/>
                <w:sz w:val="24"/>
                <w:szCs w:val="24"/>
                <w:lang w:eastAsia="zh-CN"/>
              </w:rPr>
              <w:t>.14。</w:t>
            </w:r>
          </w:p>
          <w:p w14:paraId="1D1B1FB2">
            <w:pPr>
              <w:jc w:val="center"/>
              <w:rPr>
                <w:rFonts w:ascii="Times New Roman" w:hAnsi="Times New Roman" w:cs="Times New Roman"/>
                <w:sz w:val="24"/>
                <w:szCs w:val="24"/>
                <w:lang w:eastAsia="zh-CN"/>
              </w:rPr>
            </w:pPr>
            <w:r>
              <w:rPr>
                <w:rFonts w:ascii="Times New Roman" w:hAnsi="Times New Roman" w:cs="Times New Roman"/>
                <w:b/>
                <w:sz w:val="21"/>
                <w:szCs w:val="21"/>
                <w:lang w:eastAsia="zh-CN"/>
              </w:rPr>
              <w:t>表4.14  项目危废信息表</w:t>
            </w:r>
          </w:p>
          <w:tbl>
            <w:tblPr>
              <w:tblStyle w:val="12"/>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147"/>
              <w:gridCol w:w="1344"/>
              <w:gridCol w:w="4717"/>
              <w:gridCol w:w="879"/>
            </w:tblGrid>
            <w:tr w14:paraId="505D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tcBorders>
                    <w:top w:val="single" w:color="auto" w:sz="4" w:space="0"/>
                    <w:left w:val="single" w:color="auto" w:sz="4" w:space="0"/>
                    <w:bottom w:val="single" w:color="auto" w:sz="4" w:space="0"/>
                    <w:right w:val="single" w:color="auto" w:sz="4" w:space="0"/>
                  </w:tcBorders>
                  <w:vAlign w:val="center"/>
                </w:tcPr>
                <w:p w14:paraId="349BA816">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危废</w:t>
                  </w:r>
                </w:p>
                <w:p w14:paraId="528C2537">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名称</w:t>
                  </w:r>
                </w:p>
              </w:tc>
              <w:tc>
                <w:tcPr>
                  <w:tcW w:w="652" w:type="pct"/>
                  <w:tcBorders>
                    <w:top w:val="single" w:color="auto" w:sz="4" w:space="0"/>
                    <w:left w:val="single" w:color="auto" w:sz="4" w:space="0"/>
                    <w:bottom w:val="single" w:color="auto" w:sz="4" w:space="0"/>
                    <w:right w:val="single" w:color="auto" w:sz="4" w:space="0"/>
                  </w:tcBorders>
                  <w:vAlign w:val="center"/>
                </w:tcPr>
                <w:p w14:paraId="657C84EC">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危废类别</w:t>
                  </w:r>
                </w:p>
              </w:tc>
              <w:tc>
                <w:tcPr>
                  <w:tcW w:w="764" w:type="pct"/>
                  <w:tcBorders>
                    <w:top w:val="single" w:color="auto" w:sz="4" w:space="0"/>
                    <w:left w:val="single" w:color="auto" w:sz="4" w:space="0"/>
                    <w:bottom w:val="single" w:color="auto" w:sz="4" w:space="0"/>
                    <w:right w:val="single" w:color="auto" w:sz="4" w:space="0"/>
                  </w:tcBorders>
                  <w:vAlign w:val="center"/>
                </w:tcPr>
                <w:p w14:paraId="750438AF">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危废代码</w:t>
                  </w:r>
                </w:p>
              </w:tc>
              <w:tc>
                <w:tcPr>
                  <w:tcW w:w="2682" w:type="pct"/>
                  <w:tcBorders>
                    <w:top w:val="single" w:color="auto" w:sz="4" w:space="0"/>
                    <w:left w:val="single" w:color="auto" w:sz="4" w:space="0"/>
                    <w:bottom w:val="single" w:color="auto" w:sz="4" w:space="0"/>
                    <w:right w:val="single" w:color="auto" w:sz="4" w:space="0"/>
                  </w:tcBorders>
                  <w:vAlign w:val="center"/>
                </w:tcPr>
                <w:p w14:paraId="3DFF8171">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危废描述</w:t>
                  </w:r>
                </w:p>
              </w:tc>
              <w:tc>
                <w:tcPr>
                  <w:tcW w:w="500" w:type="pct"/>
                  <w:tcBorders>
                    <w:top w:val="single" w:color="auto" w:sz="4" w:space="0"/>
                    <w:left w:val="single" w:color="auto" w:sz="4" w:space="0"/>
                    <w:bottom w:val="single" w:color="auto" w:sz="4" w:space="0"/>
                    <w:right w:val="single" w:color="auto" w:sz="4" w:space="0"/>
                  </w:tcBorders>
                  <w:vAlign w:val="center"/>
                </w:tcPr>
                <w:p w14:paraId="0E15AD3C">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危险</w:t>
                  </w:r>
                </w:p>
                <w:p w14:paraId="70A3A0D3">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特性</w:t>
                  </w:r>
                </w:p>
              </w:tc>
            </w:tr>
            <w:tr w14:paraId="6021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14:paraId="34564D00">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废机油</w:t>
                  </w:r>
                </w:p>
              </w:tc>
              <w:tc>
                <w:tcPr>
                  <w:tcW w:w="652" w:type="pct"/>
                  <w:tcBorders>
                    <w:top w:val="single" w:color="auto" w:sz="4" w:space="0"/>
                    <w:left w:val="single" w:color="auto" w:sz="4" w:space="0"/>
                    <w:bottom w:val="single" w:color="auto" w:sz="4" w:space="0"/>
                    <w:right w:val="single" w:color="auto" w:sz="4" w:space="0"/>
                  </w:tcBorders>
                  <w:vAlign w:val="center"/>
                </w:tcPr>
                <w:p w14:paraId="6DD4CBDE">
                  <w:pPr>
                    <w:jc w:val="both"/>
                    <w:rPr>
                      <w:rFonts w:ascii="Times New Roman" w:hAnsi="Times New Roman" w:cs="Times New Roman"/>
                      <w:sz w:val="21"/>
                      <w:szCs w:val="21"/>
                      <w:lang w:eastAsia="zh-CN"/>
                    </w:rPr>
                  </w:pPr>
                  <w:r>
                    <w:rPr>
                      <w:rFonts w:ascii="Times New Roman" w:hAnsi="Times New Roman" w:cs="Times New Roman"/>
                      <w:sz w:val="21"/>
                      <w:szCs w:val="21"/>
                      <w:lang w:eastAsia="zh-CN"/>
                    </w:rPr>
                    <w:t>HW08废矿物油与含矿物油废物</w:t>
                  </w:r>
                </w:p>
              </w:tc>
              <w:tc>
                <w:tcPr>
                  <w:tcW w:w="764" w:type="pct"/>
                  <w:tcBorders>
                    <w:top w:val="single" w:color="auto" w:sz="4" w:space="0"/>
                    <w:left w:val="single" w:color="auto" w:sz="4" w:space="0"/>
                    <w:bottom w:val="single" w:color="auto" w:sz="4" w:space="0"/>
                    <w:right w:val="single" w:color="auto" w:sz="4" w:space="0"/>
                  </w:tcBorders>
                  <w:vAlign w:val="center"/>
                </w:tcPr>
                <w:p w14:paraId="179DFFCF">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900-214-08</w:t>
                  </w:r>
                </w:p>
              </w:tc>
              <w:tc>
                <w:tcPr>
                  <w:tcW w:w="2682" w:type="pct"/>
                  <w:tcBorders>
                    <w:top w:val="single" w:color="auto" w:sz="4" w:space="0"/>
                    <w:left w:val="single" w:color="auto" w:sz="4" w:space="0"/>
                    <w:bottom w:val="single" w:color="auto" w:sz="4" w:space="0"/>
                    <w:right w:val="single" w:color="auto" w:sz="4" w:space="0"/>
                  </w:tcBorders>
                  <w:vAlign w:val="center"/>
                </w:tcPr>
                <w:p w14:paraId="236B5AEE">
                  <w:pPr>
                    <w:jc w:val="both"/>
                    <w:rPr>
                      <w:rFonts w:ascii="Times New Roman" w:hAnsi="Times New Roman" w:cs="Times New Roman"/>
                      <w:sz w:val="21"/>
                      <w:szCs w:val="21"/>
                      <w:lang w:eastAsia="zh-CN"/>
                    </w:rPr>
                  </w:pPr>
                  <w:r>
                    <w:rPr>
                      <w:rFonts w:ascii="Times New Roman" w:hAnsi="Times New Roman" w:cs="Times New Roman"/>
                      <w:sz w:val="21"/>
                      <w:szCs w:val="21"/>
                      <w:lang w:eastAsia="zh-CN"/>
                    </w:rPr>
                    <w:t>车辆、轮船及其它机械维修过程中产生的废发动机油、制动器油、自动变速器油、齿轮油等废润滑油</w:t>
                  </w:r>
                </w:p>
              </w:tc>
              <w:tc>
                <w:tcPr>
                  <w:tcW w:w="500" w:type="pct"/>
                  <w:tcBorders>
                    <w:left w:val="single" w:color="auto" w:sz="4" w:space="0"/>
                    <w:right w:val="single" w:color="auto" w:sz="4" w:space="0"/>
                  </w:tcBorders>
                  <w:vAlign w:val="center"/>
                </w:tcPr>
                <w:p w14:paraId="688C0ED0">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T，I</w:t>
                  </w:r>
                </w:p>
              </w:tc>
            </w:tr>
          </w:tbl>
          <w:p w14:paraId="71810BF3">
            <w:pPr>
              <w:pStyle w:val="18"/>
              <w:jc w:val="center"/>
              <w:rPr>
                <w:rFonts w:ascii="Times New Roman" w:hAnsi="Times New Roman" w:cs="Times New Roman"/>
                <w:sz w:val="21"/>
                <w:szCs w:val="21"/>
                <w:lang w:eastAsia="zh-CN"/>
              </w:rPr>
            </w:pPr>
          </w:p>
          <w:p w14:paraId="7EB4583E">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根据《危险废物贮存污染控制标准》（</w:t>
            </w:r>
            <w:r>
              <w:rPr>
                <w:rFonts w:ascii="Times New Roman" w:hAnsi="Times New Roman" w:cs="Times New Roman"/>
                <w:sz w:val="24"/>
                <w:szCs w:val="24"/>
                <w:lang w:eastAsia="zh-CN"/>
              </w:rPr>
              <w:t>GB 18597-2023）、《危险废物转移管理办法》（生态环境部公安部交通运输部部令第23号），本报告对项目产生的危险废物的贮存、管理提出进一步要求</w:t>
            </w:r>
            <w:r>
              <w:rPr>
                <w:rFonts w:hint="eastAsia" w:ascii="Times New Roman" w:hAnsi="Times New Roman" w:cs="Times New Roman"/>
                <w:sz w:val="24"/>
                <w:szCs w:val="24"/>
                <w:lang w:eastAsia="zh-CN"/>
              </w:rPr>
              <w:t>见表4</w:t>
            </w:r>
            <w:r>
              <w:rPr>
                <w:rFonts w:ascii="Times New Roman" w:hAnsi="Times New Roman" w:cs="Times New Roman"/>
                <w:sz w:val="24"/>
                <w:szCs w:val="24"/>
                <w:lang w:eastAsia="zh-CN"/>
              </w:rPr>
              <w:t>.15</w:t>
            </w:r>
            <w:r>
              <w:rPr>
                <w:rFonts w:hint="eastAsia" w:ascii="Times New Roman" w:hAnsi="Times New Roman" w:cs="Times New Roman"/>
                <w:sz w:val="24"/>
                <w:szCs w:val="24"/>
                <w:lang w:eastAsia="zh-CN"/>
              </w:rPr>
              <w:t>。</w:t>
            </w:r>
          </w:p>
          <w:p w14:paraId="67AA432C">
            <w:pPr>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表4.15  项目危废</w:t>
            </w:r>
            <w:r>
              <w:rPr>
                <w:rFonts w:hint="eastAsia" w:ascii="Times New Roman" w:hAnsi="Times New Roman" w:cs="Times New Roman"/>
                <w:b/>
                <w:sz w:val="21"/>
                <w:szCs w:val="21"/>
                <w:lang w:eastAsia="zh-CN"/>
              </w:rPr>
              <w:t>管理要求一览</w:t>
            </w:r>
            <w:r>
              <w:rPr>
                <w:rFonts w:ascii="Times New Roman" w:hAnsi="Times New Roman" w:cs="Times New Roman"/>
                <w:b/>
                <w:sz w:val="21"/>
                <w:szCs w:val="21"/>
                <w:lang w:eastAsia="zh-CN"/>
              </w:rPr>
              <w:t>表</w:t>
            </w:r>
          </w:p>
          <w:tbl>
            <w:tblPr>
              <w:tblStyle w:val="12"/>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719"/>
              <w:gridCol w:w="7330"/>
            </w:tblGrid>
            <w:tr w14:paraId="6F47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restart"/>
                  <w:vAlign w:val="center"/>
                </w:tcPr>
                <w:p w14:paraId="09DFEA8B">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危废暂存要求</w:t>
                  </w:r>
                </w:p>
              </w:tc>
              <w:tc>
                <w:tcPr>
                  <w:tcW w:w="413" w:type="pct"/>
                  <w:vAlign w:val="center"/>
                </w:tcPr>
                <w:p w14:paraId="6E359E20">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贮存设施污染控制要求</w:t>
                  </w:r>
                </w:p>
              </w:tc>
              <w:tc>
                <w:tcPr>
                  <w:tcW w:w="4209" w:type="pct"/>
                  <w:vAlign w:val="center"/>
                </w:tcPr>
                <w:p w14:paraId="1A002458">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①贮存设施应根据危险废物的形态、物理化学性质、包装形式和污染物迁移途径，采取必要的防风、防晒、防雨、防漏、防渗、防腐以及其他环境污染防治措施，不应露天堆放危险废物。</w:t>
                  </w:r>
                </w:p>
                <w:p w14:paraId="127EFB0B">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②贮存设施应根据危险废物的类别、数量、形态、物理化学性质和污染防治等要求设置必要的贮存分区，避免不相容的危险废物接触、混合。</w:t>
                  </w:r>
                </w:p>
                <w:p w14:paraId="2C719BE1">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③贮存设施或贮存分区内地面、墙面裙脚、堵截泄漏的围堰、接触危险废物的隔板和墙体等应采用坚固的材料建造，表面无裂缝。</w:t>
                  </w:r>
                </w:p>
                <w:p w14:paraId="1D75DA23">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ascii="Times New Roman" w:hAnsi="Times New Roman" w:cs="Times New Roman"/>
                      <w:sz w:val="21"/>
                      <w:szCs w:val="21"/>
                      <w:lang w:eastAsia="zh-CN"/>
                    </w:rPr>
                    <w:t>1m厚黏土层（渗透系数不大于10</w:t>
                  </w:r>
                  <w:r>
                    <w:rPr>
                      <w:rFonts w:ascii="Times New Roman" w:hAnsi="Times New Roman" w:cs="Times New Roman"/>
                      <w:sz w:val="21"/>
                      <w:szCs w:val="21"/>
                      <w:vertAlign w:val="superscript"/>
                      <w:lang w:eastAsia="zh-CN"/>
                    </w:rPr>
                    <w:t>-7</w:t>
                  </w:r>
                  <w:r>
                    <w:rPr>
                      <w:rFonts w:ascii="Times New Roman" w:hAnsi="Times New Roman" w:cs="Times New Roman"/>
                      <w:sz w:val="21"/>
                      <w:szCs w:val="21"/>
                      <w:lang w:eastAsia="zh-CN"/>
                    </w:rPr>
                    <w:t>cm/s），或至少2mm厚高密度聚乙烯膜等人工防渗材料（渗透系数不大于10</w:t>
                  </w:r>
                  <w:r>
                    <w:rPr>
                      <w:rFonts w:ascii="Times New Roman" w:hAnsi="Times New Roman" w:cs="Times New Roman"/>
                      <w:sz w:val="21"/>
                      <w:szCs w:val="21"/>
                      <w:vertAlign w:val="superscript"/>
                      <w:lang w:eastAsia="zh-CN"/>
                    </w:rPr>
                    <w:t>-10</w:t>
                  </w:r>
                  <w:r>
                    <w:rPr>
                      <w:rFonts w:ascii="Times New Roman" w:hAnsi="Times New Roman" w:cs="Times New Roman"/>
                      <w:sz w:val="21"/>
                      <w:szCs w:val="21"/>
                      <w:lang w:eastAsia="zh-CN"/>
                    </w:rPr>
                    <w:t>cm/s），或其他防渗性能等效的材料。</w:t>
                  </w:r>
                </w:p>
                <w:p w14:paraId="4D3E2A8F">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64F3927A">
                  <w:pPr>
                    <w:rPr>
                      <w:rFonts w:ascii="Times New Roman" w:hAnsi="Times New Roman" w:cs="Times New Roman"/>
                      <w:sz w:val="21"/>
                      <w:szCs w:val="21"/>
                      <w:lang w:eastAsia="zh-CN"/>
                    </w:rPr>
                  </w:pPr>
                  <w:r>
                    <w:rPr>
                      <w:rFonts w:hint="eastAsia" w:ascii="Times New Roman" w:hAnsi="Times New Roman" w:cs="Times New Roman"/>
                      <w:sz w:val="21"/>
                      <w:szCs w:val="21"/>
                      <w:lang w:eastAsia="zh-CN"/>
                    </w:rPr>
                    <w:t>⑥贮存设施应采取技术和管理措施防止无关人员进入。</w:t>
                  </w:r>
                </w:p>
              </w:tc>
            </w:tr>
            <w:tr w14:paraId="3495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14:paraId="1D63D9CB">
                  <w:pPr>
                    <w:jc w:val="center"/>
                    <w:rPr>
                      <w:rFonts w:ascii="Times New Roman" w:hAnsi="Times New Roman" w:cs="Times New Roman"/>
                      <w:sz w:val="21"/>
                      <w:szCs w:val="21"/>
                      <w:lang w:eastAsia="zh-CN"/>
                    </w:rPr>
                  </w:pPr>
                </w:p>
              </w:tc>
              <w:tc>
                <w:tcPr>
                  <w:tcW w:w="413" w:type="pct"/>
                  <w:vAlign w:val="center"/>
                </w:tcPr>
                <w:p w14:paraId="1AA71425">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容器和包装物污染控制要求</w:t>
                  </w:r>
                </w:p>
              </w:tc>
              <w:tc>
                <w:tcPr>
                  <w:tcW w:w="4209" w:type="pct"/>
                  <w:vAlign w:val="center"/>
                </w:tcPr>
                <w:p w14:paraId="16BC894A">
                  <w:pPr>
                    <w:rPr>
                      <w:rFonts w:ascii="Times New Roman" w:hAnsi="Times New Roman" w:cs="Times New Roman"/>
                      <w:sz w:val="21"/>
                      <w:szCs w:val="21"/>
                      <w:lang w:eastAsia="zh-CN"/>
                    </w:rPr>
                  </w:pPr>
                  <w:r>
                    <w:rPr>
                      <w:rFonts w:hint="eastAsia" w:ascii="Times New Roman" w:hAnsi="Times New Roman" w:cs="Times New Roman"/>
                      <w:sz w:val="21"/>
                      <w:szCs w:val="21"/>
                      <w:lang w:eastAsia="zh-CN"/>
                    </w:rPr>
                    <w:t>①容器和包装物材质、内衬应与盛装的危险废物相容。</w:t>
                  </w:r>
                </w:p>
                <w:p w14:paraId="59EB980D">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②针对不同类别、形态、物理化学性质的危险废物，其容器和包装物应满足相应的防渗、防漏、防腐和强度等要求。</w:t>
                  </w:r>
                </w:p>
                <w:p w14:paraId="3E34FF18">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③硬质容器和包装物及其支护结构堆叠码放时不应有明显变形，无破损泄漏。</w:t>
                  </w:r>
                </w:p>
                <w:p w14:paraId="122B036E">
                  <w:pPr>
                    <w:rPr>
                      <w:rFonts w:ascii="Times New Roman" w:hAnsi="Times New Roman" w:cs="Times New Roman"/>
                      <w:sz w:val="21"/>
                      <w:szCs w:val="21"/>
                      <w:lang w:eastAsia="zh-CN"/>
                    </w:rPr>
                  </w:pPr>
                  <w:r>
                    <w:rPr>
                      <w:rFonts w:hint="eastAsia" w:ascii="Times New Roman" w:hAnsi="Times New Roman" w:cs="Times New Roman"/>
                      <w:sz w:val="21"/>
                      <w:szCs w:val="21"/>
                      <w:lang w:eastAsia="zh-CN"/>
                    </w:rPr>
                    <w:t>④柔性容器和包装物堆叠码放时应封口严密，无破损泄漏。</w:t>
                  </w:r>
                </w:p>
                <w:p w14:paraId="172F3FEC">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⑤使用容器盛装液态、半固态危险废物时，容器内部应留有适当的空间，以适应因温度变化等可能引发的收缩和膨胀，防止其导致容器渗漏或永久变形。</w:t>
                  </w:r>
                </w:p>
                <w:p w14:paraId="0AB3F39D">
                  <w:pPr>
                    <w:rPr>
                      <w:rFonts w:ascii="Times New Roman" w:hAnsi="Times New Roman" w:cs="Times New Roman"/>
                      <w:sz w:val="21"/>
                      <w:szCs w:val="21"/>
                      <w:lang w:eastAsia="zh-CN"/>
                    </w:rPr>
                  </w:pPr>
                  <w:r>
                    <w:rPr>
                      <w:rFonts w:hint="eastAsia" w:ascii="Times New Roman" w:hAnsi="Times New Roman" w:cs="Times New Roman"/>
                      <w:sz w:val="21"/>
                      <w:szCs w:val="21"/>
                      <w:lang w:eastAsia="zh-CN"/>
                    </w:rPr>
                    <w:t>⑥容器和包装物外表面应保持清洁。</w:t>
                  </w:r>
                </w:p>
              </w:tc>
            </w:tr>
            <w:tr w14:paraId="71B6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14:paraId="6881DA25">
                  <w:pPr>
                    <w:jc w:val="center"/>
                    <w:rPr>
                      <w:rFonts w:ascii="Times New Roman" w:hAnsi="Times New Roman" w:cs="Times New Roman"/>
                      <w:sz w:val="21"/>
                      <w:szCs w:val="21"/>
                      <w:lang w:eastAsia="zh-CN"/>
                    </w:rPr>
                  </w:pPr>
                </w:p>
              </w:tc>
              <w:tc>
                <w:tcPr>
                  <w:tcW w:w="413" w:type="pct"/>
                  <w:vAlign w:val="center"/>
                </w:tcPr>
                <w:p w14:paraId="589AAF08">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贮存过程污染控制要求</w:t>
                  </w:r>
                </w:p>
              </w:tc>
              <w:tc>
                <w:tcPr>
                  <w:tcW w:w="4209" w:type="pct"/>
                  <w:vAlign w:val="center"/>
                </w:tcPr>
                <w:p w14:paraId="4139ADD5">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①在常温常压下不易水解、不易挥发的固态危险废物可分类堆放贮存，其他固态危险废物应装入容器或包装物内贮存。</w:t>
                  </w:r>
                </w:p>
                <w:p w14:paraId="5CCE9BBE">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②液态危险废物应装入容器内贮存，或直接采用贮存池、贮存罐区贮存。</w:t>
                  </w:r>
                </w:p>
                <w:p w14:paraId="7D39C048">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③半固态危险废物应装入容器或包装袋内贮存，或直接采用贮存池贮存。</w:t>
                  </w:r>
                </w:p>
                <w:p w14:paraId="2B927874">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④具有热塑性的危险废物应装入容器或包装袋内进行贮存。</w:t>
                  </w:r>
                </w:p>
                <w:p w14:paraId="2D23BC01">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⑤易产生粉尘、</w:t>
                  </w:r>
                  <w:r>
                    <w:rPr>
                      <w:rFonts w:ascii="Times New Roman" w:hAnsi="Times New Roman" w:cs="Times New Roman"/>
                      <w:sz w:val="21"/>
                      <w:szCs w:val="21"/>
                      <w:lang w:eastAsia="zh-CN"/>
                    </w:rPr>
                    <w:t>VOCs、酸雾、有毒有害大气污染物和刺激性气味气体的危险废物应装入闭口容器或包装物内贮存。</w:t>
                  </w:r>
                </w:p>
                <w:p w14:paraId="4EF03F3D">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⑥危险废物贮存过程中易产生粉尘等无组织排放的，应采取抑尘等有效措施。</w:t>
                  </w:r>
                </w:p>
              </w:tc>
            </w:tr>
            <w:tr w14:paraId="2C68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14:paraId="11F9369F">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危废转移要求</w:t>
                  </w:r>
                </w:p>
              </w:tc>
              <w:tc>
                <w:tcPr>
                  <w:tcW w:w="4622" w:type="pct"/>
                  <w:gridSpan w:val="2"/>
                  <w:vAlign w:val="center"/>
                </w:tcPr>
                <w:p w14:paraId="20B1258A">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①转移危险废物的，应当通过国家危险废物信息管理系统（以下简称信息系统）填写、运行危险废物电子转移联单，并依照国家有关规定公开危险废物转移相关污染环境防治信息。</w:t>
                  </w:r>
                </w:p>
                <w:p w14:paraId="46F9E651">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②在危险废物转移过程中应当采取防扬散、防流失、防渗漏或者其他防止污染环境的措施，不得擅自倾倒、堆放、丢弃、遗撒危险废物，并对所造成的环境污染及生态破坏依法承担责任。</w:t>
                  </w:r>
                </w:p>
                <w:p w14:paraId="7C057A54">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③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7932DE99">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④制定危险废物管理计划，明确拟转移危险废物的种类、重量（数量）和流向等信息。</w:t>
                  </w:r>
                </w:p>
                <w:p w14:paraId="2F929DFA">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⑤建立危险废物管理台账，对转移的危险废物进行计量称重，如实记录、妥善保管转移危险废物的种类、重量（数量）和接受人等相关信息。</w:t>
                  </w:r>
                </w:p>
                <w:p w14:paraId="26C3462E">
                  <w:pPr>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⑥建设单位应填写、运行危险废物转移联单，在危险废物转移联单中如实填写移出人、承运人、接受人信息，转移危险废物的种类、重量（数量）、危险特性等信息，以及突发环境事件的防范措施等。</w:t>
                  </w:r>
                </w:p>
              </w:tc>
            </w:tr>
            <w:tr w14:paraId="0528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14:paraId="30FB2BFE">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危废处置要求</w:t>
                  </w:r>
                </w:p>
              </w:tc>
              <w:tc>
                <w:tcPr>
                  <w:tcW w:w="4622" w:type="pct"/>
                  <w:gridSpan w:val="2"/>
                  <w:vAlign w:val="center"/>
                </w:tcPr>
                <w:p w14:paraId="2ED38F2F">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本环评要求项目产生的危险废物送交有资质的单位进行处置。</w:t>
                  </w:r>
                </w:p>
              </w:tc>
            </w:tr>
            <w:tr w14:paraId="7A36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14:paraId="08101ECA">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危废环境管理台账</w:t>
                  </w:r>
                </w:p>
              </w:tc>
              <w:tc>
                <w:tcPr>
                  <w:tcW w:w="4622" w:type="pct"/>
                  <w:gridSpan w:val="2"/>
                  <w:vAlign w:val="center"/>
                </w:tcPr>
                <w:p w14:paraId="6D79F197">
                  <w:pPr>
                    <w:jc w:val="both"/>
                    <w:rPr>
                      <w:rFonts w:ascii="Times New Roman" w:hAnsi="Times New Roman" w:cs="Times New Roman"/>
                      <w:sz w:val="21"/>
                      <w:szCs w:val="21"/>
                      <w:lang w:eastAsia="zh-CN"/>
                    </w:rPr>
                  </w:pPr>
                  <w:r>
                    <w:rPr>
                      <w:rFonts w:ascii="Times New Roman" w:hAnsi="Times New Roman" w:cs="Times New Roman"/>
                      <w:sz w:val="21"/>
                      <w:szCs w:val="21"/>
                      <w:lang w:eastAsia="zh-CN"/>
                    </w:rPr>
                    <w:t>排污单位应建立环境管理台账制度，本项目危险废物环境管理台账记录要求：排污单位应建立环境管理台账，危险废物环境管理台账记录应符合《危险废物产生单位管理计划制定指南》等标准及管理文件的相关要求。待危险废物环境管理台账相关标准或管理文件发布实施后，从其规定。</w:t>
                  </w:r>
                </w:p>
              </w:tc>
            </w:tr>
          </w:tbl>
          <w:p w14:paraId="06F45C47">
            <w:pPr>
              <w:jc w:val="center"/>
              <w:rPr>
                <w:rFonts w:ascii="Times New Roman" w:hAnsi="Times New Roman" w:cs="Times New Roman"/>
                <w:sz w:val="21"/>
                <w:szCs w:val="21"/>
                <w:lang w:eastAsia="zh-CN"/>
              </w:rPr>
            </w:pPr>
          </w:p>
          <w:p w14:paraId="6784C8A9">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经采取上述措施后，项目各固废处置合理，一般固废的处置符合《一般工业固体废物贮存和填埋污染控制标准》（</w:t>
            </w:r>
            <w:r>
              <w:rPr>
                <w:rFonts w:ascii="Times New Roman" w:hAnsi="Times New Roman" w:cs="Times New Roman"/>
                <w:sz w:val="24"/>
                <w:szCs w:val="24"/>
                <w:lang w:eastAsia="zh-CN"/>
              </w:rPr>
              <w:t>GB 18599-2020）的要求，危险废物的处理措施和处置方案满足《危险废物贮存污染控制标准》（GB 18597-2023），不会产生二次污染，对周围环境影响较小。</w:t>
            </w:r>
          </w:p>
          <w:p w14:paraId="6C12F66D">
            <w:pPr>
              <w:pStyle w:val="18"/>
              <w:spacing w:line="360" w:lineRule="auto"/>
              <w:jc w:val="both"/>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6、</w:t>
            </w:r>
            <w:r>
              <w:rPr>
                <w:rFonts w:hint="eastAsia" w:ascii="Times New Roman" w:hAnsi="Times New Roman" w:cs="Times New Roman" w:eastAsiaTheme="minorEastAsia"/>
                <w:b/>
                <w:bCs/>
                <w:sz w:val="28"/>
                <w:szCs w:val="28"/>
                <w:lang w:eastAsia="zh-CN"/>
              </w:rPr>
              <w:t>环境风险分析</w:t>
            </w:r>
          </w:p>
          <w:p w14:paraId="2E84972E">
            <w:pPr>
              <w:pStyle w:val="18"/>
              <w:spacing w:line="360" w:lineRule="auto"/>
              <w:ind w:firstLine="480" w:firstLineChars="200"/>
              <w:jc w:val="both"/>
              <w:rPr>
                <w:rFonts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环境风险评价是对建设项目建设和运行期间发生的可预测突发性事件或事故（一般不包括人为破坏及自然灾害）引起有毒有害、易燃易爆等物质泄漏，或突发事件产生的新的有毒有害物质，所造成的人身安全损害、环境污染影响进行评估，提出防范、应急和减缓措施。</w:t>
            </w:r>
          </w:p>
          <w:p w14:paraId="2FA882A0">
            <w:pPr>
              <w:pStyle w:val="18"/>
              <w:spacing w:line="360" w:lineRule="auto"/>
              <w:ind w:firstLine="480" w:firstLineChars="200"/>
              <w:jc w:val="both"/>
              <w:rPr>
                <w:rFonts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本次评价根据《建设项目环境风险评价技术导则》（</w:t>
            </w:r>
            <w:r>
              <w:rPr>
                <w:rFonts w:ascii="Times New Roman" w:hAnsi="Times New Roman" w:cs="Times New Roman" w:eastAsiaTheme="minorEastAsia"/>
                <w:sz w:val="24"/>
                <w:szCs w:val="24"/>
                <w:lang w:eastAsia="zh-CN"/>
              </w:rPr>
              <w:t>HJ 169-2018）</w:t>
            </w:r>
            <w:r>
              <w:rPr>
                <w:rFonts w:hint="eastAsia" w:ascii="Times New Roman" w:hAnsi="Times New Roman" w:cs="Times New Roman" w:eastAsiaTheme="minorEastAsia"/>
                <w:sz w:val="24"/>
                <w:szCs w:val="24"/>
                <w:lang w:eastAsia="zh-CN"/>
              </w:rPr>
              <w:t>进行环境风险分析</w:t>
            </w:r>
            <w:r>
              <w:rPr>
                <w:rFonts w:ascii="Times New Roman" w:hAnsi="Times New Roman" w:cs="Times New Roman" w:eastAsiaTheme="minorEastAsia"/>
                <w:sz w:val="24"/>
                <w:szCs w:val="24"/>
                <w:lang w:eastAsia="zh-CN"/>
              </w:rPr>
              <w:t>，主要从危险化学品运输方面对环境风险进行</w:t>
            </w:r>
            <w:r>
              <w:rPr>
                <w:rFonts w:hint="eastAsia" w:ascii="Times New Roman" w:hAnsi="Times New Roman" w:cs="Times New Roman" w:eastAsiaTheme="minorEastAsia"/>
                <w:sz w:val="24"/>
                <w:szCs w:val="24"/>
                <w:lang w:eastAsia="zh-CN"/>
              </w:rPr>
              <w:t>简单</w:t>
            </w:r>
            <w:r>
              <w:rPr>
                <w:rFonts w:ascii="Times New Roman" w:hAnsi="Times New Roman" w:cs="Times New Roman" w:eastAsiaTheme="minorEastAsia"/>
                <w:sz w:val="24"/>
                <w:szCs w:val="24"/>
                <w:lang w:eastAsia="zh-CN"/>
              </w:rPr>
              <w:t>分析。</w:t>
            </w:r>
          </w:p>
          <w:p w14:paraId="6EA7EF77">
            <w:pPr>
              <w:pStyle w:val="18"/>
              <w:spacing w:line="360" w:lineRule="auto"/>
              <w:ind w:firstLine="480" w:firstLineChars="200"/>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（1）环境风险识别</w:t>
            </w:r>
          </w:p>
          <w:p w14:paraId="3B9AA30A">
            <w:pPr>
              <w:pStyle w:val="18"/>
              <w:spacing w:line="360" w:lineRule="auto"/>
              <w:ind w:firstLine="480" w:firstLineChars="200"/>
              <w:jc w:val="both"/>
              <w:rPr>
                <w:rFonts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项目环境风险主要是：因恶劣天气、交通事故和违反危险品运输的有关规定，导致被运送的危险品在运输途中突发性发生泄漏、燃烧、爆炸等。</w:t>
            </w:r>
          </w:p>
          <w:p w14:paraId="366D8562">
            <w:pPr>
              <w:pStyle w:val="18"/>
              <w:spacing w:line="360" w:lineRule="auto"/>
              <w:ind w:firstLine="480" w:firstLineChars="200"/>
              <w:jc w:val="both"/>
              <w:rPr>
                <w:rFonts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eastAsia="zh-CN"/>
              </w:rPr>
              <w:t>2）</w:t>
            </w:r>
            <w:r>
              <w:rPr>
                <w:rFonts w:hint="eastAsia" w:ascii="Times New Roman" w:hAnsi="Times New Roman" w:cs="Times New Roman" w:eastAsiaTheme="minorEastAsia"/>
                <w:sz w:val="24"/>
                <w:szCs w:val="24"/>
                <w:lang w:eastAsia="zh-CN"/>
              </w:rPr>
              <w:t>可能影响途径</w:t>
            </w:r>
          </w:p>
          <w:p w14:paraId="22A2D6C5">
            <w:pPr>
              <w:pStyle w:val="18"/>
              <w:spacing w:line="360" w:lineRule="auto"/>
              <w:ind w:firstLine="480" w:firstLineChars="200"/>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就危险品运输车辆的交通事故而言，</w:t>
            </w:r>
            <w:r>
              <w:rPr>
                <w:rFonts w:hint="eastAsia" w:ascii="Times New Roman" w:hAnsi="Times New Roman" w:cs="Times New Roman" w:eastAsiaTheme="minorEastAsia"/>
                <w:sz w:val="24"/>
                <w:szCs w:val="24"/>
                <w:lang w:eastAsia="zh-CN"/>
              </w:rPr>
              <w:t>环境影响途径</w:t>
            </w:r>
            <w:r>
              <w:rPr>
                <w:rFonts w:ascii="Times New Roman" w:hAnsi="Times New Roman" w:cs="Times New Roman" w:eastAsiaTheme="minorEastAsia"/>
                <w:sz w:val="24"/>
                <w:szCs w:val="24"/>
                <w:lang w:eastAsia="zh-CN"/>
              </w:rPr>
              <w:t>主要有两种：一是</w:t>
            </w:r>
            <w:r>
              <w:rPr>
                <w:rFonts w:hint="eastAsia" w:ascii="Times New Roman" w:hAnsi="Times New Roman" w:cs="Times New Roman" w:eastAsiaTheme="minorEastAsia"/>
                <w:sz w:val="24"/>
                <w:szCs w:val="24"/>
                <w:lang w:eastAsia="zh-CN"/>
              </w:rPr>
              <w:t>危险品泄漏事故污染大气环境、土壤环境、地下水环境；燃烧、爆炸事故污染大气环境。</w:t>
            </w:r>
          </w:p>
          <w:p w14:paraId="5C16190F">
            <w:pPr>
              <w:pStyle w:val="18"/>
              <w:spacing w:line="360" w:lineRule="auto"/>
              <w:ind w:firstLine="480" w:firstLineChars="200"/>
              <w:jc w:val="both"/>
              <w:rPr>
                <w:rFonts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eastAsia="zh-CN"/>
              </w:rPr>
              <w:t>3）环境风险</w:t>
            </w:r>
            <w:r>
              <w:rPr>
                <w:rFonts w:hint="eastAsia" w:ascii="Times New Roman" w:hAnsi="Times New Roman" w:cs="Times New Roman" w:eastAsiaTheme="minorEastAsia"/>
                <w:sz w:val="24"/>
                <w:szCs w:val="24"/>
                <w:lang w:eastAsia="zh-CN"/>
              </w:rPr>
              <w:t>防范措施</w:t>
            </w:r>
          </w:p>
          <w:p w14:paraId="56CC37F4">
            <w:pPr>
              <w:pStyle w:val="18"/>
              <w:spacing w:line="360" w:lineRule="auto"/>
              <w:ind w:firstLine="480" w:firstLineChars="200"/>
              <w:jc w:val="both"/>
              <w:rPr>
                <w:rFonts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尽管项目发生危险品运输交通事故的概率较低，但是一旦发生，不仅会对周围环境造成影响，还将对相关人员的生命安全和身体健康构成威胁，造成财产损失。应做好如下环境风险方法措施：</w:t>
            </w:r>
          </w:p>
          <w:p w14:paraId="738B6DDE">
            <w:pPr>
              <w:pStyle w:val="18"/>
              <w:spacing w:line="360" w:lineRule="auto"/>
              <w:ind w:firstLine="480" w:firstLineChars="200"/>
              <w:jc w:val="both"/>
              <w:rPr>
                <w:rFonts w:ascii="Times New Roman" w:hAnsi="Times New Roman" w:cs="Times New Roman" w:eastAsiaTheme="minorEastAsia"/>
                <w:sz w:val="24"/>
                <w:szCs w:val="24"/>
                <w:lang w:eastAsia="zh-CN"/>
              </w:rPr>
            </w:pPr>
            <w:r>
              <w:rPr>
                <w:sz w:val="24"/>
                <w:szCs w:val="24"/>
                <w:lang w:eastAsia="zh-CN"/>
              </w:rPr>
              <w:t>①</w:t>
            </w:r>
            <w:r>
              <w:rPr>
                <w:rFonts w:hint="eastAsia" w:ascii="Times New Roman" w:hAnsi="Times New Roman" w:cs="Times New Roman" w:eastAsiaTheme="minorEastAsia"/>
                <w:sz w:val="24"/>
                <w:szCs w:val="24"/>
                <w:lang w:eastAsia="zh-CN"/>
              </w:rPr>
              <w:t>沿线服务区、收费站等区域配备足量检验合格、有效的消防器材和应急物资，必要时在敏感路段设置应急消防物资库，便于火灾事故发生后及时灭火，缩短燃烧时间，减少燃烧废气对大气环境的影响。</w:t>
            </w:r>
          </w:p>
          <w:p w14:paraId="4702E2DF">
            <w:pPr>
              <w:pStyle w:val="18"/>
              <w:spacing w:line="360" w:lineRule="auto"/>
              <w:ind w:firstLine="480" w:firstLineChars="200"/>
              <w:jc w:val="both"/>
              <w:rPr>
                <w:rFonts w:ascii="Times New Roman" w:hAnsi="Times New Roman" w:cs="Times New Roman" w:eastAsiaTheme="minorEastAsia"/>
                <w:sz w:val="24"/>
                <w:szCs w:val="24"/>
                <w:lang w:eastAsia="zh-CN"/>
              </w:rPr>
            </w:pPr>
            <w:r>
              <w:rPr>
                <w:sz w:val="24"/>
                <w:szCs w:val="24"/>
                <w:lang w:eastAsia="zh-CN"/>
              </w:rPr>
              <w:t>②</w:t>
            </w:r>
            <w:r>
              <w:rPr>
                <w:rFonts w:ascii="Times New Roman" w:hAnsi="Times New Roman" w:cs="Times New Roman" w:eastAsiaTheme="minorEastAsia"/>
                <w:sz w:val="24"/>
                <w:szCs w:val="24"/>
                <w:lang w:eastAsia="zh-CN"/>
              </w:rPr>
              <w:t>实施交通信号完善工程</w:t>
            </w:r>
            <w:r>
              <w:rPr>
                <w:rFonts w:hint="eastAsia" w:ascii="Times New Roman" w:hAnsi="Times New Roman" w:cs="Times New Roman" w:eastAsiaTheme="minorEastAsia"/>
                <w:sz w:val="24"/>
                <w:szCs w:val="24"/>
                <w:lang w:eastAsia="zh-CN"/>
              </w:rPr>
              <w:t>，</w:t>
            </w:r>
            <w:r>
              <w:rPr>
                <w:rFonts w:ascii="Times New Roman" w:hAnsi="Times New Roman" w:cs="Times New Roman" w:eastAsiaTheme="minorEastAsia"/>
                <w:sz w:val="24"/>
                <w:szCs w:val="24"/>
                <w:lang w:eastAsia="zh-CN"/>
              </w:rPr>
              <w:t>在路口安装、增装红绿灯。</w:t>
            </w:r>
          </w:p>
          <w:p w14:paraId="54C65D5A">
            <w:pPr>
              <w:pStyle w:val="18"/>
              <w:spacing w:line="360" w:lineRule="auto"/>
              <w:ind w:firstLine="480" w:firstLineChars="200"/>
              <w:jc w:val="both"/>
              <w:rPr>
                <w:rFonts w:ascii="Times New Roman" w:hAnsi="Times New Roman" w:cs="Times New Roman" w:eastAsiaTheme="minorEastAsia"/>
                <w:sz w:val="24"/>
                <w:szCs w:val="24"/>
                <w:lang w:eastAsia="zh-CN"/>
              </w:rPr>
            </w:pPr>
            <w:r>
              <w:rPr>
                <w:sz w:val="24"/>
                <w:szCs w:val="24"/>
                <w:lang w:eastAsia="zh-CN"/>
              </w:rPr>
              <w:t>③</w:t>
            </w:r>
            <w:r>
              <w:rPr>
                <w:rFonts w:ascii="Times New Roman" w:hAnsi="Times New Roman" w:cs="Times New Roman" w:eastAsiaTheme="minorEastAsia"/>
                <w:sz w:val="24"/>
                <w:szCs w:val="24"/>
                <w:lang w:eastAsia="zh-CN"/>
              </w:rPr>
              <w:t>检查道路运输企业，</w:t>
            </w:r>
            <w:r>
              <w:rPr>
                <w:rFonts w:hint="eastAsia" w:ascii="Times New Roman" w:hAnsi="Times New Roman" w:cs="Times New Roman" w:eastAsiaTheme="minorEastAsia"/>
                <w:sz w:val="24"/>
                <w:szCs w:val="24"/>
                <w:lang w:eastAsia="zh-CN"/>
              </w:rPr>
              <w:t>及时</w:t>
            </w:r>
            <w:r>
              <w:rPr>
                <w:rFonts w:ascii="Times New Roman" w:hAnsi="Times New Roman" w:cs="Times New Roman" w:eastAsiaTheme="minorEastAsia"/>
                <w:sz w:val="24"/>
                <w:szCs w:val="24"/>
                <w:lang w:eastAsia="zh-CN"/>
              </w:rPr>
              <w:t>清理</w:t>
            </w:r>
            <w:r>
              <w:rPr>
                <w:rFonts w:hint="eastAsia" w:ascii="Times New Roman" w:hAnsi="Times New Roman" w:cs="Times New Roman" w:eastAsiaTheme="minorEastAsia"/>
                <w:sz w:val="24"/>
                <w:szCs w:val="24"/>
                <w:lang w:eastAsia="zh-CN"/>
              </w:rPr>
              <w:t>、转移</w:t>
            </w:r>
            <w:r>
              <w:rPr>
                <w:rFonts w:ascii="Times New Roman" w:hAnsi="Times New Roman" w:cs="Times New Roman" w:eastAsiaTheme="minorEastAsia"/>
                <w:sz w:val="24"/>
                <w:szCs w:val="24"/>
                <w:lang w:eastAsia="zh-CN"/>
              </w:rPr>
              <w:t>违法重点车辆</w:t>
            </w:r>
            <w:r>
              <w:rPr>
                <w:rFonts w:hint="eastAsia" w:ascii="Times New Roman" w:hAnsi="Times New Roman" w:cs="Times New Roman" w:eastAsiaTheme="minorEastAsia"/>
                <w:sz w:val="24"/>
                <w:szCs w:val="24"/>
                <w:lang w:eastAsia="zh-CN"/>
              </w:rPr>
              <w:t>，禁止其上路行驶</w:t>
            </w:r>
            <w:r>
              <w:rPr>
                <w:rFonts w:ascii="Times New Roman" w:hAnsi="Times New Roman" w:cs="Times New Roman" w:eastAsiaTheme="minorEastAsia"/>
                <w:sz w:val="24"/>
                <w:szCs w:val="24"/>
                <w:lang w:eastAsia="zh-CN"/>
              </w:rPr>
              <w:t>。</w:t>
            </w:r>
          </w:p>
          <w:p w14:paraId="58F82574">
            <w:pPr>
              <w:pStyle w:val="18"/>
              <w:spacing w:line="360" w:lineRule="auto"/>
              <w:ind w:firstLine="480" w:firstLineChars="200"/>
              <w:jc w:val="both"/>
              <w:rPr>
                <w:rFonts w:ascii="Times New Roman" w:hAnsi="Times New Roman" w:cs="Times New Roman" w:eastAsiaTheme="minorEastAsia"/>
                <w:sz w:val="24"/>
                <w:szCs w:val="24"/>
                <w:lang w:eastAsia="zh-CN"/>
              </w:rPr>
            </w:pPr>
            <w:r>
              <w:rPr>
                <w:sz w:val="24"/>
                <w:szCs w:val="24"/>
                <w:lang w:eastAsia="zh-CN"/>
              </w:rPr>
              <w:t>④</w:t>
            </w:r>
            <w:r>
              <w:rPr>
                <w:rFonts w:hint="eastAsia" w:ascii="Times New Roman" w:hAnsi="Times New Roman" w:cs="Times New Roman" w:eastAsiaTheme="minorEastAsia"/>
                <w:sz w:val="24"/>
                <w:szCs w:val="24"/>
                <w:lang w:eastAsia="zh-CN"/>
              </w:rPr>
              <w:t>加强对司乘人员道路安全驾驶教育培训。</w:t>
            </w:r>
          </w:p>
          <w:p w14:paraId="42C1B23A">
            <w:pPr>
              <w:pStyle w:val="18"/>
              <w:spacing w:line="360" w:lineRule="auto"/>
              <w:ind w:firstLine="480" w:firstLineChars="200"/>
              <w:jc w:val="both"/>
              <w:rPr>
                <w:rFonts w:ascii="Times New Roman" w:hAnsi="Times New Roman" w:cs="Times New Roman" w:eastAsiaTheme="minorEastAsia"/>
                <w:sz w:val="24"/>
                <w:szCs w:val="24"/>
                <w:lang w:eastAsia="zh-CN"/>
              </w:rPr>
            </w:pPr>
            <w:r>
              <w:rPr>
                <w:sz w:val="24"/>
                <w:szCs w:val="24"/>
                <w:lang w:eastAsia="zh-CN"/>
              </w:rPr>
              <w:t>⑤</w:t>
            </w:r>
            <w:r>
              <w:rPr>
                <w:rFonts w:ascii="Times New Roman" w:hAnsi="Times New Roman" w:cs="Times New Roman" w:eastAsiaTheme="minorEastAsia"/>
                <w:sz w:val="24"/>
                <w:szCs w:val="24"/>
                <w:lang w:eastAsia="zh-CN"/>
              </w:rPr>
              <w:t>机动车辆驾驶人员应文明驾驶，遵守交通规则，严禁吸烟，停车时不得靠近明火和高温场所。驾驶人员驾驶途中需集中精力，注意观察路标，中途不得随意停车等。</w:t>
            </w:r>
          </w:p>
          <w:p w14:paraId="1BDF21CE">
            <w:pPr>
              <w:pStyle w:val="18"/>
              <w:spacing w:line="360" w:lineRule="auto"/>
              <w:ind w:firstLine="480" w:firstLineChars="200"/>
              <w:jc w:val="both"/>
              <w:rPr>
                <w:rFonts w:ascii="Times New Roman" w:hAnsi="Times New Roman" w:cs="Times New Roman" w:eastAsiaTheme="minorEastAsia"/>
                <w:sz w:val="24"/>
                <w:szCs w:val="24"/>
                <w:lang w:eastAsia="zh-CN"/>
              </w:rPr>
            </w:pPr>
            <w:r>
              <w:rPr>
                <w:sz w:val="24"/>
                <w:szCs w:val="24"/>
                <w:lang w:eastAsia="zh-CN"/>
              </w:rPr>
              <w:t>⑥</w:t>
            </w:r>
            <w:r>
              <w:rPr>
                <w:rFonts w:ascii="Times New Roman" w:hAnsi="Times New Roman" w:cs="Times New Roman" w:eastAsiaTheme="minorEastAsia"/>
                <w:sz w:val="24"/>
                <w:szCs w:val="24"/>
                <w:lang w:eastAsia="zh-CN"/>
              </w:rPr>
              <w:t>机动车辆上路前应确保车况良好，防止燃油</w:t>
            </w:r>
            <w:r>
              <w:rPr>
                <w:rFonts w:hint="eastAsia" w:ascii="Times New Roman" w:hAnsi="Times New Roman" w:cs="Times New Roman" w:eastAsiaTheme="minorEastAsia"/>
                <w:sz w:val="24"/>
                <w:szCs w:val="24"/>
                <w:lang w:eastAsia="zh-CN"/>
              </w:rPr>
              <w:t>和运输的危险品</w:t>
            </w:r>
            <w:r>
              <w:rPr>
                <w:rFonts w:ascii="Times New Roman" w:hAnsi="Times New Roman" w:cs="Times New Roman" w:eastAsiaTheme="minorEastAsia"/>
                <w:sz w:val="24"/>
                <w:szCs w:val="24"/>
                <w:lang w:eastAsia="zh-CN"/>
              </w:rPr>
              <w:t>跑冒滴漏。</w:t>
            </w:r>
          </w:p>
          <w:p w14:paraId="5A20A14B">
            <w:pPr>
              <w:pStyle w:val="18"/>
              <w:spacing w:line="360" w:lineRule="auto"/>
              <w:ind w:firstLine="480" w:firstLineChars="200"/>
              <w:jc w:val="both"/>
              <w:rPr>
                <w:rFonts w:ascii="Times New Roman" w:hAnsi="Times New Roman" w:cs="Times New Roman"/>
                <w:b/>
                <w:sz w:val="24"/>
                <w:szCs w:val="20"/>
                <w:lang w:eastAsia="zh-CN"/>
              </w:rPr>
            </w:pPr>
            <w:r>
              <w:rPr>
                <w:rFonts w:ascii="Times New Roman" w:hAnsi="Times New Roman" w:cs="Times New Roman" w:eastAsiaTheme="minorEastAsia"/>
                <w:sz w:val="24"/>
                <w:szCs w:val="24"/>
                <w:lang w:eastAsia="zh-CN"/>
              </w:rPr>
              <w:t>（4）环境风险影响分析结论</w:t>
            </w:r>
          </w:p>
          <w:p w14:paraId="37703749">
            <w:pPr>
              <w:pStyle w:val="18"/>
              <w:spacing w:line="360" w:lineRule="auto"/>
              <w:ind w:firstLine="480" w:firstLineChars="200"/>
              <w:jc w:val="both"/>
              <w:rPr>
                <w:rFonts w:ascii="Times New Roman" w:hAnsi="Times New Roman" w:cs="Times New Roman"/>
                <w:sz w:val="24"/>
                <w:szCs w:val="20"/>
                <w:lang w:eastAsia="zh-CN"/>
              </w:rPr>
            </w:pPr>
            <w:r>
              <w:rPr>
                <w:rFonts w:ascii="Times New Roman" w:hAnsi="Times New Roman" w:cs="Times New Roman"/>
                <w:sz w:val="24"/>
                <w:szCs w:val="20"/>
                <w:lang w:eastAsia="zh-CN"/>
              </w:rPr>
              <w:t>项目</w:t>
            </w:r>
            <w:r>
              <w:rPr>
                <w:rFonts w:hint="eastAsia" w:ascii="Times New Roman" w:hAnsi="Times New Roman" w:cs="Times New Roman"/>
                <w:sz w:val="24"/>
                <w:szCs w:val="20"/>
                <w:lang w:eastAsia="zh-CN"/>
              </w:rPr>
              <w:t>运营期存在一定的环境风险，</w:t>
            </w:r>
            <w:r>
              <w:rPr>
                <w:rFonts w:ascii="Times New Roman" w:hAnsi="Times New Roman" w:cs="Times New Roman"/>
                <w:sz w:val="24"/>
                <w:szCs w:val="20"/>
                <w:lang w:eastAsia="zh-CN"/>
              </w:rPr>
              <w:t>但</w:t>
            </w:r>
            <w:r>
              <w:rPr>
                <w:rFonts w:hint="eastAsia" w:ascii="Times New Roman" w:hAnsi="Times New Roman" w:cs="Times New Roman"/>
                <w:sz w:val="24"/>
                <w:szCs w:val="20"/>
                <w:lang w:eastAsia="zh-CN"/>
              </w:rPr>
              <w:t>环境风险事故</w:t>
            </w:r>
            <w:r>
              <w:rPr>
                <w:rFonts w:ascii="Times New Roman" w:hAnsi="Times New Roman" w:cs="Times New Roman"/>
                <w:sz w:val="24"/>
                <w:szCs w:val="20"/>
                <w:lang w:eastAsia="zh-CN"/>
              </w:rPr>
              <w:t>发生的概率</w:t>
            </w:r>
            <w:r>
              <w:rPr>
                <w:rFonts w:hint="eastAsia" w:ascii="Times New Roman" w:hAnsi="Times New Roman" w:cs="Times New Roman"/>
                <w:sz w:val="24"/>
                <w:szCs w:val="20"/>
                <w:lang w:eastAsia="zh-CN"/>
              </w:rPr>
              <w:t>较小</w:t>
            </w:r>
            <w:r>
              <w:rPr>
                <w:rFonts w:ascii="Times New Roman" w:hAnsi="Times New Roman" w:cs="Times New Roman"/>
                <w:sz w:val="24"/>
                <w:szCs w:val="20"/>
                <w:lang w:eastAsia="zh-CN"/>
              </w:rPr>
              <w:t>。项目在运营中必须严格按照有关规范标准的要求对道路进行监控和管理。在认真落实</w:t>
            </w:r>
            <w:r>
              <w:rPr>
                <w:rFonts w:hint="eastAsia" w:ascii="Times New Roman" w:hAnsi="Times New Roman" w:cs="Times New Roman"/>
                <w:sz w:val="24"/>
                <w:szCs w:val="20"/>
                <w:lang w:eastAsia="zh-CN"/>
              </w:rPr>
              <w:t>本环评提出的环境风险防范措施</w:t>
            </w:r>
            <w:r>
              <w:rPr>
                <w:rFonts w:ascii="Times New Roman" w:hAnsi="Times New Roman" w:cs="Times New Roman"/>
                <w:sz w:val="24"/>
                <w:szCs w:val="20"/>
                <w:lang w:eastAsia="zh-CN"/>
              </w:rPr>
              <w:t>后，项目的环境风险是可控的。</w:t>
            </w:r>
          </w:p>
          <w:p w14:paraId="3B971EAE">
            <w:pPr>
              <w:autoSpaceDE/>
              <w:autoSpaceDN/>
              <w:jc w:val="center"/>
              <w:rPr>
                <w:rFonts w:ascii="Times New Roman" w:hAnsi="Times New Roman" w:cs="Times New Roman"/>
                <w:b/>
                <w:bCs/>
                <w:kern w:val="2"/>
                <w:sz w:val="21"/>
                <w:szCs w:val="21"/>
                <w:lang w:val="zh-CN" w:eastAsia="zh-CN" w:bidi="zh-CN"/>
              </w:rPr>
            </w:pPr>
            <w:r>
              <w:rPr>
                <w:rFonts w:hint="eastAsia" w:ascii="Times New Roman" w:hAnsi="Times New Roman" w:cs="Times New Roman"/>
                <w:b/>
                <w:bCs/>
                <w:kern w:val="2"/>
                <w:sz w:val="21"/>
                <w:szCs w:val="21"/>
                <w:lang w:val="zh-CN" w:eastAsia="zh-CN" w:bidi="zh-CN"/>
              </w:rPr>
              <w:t>表</w:t>
            </w:r>
            <w:r>
              <w:rPr>
                <w:rFonts w:ascii="Times New Roman" w:hAnsi="Times New Roman" w:cs="Times New Roman"/>
                <w:b/>
                <w:bCs/>
                <w:kern w:val="2"/>
                <w:sz w:val="21"/>
                <w:szCs w:val="21"/>
                <w:lang w:val="zh-CN" w:eastAsia="zh-CN" w:bidi="zh-CN"/>
              </w:rPr>
              <w:t xml:space="preserve">5-28  </w:t>
            </w:r>
            <w:r>
              <w:rPr>
                <w:rFonts w:hint="eastAsia" w:ascii="Times New Roman" w:hAnsi="Times New Roman" w:cs="Times New Roman"/>
                <w:b/>
                <w:bCs/>
                <w:kern w:val="2"/>
                <w:sz w:val="21"/>
                <w:szCs w:val="21"/>
                <w:lang w:val="zh-CN" w:eastAsia="zh-CN" w:bidi="zh-CN"/>
              </w:rPr>
              <w:t>建设项目环境风险简单分析内容表</w:t>
            </w:r>
          </w:p>
          <w:tbl>
            <w:tblPr>
              <w:tblStyle w:val="11"/>
              <w:tblW w:w="484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61"/>
              <w:gridCol w:w="1591"/>
              <w:gridCol w:w="291"/>
              <w:gridCol w:w="2477"/>
              <w:gridCol w:w="2828"/>
            </w:tblGrid>
            <w:tr w14:paraId="0CEC1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5" w:type="pct"/>
                  <w:tcBorders>
                    <w:top w:val="single" w:color="000000" w:sz="4" w:space="0"/>
                    <w:left w:val="single" w:color="000000" w:sz="4" w:space="0"/>
                    <w:bottom w:val="single" w:color="000000" w:sz="4" w:space="0"/>
                    <w:right w:val="single" w:color="000000" w:sz="4" w:space="0"/>
                  </w:tcBorders>
                  <w:vAlign w:val="center"/>
                </w:tcPr>
                <w:p w14:paraId="2F80DB12">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建设项目名称</w:t>
                  </w:r>
                </w:p>
              </w:tc>
              <w:tc>
                <w:tcPr>
                  <w:tcW w:w="4155" w:type="pct"/>
                  <w:gridSpan w:val="4"/>
                  <w:tcBorders>
                    <w:top w:val="single" w:color="000000" w:sz="4" w:space="0"/>
                    <w:left w:val="single" w:color="000000" w:sz="4" w:space="0"/>
                    <w:bottom w:val="single" w:color="000000" w:sz="4" w:space="0"/>
                    <w:right w:val="single" w:color="000000" w:sz="4" w:space="0"/>
                  </w:tcBorders>
                  <w:vAlign w:val="center"/>
                </w:tcPr>
                <w:p w14:paraId="7D60FD8E">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S239线五彩湾至吉木萨尔县公路改扩建项目</w:t>
                  </w:r>
                </w:p>
              </w:tc>
            </w:tr>
            <w:tr w14:paraId="1A857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5" w:type="pct"/>
                  <w:tcBorders>
                    <w:top w:val="single" w:color="000000" w:sz="4" w:space="0"/>
                    <w:left w:val="single" w:color="000000" w:sz="4" w:space="0"/>
                    <w:bottom w:val="single" w:color="000000" w:sz="4" w:space="0"/>
                    <w:right w:val="single" w:color="000000" w:sz="4" w:space="0"/>
                  </w:tcBorders>
                  <w:vAlign w:val="center"/>
                </w:tcPr>
                <w:p w14:paraId="5930088D">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建设地点</w:t>
                  </w:r>
                </w:p>
              </w:tc>
              <w:tc>
                <w:tcPr>
                  <w:tcW w:w="1088" w:type="pct"/>
                  <w:gridSpan w:val="2"/>
                  <w:tcBorders>
                    <w:top w:val="single" w:color="000000" w:sz="4" w:space="0"/>
                    <w:left w:val="single" w:color="000000" w:sz="4" w:space="0"/>
                    <w:bottom w:val="single" w:color="000000" w:sz="4" w:space="0"/>
                    <w:right w:val="single" w:color="000000" w:sz="4" w:space="0"/>
                  </w:tcBorders>
                  <w:vAlign w:val="center"/>
                </w:tcPr>
                <w:p w14:paraId="22C4DBCC">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新疆维吾尔自治区</w:t>
                  </w:r>
                </w:p>
              </w:tc>
              <w:tc>
                <w:tcPr>
                  <w:tcW w:w="3067" w:type="pct"/>
                  <w:gridSpan w:val="2"/>
                  <w:tcBorders>
                    <w:top w:val="single" w:color="000000" w:sz="4" w:space="0"/>
                    <w:left w:val="single" w:color="000000" w:sz="4" w:space="0"/>
                    <w:bottom w:val="single" w:color="000000" w:sz="4" w:space="0"/>
                    <w:right w:val="single" w:color="000000" w:sz="4" w:space="0"/>
                  </w:tcBorders>
                  <w:vAlign w:val="center"/>
                </w:tcPr>
                <w:p w14:paraId="217B840B">
                  <w:pPr>
                    <w:widowControl/>
                    <w:autoSpaceDE/>
                    <w:autoSpaceDN/>
                    <w:jc w:val="center"/>
                    <w:rPr>
                      <w:rFonts w:ascii="Times New Roman" w:hAnsi="Times New Roman" w:cs="Times New Roman"/>
                      <w:sz w:val="21"/>
                      <w:szCs w:val="21"/>
                      <w:lang w:eastAsia="zh-CN" w:bidi="zh-CN"/>
                    </w:rPr>
                  </w:pPr>
                  <w:r>
                    <w:rPr>
                      <w:rFonts w:hint="eastAsia" w:ascii="Times New Roman" w:hAnsi="Times New Roman" w:cs="Times New Roman"/>
                      <w:sz w:val="21"/>
                      <w:szCs w:val="21"/>
                      <w:lang w:eastAsia="zh-CN" w:bidi="zh-CN"/>
                    </w:rPr>
                    <w:t>准东经济技术开发区、第六师红旗农场、吉木萨尔县</w:t>
                  </w:r>
                </w:p>
              </w:tc>
            </w:tr>
            <w:tr w14:paraId="30FB2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5" w:type="pct"/>
                  <w:vMerge w:val="restart"/>
                  <w:tcBorders>
                    <w:top w:val="single" w:color="000000" w:sz="4" w:space="0"/>
                    <w:left w:val="single" w:color="000000" w:sz="4" w:space="0"/>
                    <w:right w:val="single" w:color="000000" w:sz="4" w:space="0"/>
                  </w:tcBorders>
                  <w:vAlign w:val="center"/>
                </w:tcPr>
                <w:p w14:paraId="1697461A">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地理坐标</w:t>
                  </w:r>
                </w:p>
              </w:tc>
              <w:tc>
                <w:tcPr>
                  <w:tcW w:w="920" w:type="pct"/>
                  <w:tcBorders>
                    <w:top w:val="single" w:color="000000" w:sz="4" w:space="0"/>
                    <w:left w:val="single" w:color="000000" w:sz="4" w:space="0"/>
                    <w:bottom w:val="single" w:color="000000" w:sz="4" w:space="0"/>
                    <w:right w:val="single" w:color="000000" w:sz="4" w:space="0"/>
                  </w:tcBorders>
                  <w:vAlign w:val="center"/>
                </w:tcPr>
                <w:p w14:paraId="44690127">
                  <w:pPr>
                    <w:widowControl/>
                    <w:autoSpaceDE/>
                    <w:autoSpaceDN/>
                    <w:jc w:val="center"/>
                    <w:rPr>
                      <w:rFonts w:ascii="Times New Roman" w:hAnsi="Times New Roman" w:cs="Times New Roman"/>
                      <w:sz w:val="21"/>
                      <w:szCs w:val="21"/>
                      <w:lang w:eastAsia="zh-CN" w:bidi="zh-CN"/>
                    </w:rPr>
                  </w:pPr>
                  <w:r>
                    <w:rPr>
                      <w:rFonts w:hint="eastAsia" w:ascii="Times New Roman" w:hAnsi="Times New Roman" w:cs="Times New Roman"/>
                      <w:sz w:val="21"/>
                      <w:szCs w:val="21"/>
                      <w:lang w:eastAsia="zh-CN" w:bidi="zh-CN"/>
                    </w:rPr>
                    <w:t>起点</w:t>
                  </w:r>
                </w:p>
              </w:tc>
              <w:tc>
                <w:tcPr>
                  <w:tcW w:w="1600" w:type="pct"/>
                  <w:gridSpan w:val="2"/>
                  <w:tcBorders>
                    <w:top w:val="single" w:color="000000" w:sz="4" w:space="0"/>
                    <w:left w:val="single" w:color="000000" w:sz="4" w:space="0"/>
                    <w:bottom w:val="single" w:color="000000" w:sz="4" w:space="0"/>
                    <w:right w:val="single" w:color="000000" w:sz="4" w:space="0"/>
                  </w:tcBorders>
                  <w:vAlign w:val="center"/>
                </w:tcPr>
                <w:p w14:paraId="0B5E075E">
                  <w:pPr>
                    <w:widowControl/>
                    <w:autoSpaceDE/>
                    <w:autoSpaceDN/>
                    <w:jc w:val="center"/>
                    <w:rPr>
                      <w:rFonts w:ascii="Times New Roman" w:hAnsi="Times New Roman" w:cs="Times New Roman"/>
                      <w:sz w:val="21"/>
                      <w:szCs w:val="21"/>
                      <w:lang w:eastAsia="zh-CN" w:bidi="zh-CN"/>
                    </w:rPr>
                  </w:pPr>
                  <w:r>
                    <w:rPr>
                      <w:rFonts w:ascii="Times New Roman" w:hAnsi="Times New Roman" w:cs="Times New Roman"/>
                      <w:sz w:val="21"/>
                      <w:szCs w:val="21"/>
                      <w:lang w:eastAsia="zh-CN" w:bidi="zh-CN"/>
                    </w:rPr>
                    <w:t>经度</w:t>
                  </w:r>
                  <w:r>
                    <w:rPr>
                      <w:rFonts w:hint="eastAsia" w:ascii="Times New Roman" w:hAnsi="Times New Roman" w:cs="Times New Roman"/>
                      <w:sz w:val="21"/>
                      <w:szCs w:val="21"/>
                      <w:lang w:eastAsia="zh-CN" w:bidi="zh-CN"/>
                    </w:rPr>
                    <w:t>：</w:t>
                  </w:r>
                  <w:r>
                    <w:rPr>
                      <w:rFonts w:ascii="Times New Roman" w:hAnsi="Times New Roman" w:cs="Times New Roman"/>
                      <w:sz w:val="21"/>
                      <w:szCs w:val="21"/>
                      <w:lang w:eastAsia="zh-CN" w:bidi="zh-CN"/>
                    </w:rPr>
                    <w:t>89°9′14.108″</w:t>
                  </w:r>
                </w:p>
              </w:tc>
              <w:tc>
                <w:tcPr>
                  <w:tcW w:w="1636" w:type="pct"/>
                  <w:tcBorders>
                    <w:top w:val="single" w:color="000000" w:sz="4" w:space="0"/>
                    <w:left w:val="single" w:color="000000" w:sz="4" w:space="0"/>
                    <w:bottom w:val="single" w:color="000000" w:sz="4" w:space="0"/>
                    <w:right w:val="single" w:color="000000" w:sz="4" w:space="0"/>
                  </w:tcBorders>
                  <w:vAlign w:val="center"/>
                </w:tcPr>
                <w:p w14:paraId="00329E9A">
                  <w:pPr>
                    <w:widowControl/>
                    <w:autoSpaceDE/>
                    <w:autoSpaceDN/>
                    <w:jc w:val="center"/>
                    <w:rPr>
                      <w:rFonts w:ascii="Times New Roman" w:hAnsi="Times New Roman" w:cs="Times New Roman"/>
                      <w:sz w:val="21"/>
                      <w:szCs w:val="21"/>
                      <w:lang w:eastAsia="zh-CN" w:bidi="zh-CN"/>
                    </w:rPr>
                  </w:pPr>
                  <w:r>
                    <w:rPr>
                      <w:rFonts w:ascii="Times New Roman" w:hAnsi="Times New Roman" w:cs="Times New Roman"/>
                      <w:sz w:val="21"/>
                      <w:szCs w:val="21"/>
                      <w:lang w:eastAsia="zh-CN" w:bidi="zh-CN"/>
                    </w:rPr>
                    <w:t>纬度</w:t>
                  </w:r>
                  <w:r>
                    <w:rPr>
                      <w:rFonts w:hint="eastAsia"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44°45′26.272″</w:t>
                  </w:r>
                </w:p>
              </w:tc>
            </w:tr>
            <w:tr w14:paraId="28843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5" w:type="pct"/>
                  <w:vMerge w:val="continue"/>
                  <w:tcBorders>
                    <w:left w:val="single" w:color="000000" w:sz="4" w:space="0"/>
                    <w:bottom w:val="single" w:color="000000" w:sz="4" w:space="0"/>
                    <w:right w:val="single" w:color="000000" w:sz="4" w:space="0"/>
                  </w:tcBorders>
                  <w:vAlign w:val="center"/>
                </w:tcPr>
                <w:p w14:paraId="683F943D">
                  <w:pPr>
                    <w:widowControl/>
                    <w:autoSpaceDE/>
                    <w:autoSpaceDN/>
                    <w:jc w:val="center"/>
                    <w:rPr>
                      <w:rFonts w:ascii="Times New Roman" w:hAnsi="Times New Roman" w:cs="Times New Roman"/>
                      <w:sz w:val="21"/>
                      <w:szCs w:val="21"/>
                      <w:lang w:val="zh-CN" w:eastAsia="zh-CN" w:bidi="zh-CN"/>
                    </w:rPr>
                  </w:pPr>
                </w:p>
              </w:tc>
              <w:tc>
                <w:tcPr>
                  <w:tcW w:w="920" w:type="pct"/>
                  <w:tcBorders>
                    <w:top w:val="single" w:color="000000" w:sz="4" w:space="0"/>
                    <w:left w:val="single" w:color="000000" w:sz="4" w:space="0"/>
                    <w:bottom w:val="single" w:color="000000" w:sz="4" w:space="0"/>
                    <w:right w:val="single" w:color="000000" w:sz="4" w:space="0"/>
                  </w:tcBorders>
                  <w:vAlign w:val="center"/>
                </w:tcPr>
                <w:p w14:paraId="6A26DACD">
                  <w:pPr>
                    <w:widowControl/>
                    <w:autoSpaceDE/>
                    <w:autoSpaceDN/>
                    <w:jc w:val="center"/>
                    <w:rPr>
                      <w:rFonts w:ascii="Times New Roman" w:hAnsi="Times New Roman" w:cs="Times New Roman"/>
                      <w:sz w:val="21"/>
                      <w:szCs w:val="21"/>
                      <w:lang w:eastAsia="zh-CN" w:bidi="zh-CN"/>
                    </w:rPr>
                  </w:pPr>
                  <w:r>
                    <w:rPr>
                      <w:rFonts w:hint="eastAsia" w:ascii="Times New Roman" w:hAnsi="Times New Roman" w:cs="Times New Roman"/>
                      <w:sz w:val="21"/>
                      <w:szCs w:val="21"/>
                      <w:lang w:eastAsia="zh-CN" w:bidi="zh-CN"/>
                    </w:rPr>
                    <w:t>终点</w:t>
                  </w:r>
                </w:p>
              </w:tc>
              <w:tc>
                <w:tcPr>
                  <w:tcW w:w="1600" w:type="pct"/>
                  <w:gridSpan w:val="2"/>
                  <w:tcBorders>
                    <w:top w:val="single" w:color="000000" w:sz="4" w:space="0"/>
                    <w:left w:val="single" w:color="000000" w:sz="4" w:space="0"/>
                    <w:bottom w:val="single" w:color="000000" w:sz="4" w:space="0"/>
                    <w:right w:val="single" w:color="000000" w:sz="4" w:space="0"/>
                  </w:tcBorders>
                  <w:vAlign w:val="center"/>
                </w:tcPr>
                <w:p w14:paraId="6FA4D7DE">
                  <w:pPr>
                    <w:widowControl/>
                    <w:autoSpaceDE/>
                    <w:autoSpaceDN/>
                    <w:jc w:val="center"/>
                    <w:rPr>
                      <w:rFonts w:ascii="Times New Roman" w:hAnsi="Times New Roman" w:cs="Times New Roman"/>
                      <w:sz w:val="21"/>
                      <w:szCs w:val="21"/>
                      <w:lang w:eastAsia="zh-CN" w:bidi="zh-CN"/>
                    </w:rPr>
                  </w:pPr>
                  <w:r>
                    <w:rPr>
                      <w:rFonts w:ascii="Times New Roman" w:hAnsi="Times New Roman" w:cs="Times New Roman"/>
                      <w:sz w:val="21"/>
                      <w:szCs w:val="21"/>
                      <w:lang w:eastAsia="zh-CN" w:bidi="zh-CN"/>
                    </w:rPr>
                    <w:t>经度</w:t>
                  </w:r>
                  <w:r>
                    <w:rPr>
                      <w:rFonts w:hint="eastAsia" w:ascii="Times New Roman" w:hAnsi="Times New Roman" w:cs="Times New Roman"/>
                      <w:sz w:val="21"/>
                      <w:szCs w:val="21"/>
                      <w:lang w:eastAsia="zh-CN" w:bidi="zh-CN"/>
                    </w:rPr>
                    <w:t>：</w:t>
                  </w:r>
                  <w:r>
                    <w:rPr>
                      <w:rFonts w:ascii="Times New Roman" w:hAnsi="Times New Roman" w:cs="Times New Roman"/>
                      <w:sz w:val="21"/>
                      <w:szCs w:val="21"/>
                      <w:lang w:eastAsia="zh-CN" w:bidi="zh-CN"/>
                    </w:rPr>
                    <w:t>89°14′1.999″</w:t>
                  </w:r>
                </w:p>
              </w:tc>
              <w:tc>
                <w:tcPr>
                  <w:tcW w:w="1636" w:type="pct"/>
                  <w:tcBorders>
                    <w:top w:val="single" w:color="000000" w:sz="4" w:space="0"/>
                    <w:left w:val="single" w:color="000000" w:sz="4" w:space="0"/>
                    <w:bottom w:val="single" w:color="000000" w:sz="4" w:space="0"/>
                    <w:right w:val="single" w:color="000000" w:sz="4" w:space="0"/>
                  </w:tcBorders>
                  <w:vAlign w:val="center"/>
                </w:tcPr>
                <w:p w14:paraId="189BB53A">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eastAsia="zh-CN" w:bidi="zh-CN"/>
                    </w:rPr>
                    <w:t>纬度</w:t>
                  </w:r>
                  <w:r>
                    <w:rPr>
                      <w:rFonts w:hint="eastAsia" w:ascii="Times New Roman" w:hAnsi="Times New Roman" w:cs="Times New Roman"/>
                      <w:sz w:val="21"/>
                      <w:szCs w:val="21"/>
                      <w:lang w:eastAsia="zh-CN" w:bidi="zh-CN"/>
                    </w:rPr>
                    <w:t>：</w:t>
                  </w:r>
                  <w:r>
                    <w:rPr>
                      <w:rFonts w:ascii="Times New Roman" w:hAnsi="Times New Roman" w:cs="Times New Roman"/>
                      <w:sz w:val="21"/>
                      <w:szCs w:val="21"/>
                      <w:lang w:val="zh-CN" w:eastAsia="zh-CN" w:bidi="zh-CN"/>
                    </w:rPr>
                    <w:t>43°58′32.782″</w:t>
                  </w:r>
                </w:p>
              </w:tc>
            </w:tr>
            <w:tr w14:paraId="10217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5" w:type="pct"/>
                  <w:tcBorders>
                    <w:top w:val="single" w:color="000000" w:sz="4" w:space="0"/>
                    <w:left w:val="single" w:color="000000" w:sz="4" w:space="0"/>
                    <w:bottom w:val="single" w:color="000000" w:sz="4" w:space="0"/>
                    <w:right w:val="single" w:color="000000" w:sz="4" w:space="0"/>
                  </w:tcBorders>
                  <w:vAlign w:val="center"/>
                </w:tcPr>
                <w:p w14:paraId="2D528DB2">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主要危险物质及分布</w:t>
                  </w:r>
                </w:p>
              </w:tc>
              <w:tc>
                <w:tcPr>
                  <w:tcW w:w="4155" w:type="pct"/>
                  <w:gridSpan w:val="4"/>
                  <w:tcBorders>
                    <w:top w:val="single" w:color="000000" w:sz="4" w:space="0"/>
                    <w:left w:val="single" w:color="000000" w:sz="4" w:space="0"/>
                    <w:bottom w:val="single" w:color="000000" w:sz="4" w:space="0"/>
                    <w:right w:val="single" w:color="000000" w:sz="4" w:space="0"/>
                  </w:tcBorders>
                  <w:vAlign w:val="center"/>
                </w:tcPr>
                <w:p w14:paraId="5312B7C9">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废机油（危废贮存点）</w:t>
                  </w:r>
                  <w:r>
                    <w:rPr>
                      <w:rFonts w:hint="eastAsia" w:ascii="Times New Roman" w:hAnsi="Times New Roman" w:cs="Times New Roman"/>
                      <w:sz w:val="21"/>
                      <w:szCs w:val="21"/>
                      <w:lang w:val="zh-CN" w:eastAsia="zh-CN" w:bidi="zh-CN"/>
                    </w:rPr>
                    <w:t>、</w:t>
                  </w:r>
                  <w:r>
                    <w:rPr>
                      <w:rFonts w:ascii="Times New Roman" w:hAnsi="Times New Roman" w:cs="Times New Roman"/>
                      <w:sz w:val="21"/>
                      <w:szCs w:val="21"/>
                      <w:lang w:val="zh-CN" w:eastAsia="zh-CN" w:bidi="zh-CN"/>
                    </w:rPr>
                    <w:t>危险品（</w:t>
                  </w:r>
                  <w:r>
                    <w:rPr>
                      <w:rFonts w:hint="eastAsia" w:ascii="Times New Roman" w:hAnsi="Times New Roman" w:cs="Times New Roman"/>
                      <w:sz w:val="21"/>
                      <w:szCs w:val="21"/>
                      <w:lang w:val="zh-CN" w:eastAsia="zh-CN" w:bidi="zh-CN"/>
                    </w:rPr>
                    <w:t>危险品</w:t>
                  </w:r>
                  <w:r>
                    <w:rPr>
                      <w:rFonts w:ascii="Times New Roman" w:hAnsi="Times New Roman" w:cs="Times New Roman"/>
                      <w:sz w:val="21"/>
                      <w:szCs w:val="21"/>
                      <w:lang w:val="zh-CN" w:eastAsia="zh-CN" w:bidi="zh-CN"/>
                    </w:rPr>
                    <w:t>运输车辆）</w:t>
                  </w:r>
                </w:p>
              </w:tc>
            </w:tr>
            <w:tr w14:paraId="1B98E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5" w:type="pct"/>
                  <w:tcBorders>
                    <w:top w:val="single" w:color="000000" w:sz="4" w:space="0"/>
                    <w:left w:val="single" w:color="000000" w:sz="4" w:space="0"/>
                    <w:bottom w:val="single" w:color="000000" w:sz="4" w:space="0"/>
                    <w:right w:val="single" w:color="000000" w:sz="4" w:space="0"/>
                  </w:tcBorders>
                  <w:vAlign w:val="center"/>
                </w:tcPr>
                <w:p w14:paraId="6ED98B6B">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环境影响途径及危害后果</w:t>
                  </w:r>
                </w:p>
              </w:tc>
              <w:tc>
                <w:tcPr>
                  <w:tcW w:w="4155" w:type="pct"/>
                  <w:gridSpan w:val="4"/>
                  <w:tcBorders>
                    <w:top w:val="single" w:color="000000" w:sz="4" w:space="0"/>
                    <w:left w:val="single" w:color="000000" w:sz="4" w:space="0"/>
                    <w:bottom w:val="single" w:color="000000" w:sz="4" w:space="0"/>
                    <w:right w:val="single" w:color="000000" w:sz="4" w:space="0"/>
                  </w:tcBorders>
                  <w:vAlign w:val="center"/>
                </w:tcPr>
                <w:p w14:paraId="2AC67C3D">
                  <w:pPr>
                    <w:widowControl/>
                    <w:autoSpaceDE/>
                    <w:autoSpaceDN/>
                    <w:jc w:val="both"/>
                    <w:rPr>
                      <w:rFonts w:ascii="Times New Roman" w:hAnsi="Times New Roman" w:cs="Times New Roman"/>
                      <w:sz w:val="21"/>
                      <w:szCs w:val="21"/>
                      <w:lang w:val="zh-CN" w:eastAsia="zh-CN" w:bidi="zh-CN"/>
                    </w:rPr>
                  </w:pPr>
                  <w:r>
                    <w:rPr>
                      <w:rFonts w:hint="eastAsia" w:ascii="Times New Roman" w:hAnsi="Times New Roman" w:cs="Times New Roman"/>
                      <w:sz w:val="21"/>
                      <w:szCs w:val="21"/>
                      <w:lang w:val="zh-CN" w:eastAsia="zh-CN" w:bidi="zh-CN"/>
                    </w:rPr>
                    <w:t>废机油泄漏事故环境风险，危害后果主要是泄漏及</w:t>
                  </w:r>
                  <w:r>
                    <w:rPr>
                      <w:rFonts w:ascii="Times New Roman" w:hAnsi="Times New Roman" w:cs="Times New Roman"/>
                      <w:sz w:val="21"/>
                      <w:szCs w:val="21"/>
                      <w:lang w:val="zh-CN" w:eastAsia="zh-CN" w:bidi="zh-CN"/>
                    </w:rPr>
                    <w:t>可能</w:t>
                  </w:r>
                  <w:r>
                    <w:rPr>
                      <w:rFonts w:hint="eastAsia" w:ascii="Times New Roman" w:hAnsi="Times New Roman" w:cs="Times New Roman"/>
                      <w:sz w:val="21"/>
                      <w:szCs w:val="21"/>
                      <w:lang w:val="zh-CN" w:eastAsia="zh-CN" w:bidi="zh-CN"/>
                    </w:rPr>
                    <w:t>引发火灾、爆炸事故；</w:t>
                  </w:r>
                  <w:r>
                    <w:rPr>
                      <w:rFonts w:ascii="Times New Roman" w:hAnsi="Times New Roman" w:cs="Times New Roman"/>
                      <w:sz w:val="21"/>
                      <w:szCs w:val="21"/>
                      <w:lang w:val="zh-CN" w:eastAsia="zh-CN" w:bidi="zh-CN"/>
                    </w:rPr>
                    <w:t>危险品泄漏事故</w:t>
                  </w:r>
                  <w:r>
                    <w:rPr>
                      <w:rFonts w:hint="eastAsia" w:ascii="Times New Roman" w:hAnsi="Times New Roman" w:cs="Times New Roman"/>
                      <w:sz w:val="21"/>
                      <w:szCs w:val="21"/>
                      <w:lang w:val="zh-CN" w:eastAsia="zh-CN" w:bidi="zh-CN"/>
                    </w:rPr>
                    <w:t>环境</w:t>
                  </w:r>
                  <w:r>
                    <w:rPr>
                      <w:rFonts w:ascii="Times New Roman" w:hAnsi="Times New Roman" w:cs="Times New Roman"/>
                      <w:sz w:val="21"/>
                      <w:szCs w:val="21"/>
                      <w:lang w:val="zh-CN" w:eastAsia="zh-CN" w:bidi="zh-CN"/>
                    </w:rPr>
                    <w:t>风险，危害后果主要是</w:t>
                  </w:r>
                  <w:r>
                    <w:rPr>
                      <w:rFonts w:hint="eastAsia" w:ascii="Times New Roman" w:hAnsi="Times New Roman" w:cs="Times New Roman"/>
                      <w:sz w:val="21"/>
                      <w:szCs w:val="21"/>
                      <w:lang w:val="zh-CN" w:eastAsia="zh-CN" w:bidi="zh-CN"/>
                    </w:rPr>
                    <w:t>泄漏及可能引发</w:t>
                  </w:r>
                  <w:r>
                    <w:rPr>
                      <w:rFonts w:ascii="Times New Roman" w:hAnsi="Times New Roman" w:cs="Times New Roman"/>
                      <w:sz w:val="21"/>
                      <w:szCs w:val="21"/>
                      <w:lang w:val="zh-CN" w:eastAsia="zh-CN" w:bidi="zh-CN"/>
                    </w:rPr>
                    <w:t>火灾、爆炸事故。</w:t>
                  </w:r>
                  <w:r>
                    <w:rPr>
                      <w:rFonts w:hint="eastAsia" w:ascii="Times New Roman" w:hAnsi="Times New Roman" w:cs="Times New Roman"/>
                      <w:sz w:val="21"/>
                      <w:szCs w:val="21"/>
                      <w:lang w:val="zh-CN" w:eastAsia="zh-CN" w:bidi="zh-CN"/>
                    </w:rPr>
                    <w:t>影响途径主要是大气环境、土壤环境、水环境。</w:t>
                  </w:r>
                </w:p>
              </w:tc>
            </w:tr>
            <w:tr w14:paraId="2D106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5" w:type="pct"/>
                  <w:tcBorders>
                    <w:top w:val="single" w:color="000000" w:sz="4" w:space="0"/>
                    <w:left w:val="single" w:color="000000" w:sz="4" w:space="0"/>
                    <w:bottom w:val="single" w:color="000000" w:sz="4" w:space="0"/>
                    <w:right w:val="single" w:color="000000" w:sz="4" w:space="0"/>
                  </w:tcBorders>
                  <w:vAlign w:val="center"/>
                </w:tcPr>
                <w:p w14:paraId="53E5EFF0">
                  <w:pPr>
                    <w:widowControl/>
                    <w:autoSpaceDE/>
                    <w:autoSpaceDN/>
                    <w:jc w:val="center"/>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风险防范措施要求</w:t>
                  </w:r>
                </w:p>
              </w:tc>
              <w:tc>
                <w:tcPr>
                  <w:tcW w:w="4155" w:type="pct"/>
                  <w:gridSpan w:val="4"/>
                  <w:tcBorders>
                    <w:top w:val="single" w:color="000000" w:sz="4" w:space="0"/>
                    <w:left w:val="single" w:color="000000" w:sz="4" w:space="0"/>
                    <w:bottom w:val="single" w:color="000000" w:sz="4" w:space="0"/>
                    <w:right w:val="single" w:color="000000" w:sz="4" w:space="0"/>
                  </w:tcBorders>
                  <w:vAlign w:val="center"/>
                </w:tcPr>
                <w:p w14:paraId="3732A5D3">
                  <w:pPr>
                    <w:widowControl/>
                    <w:jc w:val="center"/>
                    <w:rPr>
                      <w:rFonts w:ascii="Times New Roman" w:hAnsi="Times New Roman" w:cs="Times New Roman"/>
                      <w:sz w:val="21"/>
                      <w:szCs w:val="21"/>
                      <w:lang w:val="zh-CN" w:eastAsia="zh-CN" w:bidi="zh-CN"/>
                    </w:rPr>
                  </w:pPr>
                  <w:r>
                    <w:rPr>
                      <w:rFonts w:hint="eastAsia" w:ascii="Times New Roman" w:hAnsi="Times New Roman" w:cs="Times New Roman"/>
                      <w:sz w:val="21"/>
                      <w:szCs w:val="21"/>
                      <w:lang w:val="zh-CN" w:eastAsia="zh-CN" w:bidi="zh-CN"/>
                    </w:rPr>
                    <w:t>见</w:t>
                  </w:r>
                  <w:r>
                    <w:rPr>
                      <w:rFonts w:ascii="Times New Roman" w:hAnsi="Times New Roman" w:cs="Times New Roman"/>
                      <w:sz w:val="21"/>
                      <w:szCs w:val="21"/>
                      <w:lang w:val="zh-CN" w:eastAsia="zh-CN" w:bidi="zh-CN"/>
                    </w:rPr>
                    <w:t>“</w:t>
                  </w:r>
                  <w:r>
                    <w:rPr>
                      <w:rFonts w:hint="eastAsia" w:ascii="Times New Roman" w:hAnsi="Times New Roman" w:cs="Times New Roman"/>
                      <w:sz w:val="21"/>
                      <w:szCs w:val="21"/>
                      <w:lang w:val="zh-CN" w:eastAsia="zh-CN" w:bidi="zh-CN"/>
                    </w:rPr>
                    <w:t>四</w:t>
                  </w:r>
                  <w:r>
                    <w:rPr>
                      <w:rFonts w:ascii="Times New Roman" w:hAnsi="Times New Roman" w:cs="Times New Roman"/>
                      <w:sz w:val="21"/>
                      <w:szCs w:val="21"/>
                      <w:lang w:val="zh-CN" w:eastAsia="zh-CN" w:bidi="zh-CN"/>
                    </w:rPr>
                    <w:t>、生态环境影响分析的6</w:t>
                  </w:r>
                  <w:r>
                    <w:rPr>
                      <w:rFonts w:hint="eastAsia" w:ascii="Times New Roman" w:hAnsi="Times New Roman" w:cs="Times New Roman"/>
                      <w:sz w:val="21"/>
                      <w:szCs w:val="21"/>
                      <w:lang w:val="zh-CN" w:eastAsia="zh-CN" w:bidi="zh-CN"/>
                    </w:rPr>
                    <w:t>、</w:t>
                  </w:r>
                  <w:r>
                    <w:rPr>
                      <w:rFonts w:ascii="Times New Roman" w:hAnsi="Times New Roman" w:cs="Times New Roman"/>
                      <w:sz w:val="21"/>
                      <w:szCs w:val="21"/>
                      <w:lang w:val="zh-CN" w:eastAsia="zh-CN" w:bidi="zh-CN"/>
                    </w:rPr>
                    <w:t>环境风险分析”</w:t>
                  </w:r>
                  <w:r>
                    <w:rPr>
                      <w:rFonts w:hint="eastAsia" w:ascii="Times New Roman" w:hAnsi="Times New Roman" w:cs="Times New Roman"/>
                      <w:sz w:val="21"/>
                      <w:szCs w:val="21"/>
                      <w:lang w:val="zh-CN" w:eastAsia="zh-CN" w:bidi="zh-CN"/>
                    </w:rPr>
                    <w:t>、“五</w:t>
                  </w:r>
                  <w:r>
                    <w:rPr>
                      <w:rFonts w:ascii="Times New Roman" w:hAnsi="Times New Roman" w:cs="Times New Roman"/>
                      <w:sz w:val="21"/>
                      <w:szCs w:val="21"/>
                      <w:lang w:val="zh-CN" w:eastAsia="zh-CN" w:bidi="zh-CN"/>
                    </w:rPr>
                    <w:t>、主要生态环境保护措施的6、环境风险防范措施</w:t>
                  </w:r>
                  <w:r>
                    <w:rPr>
                      <w:rFonts w:hint="eastAsia" w:ascii="Times New Roman" w:hAnsi="Times New Roman" w:cs="Times New Roman"/>
                      <w:sz w:val="21"/>
                      <w:szCs w:val="21"/>
                      <w:lang w:val="zh-CN" w:eastAsia="zh-CN" w:bidi="zh-CN"/>
                    </w:rPr>
                    <w:t>”</w:t>
                  </w:r>
                </w:p>
              </w:tc>
            </w:tr>
            <w:tr w14:paraId="350B3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5" w:type="pct"/>
                  <w:tcBorders>
                    <w:top w:val="single" w:color="000000" w:sz="4" w:space="0"/>
                    <w:left w:val="single" w:color="000000" w:sz="4" w:space="0"/>
                    <w:bottom w:val="single" w:color="000000" w:sz="4" w:space="0"/>
                    <w:right w:val="single" w:color="000000" w:sz="4" w:space="0"/>
                  </w:tcBorders>
                  <w:vAlign w:val="center"/>
                </w:tcPr>
                <w:p w14:paraId="6A836EBE">
                  <w:pPr>
                    <w:widowControl/>
                    <w:autoSpaceDE/>
                    <w:autoSpaceDN/>
                    <w:jc w:val="center"/>
                    <w:rPr>
                      <w:rFonts w:ascii="Times New Roman" w:hAnsi="Times New Roman" w:cs="Times New Roman"/>
                      <w:sz w:val="21"/>
                      <w:szCs w:val="21"/>
                      <w:lang w:eastAsia="zh-CN" w:bidi="zh-CN"/>
                    </w:rPr>
                  </w:pPr>
                  <w:r>
                    <w:rPr>
                      <w:rFonts w:ascii="Times New Roman" w:hAnsi="Times New Roman" w:cs="Times New Roman"/>
                      <w:sz w:val="21"/>
                      <w:szCs w:val="21"/>
                      <w:lang w:eastAsia="zh-CN" w:bidi="zh-CN"/>
                    </w:rPr>
                    <w:t>填表说明</w:t>
                  </w:r>
                </w:p>
              </w:tc>
              <w:tc>
                <w:tcPr>
                  <w:tcW w:w="4155" w:type="pct"/>
                  <w:gridSpan w:val="4"/>
                  <w:tcBorders>
                    <w:top w:val="single" w:color="000000" w:sz="4" w:space="0"/>
                    <w:left w:val="single" w:color="000000" w:sz="4" w:space="0"/>
                    <w:bottom w:val="single" w:color="000000" w:sz="4" w:space="0"/>
                    <w:right w:val="single" w:color="000000" w:sz="4" w:space="0"/>
                  </w:tcBorders>
                  <w:vAlign w:val="center"/>
                </w:tcPr>
                <w:p w14:paraId="4F3C6C9A">
                  <w:pPr>
                    <w:widowControl/>
                    <w:autoSpaceDE/>
                    <w:autoSpaceDN/>
                    <w:jc w:val="both"/>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（列出项目相关信息及评价说明）</w:t>
                  </w:r>
                </w:p>
                <w:p w14:paraId="5C1F3A44">
                  <w:pPr>
                    <w:widowControl/>
                    <w:autoSpaceDE/>
                    <w:autoSpaceDN/>
                    <w:jc w:val="both"/>
                    <w:rPr>
                      <w:rFonts w:ascii="Times New Roman" w:hAnsi="Times New Roman" w:cs="Times New Roman"/>
                      <w:sz w:val="21"/>
                      <w:szCs w:val="21"/>
                      <w:lang w:val="zh-CN" w:eastAsia="zh-CN" w:bidi="zh-CN"/>
                    </w:rPr>
                  </w:pPr>
                  <w:r>
                    <w:rPr>
                      <w:rFonts w:ascii="Times New Roman" w:hAnsi="Times New Roman" w:cs="Times New Roman"/>
                      <w:sz w:val="21"/>
                      <w:szCs w:val="21"/>
                      <w:lang w:val="zh-CN" w:eastAsia="zh-CN" w:bidi="zh-CN"/>
                    </w:rPr>
                    <w:t>本项目环境风险主要来自</w:t>
                  </w:r>
                  <w:r>
                    <w:rPr>
                      <w:rFonts w:hint="eastAsia" w:ascii="Times New Roman" w:hAnsi="Times New Roman" w:cs="Times New Roman"/>
                      <w:sz w:val="21"/>
                      <w:szCs w:val="21"/>
                      <w:lang w:val="zh-CN" w:eastAsia="zh-CN" w:bidi="zh-CN"/>
                    </w:rPr>
                    <w:t>危废贮存点</w:t>
                  </w:r>
                  <w:r>
                    <w:rPr>
                      <w:rFonts w:ascii="Times New Roman" w:hAnsi="Times New Roman" w:cs="Times New Roman"/>
                      <w:sz w:val="21"/>
                      <w:szCs w:val="21"/>
                      <w:lang w:val="zh-CN" w:eastAsia="zh-CN" w:bidi="zh-CN"/>
                    </w:rPr>
                    <w:t>废机油泄漏事故环境风险</w:t>
                  </w:r>
                  <w:r>
                    <w:rPr>
                      <w:rFonts w:hint="eastAsia" w:ascii="Times New Roman" w:hAnsi="Times New Roman" w:cs="Times New Roman"/>
                      <w:sz w:val="21"/>
                      <w:szCs w:val="21"/>
                      <w:lang w:val="zh-CN" w:eastAsia="zh-CN" w:bidi="zh-CN"/>
                    </w:rPr>
                    <w:t>、危险品</w:t>
                  </w:r>
                  <w:r>
                    <w:rPr>
                      <w:rFonts w:ascii="Times New Roman" w:hAnsi="Times New Roman" w:cs="Times New Roman"/>
                      <w:sz w:val="21"/>
                      <w:szCs w:val="21"/>
                      <w:lang w:val="zh-CN" w:eastAsia="zh-CN" w:bidi="zh-CN"/>
                    </w:rPr>
                    <w:t>运输车辆</w:t>
                  </w:r>
                  <w:r>
                    <w:rPr>
                      <w:rFonts w:hint="eastAsia" w:ascii="Times New Roman" w:hAnsi="Times New Roman" w:cs="Times New Roman"/>
                      <w:sz w:val="21"/>
                      <w:szCs w:val="21"/>
                      <w:lang w:val="zh-CN" w:eastAsia="zh-CN" w:bidi="zh-CN"/>
                    </w:rPr>
                    <w:t>危险品泄漏事故环境风险</w:t>
                  </w:r>
                  <w:r>
                    <w:rPr>
                      <w:rFonts w:ascii="Times New Roman" w:hAnsi="Times New Roman" w:cs="Times New Roman"/>
                      <w:sz w:val="21"/>
                      <w:szCs w:val="21"/>
                      <w:lang w:val="zh-CN" w:eastAsia="zh-CN" w:bidi="zh-CN"/>
                    </w:rPr>
                    <w:t>。</w:t>
                  </w:r>
                  <w:r>
                    <w:rPr>
                      <w:rFonts w:ascii="Times New Roman" w:hAnsi="Times New Roman" w:cs="Times New Roman"/>
                      <w:sz w:val="21"/>
                      <w:szCs w:val="21"/>
                      <w:lang w:eastAsia="zh-CN" w:bidi="zh-CN"/>
                    </w:rPr>
                    <w:t>项目环境风险潜势为I，</w:t>
                  </w:r>
                  <w:r>
                    <w:rPr>
                      <w:rFonts w:ascii="Times New Roman" w:hAnsi="Times New Roman" w:cs="Times New Roman"/>
                      <w:sz w:val="21"/>
                      <w:szCs w:val="21"/>
                      <w:lang w:val="zh-CN" w:eastAsia="zh-CN" w:bidi="zh-CN"/>
                    </w:rPr>
                    <w:t>仅进行简单风险分析。根据《建设项目环境风险评价技术导则》（HJ/T 169-2018）附录A，对本项目进行风险识别、环境风险分析，针对可能发生的环境风险采取了相应的防范措施及应急要求，在采取相应的防范措施及应急要求后，环境风险可以控制在可接受风险水平之内。</w:t>
                  </w:r>
                </w:p>
              </w:tc>
            </w:tr>
          </w:tbl>
          <w:p w14:paraId="7469B76E">
            <w:pPr>
              <w:pStyle w:val="18"/>
              <w:spacing w:line="360" w:lineRule="auto"/>
              <w:jc w:val="both"/>
              <w:rPr>
                <w:rFonts w:ascii="Times New Roman" w:hAnsi="Times New Roman" w:cs="Times New Roman"/>
                <w:sz w:val="24"/>
                <w:szCs w:val="20"/>
                <w:lang w:eastAsia="zh-CN"/>
              </w:rPr>
            </w:pPr>
          </w:p>
          <w:p w14:paraId="45BD3542">
            <w:pPr>
              <w:pStyle w:val="18"/>
              <w:spacing w:line="360" w:lineRule="auto"/>
              <w:jc w:val="both"/>
              <w:rPr>
                <w:rFonts w:ascii="Times New Roman" w:hAnsi="Times New Roman" w:cs="Times New Roman"/>
                <w:sz w:val="24"/>
                <w:szCs w:val="20"/>
                <w:lang w:eastAsia="zh-CN"/>
              </w:rPr>
            </w:pPr>
          </w:p>
          <w:p w14:paraId="36F2C677">
            <w:pPr>
              <w:pStyle w:val="18"/>
              <w:spacing w:line="360" w:lineRule="auto"/>
              <w:jc w:val="both"/>
              <w:rPr>
                <w:rFonts w:ascii="Times New Roman" w:hAnsi="Times New Roman" w:cs="Times New Roman"/>
                <w:sz w:val="24"/>
                <w:szCs w:val="20"/>
                <w:lang w:eastAsia="zh-CN"/>
              </w:rPr>
            </w:pPr>
          </w:p>
          <w:p w14:paraId="1DC06D95">
            <w:pPr>
              <w:pStyle w:val="18"/>
              <w:spacing w:line="360" w:lineRule="auto"/>
              <w:jc w:val="both"/>
              <w:rPr>
                <w:rFonts w:ascii="Times New Roman" w:hAnsi="Times New Roman" w:cs="Times New Roman"/>
                <w:sz w:val="24"/>
                <w:szCs w:val="20"/>
                <w:lang w:eastAsia="zh-CN"/>
              </w:rPr>
            </w:pPr>
          </w:p>
          <w:p w14:paraId="0D19BC1A">
            <w:pPr>
              <w:pStyle w:val="18"/>
              <w:spacing w:line="360" w:lineRule="auto"/>
              <w:jc w:val="both"/>
              <w:rPr>
                <w:rFonts w:ascii="Times New Roman" w:hAnsi="Times New Roman" w:cs="Times New Roman"/>
                <w:sz w:val="24"/>
                <w:szCs w:val="20"/>
                <w:lang w:eastAsia="zh-CN"/>
              </w:rPr>
            </w:pPr>
          </w:p>
          <w:p w14:paraId="590CB94E">
            <w:pPr>
              <w:pStyle w:val="18"/>
              <w:spacing w:line="360" w:lineRule="auto"/>
              <w:jc w:val="both"/>
              <w:rPr>
                <w:rFonts w:ascii="Times New Roman" w:hAnsi="Times New Roman" w:cs="Times New Roman"/>
                <w:sz w:val="24"/>
                <w:szCs w:val="20"/>
                <w:lang w:eastAsia="zh-CN"/>
              </w:rPr>
            </w:pPr>
          </w:p>
          <w:p w14:paraId="01E66873">
            <w:pPr>
              <w:pStyle w:val="18"/>
              <w:spacing w:line="360" w:lineRule="auto"/>
              <w:jc w:val="both"/>
              <w:rPr>
                <w:rFonts w:ascii="Times New Roman" w:hAnsi="Times New Roman" w:cs="Times New Roman"/>
                <w:sz w:val="24"/>
                <w:szCs w:val="20"/>
                <w:lang w:eastAsia="zh-CN"/>
              </w:rPr>
            </w:pPr>
          </w:p>
        </w:tc>
      </w:tr>
      <w:tr w14:paraId="106E76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6" w:hRule="atLeast"/>
        </w:trPr>
        <w:tc>
          <w:tcPr>
            <w:tcW w:w="372" w:type="pct"/>
            <w:tcBorders>
              <w:top w:val="single" w:color="000000" w:sz="4" w:space="0"/>
              <w:right w:val="single" w:color="000000" w:sz="4" w:space="0"/>
            </w:tcBorders>
            <w:vAlign w:val="center"/>
          </w:tcPr>
          <w:p w14:paraId="175C6793">
            <w:pPr>
              <w:pStyle w:val="18"/>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选址选线环境合理性分析</w:t>
            </w:r>
          </w:p>
        </w:tc>
        <w:tc>
          <w:tcPr>
            <w:tcW w:w="4628" w:type="pct"/>
            <w:tcBorders>
              <w:top w:val="single" w:color="000000" w:sz="4" w:space="0"/>
              <w:left w:val="single" w:color="000000" w:sz="4" w:space="0"/>
            </w:tcBorders>
          </w:tcPr>
          <w:p w14:paraId="4EFE329E">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（1）永久占地合理性分析</w:t>
            </w:r>
          </w:p>
          <w:p w14:paraId="557FFBF9">
            <w:pPr>
              <w:pStyle w:val="18"/>
              <w:spacing w:line="360" w:lineRule="auto"/>
              <w:ind w:firstLine="480" w:firstLineChars="200"/>
              <w:jc w:val="both"/>
              <w:rPr>
                <w:rFonts w:ascii="Times New Roman" w:hAnsi="Times New Roman" w:cs="Times New Roman"/>
                <w:spacing w:val="4"/>
                <w:kern w:val="2"/>
                <w:sz w:val="24"/>
                <w:szCs w:val="24"/>
                <w:lang w:eastAsia="zh-CN"/>
              </w:rPr>
            </w:pPr>
            <w:r>
              <w:rPr>
                <w:rFonts w:hint="eastAsia" w:ascii="Times New Roman" w:hAnsi="Times New Roman" w:cs="Times New Roman"/>
                <w:sz w:val="24"/>
                <w:szCs w:val="24"/>
                <w:lang w:eastAsia="zh-CN"/>
              </w:rPr>
              <w:t>项目</w:t>
            </w:r>
            <w:r>
              <w:rPr>
                <w:rFonts w:hint="eastAsia" w:ascii="Times New Roman" w:hAnsi="Times New Roman" w:cs="Times New Roman"/>
                <w:spacing w:val="4"/>
                <w:kern w:val="2"/>
                <w:sz w:val="24"/>
                <w:szCs w:val="24"/>
                <w:lang w:eastAsia="zh-CN"/>
              </w:rPr>
              <w:t>永久占地</w:t>
            </w:r>
            <w:r>
              <w:rPr>
                <w:rFonts w:ascii="Times New Roman" w:hAnsi="Times New Roman" w:cs="Times New Roman"/>
                <w:spacing w:val="4"/>
                <w:kern w:val="2"/>
                <w:sz w:val="24"/>
                <w:szCs w:val="24"/>
                <w:lang w:eastAsia="zh-CN"/>
              </w:rPr>
              <w:t>445.1011</w:t>
            </w:r>
            <w:r>
              <w:rPr>
                <w:rFonts w:hint="eastAsia" w:ascii="Times New Roman" w:hAnsi="Times New Roman" w:cs="Times New Roman"/>
                <w:spacing w:val="4"/>
                <w:kern w:val="2"/>
                <w:sz w:val="24"/>
                <w:szCs w:val="24"/>
                <w:lang w:eastAsia="zh-CN"/>
              </w:rPr>
              <w:t>hm²，全线采用双向四车道一级公路标准建设，设计速度为</w:t>
            </w:r>
            <w:r>
              <w:rPr>
                <w:rFonts w:ascii="Times New Roman" w:hAnsi="Times New Roman" w:cs="Times New Roman"/>
                <w:spacing w:val="4"/>
                <w:kern w:val="2"/>
                <w:sz w:val="24"/>
                <w:szCs w:val="24"/>
                <w:lang w:eastAsia="zh-CN"/>
              </w:rPr>
              <w:t>100km/h，起点：S239线k37+060与S327线k23+500交叉处，终点：G7京新高速泉子街互通连接交叉处；长度：89.14km。k37+060-k48+500段（11.44km）和k90+134-k126+200段（36.086km）采用整体式路基，路基宽度26m，两段共计47.506km，实际用地指标为5.937hm²/km，低于《公路工程建设项目用地指标》整体式路基的标准值6.1494hm²/km。k48+500-k90+134.4段采用分离式路基，老路加宽1m，路基宽度13m，新建一幅路基宽度13m，共计41.634km，新增占用土地58.288公顷，实际用地指标为3.372hm²/km，低于《公路工程建设项目用地指标》分离式路基的标准值3.4335hm²/km。</w:t>
            </w:r>
          </w:p>
          <w:p w14:paraId="08E8A46E">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选址符合新疆维吾尔自治区交通运输（公路）“十四五”发展规划、昌吉回族自治州综合交通运输“十四五”发展规划的相关规划用地要求，项目初步设计已取得昌吉回族自治州发展和改革委员会核发的项目核准批复（昌州发改工〔</w:t>
            </w:r>
            <w:r>
              <w:rPr>
                <w:rFonts w:ascii="Times New Roman" w:hAnsi="Times New Roman" w:cs="Times New Roman"/>
                <w:sz w:val="24"/>
                <w:szCs w:val="24"/>
                <w:lang w:eastAsia="zh-CN"/>
              </w:rPr>
              <w:t>2024〕108号</w:t>
            </w:r>
            <w:r>
              <w:rPr>
                <w:rFonts w:hint="eastAsia" w:ascii="Times New Roman" w:hAnsi="Times New Roman" w:cs="Times New Roman"/>
                <w:sz w:val="24"/>
                <w:szCs w:val="24"/>
                <w:lang w:eastAsia="zh-CN"/>
              </w:rPr>
              <w:t>）。项目沿着老路改扩建，无线路比选方案。综上所述，项目永久占地合理。</w:t>
            </w:r>
          </w:p>
          <w:p w14:paraId="541FF9E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（2）项目选线环境合理性分析</w:t>
            </w:r>
          </w:p>
          <w:p w14:paraId="047B9EC8">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为改扩建项目，线路走向具有唯一性，不进行调整，改扩建完成后线路走向不发生变化，借鉴国内同类项目改扩建经验，结合本项目现有公路两侧实际状况，分段采用整体式路基、分离式路基相结合的改扩建方式，能满足S</w:t>
            </w:r>
            <w:r>
              <w:rPr>
                <w:rFonts w:ascii="Times New Roman" w:hAnsi="Times New Roman" w:cs="Times New Roman"/>
                <w:sz w:val="24"/>
                <w:szCs w:val="24"/>
                <w:lang w:eastAsia="zh-CN"/>
              </w:rPr>
              <w:t>239</w:t>
            </w:r>
            <w:r>
              <w:rPr>
                <w:rFonts w:hint="eastAsia" w:ascii="Times New Roman" w:hAnsi="Times New Roman" w:cs="Times New Roman"/>
                <w:sz w:val="24"/>
                <w:szCs w:val="24"/>
                <w:lang w:eastAsia="zh-CN"/>
              </w:rPr>
              <w:t>线远期交通量增长需求。现有公路沿线地势平坦，构筑物仅为涵洞，除穿越沙化土地封禁保护区、湿地公园、局部路段沿线有居民点，无其他环境制约因素，项目选线能最大限度降低工程规模、减少占地，减少新增生态破坏和扰动，利于后期交通管理和公路养护。因此，项目选线是合理的。</w:t>
            </w:r>
          </w:p>
          <w:p w14:paraId="5FF8B8F2">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）临时工程选址环境合理性分析</w:t>
            </w:r>
          </w:p>
          <w:p w14:paraId="63DC0377">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hint="eastAsia" w:ascii="Times New Roman" w:hAnsi="Times New Roman" w:cs="Times New Roman"/>
                <w:sz w:val="24"/>
                <w:szCs w:val="24"/>
                <w:lang w:eastAsia="zh-CN"/>
              </w:rPr>
              <w:t>临时工程</w:t>
            </w:r>
            <w:r>
              <w:rPr>
                <w:rFonts w:ascii="Times New Roman" w:hAnsi="Times New Roman" w:cs="Times New Roman"/>
                <w:sz w:val="24"/>
                <w:szCs w:val="24"/>
                <w:lang w:eastAsia="zh-CN"/>
              </w:rPr>
              <w:t>选址原则</w:t>
            </w:r>
          </w:p>
          <w:p w14:paraId="0A7DC71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针对本项目沿线生态环境和地形地貌等自然因素，确定临时工程布设原则如下：</w:t>
            </w:r>
          </w:p>
          <w:p w14:paraId="74F83198">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a、从保证公路运行及公路沿线生产、生活的安全出发，全面规划，合理布局，真正体现“以防为主，防治结合”的原则。</w:t>
            </w:r>
          </w:p>
          <w:p w14:paraId="6B8B5FE2">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b、弃土场尽量布设在凹地或上游来水较少的沟谷中，在场址可行的基础上，减少拦渣工程量，不得影响河道及排灌沟渠的行洪和灌溉功能。</w:t>
            </w:r>
          </w:p>
          <w:p w14:paraId="164CB067">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c、原料制备场站尽量布设在地势平坦，无不良地质灾害，避开陡坡、滑坡体以及极易产生工程滑坡或者诱使古滑坡复活的地段，避免出现单坡场地。</w:t>
            </w:r>
          </w:p>
          <w:p w14:paraId="1718257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d、临时用地选址周围无居民村庄、自然保护区、饮用水水源地、基本农田等环境敏感目标分布。</w:t>
            </w:r>
          </w:p>
          <w:p w14:paraId="14628CC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e、远离生态保护红线范围，远离野生动物分布聚集区、沙化土、盐碱土等较敏感区域，尽量选取植被稀疏的裸土地。</w:t>
            </w:r>
          </w:p>
          <w:p w14:paraId="23C00890">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ascii="Times New Roman" w:hAnsi="Times New Roman" w:cs="Times New Roman"/>
                <w:sz w:val="24"/>
                <w:szCs w:val="24"/>
                <w:lang w:eastAsia="zh-CN"/>
              </w:rPr>
              <w:t>临时</w:t>
            </w:r>
            <w:r>
              <w:rPr>
                <w:rFonts w:hint="eastAsia" w:ascii="Times New Roman" w:hAnsi="Times New Roman" w:cs="Times New Roman"/>
                <w:sz w:val="24"/>
                <w:szCs w:val="24"/>
                <w:lang w:eastAsia="zh-CN"/>
              </w:rPr>
              <w:t>工程选址环境</w:t>
            </w:r>
            <w:r>
              <w:rPr>
                <w:rFonts w:ascii="Times New Roman" w:hAnsi="Times New Roman" w:cs="Times New Roman"/>
                <w:sz w:val="24"/>
                <w:szCs w:val="24"/>
                <w:lang w:eastAsia="zh-CN"/>
              </w:rPr>
              <w:t>合理性分析</w:t>
            </w:r>
          </w:p>
          <w:p w14:paraId="1915345D">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a、</w:t>
            </w:r>
            <w:r>
              <w:rPr>
                <w:rFonts w:ascii="Times New Roman" w:hAnsi="Times New Roman" w:cs="Times New Roman"/>
                <w:sz w:val="24"/>
                <w:szCs w:val="24"/>
                <w:lang w:eastAsia="zh-CN"/>
              </w:rPr>
              <w:t>施工便道</w:t>
            </w:r>
          </w:p>
          <w:p w14:paraId="5D86822A">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项目施工</w:t>
            </w:r>
            <w:r>
              <w:rPr>
                <w:rFonts w:ascii="Times New Roman" w:hAnsi="Times New Roman" w:cs="Times New Roman"/>
                <w:sz w:val="24"/>
                <w:szCs w:val="24"/>
                <w:lang w:eastAsia="zh-CN"/>
              </w:rPr>
              <w:t>便道</w:t>
            </w:r>
            <w:r>
              <w:rPr>
                <w:rFonts w:hint="eastAsia" w:ascii="Times New Roman" w:hAnsi="Times New Roman" w:cs="Times New Roman"/>
                <w:sz w:val="24"/>
                <w:szCs w:val="24"/>
                <w:lang w:eastAsia="zh-CN"/>
              </w:rPr>
              <w:t>优先依托利用周边已有社会道路总长</w:t>
            </w:r>
            <w:r>
              <w:rPr>
                <w:rFonts w:ascii="Times New Roman" w:hAnsi="Times New Roman" w:cs="Times New Roman"/>
                <w:sz w:val="24"/>
                <w:szCs w:val="24"/>
                <w:lang w:eastAsia="zh-CN"/>
              </w:rPr>
              <w:t>8.64km，平均宽度5-8.5m。</w:t>
            </w:r>
            <w:r>
              <w:rPr>
                <w:rFonts w:hint="eastAsia" w:ascii="Times New Roman" w:hAnsi="Times New Roman" w:cs="Times New Roman"/>
                <w:sz w:val="24"/>
                <w:szCs w:val="24"/>
                <w:lang w:eastAsia="zh-CN"/>
              </w:rPr>
              <w:t>新建</w:t>
            </w:r>
            <w:r>
              <w:rPr>
                <w:rFonts w:ascii="Times New Roman" w:hAnsi="Times New Roman" w:cs="Times New Roman"/>
                <w:sz w:val="24"/>
                <w:szCs w:val="24"/>
                <w:lang w:eastAsia="zh-CN"/>
              </w:rPr>
              <w:t>2条</w:t>
            </w:r>
            <w:r>
              <w:rPr>
                <w:rFonts w:hint="eastAsia" w:ascii="Times New Roman" w:hAnsi="Times New Roman" w:cs="Times New Roman"/>
                <w:sz w:val="24"/>
                <w:szCs w:val="24"/>
                <w:lang w:eastAsia="zh-CN"/>
              </w:rPr>
              <w:t>施工便道</w:t>
            </w:r>
            <w:r>
              <w:rPr>
                <w:rFonts w:ascii="Times New Roman" w:hAnsi="Times New Roman" w:cs="Times New Roman"/>
                <w:sz w:val="24"/>
                <w:szCs w:val="24"/>
                <w:lang w:eastAsia="zh-CN"/>
              </w:rPr>
              <w:t>，占用地类均为荒地，总占地面积4500m²，平均宽度4.5m，</w:t>
            </w:r>
            <w:r>
              <w:rPr>
                <w:rFonts w:hint="eastAsia" w:ascii="Times New Roman" w:hAnsi="Times New Roman" w:cs="Times New Roman"/>
                <w:sz w:val="24"/>
                <w:szCs w:val="24"/>
                <w:lang w:eastAsia="zh-CN"/>
              </w:rPr>
              <w:t>分别为：</w:t>
            </w:r>
            <w:r>
              <w:rPr>
                <w:rFonts w:ascii="Times New Roman" w:hAnsi="Times New Roman" w:cs="Times New Roman"/>
                <w:sz w:val="24"/>
                <w:szCs w:val="24"/>
                <w:lang w:eastAsia="zh-CN"/>
              </w:rPr>
              <w:t>k49+100，长度500m；k106+000，长度500m</w:t>
            </w:r>
            <w:r>
              <w:rPr>
                <w:rFonts w:hint="eastAsia" w:ascii="Times New Roman" w:hAnsi="Times New Roman" w:cs="Times New Roman"/>
                <w:sz w:val="24"/>
                <w:szCs w:val="24"/>
                <w:lang w:eastAsia="zh-CN"/>
              </w:rPr>
              <w:t>。占用地类均为荒地，</w:t>
            </w:r>
            <w:r>
              <w:rPr>
                <w:rFonts w:ascii="Times New Roman" w:hAnsi="Times New Roman" w:cs="Times New Roman"/>
                <w:sz w:val="24"/>
                <w:szCs w:val="24"/>
                <w:lang w:eastAsia="zh-CN"/>
              </w:rPr>
              <w:t>地表植被稀疏，覆盖率低，主要分布当地常见植被。施工结束后对</w:t>
            </w:r>
            <w:r>
              <w:rPr>
                <w:rFonts w:hint="eastAsia" w:ascii="Times New Roman" w:hAnsi="Times New Roman" w:cs="Times New Roman"/>
                <w:sz w:val="24"/>
                <w:szCs w:val="24"/>
                <w:lang w:eastAsia="zh-CN"/>
              </w:rPr>
              <w:t>新建的</w:t>
            </w:r>
            <w:r>
              <w:rPr>
                <w:rFonts w:ascii="Times New Roman" w:hAnsi="Times New Roman" w:cs="Times New Roman"/>
                <w:sz w:val="24"/>
                <w:szCs w:val="24"/>
                <w:lang w:eastAsia="zh-CN"/>
              </w:rPr>
              <w:t>施工便道进行平整</w:t>
            </w:r>
            <w:r>
              <w:rPr>
                <w:rFonts w:hint="eastAsia" w:ascii="Times New Roman" w:hAnsi="Times New Roman" w:cs="Times New Roman"/>
                <w:sz w:val="24"/>
                <w:szCs w:val="24"/>
                <w:lang w:eastAsia="zh-CN"/>
              </w:rPr>
              <w:t>和播撒草籽，施工便道选址</w:t>
            </w:r>
            <w:r>
              <w:rPr>
                <w:rFonts w:ascii="Times New Roman" w:hAnsi="Times New Roman" w:cs="Times New Roman"/>
                <w:sz w:val="24"/>
                <w:szCs w:val="24"/>
                <w:lang w:eastAsia="zh-CN"/>
              </w:rPr>
              <w:t>合理。</w:t>
            </w:r>
          </w:p>
          <w:p w14:paraId="0C3C6FC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b、</w:t>
            </w:r>
            <w:r>
              <w:rPr>
                <w:rFonts w:ascii="Times New Roman" w:hAnsi="Times New Roman" w:cs="Times New Roman"/>
                <w:sz w:val="24"/>
                <w:szCs w:val="24"/>
                <w:lang w:eastAsia="zh-CN"/>
              </w:rPr>
              <w:t>料场</w:t>
            </w:r>
          </w:p>
          <w:p w14:paraId="059A16E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项目不设置料场，购买沿线及</w:t>
            </w:r>
            <w:r>
              <w:rPr>
                <w:rFonts w:ascii="Times New Roman" w:hAnsi="Times New Roman" w:cs="Times New Roman"/>
                <w:sz w:val="24"/>
                <w:szCs w:val="24"/>
                <w:lang w:eastAsia="zh-CN"/>
              </w:rPr>
              <w:t>周边既有商品料场</w:t>
            </w:r>
            <w:r>
              <w:rPr>
                <w:rFonts w:hint="eastAsia" w:ascii="Times New Roman" w:hAnsi="Times New Roman" w:cs="Times New Roman"/>
                <w:sz w:val="24"/>
                <w:szCs w:val="24"/>
                <w:lang w:eastAsia="zh-CN"/>
              </w:rPr>
              <w:t>的砂石料</w:t>
            </w:r>
            <w:r>
              <w:rPr>
                <w:rFonts w:ascii="Times New Roman" w:hAnsi="Times New Roman" w:cs="Times New Roman"/>
                <w:sz w:val="24"/>
                <w:szCs w:val="24"/>
                <w:lang w:eastAsia="zh-CN"/>
              </w:rPr>
              <w:t>，商品料场不纳入</w:t>
            </w:r>
            <w:r>
              <w:rPr>
                <w:rFonts w:hint="eastAsia" w:ascii="Times New Roman" w:hAnsi="Times New Roman" w:cs="Times New Roman"/>
                <w:sz w:val="24"/>
                <w:szCs w:val="24"/>
                <w:lang w:eastAsia="zh-CN"/>
              </w:rPr>
              <w:t>本次</w:t>
            </w:r>
            <w:r>
              <w:rPr>
                <w:rFonts w:ascii="Times New Roman" w:hAnsi="Times New Roman" w:cs="Times New Roman"/>
                <w:sz w:val="24"/>
                <w:szCs w:val="24"/>
                <w:lang w:eastAsia="zh-CN"/>
              </w:rPr>
              <w:t>评价范围。</w:t>
            </w:r>
          </w:p>
          <w:p w14:paraId="036DEA2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c、筑路原料制备场站</w:t>
            </w:r>
          </w:p>
          <w:p w14:paraId="2ABB7C4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根据设计，项目综合场站位于</w:t>
            </w:r>
            <w:r>
              <w:rPr>
                <w:rFonts w:ascii="Times New Roman" w:hAnsi="Times New Roman" w:cs="Times New Roman"/>
                <w:sz w:val="24"/>
                <w:szCs w:val="24"/>
                <w:lang w:eastAsia="zh-CN"/>
              </w:rPr>
              <w:t>k124+550路线东侧550m吉木萨尔县物流园内空地上，无不良地质分布，无河流冲沟分布，不涉及重要生境，</w:t>
            </w:r>
            <w:r>
              <w:rPr>
                <w:rFonts w:hint="eastAsia" w:ascii="Times New Roman" w:hAnsi="Times New Roman" w:cs="Times New Roman"/>
                <w:sz w:val="24"/>
                <w:szCs w:val="24"/>
                <w:lang w:eastAsia="zh-CN"/>
              </w:rPr>
              <w:t>周边无环境敏感目标，不纳入本次评价范围</w:t>
            </w:r>
            <w:r>
              <w:rPr>
                <w:rFonts w:ascii="Times New Roman" w:hAnsi="Times New Roman" w:cs="Times New Roman"/>
                <w:sz w:val="24"/>
                <w:szCs w:val="24"/>
                <w:lang w:eastAsia="zh-CN"/>
              </w:rPr>
              <w:t>。</w:t>
            </w:r>
          </w:p>
          <w:p w14:paraId="759C9C64">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d、弃土场</w:t>
            </w:r>
          </w:p>
          <w:p w14:paraId="1428A34A">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w:t>
            </w:r>
            <w:r>
              <w:rPr>
                <w:rFonts w:ascii="Times New Roman" w:hAnsi="Times New Roman" w:cs="Times New Roman"/>
                <w:sz w:val="24"/>
                <w:szCs w:val="24"/>
                <w:lang w:eastAsia="zh-CN"/>
              </w:rPr>
              <w:t>1#弃土场（k37+060西侧约14.2km）</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2#弃土场（k126+200东南侧约3km）</w:t>
            </w:r>
            <w:r>
              <w:rPr>
                <w:rFonts w:hint="eastAsia" w:ascii="Times New Roman" w:hAnsi="Times New Roman" w:cs="Times New Roman"/>
                <w:sz w:val="24"/>
                <w:szCs w:val="24"/>
                <w:lang w:eastAsia="zh-CN"/>
              </w:rPr>
              <w:t>不在不良地质区域，地势相对低洼，避开了城镇交通的可视范围，占用地类为荒地，地表植被盖度较低</w:t>
            </w:r>
            <w:r>
              <w:rPr>
                <w:rFonts w:ascii="Times New Roman" w:hAnsi="Times New Roman" w:cs="Times New Roman"/>
                <w:sz w:val="24"/>
                <w:szCs w:val="24"/>
                <w:lang w:eastAsia="zh-CN"/>
              </w:rPr>
              <w:t>，施工</w:t>
            </w:r>
            <w:r>
              <w:rPr>
                <w:rFonts w:hint="eastAsia" w:ascii="Times New Roman" w:hAnsi="Times New Roman" w:cs="Times New Roman"/>
                <w:sz w:val="24"/>
                <w:szCs w:val="24"/>
                <w:lang w:eastAsia="zh-CN"/>
              </w:rPr>
              <w:t>弃土</w:t>
            </w:r>
            <w:r>
              <w:rPr>
                <w:rFonts w:ascii="Times New Roman" w:hAnsi="Times New Roman" w:cs="Times New Roman"/>
                <w:sz w:val="24"/>
                <w:szCs w:val="24"/>
                <w:lang w:eastAsia="zh-CN"/>
              </w:rPr>
              <w:t>对区域植被破坏较小，不会导致较大生物量损失，</w:t>
            </w:r>
            <w:r>
              <w:rPr>
                <w:rFonts w:hint="eastAsia" w:ascii="Times New Roman" w:hAnsi="Times New Roman" w:cs="Times New Roman"/>
                <w:sz w:val="24"/>
                <w:szCs w:val="24"/>
                <w:lang w:eastAsia="zh-CN"/>
              </w:rPr>
              <w:t>弃土场</w:t>
            </w:r>
            <w:r>
              <w:rPr>
                <w:rFonts w:ascii="Times New Roman" w:hAnsi="Times New Roman" w:cs="Times New Roman"/>
                <w:sz w:val="24"/>
                <w:szCs w:val="24"/>
                <w:lang w:eastAsia="zh-CN"/>
              </w:rPr>
              <w:t>选址合理。</w:t>
            </w:r>
          </w:p>
          <w:p w14:paraId="437DC824">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4</w:t>
            </w:r>
            <w:r>
              <w:rPr>
                <w:rFonts w:hint="eastAsia" w:ascii="Times New Roman" w:hAnsi="Times New Roman" w:cs="Times New Roman"/>
                <w:sz w:val="24"/>
                <w:szCs w:val="24"/>
                <w:lang w:eastAsia="zh-CN"/>
              </w:rPr>
              <w:t>）项目占用新疆吉木萨尔县国家沙化土地封禁保护区环境合理性分析</w:t>
            </w:r>
          </w:p>
          <w:p w14:paraId="6EA590D3">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本项目选线为由北向南走向，沿着现有道路进行改扩建，项目</w:t>
            </w:r>
            <w:r>
              <w:rPr>
                <w:rFonts w:ascii="Times New Roman" w:hAnsi="Times New Roman" w:cs="Times New Roman"/>
                <w:sz w:val="24"/>
                <w:szCs w:val="24"/>
                <w:lang w:eastAsia="zh-CN"/>
              </w:rPr>
              <w:t>k49+550-k85+360段涉及穿越新疆吉木萨尔县国家沙化土地封禁保护区，封禁保护区东西方向平均宽度约5km，南北方向长约35.81km，如若改线施工，势必新增大量的生态扰动和破坏，工程量巨大，且会造成现有老路区间路段闲置浪费，本项目对施工占用破坏的封禁保护区内的草方格沙障按照“占一补一”的原则实施生态补偿，新建草方格沙障位于项目k49+550-k85+360段封禁保护区原有草方格沙障边界外围。项目已取得国家林业和草原局同意项目占用新疆吉木萨尔县国家</w:t>
            </w:r>
            <w:r>
              <w:rPr>
                <w:rFonts w:hint="eastAsia" w:ascii="Times New Roman" w:hAnsi="Times New Roman" w:cs="Times New Roman"/>
                <w:sz w:val="24"/>
                <w:szCs w:val="24"/>
                <w:lang w:eastAsia="zh-CN"/>
              </w:rPr>
              <w:t>沙化土地封禁保护区的复函。因此，项目占用新疆吉木萨尔县国家沙化土地封禁保护区选址是合理的。</w:t>
            </w:r>
          </w:p>
          <w:p w14:paraId="29B34138">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5</w:t>
            </w:r>
            <w:r>
              <w:rPr>
                <w:rFonts w:hint="eastAsia" w:ascii="Times New Roman" w:hAnsi="Times New Roman" w:cs="Times New Roman"/>
                <w:sz w:val="24"/>
                <w:szCs w:val="24"/>
                <w:lang w:eastAsia="zh-CN"/>
              </w:rPr>
              <w:t>）项目占用吉木萨尔北庭国家湿地公园环境合理性分析</w:t>
            </w:r>
          </w:p>
          <w:p w14:paraId="21347D8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吉木萨尔县林业和草原局组织工作人员对项目占用湿地公园情况进行了现场踏勘，项目涉及穿越吉木萨尔北庭国家湿地公园的桩号区间为：</w:t>
            </w:r>
            <w:r>
              <w:rPr>
                <w:rFonts w:ascii="Times New Roman" w:hAnsi="Times New Roman" w:cs="Times New Roman"/>
                <w:sz w:val="24"/>
                <w:szCs w:val="24"/>
                <w:lang w:eastAsia="zh-CN"/>
              </w:rPr>
              <w:t>k118+480-k119+370，</w:t>
            </w:r>
            <w:r>
              <w:rPr>
                <w:rFonts w:hint="eastAsia" w:ascii="Times New Roman" w:hAnsi="Times New Roman" w:cs="Times New Roman"/>
                <w:sz w:val="24"/>
                <w:szCs w:val="24"/>
                <w:lang w:eastAsia="zh-CN"/>
              </w:rPr>
              <w:t>项目改扩建公路为南北走向，若避开湿地公园需将公路向西侧绕行，需多绕行1</w:t>
            </w: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km，且需穿行基本农田和居民区，为避免穿行基本农田、居民聚集区，造成更多生态环境破坏和扰动，又保证原有道路的有效利用，综合考虑生态、经济因素、节约集约利用土地，尽可能不占或者少占湿地的原则，最终选择了沿用原有公路的建设方案，于原有公路西侧扩建，项目不可避让的占用湿地公园。项目占用湿地公园面积</w:t>
            </w:r>
            <w:r>
              <w:rPr>
                <w:rFonts w:ascii="Times New Roman" w:hAnsi="Times New Roman" w:cs="Times New Roman"/>
                <w:sz w:val="24"/>
                <w:szCs w:val="24"/>
                <w:lang w:eastAsia="zh-CN"/>
              </w:rPr>
              <w:t>0.8455公顷，涉及使用河流水面0.0050公顷、坑塘水面0.1933公顷，占用湿地公园总面积的0.0363%，均为一般湿地。</w:t>
            </w:r>
            <w:r>
              <w:rPr>
                <w:rFonts w:hint="eastAsia" w:ascii="Times New Roman" w:hAnsi="Times New Roman" w:cs="Times New Roman"/>
                <w:sz w:val="24"/>
                <w:szCs w:val="24"/>
                <w:lang w:eastAsia="zh-CN"/>
              </w:rPr>
              <w:t>项目已取得自治区林业和草原局同意穿越湿地公园的复函。因此，项目占用吉木萨尔北庭国家湿地公园选址是合理的。</w:t>
            </w:r>
          </w:p>
          <w:p w14:paraId="760D0434">
            <w:pPr>
              <w:rPr>
                <w:rFonts w:ascii="Times New Roman" w:hAnsi="Times New Roman" w:cs="Times New Roman"/>
                <w:lang w:eastAsia="zh-CN"/>
              </w:rPr>
            </w:pPr>
          </w:p>
          <w:p w14:paraId="6C67332D">
            <w:pPr>
              <w:rPr>
                <w:rFonts w:ascii="Times New Roman" w:hAnsi="Times New Roman" w:cs="Times New Roman"/>
                <w:lang w:eastAsia="zh-CN"/>
              </w:rPr>
            </w:pPr>
          </w:p>
          <w:p w14:paraId="4E2341F4">
            <w:pPr>
              <w:rPr>
                <w:rFonts w:ascii="Times New Roman" w:hAnsi="Times New Roman" w:cs="Times New Roman"/>
                <w:lang w:eastAsia="zh-CN"/>
              </w:rPr>
            </w:pPr>
          </w:p>
          <w:p w14:paraId="39A60A2E">
            <w:pPr>
              <w:rPr>
                <w:rFonts w:ascii="Times New Roman" w:hAnsi="Times New Roman" w:cs="Times New Roman"/>
                <w:lang w:eastAsia="zh-CN"/>
              </w:rPr>
            </w:pPr>
          </w:p>
          <w:p w14:paraId="31E146B3">
            <w:pPr>
              <w:rPr>
                <w:rFonts w:ascii="Times New Roman" w:hAnsi="Times New Roman" w:cs="Times New Roman"/>
                <w:lang w:eastAsia="zh-CN"/>
              </w:rPr>
            </w:pPr>
          </w:p>
          <w:p w14:paraId="2A621F83">
            <w:pPr>
              <w:rPr>
                <w:rFonts w:ascii="Times New Roman" w:hAnsi="Times New Roman" w:cs="Times New Roman"/>
                <w:lang w:eastAsia="zh-CN"/>
              </w:rPr>
            </w:pPr>
          </w:p>
          <w:p w14:paraId="115FC04E">
            <w:pPr>
              <w:rPr>
                <w:rFonts w:ascii="Times New Roman" w:hAnsi="Times New Roman" w:cs="Times New Roman"/>
                <w:lang w:eastAsia="zh-CN"/>
              </w:rPr>
            </w:pPr>
          </w:p>
          <w:p w14:paraId="68EFB8D1">
            <w:pPr>
              <w:rPr>
                <w:rFonts w:ascii="Times New Roman" w:hAnsi="Times New Roman" w:cs="Times New Roman"/>
                <w:lang w:eastAsia="zh-CN"/>
              </w:rPr>
            </w:pPr>
          </w:p>
          <w:p w14:paraId="4F9210BA">
            <w:pPr>
              <w:rPr>
                <w:rFonts w:ascii="Times New Roman" w:hAnsi="Times New Roman" w:cs="Times New Roman"/>
                <w:lang w:eastAsia="zh-CN"/>
              </w:rPr>
            </w:pPr>
          </w:p>
          <w:p w14:paraId="31989181">
            <w:pPr>
              <w:rPr>
                <w:rFonts w:ascii="Times New Roman" w:hAnsi="Times New Roman" w:cs="Times New Roman"/>
                <w:lang w:eastAsia="zh-CN"/>
              </w:rPr>
            </w:pPr>
          </w:p>
          <w:p w14:paraId="4512C4D9">
            <w:pPr>
              <w:rPr>
                <w:rFonts w:ascii="Times New Roman" w:hAnsi="Times New Roman" w:cs="Times New Roman"/>
                <w:lang w:eastAsia="zh-CN"/>
              </w:rPr>
            </w:pPr>
          </w:p>
          <w:p w14:paraId="7C16A181">
            <w:pPr>
              <w:rPr>
                <w:rFonts w:ascii="Times New Roman" w:hAnsi="Times New Roman" w:cs="Times New Roman"/>
                <w:lang w:eastAsia="zh-CN"/>
              </w:rPr>
            </w:pPr>
          </w:p>
          <w:p w14:paraId="0B3EC88E">
            <w:pPr>
              <w:rPr>
                <w:rFonts w:ascii="Times New Roman" w:hAnsi="Times New Roman" w:cs="Times New Roman"/>
                <w:lang w:eastAsia="zh-CN"/>
              </w:rPr>
            </w:pPr>
          </w:p>
          <w:p w14:paraId="02A09847">
            <w:pPr>
              <w:rPr>
                <w:rFonts w:ascii="Times New Roman" w:hAnsi="Times New Roman" w:cs="Times New Roman"/>
                <w:lang w:eastAsia="zh-CN"/>
              </w:rPr>
            </w:pPr>
          </w:p>
          <w:p w14:paraId="65FE811B">
            <w:pPr>
              <w:rPr>
                <w:rFonts w:ascii="Times New Roman" w:hAnsi="Times New Roman" w:cs="Times New Roman"/>
                <w:lang w:eastAsia="zh-CN"/>
              </w:rPr>
            </w:pPr>
          </w:p>
          <w:p w14:paraId="6FABD42E">
            <w:pPr>
              <w:rPr>
                <w:rFonts w:ascii="Times New Roman" w:hAnsi="Times New Roman" w:cs="Times New Roman"/>
                <w:lang w:eastAsia="zh-CN"/>
              </w:rPr>
            </w:pPr>
          </w:p>
          <w:p w14:paraId="29554289">
            <w:pPr>
              <w:rPr>
                <w:rFonts w:ascii="Times New Roman" w:hAnsi="Times New Roman" w:cs="Times New Roman"/>
                <w:lang w:eastAsia="zh-CN"/>
              </w:rPr>
            </w:pPr>
          </w:p>
          <w:p w14:paraId="74D6E279">
            <w:pPr>
              <w:rPr>
                <w:rFonts w:ascii="Times New Roman" w:hAnsi="Times New Roman" w:cs="Times New Roman"/>
                <w:lang w:eastAsia="zh-CN"/>
              </w:rPr>
            </w:pPr>
          </w:p>
          <w:p w14:paraId="411A887D">
            <w:pPr>
              <w:rPr>
                <w:rFonts w:ascii="Times New Roman" w:hAnsi="Times New Roman" w:cs="Times New Roman"/>
                <w:lang w:eastAsia="zh-CN"/>
              </w:rPr>
            </w:pPr>
          </w:p>
          <w:p w14:paraId="2997BEC8">
            <w:pPr>
              <w:rPr>
                <w:rFonts w:ascii="Times New Roman" w:hAnsi="Times New Roman" w:cs="Times New Roman"/>
                <w:lang w:eastAsia="zh-CN"/>
              </w:rPr>
            </w:pPr>
          </w:p>
          <w:p w14:paraId="546E82A3">
            <w:pPr>
              <w:rPr>
                <w:rFonts w:ascii="Times New Roman" w:hAnsi="Times New Roman" w:cs="Times New Roman"/>
                <w:lang w:eastAsia="zh-CN"/>
              </w:rPr>
            </w:pPr>
          </w:p>
          <w:p w14:paraId="7C5028E3">
            <w:pPr>
              <w:rPr>
                <w:rFonts w:ascii="Times New Roman" w:hAnsi="Times New Roman" w:cs="Times New Roman"/>
                <w:lang w:eastAsia="zh-CN"/>
              </w:rPr>
            </w:pPr>
          </w:p>
          <w:p w14:paraId="738326C6">
            <w:pPr>
              <w:rPr>
                <w:rFonts w:ascii="Times New Roman" w:hAnsi="Times New Roman" w:cs="Times New Roman"/>
                <w:lang w:eastAsia="zh-CN"/>
              </w:rPr>
            </w:pPr>
          </w:p>
          <w:p w14:paraId="0A85A4C7">
            <w:pPr>
              <w:rPr>
                <w:rFonts w:ascii="Times New Roman" w:hAnsi="Times New Roman" w:cs="Times New Roman"/>
                <w:lang w:eastAsia="zh-CN"/>
              </w:rPr>
            </w:pPr>
          </w:p>
          <w:p w14:paraId="06E5D7B4">
            <w:pPr>
              <w:rPr>
                <w:rFonts w:ascii="Times New Roman" w:hAnsi="Times New Roman" w:cs="Times New Roman"/>
                <w:lang w:eastAsia="zh-CN"/>
              </w:rPr>
            </w:pPr>
          </w:p>
          <w:p w14:paraId="148FA834">
            <w:pPr>
              <w:rPr>
                <w:rFonts w:ascii="Times New Roman" w:hAnsi="Times New Roman" w:cs="Times New Roman"/>
                <w:lang w:eastAsia="zh-CN"/>
              </w:rPr>
            </w:pPr>
          </w:p>
          <w:p w14:paraId="24343722">
            <w:pPr>
              <w:rPr>
                <w:rFonts w:ascii="Times New Roman" w:hAnsi="Times New Roman" w:cs="Times New Roman"/>
                <w:lang w:eastAsia="zh-CN"/>
              </w:rPr>
            </w:pPr>
          </w:p>
          <w:p w14:paraId="5C07878F">
            <w:pPr>
              <w:rPr>
                <w:rFonts w:ascii="Times New Roman" w:hAnsi="Times New Roman" w:cs="Times New Roman"/>
                <w:lang w:eastAsia="zh-CN"/>
              </w:rPr>
            </w:pPr>
          </w:p>
          <w:p w14:paraId="2DF7E4B8">
            <w:pPr>
              <w:rPr>
                <w:rFonts w:ascii="Times New Roman" w:hAnsi="Times New Roman" w:cs="Times New Roman"/>
                <w:lang w:eastAsia="zh-CN"/>
              </w:rPr>
            </w:pPr>
          </w:p>
          <w:p w14:paraId="1A0E3200">
            <w:pPr>
              <w:rPr>
                <w:rFonts w:ascii="Times New Roman" w:hAnsi="Times New Roman" w:cs="Times New Roman"/>
                <w:lang w:eastAsia="zh-CN"/>
              </w:rPr>
            </w:pPr>
          </w:p>
          <w:p w14:paraId="2DA0E498">
            <w:pPr>
              <w:ind w:firstLine="440" w:firstLineChars="200"/>
              <w:rPr>
                <w:rFonts w:ascii="Times New Roman" w:hAnsi="Times New Roman" w:cs="Times New Roman"/>
                <w:lang w:eastAsia="zh-CN"/>
              </w:rPr>
            </w:pPr>
          </w:p>
        </w:tc>
      </w:tr>
    </w:tbl>
    <w:p w14:paraId="4D186926">
      <w:pPr>
        <w:rPr>
          <w:rFonts w:ascii="Times New Roman" w:hAnsi="Times New Roman" w:cs="Times New Roman"/>
          <w:sz w:val="21"/>
          <w:lang w:eastAsia="zh-CN"/>
        </w:rPr>
        <w:sectPr>
          <w:pgSz w:w="11913" w:h="16850"/>
          <w:pgMar w:top="1134" w:right="1134" w:bottom="1134" w:left="1134" w:header="0" w:footer="1043" w:gutter="0"/>
          <w:cols w:space="720" w:num="1"/>
        </w:sectPr>
      </w:pPr>
    </w:p>
    <w:p w14:paraId="6438A23E">
      <w:pPr>
        <w:pStyle w:val="2"/>
        <w:ind w:left="0"/>
        <w:jc w:val="center"/>
        <w:rPr>
          <w:rFonts w:ascii="黑体" w:hAnsi="黑体" w:eastAsia="黑体" w:cs="Times New Roman"/>
          <w:b/>
          <w:bCs/>
          <w:lang w:eastAsia="zh-CN"/>
        </w:rPr>
      </w:pPr>
      <w:bookmarkStart w:id="6" w:name="_Toc119927462"/>
      <w:r>
        <w:rPr>
          <w:rFonts w:ascii="黑体" w:hAnsi="黑体" w:eastAsia="黑体" w:cs="Times New Roman"/>
          <w:b/>
          <w:bCs/>
          <w:lang w:eastAsia="zh-CN"/>
        </w:rPr>
        <w:t>五、主要生态环境保护措施</w:t>
      </w:r>
      <w:bookmarkEnd w:id="6"/>
    </w:p>
    <w:tbl>
      <w:tblPr>
        <w:tblStyle w:val="1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91"/>
        <w:gridCol w:w="8874"/>
      </w:tblGrid>
      <w:tr w14:paraId="1366B2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9" w:hRule="atLeast"/>
        </w:trPr>
        <w:tc>
          <w:tcPr>
            <w:tcW w:w="409" w:type="pct"/>
            <w:tcBorders>
              <w:bottom w:val="single" w:color="000000" w:sz="4" w:space="0"/>
              <w:right w:val="single" w:color="000000" w:sz="4" w:space="0"/>
            </w:tcBorders>
            <w:vAlign w:val="center"/>
          </w:tcPr>
          <w:p w14:paraId="6BB5216D">
            <w:pPr>
              <w:pStyle w:val="18"/>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施工期生态环境保护措施</w:t>
            </w:r>
          </w:p>
        </w:tc>
        <w:tc>
          <w:tcPr>
            <w:tcW w:w="4591" w:type="pct"/>
            <w:tcBorders>
              <w:left w:val="single" w:color="000000" w:sz="4" w:space="0"/>
              <w:bottom w:val="single" w:color="000000" w:sz="4" w:space="0"/>
            </w:tcBorders>
          </w:tcPr>
          <w:p w14:paraId="1ED04AEF">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1、施工期生态环境保护措施</w:t>
            </w:r>
          </w:p>
          <w:p w14:paraId="37D781E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本项目设置生态环境影响专项评价，施工期生态环境保护措施见专项评价。</w:t>
            </w:r>
          </w:p>
          <w:p w14:paraId="619E3A0D">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2、施工期大气环境保护措施</w:t>
            </w:r>
          </w:p>
          <w:p w14:paraId="0E25F019">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（1）施工扬尘、交通扬尘防治措施</w:t>
            </w:r>
          </w:p>
          <w:p w14:paraId="6078ADB8">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①</w:t>
            </w:r>
            <w:r>
              <w:rPr>
                <w:rFonts w:hint="eastAsia" w:ascii="Times New Roman" w:hAnsi="Times New Roman" w:cs="Times New Roman"/>
                <w:sz w:val="24"/>
                <w:szCs w:val="24"/>
                <w:lang w:eastAsia="zh-CN"/>
              </w:rPr>
              <w:t>项目施工至有大气敏感目标路段时，</w:t>
            </w:r>
            <w:r>
              <w:rPr>
                <w:rFonts w:ascii="Times New Roman" w:hAnsi="Times New Roman" w:cs="Times New Roman"/>
                <w:sz w:val="24"/>
                <w:szCs w:val="24"/>
                <w:lang w:eastAsia="zh-CN"/>
              </w:rPr>
              <w:t>实行围挡封闭施工，围挡封闭高度高出作业面1.5m以上并定期清洗、保持完好</w:t>
            </w:r>
            <w:r>
              <w:rPr>
                <w:rFonts w:hint="eastAsia" w:ascii="Times New Roman" w:hAnsi="Times New Roman" w:cs="Times New Roman"/>
                <w:sz w:val="24"/>
                <w:szCs w:val="24"/>
                <w:lang w:eastAsia="zh-CN"/>
              </w:rPr>
              <w:t>、重复使用。</w:t>
            </w:r>
          </w:p>
          <w:p w14:paraId="10AD665B">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②</w:t>
            </w:r>
            <w:r>
              <w:rPr>
                <w:rFonts w:ascii="Times New Roman" w:hAnsi="Times New Roman" w:cs="Times New Roman"/>
                <w:sz w:val="24"/>
                <w:szCs w:val="24"/>
                <w:lang w:eastAsia="zh-CN"/>
              </w:rPr>
              <w:t>施工过程中，</w:t>
            </w:r>
            <w:r>
              <w:rPr>
                <w:rFonts w:hint="eastAsia" w:ascii="Times New Roman" w:hAnsi="Times New Roman" w:cs="Times New Roman"/>
                <w:sz w:val="24"/>
                <w:szCs w:val="24"/>
                <w:lang w:eastAsia="zh-CN"/>
              </w:rPr>
              <w:t>通过</w:t>
            </w:r>
            <w:r>
              <w:rPr>
                <w:rFonts w:ascii="Times New Roman" w:hAnsi="Times New Roman" w:cs="Times New Roman"/>
                <w:sz w:val="24"/>
                <w:szCs w:val="24"/>
                <w:lang w:eastAsia="zh-CN"/>
              </w:rPr>
              <w:t>洒水使作业面保持一定的湿度，对施工场地内松散、干涸的表土经常洒水</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防治</w:t>
            </w:r>
            <w:r>
              <w:rPr>
                <w:rFonts w:hint="eastAsia" w:ascii="Times New Roman" w:hAnsi="Times New Roman" w:cs="Times New Roman"/>
                <w:sz w:val="24"/>
                <w:szCs w:val="24"/>
                <w:lang w:eastAsia="zh-CN"/>
              </w:rPr>
              <w:t>扬尘</w:t>
            </w:r>
            <w:r>
              <w:rPr>
                <w:rFonts w:ascii="Times New Roman" w:hAnsi="Times New Roman" w:cs="Times New Roman"/>
                <w:sz w:val="24"/>
                <w:szCs w:val="24"/>
                <w:lang w:eastAsia="zh-CN"/>
              </w:rPr>
              <w:t>；项目全工期加强路面洒水，保持地面湿度，降低起尘对</w:t>
            </w:r>
            <w:r>
              <w:rPr>
                <w:rFonts w:hint="eastAsia" w:ascii="Times New Roman" w:hAnsi="Times New Roman" w:cs="Times New Roman"/>
                <w:sz w:val="24"/>
                <w:szCs w:val="24"/>
                <w:lang w:eastAsia="zh-CN"/>
              </w:rPr>
              <w:t>周边区域</w:t>
            </w:r>
            <w:r>
              <w:rPr>
                <w:rFonts w:ascii="Times New Roman" w:hAnsi="Times New Roman" w:cs="Times New Roman"/>
                <w:sz w:val="24"/>
                <w:szCs w:val="24"/>
                <w:lang w:eastAsia="zh-CN"/>
              </w:rPr>
              <w:t>带来的影响。</w:t>
            </w:r>
          </w:p>
          <w:p w14:paraId="673C63DC">
            <w:pPr>
              <w:pStyle w:val="18"/>
              <w:spacing w:line="360" w:lineRule="auto"/>
              <w:ind w:firstLine="480" w:firstLineChars="200"/>
              <w:jc w:val="both"/>
              <w:rPr>
                <w:sz w:val="24"/>
                <w:szCs w:val="24"/>
                <w:lang w:eastAsia="zh-CN"/>
              </w:rPr>
            </w:pPr>
            <w:r>
              <w:rPr>
                <w:rFonts w:hint="eastAsia"/>
                <w:sz w:val="24"/>
                <w:szCs w:val="24"/>
                <w:lang w:eastAsia="zh-CN"/>
              </w:rPr>
              <w:t>③</w:t>
            </w:r>
            <w:r>
              <w:rPr>
                <w:sz w:val="24"/>
                <w:szCs w:val="24"/>
                <w:lang w:eastAsia="zh-CN"/>
              </w:rPr>
              <w:t>针对施工任务和施工场地以及天气状况，制定合理的施工计划，</w:t>
            </w:r>
            <w:r>
              <w:rPr>
                <w:rFonts w:ascii="Times New Roman" w:hAnsi="Times New Roman" w:cs="Times New Roman"/>
                <w:sz w:val="24"/>
                <w:szCs w:val="24"/>
                <w:lang w:eastAsia="zh-CN"/>
              </w:rPr>
              <w:t>遇四级及以上大风天气，采取扬尘</w:t>
            </w:r>
            <w:r>
              <w:rPr>
                <w:rFonts w:hint="eastAsia" w:ascii="Times New Roman" w:hAnsi="Times New Roman" w:cs="Times New Roman"/>
                <w:sz w:val="24"/>
                <w:szCs w:val="24"/>
                <w:lang w:eastAsia="zh-CN"/>
              </w:rPr>
              <w:t>防治</w:t>
            </w:r>
            <w:r>
              <w:rPr>
                <w:rFonts w:ascii="Times New Roman" w:hAnsi="Times New Roman" w:cs="Times New Roman"/>
                <w:sz w:val="24"/>
                <w:szCs w:val="24"/>
                <w:lang w:eastAsia="zh-CN"/>
              </w:rPr>
              <w:t>应急措施，停止土方作业，同时</w:t>
            </w:r>
            <w:r>
              <w:rPr>
                <w:rFonts w:hint="eastAsia" w:ascii="Times New Roman" w:hAnsi="Times New Roman" w:cs="Times New Roman"/>
                <w:sz w:val="24"/>
                <w:szCs w:val="24"/>
                <w:lang w:eastAsia="zh-CN"/>
              </w:rPr>
              <w:t>施工作业面</w:t>
            </w:r>
            <w:r>
              <w:rPr>
                <w:rFonts w:ascii="Times New Roman" w:hAnsi="Times New Roman" w:cs="Times New Roman"/>
                <w:sz w:val="24"/>
                <w:szCs w:val="24"/>
                <w:lang w:eastAsia="zh-CN"/>
              </w:rPr>
              <w:t>覆盖防尘布、遮网。</w:t>
            </w:r>
          </w:p>
          <w:p w14:paraId="12CFCE9C">
            <w:pPr>
              <w:pStyle w:val="18"/>
              <w:spacing w:line="360" w:lineRule="auto"/>
              <w:ind w:firstLine="480" w:firstLineChars="200"/>
              <w:jc w:val="both"/>
              <w:rPr>
                <w:sz w:val="24"/>
                <w:szCs w:val="24"/>
                <w:lang w:eastAsia="zh-CN"/>
              </w:rPr>
            </w:pPr>
            <w:r>
              <w:rPr>
                <w:rFonts w:hint="eastAsia"/>
                <w:sz w:val="24"/>
                <w:szCs w:val="24"/>
                <w:lang w:eastAsia="zh-CN"/>
              </w:rPr>
              <w:t>④施工现场各类施工材料有序进料，原则上不堆存超过一周的施工用料量，尽量减少施工材料堆放时间和堆存量，加快物料的周转速度。施工材料堆放设置标牌，实行分类堆放。施工材料堆放整齐有序，无场外和占道堆放物料现象，无露天敞开式堆放易产生扬尘的施工材料。对于场地内易起尘的物料均采取袋装、覆盖等遮挡措施，必要时进行防尘布遮蔽。砂石料临时堆放设置在下风向合理位置。</w:t>
            </w:r>
          </w:p>
          <w:p w14:paraId="4935E86D">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⑤</w:t>
            </w:r>
            <w:r>
              <w:rPr>
                <w:rFonts w:ascii="Times New Roman" w:hAnsi="Times New Roman" w:cs="Times New Roman"/>
                <w:sz w:val="24"/>
                <w:szCs w:val="24"/>
                <w:lang w:eastAsia="zh-CN"/>
              </w:rPr>
              <w:t>运输车辆驶离工地前，清洗车轮及车身，不得带泥上路。</w:t>
            </w:r>
          </w:p>
          <w:p w14:paraId="34226874">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⑥</w:t>
            </w:r>
            <w:r>
              <w:rPr>
                <w:rFonts w:ascii="Times New Roman" w:hAnsi="Times New Roman" w:cs="Times New Roman"/>
                <w:sz w:val="24"/>
                <w:szCs w:val="24"/>
                <w:lang w:eastAsia="zh-CN"/>
              </w:rPr>
              <w:t>运输车辆进</w:t>
            </w:r>
            <w:r>
              <w:rPr>
                <w:rFonts w:hint="eastAsia" w:ascii="Times New Roman" w:hAnsi="Times New Roman" w:cs="Times New Roman"/>
                <w:sz w:val="24"/>
                <w:szCs w:val="24"/>
                <w:lang w:eastAsia="zh-CN"/>
              </w:rPr>
              <w:t>出</w:t>
            </w:r>
            <w:r>
              <w:rPr>
                <w:rFonts w:ascii="Times New Roman" w:hAnsi="Times New Roman" w:cs="Times New Roman"/>
                <w:sz w:val="24"/>
                <w:szCs w:val="24"/>
                <w:lang w:eastAsia="zh-CN"/>
              </w:rPr>
              <w:t>施工场地低速行驶，场地内运输通道及时清扫</w:t>
            </w:r>
            <w:r>
              <w:rPr>
                <w:rFonts w:hint="eastAsia" w:ascii="Times New Roman" w:hAnsi="Times New Roman" w:cs="Times New Roman"/>
                <w:sz w:val="24"/>
                <w:szCs w:val="24"/>
                <w:lang w:eastAsia="zh-CN"/>
              </w:rPr>
              <w:t>、洒水</w:t>
            </w:r>
            <w:r>
              <w:rPr>
                <w:rFonts w:ascii="Times New Roman" w:hAnsi="Times New Roman" w:cs="Times New Roman"/>
                <w:sz w:val="24"/>
                <w:szCs w:val="24"/>
                <w:lang w:eastAsia="zh-CN"/>
              </w:rPr>
              <w:t>，减少道路扬尘。车辆装载的物料、垃圾、渣土高度不得超过车辆槽帮上沿，车斗用苫布</w:t>
            </w:r>
            <w:r>
              <w:rPr>
                <w:rFonts w:hint="eastAsia" w:ascii="Times New Roman" w:hAnsi="Times New Roman" w:cs="Times New Roman"/>
                <w:sz w:val="24"/>
                <w:szCs w:val="24"/>
                <w:lang w:eastAsia="zh-CN"/>
              </w:rPr>
              <w:t>遮蔽</w:t>
            </w:r>
            <w:r>
              <w:rPr>
                <w:rFonts w:ascii="Times New Roman" w:hAnsi="Times New Roman" w:cs="Times New Roman"/>
                <w:sz w:val="24"/>
                <w:szCs w:val="24"/>
                <w:lang w:eastAsia="zh-CN"/>
              </w:rPr>
              <w:t>或者采用密闭车斗，苫布边缘至少要遮住槽帮上沿以下15cm，避免渣土掉落引起扬尘。</w:t>
            </w:r>
          </w:p>
          <w:p w14:paraId="270DEF3A">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（2）燃油废气防治措施</w:t>
            </w:r>
          </w:p>
          <w:p w14:paraId="5C9F49AD">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①施工机械设备、运输车辆使用标准柴油，加强机械、车辆维护保养，鼓励优先使用清洁能源货车，禁止使用国四及以下燃油货车，禁止国一及冒黑烟非道路移动机械进场施工，入场前须完成编码登记。</w:t>
            </w:r>
          </w:p>
          <w:p w14:paraId="65DA683B">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hint="eastAsia" w:ascii="Times New Roman" w:hAnsi="Times New Roman" w:cs="Times New Roman"/>
                <w:sz w:val="24"/>
                <w:szCs w:val="24"/>
                <w:lang w:eastAsia="zh-CN"/>
              </w:rPr>
              <w:t>加强施工机械设备、运输车辆的日常检修和保养，使其始终保持良好运行工况。</w:t>
            </w:r>
            <w:r>
              <w:rPr>
                <w:rFonts w:ascii="Times New Roman" w:hAnsi="Times New Roman" w:cs="Times New Roman"/>
                <w:sz w:val="24"/>
                <w:szCs w:val="24"/>
                <w:lang w:eastAsia="zh-CN"/>
              </w:rPr>
              <w:t>项目周边路网发达，</w:t>
            </w:r>
            <w:r>
              <w:rPr>
                <w:rFonts w:hint="eastAsia" w:ascii="Times New Roman" w:hAnsi="Times New Roman" w:cs="Times New Roman"/>
                <w:sz w:val="24"/>
                <w:szCs w:val="24"/>
                <w:lang w:eastAsia="zh-CN"/>
              </w:rPr>
              <w:t>市区内具备</w:t>
            </w:r>
            <w:r>
              <w:rPr>
                <w:rFonts w:ascii="Times New Roman" w:hAnsi="Times New Roman" w:cs="Times New Roman"/>
                <w:sz w:val="24"/>
                <w:szCs w:val="24"/>
                <w:lang w:eastAsia="zh-CN"/>
              </w:rPr>
              <w:t>维修保养能力。</w:t>
            </w:r>
          </w:p>
          <w:p w14:paraId="06DD9F57">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沥青烟气、焊接烟尘</w:t>
            </w:r>
            <w:r>
              <w:rPr>
                <w:rFonts w:ascii="Times New Roman" w:hAnsi="Times New Roman" w:cs="Times New Roman"/>
                <w:sz w:val="24"/>
                <w:szCs w:val="24"/>
                <w:lang w:eastAsia="zh-CN"/>
              </w:rPr>
              <w:t>防治措施</w:t>
            </w:r>
          </w:p>
          <w:p w14:paraId="7F368267">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路面铺装、管线焊接工程尽量选择在对环境影响较小，废气易扩散的气象条件下集中施工、快速完成。</w:t>
            </w:r>
          </w:p>
          <w:p w14:paraId="6935934A">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施工期内，通过采取以上废气防治措施，可将项目施工对周围环境空气质量的影响降至最低。</w:t>
            </w:r>
          </w:p>
          <w:p w14:paraId="4760710C">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2、施工期水环境保护措施</w:t>
            </w:r>
          </w:p>
          <w:p w14:paraId="4B9336B5">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①</w:t>
            </w:r>
            <w:r>
              <w:rPr>
                <w:rFonts w:ascii="Times New Roman" w:hAnsi="Times New Roman" w:cs="Times New Roman"/>
                <w:sz w:val="24"/>
                <w:szCs w:val="24"/>
                <w:lang w:eastAsia="zh-CN"/>
              </w:rPr>
              <w:t>施工材料堆放时采取遮蔽措施，防止降雨冲刷造成</w:t>
            </w:r>
            <w:r>
              <w:rPr>
                <w:rFonts w:hint="eastAsia" w:ascii="Times New Roman" w:hAnsi="Times New Roman" w:cs="Times New Roman"/>
                <w:sz w:val="24"/>
                <w:szCs w:val="24"/>
                <w:lang w:eastAsia="zh-CN"/>
              </w:rPr>
              <w:t>环境</w:t>
            </w:r>
            <w:r>
              <w:rPr>
                <w:rFonts w:ascii="Times New Roman" w:hAnsi="Times New Roman" w:cs="Times New Roman"/>
                <w:sz w:val="24"/>
                <w:szCs w:val="24"/>
                <w:lang w:eastAsia="zh-CN"/>
              </w:rPr>
              <w:t>污染。</w:t>
            </w:r>
          </w:p>
          <w:p w14:paraId="69A6AB12">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②</w:t>
            </w:r>
            <w:r>
              <w:rPr>
                <w:rFonts w:ascii="Times New Roman" w:hAnsi="Times New Roman" w:cs="Times New Roman"/>
                <w:sz w:val="24"/>
                <w:szCs w:val="24"/>
                <w:lang w:eastAsia="zh-CN"/>
              </w:rPr>
              <w:t>加强施工期管理，加强对运输车辆、施工机械定期检修保养，避免在施工过程中燃油、机油的跑、冒、滴、漏。</w:t>
            </w:r>
          </w:p>
          <w:p w14:paraId="39FDD244">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③施工单位文明施工，</w:t>
            </w:r>
            <w:r>
              <w:rPr>
                <w:rFonts w:ascii="Times New Roman" w:hAnsi="Times New Roman" w:cs="Times New Roman"/>
                <w:sz w:val="24"/>
                <w:szCs w:val="24"/>
                <w:lang w:eastAsia="zh-CN"/>
              </w:rPr>
              <w:t>按</w:t>
            </w:r>
            <w:r>
              <w:rPr>
                <w:rFonts w:hint="eastAsia" w:ascii="Times New Roman" w:hAnsi="Times New Roman" w:cs="Times New Roman"/>
                <w:sz w:val="24"/>
                <w:szCs w:val="24"/>
                <w:lang w:eastAsia="zh-CN"/>
              </w:rPr>
              <w:t>环保</w:t>
            </w:r>
            <w:r>
              <w:rPr>
                <w:rFonts w:ascii="Times New Roman" w:hAnsi="Times New Roman" w:cs="Times New Roman"/>
                <w:sz w:val="24"/>
                <w:szCs w:val="24"/>
                <w:lang w:eastAsia="zh-CN"/>
              </w:rPr>
              <w:t>要求处置</w:t>
            </w:r>
            <w:r>
              <w:rPr>
                <w:rFonts w:hint="eastAsia" w:ascii="Times New Roman" w:hAnsi="Times New Roman" w:cs="Times New Roman"/>
                <w:sz w:val="24"/>
                <w:szCs w:val="24"/>
                <w:lang w:eastAsia="zh-CN"/>
              </w:rPr>
              <w:t>相关施工废水</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严禁施工废水乱排、漫流污染施工场地，</w:t>
            </w:r>
            <w:r>
              <w:rPr>
                <w:rFonts w:ascii="Times New Roman" w:hAnsi="Times New Roman" w:cs="Times New Roman"/>
                <w:sz w:val="24"/>
                <w:szCs w:val="24"/>
                <w:lang w:eastAsia="zh-CN"/>
              </w:rPr>
              <w:t>禁止</w:t>
            </w:r>
            <w:r>
              <w:rPr>
                <w:rFonts w:hint="eastAsia" w:ascii="Times New Roman" w:hAnsi="Times New Roman" w:cs="Times New Roman"/>
                <w:sz w:val="24"/>
                <w:szCs w:val="24"/>
                <w:lang w:eastAsia="zh-CN"/>
              </w:rPr>
              <w:t>施工废水</w:t>
            </w:r>
            <w:r>
              <w:rPr>
                <w:rFonts w:ascii="Times New Roman" w:hAnsi="Times New Roman" w:cs="Times New Roman"/>
                <w:sz w:val="24"/>
                <w:szCs w:val="24"/>
                <w:lang w:eastAsia="zh-CN"/>
              </w:rPr>
              <w:t>直接排放</w:t>
            </w:r>
            <w:r>
              <w:rPr>
                <w:rFonts w:hint="eastAsia" w:ascii="Times New Roman" w:hAnsi="Times New Roman" w:cs="Times New Roman"/>
                <w:sz w:val="24"/>
                <w:szCs w:val="24"/>
                <w:lang w:eastAsia="zh-CN"/>
              </w:rPr>
              <w:t>造成环境污染</w:t>
            </w:r>
            <w:r>
              <w:rPr>
                <w:rFonts w:ascii="Times New Roman" w:hAnsi="Times New Roman" w:cs="Times New Roman"/>
                <w:sz w:val="24"/>
                <w:szCs w:val="24"/>
                <w:lang w:eastAsia="zh-CN"/>
              </w:rPr>
              <w:t>。</w:t>
            </w:r>
          </w:p>
          <w:p w14:paraId="449CF792">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④</w:t>
            </w:r>
            <w:r>
              <w:rPr>
                <w:rFonts w:hint="eastAsia" w:ascii="Times New Roman" w:hAnsi="Times New Roman" w:cs="Times New Roman"/>
                <w:sz w:val="24"/>
                <w:szCs w:val="24"/>
                <w:lang w:eastAsia="zh-CN"/>
              </w:rPr>
              <w:t>施工现场设置移动式环保厕所收集施工现场生活污水，定期拉运至吉木萨尔县污水处理厂处理。</w:t>
            </w:r>
          </w:p>
          <w:p w14:paraId="621D4915">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⑤</w:t>
            </w:r>
            <w:r>
              <w:rPr>
                <w:rFonts w:hint="eastAsia" w:ascii="Times New Roman" w:hAnsi="Times New Roman" w:cs="Times New Roman"/>
                <w:sz w:val="24"/>
                <w:szCs w:val="24"/>
                <w:lang w:eastAsia="zh-CN"/>
              </w:rPr>
              <w:t>禁止在道路沿线周边地表水体或河道内冲洗施工机械设备、运输车辆，抛洒杂物，倾倒固废。</w:t>
            </w:r>
          </w:p>
          <w:p w14:paraId="1543B675">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3、施工期声环境保护措施</w:t>
            </w:r>
          </w:p>
          <w:p w14:paraId="0758DF0A">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项目施工期主要采取的噪声污染防治措施具体如下：</w:t>
            </w:r>
          </w:p>
          <w:p w14:paraId="7771485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①项目施工至有声环境敏感目标路段时，施工场界外设置</w:t>
            </w:r>
            <w:r>
              <w:rPr>
                <w:rFonts w:ascii="Times New Roman" w:hAnsi="Times New Roman" w:cs="Times New Roman"/>
                <w:sz w:val="24"/>
                <w:szCs w:val="24"/>
                <w:lang w:eastAsia="zh-CN"/>
              </w:rPr>
              <w:t>2.5m高的彩钢围挡，</w:t>
            </w:r>
            <w:r>
              <w:rPr>
                <w:rFonts w:hint="eastAsia" w:ascii="Times New Roman" w:hAnsi="Times New Roman" w:cs="Times New Roman"/>
                <w:sz w:val="24"/>
                <w:szCs w:val="24"/>
                <w:lang w:eastAsia="zh-CN"/>
              </w:rPr>
              <w:t>并加快敏感路段的施工建设，尽可能缩短施工期，</w:t>
            </w:r>
            <w:r>
              <w:rPr>
                <w:rFonts w:ascii="Times New Roman" w:hAnsi="Times New Roman" w:cs="Times New Roman"/>
                <w:sz w:val="24"/>
                <w:szCs w:val="24"/>
                <w:lang w:eastAsia="zh-CN"/>
              </w:rPr>
              <w:t>减少施工噪声对</w:t>
            </w:r>
            <w:r>
              <w:rPr>
                <w:rFonts w:hint="eastAsia" w:ascii="Times New Roman" w:hAnsi="Times New Roman" w:cs="Times New Roman"/>
                <w:sz w:val="24"/>
                <w:szCs w:val="24"/>
                <w:lang w:eastAsia="zh-CN"/>
              </w:rPr>
              <w:t>沿线声环境敏感目标</w:t>
            </w:r>
            <w:r>
              <w:rPr>
                <w:rFonts w:ascii="Times New Roman" w:hAnsi="Times New Roman" w:cs="Times New Roman"/>
                <w:sz w:val="24"/>
                <w:szCs w:val="24"/>
                <w:lang w:eastAsia="zh-CN"/>
              </w:rPr>
              <w:t>的不良影响</w:t>
            </w:r>
            <w:r>
              <w:rPr>
                <w:rFonts w:hint="eastAsia" w:ascii="Times New Roman" w:hAnsi="Times New Roman" w:cs="Times New Roman"/>
                <w:sz w:val="24"/>
                <w:szCs w:val="24"/>
                <w:lang w:eastAsia="zh-CN"/>
              </w:rPr>
              <w:t>。</w:t>
            </w:r>
          </w:p>
          <w:p w14:paraId="4FF0226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②科学合理控制施工时间、施工计划、施工进度，施工安排在昼间进行，中午及夜间休息时间禁止施工；尽可能缩短施工期，降低施工对声环境的影响。</w:t>
            </w:r>
          </w:p>
          <w:p w14:paraId="4A65385D">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③采用符合国家有关标准的低噪声施工机械设备和运输车辆，从根本上降低施工噪声，合理安排设备位置。优先选用低噪声的施工工艺，如用液压工具代替气压工具，用低噪声的钻孔灌注桩代替冲击式或振动式打桩等。振动较大的固定机械设备应加装减振机座，对设备的养护和正确操作，尽量使筑路机械设备的噪声维持在较低声级水平。对强噪声施工机械设备采取临时性的噪声隔挡措施。</w:t>
            </w:r>
          </w:p>
          <w:p w14:paraId="28302B4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④做好施工期与道路沿线敏感目标的沟通协调工作，避免多个施工机械设备同时运行，且项目开始施工前</w:t>
            </w:r>
            <w:r>
              <w:rPr>
                <w:rFonts w:ascii="Times New Roman" w:hAnsi="Times New Roman" w:cs="Times New Roman"/>
                <w:sz w:val="24"/>
                <w:szCs w:val="24"/>
                <w:lang w:eastAsia="zh-CN"/>
              </w:rPr>
              <w:t>15个工作日通过公告、公示等方式告知项目沿线公众。</w:t>
            </w:r>
          </w:p>
          <w:p w14:paraId="5AF9981D">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⑤</w:t>
            </w:r>
            <w:r>
              <w:rPr>
                <w:rFonts w:hint="eastAsia" w:ascii="Times New Roman" w:hAnsi="Times New Roman" w:cs="Times New Roman"/>
                <w:sz w:val="24"/>
                <w:szCs w:val="24"/>
                <w:lang w:eastAsia="zh-CN"/>
              </w:rPr>
              <w:t>加强对运输车辆的管理，按规定组织车辆运输，合理规划运输路线和通道。运输车辆途经居民区、村庄时减速慢行、禁止鸣笛。</w:t>
            </w:r>
          </w:p>
          <w:p w14:paraId="344D6F65">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⑥</w:t>
            </w:r>
            <w:r>
              <w:rPr>
                <w:rFonts w:hint="eastAsia" w:ascii="Times New Roman" w:hAnsi="Times New Roman" w:cs="Times New Roman"/>
                <w:sz w:val="24"/>
                <w:szCs w:val="24"/>
                <w:lang w:eastAsia="zh-CN"/>
              </w:rPr>
              <w:t>对施工机械设备操作人员及现场施工人员按劳动卫生标准控制工作时间，亦可采取个人防护措施，如佩戴隔声耳塞等。</w:t>
            </w:r>
          </w:p>
          <w:p w14:paraId="4AD4CBF7">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⑦</w:t>
            </w:r>
            <w:r>
              <w:rPr>
                <w:rFonts w:hint="eastAsia" w:ascii="Times New Roman" w:hAnsi="Times New Roman" w:cs="Times New Roman"/>
                <w:sz w:val="24"/>
                <w:szCs w:val="24"/>
                <w:lang w:eastAsia="zh-CN"/>
              </w:rPr>
              <w:t>施工单位在施工现场显眼位置张贴通告和标明投诉电话，以便与当地生态环境主管部门取得联系，及时处理各种环境纠纷。</w:t>
            </w:r>
          </w:p>
          <w:p w14:paraId="60A1A52F">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4、施工期固体废物污染防治措施</w:t>
            </w:r>
          </w:p>
          <w:p w14:paraId="344AEFD7">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①施工人员</w:t>
            </w:r>
            <w:r>
              <w:rPr>
                <w:rFonts w:ascii="Times New Roman" w:hAnsi="Times New Roman" w:cs="Times New Roman"/>
                <w:sz w:val="24"/>
                <w:szCs w:val="24"/>
                <w:lang w:eastAsia="zh-CN"/>
              </w:rPr>
              <w:t>生活垃圾</w:t>
            </w:r>
            <w:r>
              <w:rPr>
                <w:rFonts w:hint="eastAsia" w:ascii="Times New Roman" w:hAnsi="Times New Roman" w:cs="Times New Roman"/>
                <w:sz w:val="24"/>
                <w:szCs w:val="24"/>
                <w:lang w:eastAsia="zh-CN"/>
              </w:rPr>
              <w:t>收集后交由环卫部门处置，</w:t>
            </w:r>
            <w:r>
              <w:rPr>
                <w:rFonts w:ascii="Times New Roman" w:hAnsi="Times New Roman" w:cs="Times New Roman"/>
                <w:sz w:val="24"/>
                <w:szCs w:val="24"/>
                <w:lang w:eastAsia="zh-CN"/>
              </w:rPr>
              <w:t>建筑垃圾</w:t>
            </w:r>
            <w:r>
              <w:rPr>
                <w:rFonts w:hint="eastAsia" w:ascii="Times New Roman" w:hAnsi="Times New Roman" w:cs="Times New Roman"/>
                <w:sz w:val="24"/>
                <w:szCs w:val="24"/>
                <w:lang w:eastAsia="zh-CN"/>
              </w:rPr>
              <w:t>应与</w:t>
            </w:r>
            <w:r>
              <w:rPr>
                <w:rFonts w:ascii="Times New Roman" w:hAnsi="Times New Roman" w:cs="Times New Roman"/>
                <w:sz w:val="24"/>
                <w:szCs w:val="24"/>
                <w:lang w:eastAsia="zh-CN"/>
              </w:rPr>
              <w:t>废弃</w:t>
            </w:r>
            <w:r>
              <w:rPr>
                <w:rFonts w:hint="eastAsia" w:ascii="Times New Roman" w:hAnsi="Times New Roman" w:cs="Times New Roman"/>
                <w:sz w:val="24"/>
                <w:szCs w:val="24"/>
                <w:lang w:eastAsia="zh-CN"/>
              </w:rPr>
              <w:t>土</w:t>
            </w:r>
            <w:r>
              <w:rPr>
                <w:rFonts w:ascii="Times New Roman" w:hAnsi="Times New Roman" w:cs="Times New Roman"/>
                <w:sz w:val="24"/>
                <w:szCs w:val="24"/>
                <w:lang w:eastAsia="zh-CN"/>
              </w:rPr>
              <w:t>方分开</w:t>
            </w:r>
            <w:r>
              <w:rPr>
                <w:rFonts w:hint="eastAsia" w:ascii="Times New Roman" w:hAnsi="Times New Roman" w:cs="Times New Roman"/>
                <w:sz w:val="24"/>
                <w:szCs w:val="24"/>
                <w:lang w:eastAsia="zh-CN"/>
              </w:rPr>
              <w:t>堆存</w:t>
            </w:r>
            <w:r>
              <w:rPr>
                <w:rFonts w:ascii="Times New Roman" w:hAnsi="Times New Roman" w:cs="Times New Roman"/>
                <w:sz w:val="24"/>
                <w:szCs w:val="24"/>
                <w:lang w:eastAsia="zh-CN"/>
              </w:rPr>
              <w:t>。</w:t>
            </w:r>
          </w:p>
          <w:p w14:paraId="39DFD6EF">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②</w:t>
            </w:r>
            <w:r>
              <w:rPr>
                <w:rFonts w:ascii="Times New Roman" w:hAnsi="Times New Roman" w:cs="Times New Roman"/>
                <w:sz w:val="24"/>
                <w:szCs w:val="24"/>
                <w:lang w:eastAsia="zh-CN"/>
              </w:rPr>
              <w:t>建筑垃圾</w:t>
            </w:r>
            <w:r>
              <w:rPr>
                <w:rFonts w:hint="eastAsia" w:ascii="Times New Roman" w:hAnsi="Times New Roman" w:cs="Times New Roman"/>
                <w:sz w:val="24"/>
                <w:szCs w:val="24"/>
                <w:lang w:eastAsia="zh-CN"/>
              </w:rPr>
              <w:t>定期由</w:t>
            </w:r>
            <w:r>
              <w:rPr>
                <w:rFonts w:ascii="Times New Roman" w:hAnsi="Times New Roman" w:cs="Times New Roman"/>
                <w:sz w:val="24"/>
                <w:szCs w:val="24"/>
                <w:lang w:eastAsia="zh-CN"/>
              </w:rPr>
              <w:t>施工单位清运至城市管理部门指定地点</w:t>
            </w:r>
            <w:r>
              <w:rPr>
                <w:rFonts w:hint="eastAsia" w:ascii="Times New Roman" w:hAnsi="Times New Roman" w:cs="Times New Roman"/>
                <w:sz w:val="24"/>
                <w:szCs w:val="24"/>
                <w:lang w:eastAsia="zh-CN"/>
              </w:rPr>
              <w:t>处置，废弃土方拉运至弃土场</w:t>
            </w:r>
            <w:r>
              <w:rPr>
                <w:rFonts w:ascii="Times New Roman" w:hAnsi="Times New Roman" w:cs="Times New Roman"/>
                <w:sz w:val="24"/>
                <w:szCs w:val="24"/>
                <w:lang w:eastAsia="zh-CN"/>
              </w:rPr>
              <w:t>。</w:t>
            </w:r>
          </w:p>
          <w:p w14:paraId="5B4561C5">
            <w:pPr>
              <w:pStyle w:val="18"/>
              <w:spacing w:line="360" w:lineRule="auto"/>
              <w:ind w:firstLine="480" w:firstLineChars="200"/>
              <w:jc w:val="both"/>
              <w:rPr>
                <w:rFonts w:ascii="Times New Roman" w:hAnsi="Times New Roman" w:cs="Times New Roman" w:eastAsiaTheme="minorEastAsia"/>
                <w:sz w:val="24"/>
                <w:szCs w:val="24"/>
                <w:lang w:eastAsia="zh-CN"/>
              </w:rPr>
            </w:pPr>
            <w:r>
              <w:rPr>
                <w:rFonts w:hint="eastAsia"/>
                <w:sz w:val="24"/>
                <w:szCs w:val="24"/>
                <w:lang w:eastAsia="ja-JP"/>
              </w:rPr>
              <w:t>③</w:t>
            </w:r>
            <w:r>
              <w:rPr>
                <w:rFonts w:ascii="Times New Roman" w:hAnsi="Times New Roman" w:cs="Times New Roman"/>
                <w:sz w:val="24"/>
                <w:szCs w:val="24"/>
                <w:lang w:eastAsia="zh-CN"/>
              </w:rPr>
              <w:t>运输施工固废的车辆</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车斗</w:t>
            </w:r>
            <w:r>
              <w:rPr>
                <w:rFonts w:hint="eastAsia" w:ascii="Times New Roman" w:hAnsi="Times New Roman" w:cs="Times New Roman"/>
                <w:sz w:val="24"/>
                <w:szCs w:val="24"/>
                <w:lang w:eastAsia="zh-CN"/>
              </w:rPr>
              <w:t>采取</w:t>
            </w:r>
            <w:r>
              <w:rPr>
                <w:rFonts w:ascii="Times New Roman" w:hAnsi="Times New Roman" w:cs="Times New Roman"/>
                <w:sz w:val="24"/>
                <w:szCs w:val="24"/>
                <w:lang w:eastAsia="zh-CN"/>
              </w:rPr>
              <w:t>遮蔽</w:t>
            </w:r>
            <w:r>
              <w:rPr>
                <w:rFonts w:hint="eastAsia" w:ascii="Times New Roman" w:hAnsi="Times New Roman" w:cs="Times New Roman"/>
                <w:sz w:val="24"/>
                <w:szCs w:val="24"/>
                <w:lang w:eastAsia="zh-CN"/>
              </w:rPr>
              <w:t>措施</w:t>
            </w:r>
            <w:r>
              <w:rPr>
                <w:rFonts w:ascii="Times New Roman" w:hAnsi="Times New Roman" w:cs="Times New Roman"/>
                <w:sz w:val="24"/>
                <w:szCs w:val="24"/>
                <w:lang w:eastAsia="zh-CN"/>
              </w:rPr>
              <w:t>，防治固废沿途洒落。</w:t>
            </w:r>
          </w:p>
          <w:p w14:paraId="0FC49F55">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通过采取上述措施后，项目施工期固体废物均得到妥善处置，不会对周围环境造成污染。</w:t>
            </w:r>
          </w:p>
          <w:p w14:paraId="05212E6A">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6、施工期水土流失防治措施</w:t>
            </w:r>
          </w:p>
          <w:p w14:paraId="76A9DEB8">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①</w:t>
            </w:r>
            <w:r>
              <w:rPr>
                <w:rFonts w:ascii="Times New Roman" w:hAnsi="Times New Roman" w:cs="Times New Roman"/>
                <w:sz w:val="24"/>
                <w:szCs w:val="24"/>
                <w:lang w:eastAsia="zh-CN"/>
              </w:rPr>
              <w:t>土方开挖作业尽量避开大风和雨水天气。</w:t>
            </w:r>
          </w:p>
          <w:p w14:paraId="6DD23C0A">
            <w:pPr>
              <w:pStyle w:val="18"/>
              <w:spacing w:line="360" w:lineRule="auto"/>
              <w:ind w:firstLine="480" w:firstLineChars="200"/>
              <w:jc w:val="both"/>
              <w:rPr>
                <w:sz w:val="24"/>
                <w:szCs w:val="24"/>
                <w:lang w:eastAsia="zh-CN"/>
              </w:rPr>
            </w:pPr>
            <w:r>
              <w:rPr>
                <w:rFonts w:hint="eastAsia"/>
                <w:sz w:val="24"/>
                <w:szCs w:val="24"/>
                <w:lang w:eastAsia="zh-CN"/>
              </w:rPr>
              <w:t>②</w:t>
            </w:r>
            <w:r>
              <w:rPr>
                <w:sz w:val="24"/>
                <w:szCs w:val="24"/>
                <w:lang w:eastAsia="zh-CN"/>
              </w:rPr>
              <w:t>施工过程中应边开挖、边回填、边碾压、边采取护坡防护措施。</w:t>
            </w:r>
          </w:p>
          <w:p w14:paraId="35564DEF">
            <w:pPr>
              <w:pStyle w:val="18"/>
              <w:spacing w:line="360" w:lineRule="auto"/>
              <w:ind w:firstLine="480" w:firstLineChars="200"/>
              <w:jc w:val="both"/>
              <w:rPr>
                <w:sz w:val="24"/>
                <w:szCs w:val="24"/>
                <w:lang w:eastAsia="zh-CN"/>
              </w:rPr>
            </w:pPr>
            <w:r>
              <w:rPr>
                <w:rFonts w:hint="eastAsia"/>
                <w:sz w:val="24"/>
                <w:szCs w:val="24"/>
                <w:lang w:eastAsia="zh-CN"/>
              </w:rPr>
              <w:t>③</w:t>
            </w:r>
            <w:r>
              <w:rPr>
                <w:sz w:val="24"/>
                <w:szCs w:val="24"/>
                <w:lang w:eastAsia="zh-CN"/>
              </w:rPr>
              <w:t>控制土方工程的施工周期，尽可能减少疏松土壤的暴露时间。</w:t>
            </w:r>
          </w:p>
          <w:p w14:paraId="4AF89EDE">
            <w:pPr>
              <w:pStyle w:val="18"/>
              <w:spacing w:line="360" w:lineRule="auto"/>
              <w:ind w:firstLine="480" w:firstLineChars="200"/>
              <w:jc w:val="both"/>
              <w:rPr>
                <w:sz w:val="24"/>
                <w:szCs w:val="24"/>
                <w:lang w:eastAsia="zh-CN"/>
              </w:rPr>
            </w:pPr>
            <w:r>
              <w:rPr>
                <w:rFonts w:hint="eastAsia"/>
                <w:sz w:val="24"/>
                <w:szCs w:val="24"/>
                <w:lang w:eastAsia="zh-CN"/>
              </w:rPr>
              <w:t>④</w:t>
            </w:r>
            <w:r>
              <w:rPr>
                <w:sz w:val="24"/>
                <w:szCs w:val="24"/>
                <w:lang w:eastAsia="zh-CN"/>
              </w:rPr>
              <w:t>施工物料、土方的临时堆放等应选择较为平整的地方集中堆放，并覆盖遮网。</w:t>
            </w:r>
          </w:p>
          <w:p w14:paraId="3EF38AB5">
            <w:pPr>
              <w:pStyle w:val="18"/>
              <w:spacing w:line="360" w:lineRule="auto"/>
              <w:ind w:firstLine="480" w:firstLineChars="200"/>
              <w:jc w:val="both"/>
              <w:rPr>
                <w:sz w:val="24"/>
                <w:szCs w:val="24"/>
                <w:lang w:eastAsia="zh-CN"/>
              </w:rPr>
            </w:pPr>
            <w:r>
              <w:rPr>
                <w:rFonts w:hint="eastAsia"/>
                <w:sz w:val="24"/>
                <w:szCs w:val="24"/>
                <w:lang w:eastAsia="zh-CN"/>
              </w:rPr>
              <w:t>⑤</w:t>
            </w:r>
            <w:r>
              <w:rPr>
                <w:sz w:val="24"/>
                <w:szCs w:val="24"/>
                <w:lang w:eastAsia="zh-CN"/>
              </w:rPr>
              <w:t>加强施工管理，认真</w:t>
            </w:r>
            <w:r>
              <w:rPr>
                <w:rFonts w:hint="eastAsia"/>
                <w:sz w:val="24"/>
                <w:szCs w:val="24"/>
                <w:lang w:eastAsia="zh-CN"/>
              </w:rPr>
              <w:t>做好</w:t>
            </w:r>
            <w:r>
              <w:rPr>
                <w:sz w:val="24"/>
                <w:szCs w:val="24"/>
                <w:lang w:eastAsia="zh-CN"/>
              </w:rPr>
              <w:t>施工组织设计，合理安排施工进度，将施工措施计划做深做细，尽量减少临时工程占地，缩短临时占地使用时间，及时恢复土地原有功能。</w:t>
            </w:r>
          </w:p>
          <w:p w14:paraId="201D165A">
            <w:pPr>
              <w:pStyle w:val="18"/>
              <w:spacing w:line="360" w:lineRule="auto"/>
              <w:ind w:firstLine="480" w:firstLineChars="200"/>
              <w:jc w:val="both"/>
              <w:rPr>
                <w:sz w:val="24"/>
                <w:szCs w:val="24"/>
                <w:lang w:eastAsia="zh-CN"/>
              </w:rPr>
            </w:pPr>
            <w:r>
              <w:rPr>
                <w:rFonts w:hint="eastAsia"/>
                <w:sz w:val="24"/>
                <w:szCs w:val="24"/>
                <w:lang w:eastAsia="zh-CN"/>
              </w:rPr>
              <w:t>⑥</w:t>
            </w:r>
            <w:r>
              <w:rPr>
                <w:sz w:val="24"/>
                <w:szCs w:val="24"/>
                <w:lang w:eastAsia="zh-CN"/>
              </w:rPr>
              <w:t>路基边坡</w:t>
            </w:r>
            <w:r>
              <w:rPr>
                <w:rFonts w:hint="eastAsia"/>
                <w:sz w:val="24"/>
                <w:szCs w:val="24"/>
                <w:lang w:eastAsia="zh-CN"/>
              </w:rPr>
              <w:t>施工</w:t>
            </w:r>
            <w:r>
              <w:rPr>
                <w:sz w:val="24"/>
                <w:szCs w:val="24"/>
                <w:lang w:eastAsia="zh-CN"/>
              </w:rPr>
              <w:t>达到设计要求后应迅速进行防护，同时做好坡面、坡脚排水，做到施工一处，及时治理保护一处。</w:t>
            </w:r>
          </w:p>
          <w:p w14:paraId="16EF30F2">
            <w:pPr>
              <w:pStyle w:val="18"/>
              <w:spacing w:line="360" w:lineRule="auto"/>
              <w:ind w:firstLine="480" w:firstLineChars="200"/>
              <w:jc w:val="both"/>
              <w:rPr>
                <w:sz w:val="24"/>
                <w:szCs w:val="24"/>
                <w:lang w:eastAsia="zh-CN"/>
              </w:rPr>
            </w:pPr>
            <w:r>
              <w:rPr>
                <w:rFonts w:hint="eastAsia"/>
                <w:sz w:val="24"/>
                <w:szCs w:val="24"/>
                <w:lang w:eastAsia="zh-CN"/>
              </w:rPr>
              <w:t>⑦</w:t>
            </w:r>
            <w:r>
              <w:rPr>
                <w:sz w:val="24"/>
                <w:szCs w:val="24"/>
                <w:lang w:eastAsia="zh-CN"/>
              </w:rPr>
              <w:t>在雨季和汛期到来之前，应备齐临时防护用的物料及各种防汛物资，随时采取临时防护措施，以减轻雨水对主体工程的破坏和减少土壤的流失。</w:t>
            </w:r>
          </w:p>
          <w:p w14:paraId="71357ADE">
            <w:pPr>
              <w:pStyle w:val="18"/>
              <w:spacing w:line="360" w:lineRule="auto"/>
              <w:ind w:firstLine="480" w:firstLineChars="200"/>
              <w:jc w:val="both"/>
              <w:rPr>
                <w:sz w:val="24"/>
                <w:szCs w:val="24"/>
                <w:lang w:eastAsia="zh-CN"/>
              </w:rPr>
            </w:pPr>
            <w:r>
              <w:rPr>
                <w:rFonts w:hint="eastAsia"/>
                <w:sz w:val="24"/>
                <w:szCs w:val="24"/>
                <w:lang w:eastAsia="zh-CN"/>
              </w:rPr>
              <w:t>⑧</w:t>
            </w:r>
            <w:r>
              <w:rPr>
                <w:sz w:val="24"/>
                <w:szCs w:val="24"/>
                <w:lang w:eastAsia="zh-CN"/>
              </w:rPr>
              <w:t>施工机械和施工人员要按照施工总体平面布置图进行作业，不得乱占土地，施工机械、土石及其他材料不得乱停乱放，防止破坏植被，加剧水土流失。</w:t>
            </w:r>
          </w:p>
          <w:p w14:paraId="2350B8CF">
            <w:pPr>
              <w:pStyle w:val="18"/>
              <w:spacing w:line="360" w:lineRule="auto"/>
              <w:ind w:firstLine="480" w:firstLineChars="200"/>
              <w:jc w:val="both"/>
              <w:rPr>
                <w:rFonts w:ascii="Times New Roman" w:hAnsi="Times New Roman" w:cs="Times New Roman"/>
                <w:sz w:val="21"/>
                <w:lang w:eastAsia="zh-CN"/>
              </w:rPr>
            </w:pPr>
            <w:r>
              <w:rPr>
                <w:rFonts w:hint="eastAsia"/>
                <w:sz w:val="24"/>
                <w:szCs w:val="24"/>
                <w:lang w:eastAsia="zh-CN"/>
              </w:rPr>
              <w:t>⑨</w:t>
            </w:r>
            <w:r>
              <w:rPr>
                <w:sz w:val="24"/>
                <w:szCs w:val="24"/>
                <w:lang w:eastAsia="zh-CN"/>
              </w:rPr>
              <w:t>施工期应限制施工区域，限制人的活动范围，所有车辆按选定的公路走“一”字型作业法，走同一车辙，避免加开新路，尽可能减少对地表的破坏。</w:t>
            </w:r>
          </w:p>
          <w:p w14:paraId="6ACEA9A0">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7、施工期</w:t>
            </w:r>
            <w:r>
              <w:rPr>
                <w:rFonts w:hint="eastAsia" w:ascii="Times New Roman" w:hAnsi="Times New Roman" w:cs="Times New Roman" w:eastAsiaTheme="minorEastAsia"/>
                <w:b/>
                <w:bCs/>
                <w:sz w:val="28"/>
                <w:szCs w:val="28"/>
                <w:lang w:eastAsia="zh-CN"/>
              </w:rPr>
              <w:t>防沙固沙</w:t>
            </w:r>
            <w:r>
              <w:rPr>
                <w:rFonts w:ascii="Times New Roman" w:hAnsi="Times New Roman" w:cs="Times New Roman" w:eastAsiaTheme="minorEastAsia"/>
                <w:b/>
                <w:bCs/>
                <w:sz w:val="28"/>
                <w:szCs w:val="28"/>
                <w:lang w:eastAsia="zh-CN"/>
              </w:rPr>
              <w:t>措施</w:t>
            </w:r>
          </w:p>
          <w:p w14:paraId="154E4375">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根据《关于加强沙区建设项目环境影响评价工作的通知》（新环环评发〔</w:t>
            </w:r>
            <w:r>
              <w:rPr>
                <w:rFonts w:ascii="Times New Roman" w:hAnsi="Times New Roman" w:cs="Times New Roman"/>
                <w:sz w:val="24"/>
                <w:szCs w:val="24"/>
                <w:lang w:eastAsia="zh-CN"/>
              </w:rPr>
              <w:t>2020〕138号）；《防沙治沙技术规范》(GB/T21141-2007)等规范对风沙路段进行保护，通过工程建设，维持现有区域植被覆盖度，使沙化土地扩展趋势得到遏制，区域生态环境得到改善，保护公路等不受土地沙化影响。</w:t>
            </w:r>
          </w:p>
          <w:p w14:paraId="767E9B5E">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针对公路施工建设，提出如下措施：</w:t>
            </w:r>
          </w:p>
          <w:p w14:paraId="721B6A5E">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①</w:t>
            </w:r>
            <w:r>
              <w:rPr>
                <w:rFonts w:ascii="Times New Roman" w:hAnsi="Times New Roman" w:cs="Times New Roman"/>
                <w:sz w:val="24"/>
                <w:szCs w:val="24"/>
                <w:lang w:eastAsia="zh-CN"/>
              </w:rPr>
              <w:t>严格控制和管理运输车辆及重型机械的运行线路和范围，不得离开运输道路及随意行驶，严禁在戈壁滩和荒漠结皮、荒漠植被分布地段随意行车，破坏地表植被和稳定的结皮层，同时设置环保限行桩，以防破坏土壤和植被，加剧土地荒漠化。施工结束后，对新建的道路、施工场地营地及时进行清理、平整，减少沙物质来源。</w:t>
            </w:r>
          </w:p>
          <w:p w14:paraId="20CC96D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②</w:t>
            </w:r>
            <w:r>
              <w:rPr>
                <w:rFonts w:ascii="Times New Roman" w:hAnsi="Times New Roman" w:cs="Times New Roman"/>
                <w:sz w:val="24"/>
                <w:szCs w:val="24"/>
                <w:lang w:eastAsia="zh-CN"/>
              </w:rPr>
              <w:t>严格限定施工活动范围，开挖土方堆存过程中使用防尘网，并定期洒水抑尘。施工土方尽量用于路基回填和场地平整，不能利用回填取土场，取弃土场施工结束后进行清理、平整等。</w:t>
            </w:r>
          </w:p>
          <w:p w14:paraId="729B3798">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在采取上述措施可有效缓解风沙对公路行车安全的危害，控制土地沙化的扩展。</w:t>
            </w:r>
          </w:p>
          <w:p w14:paraId="6C5A3E55">
            <w:pPr>
              <w:pStyle w:val="18"/>
              <w:spacing w:line="360" w:lineRule="auto"/>
              <w:rPr>
                <w:rFonts w:ascii="Times New Roman" w:hAnsi="Times New Roman" w:cs="Times New Roman"/>
                <w:b/>
                <w:bCs/>
                <w:sz w:val="28"/>
                <w:szCs w:val="28"/>
                <w:lang w:eastAsia="zh-CN"/>
              </w:rPr>
            </w:pPr>
            <w:r>
              <w:rPr>
                <w:rFonts w:hint="eastAsia" w:ascii="Times New Roman" w:hAnsi="Times New Roman" w:cs="Times New Roman"/>
                <w:b/>
                <w:bCs/>
                <w:sz w:val="28"/>
                <w:szCs w:val="28"/>
                <w:lang w:eastAsia="zh-CN"/>
              </w:rPr>
              <w:t>8、施工期穿越吉木萨尔北庭国家湿地公园环境保护措施</w:t>
            </w:r>
          </w:p>
          <w:p w14:paraId="306BE052">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本次评价要求建设单位施工期采取湿地公园环境保护措施如下：</w:t>
            </w:r>
          </w:p>
          <w:p w14:paraId="4E6DD19B">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hint="eastAsia" w:ascii="Times New Roman" w:hAnsi="Times New Roman" w:cs="Times New Roman"/>
                <w:sz w:val="24"/>
                <w:szCs w:val="24"/>
                <w:lang w:eastAsia="zh-CN"/>
              </w:rPr>
              <w:t>施工前划定明确的施工作业场地边界，设立动物、植物、水体保护标志牌，严格在划定的施工用地范围内施工，禁止施工机械、运输车辆等进入湿地公园非施工区域，最大限度减少对植被的破坏和动物的影响。</w:t>
            </w:r>
            <w:r>
              <w:rPr>
                <w:rFonts w:ascii="Times New Roman" w:hAnsi="Times New Roman" w:cs="Times New Roman"/>
                <w:sz w:val="24"/>
                <w:szCs w:val="24"/>
                <w:lang w:eastAsia="zh-CN"/>
              </w:rPr>
              <w:t>禁止占用项目区外任何土地</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在湿地公园范围内及湿地公园周边不</w:t>
            </w:r>
            <w:r>
              <w:rPr>
                <w:rFonts w:hint="eastAsia" w:ascii="Times New Roman" w:hAnsi="Times New Roman" w:cs="Times New Roman"/>
                <w:sz w:val="24"/>
                <w:szCs w:val="24"/>
                <w:lang w:eastAsia="zh-CN"/>
              </w:rPr>
              <w:t>得</w:t>
            </w:r>
            <w:r>
              <w:rPr>
                <w:rFonts w:ascii="Times New Roman" w:hAnsi="Times New Roman" w:cs="Times New Roman"/>
                <w:sz w:val="24"/>
                <w:szCs w:val="24"/>
                <w:lang w:eastAsia="zh-CN"/>
              </w:rPr>
              <w:t>设置任何临时用地。</w:t>
            </w:r>
          </w:p>
          <w:p w14:paraId="4B890C32">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ascii="Times New Roman" w:hAnsi="Times New Roman" w:cs="Times New Roman"/>
                <w:sz w:val="24"/>
                <w:szCs w:val="24"/>
                <w:lang w:eastAsia="zh-CN"/>
              </w:rPr>
              <w:t>优化施工方案，</w:t>
            </w:r>
            <w:r>
              <w:rPr>
                <w:rFonts w:hint="eastAsia" w:ascii="Times New Roman" w:hAnsi="Times New Roman" w:cs="Times New Roman"/>
                <w:sz w:val="24"/>
                <w:szCs w:val="24"/>
                <w:lang w:eastAsia="zh-CN"/>
              </w:rPr>
              <w:t>合理安排施工时段和施工方式，</w:t>
            </w:r>
            <w:r>
              <w:rPr>
                <w:rFonts w:ascii="Times New Roman" w:hAnsi="Times New Roman" w:cs="Times New Roman"/>
                <w:sz w:val="24"/>
                <w:szCs w:val="24"/>
                <w:lang w:eastAsia="zh-CN"/>
              </w:rPr>
              <w:t>减少在湿地公园内的作业时间，最大限度地减少对野生动物的惊扰。</w:t>
            </w:r>
          </w:p>
          <w:p w14:paraId="5E2C4EB4">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hint="eastAsia" w:ascii="Times New Roman" w:hAnsi="Times New Roman" w:cs="Times New Roman"/>
                <w:sz w:val="24"/>
                <w:szCs w:val="24"/>
                <w:lang w:eastAsia="zh-CN"/>
              </w:rPr>
              <w:t>运输车辆固定线路行驶，不得随意碾压湿地公园内农作物及植被。加强施工期环境监管，规范施工行为，工程弃渣应运至指定地点，不得向河道或水体弃渣。</w:t>
            </w:r>
          </w:p>
          <w:p w14:paraId="4E9F3B17">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④</w:t>
            </w:r>
            <w:r>
              <w:rPr>
                <w:rFonts w:hint="eastAsia" w:ascii="Times New Roman" w:hAnsi="Times New Roman" w:cs="Times New Roman"/>
                <w:sz w:val="24"/>
                <w:szCs w:val="24"/>
                <w:lang w:eastAsia="zh-CN"/>
              </w:rPr>
              <w:t>禁止在湿地公园的水体内冲洗运输车辆和施工机械设备。</w:t>
            </w:r>
          </w:p>
          <w:p w14:paraId="6EE32A55">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⑤</w:t>
            </w:r>
            <w:r>
              <w:rPr>
                <w:rFonts w:hint="eastAsia" w:ascii="Times New Roman" w:hAnsi="Times New Roman" w:cs="Times New Roman"/>
                <w:sz w:val="24"/>
                <w:szCs w:val="24"/>
                <w:lang w:eastAsia="zh-CN"/>
              </w:rPr>
              <w:t>运输车辆和施工机械设备应定期加强维护检修保养，防止燃油跑冒滴漏污染湿地公园水体。</w:t>
            </w:r>
          </w:p>
          <w:p w14:paraId="206130CD">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⑥</w:t>
            </w:r>
            <w:r>
              <w:rPr>
                <w:rFonts w:hint="eastAsia" w:ascii="Times New Roman" w:hAnsi="Times New Roman" w:cs="Times New Roman"/>
                <w:sz w:val="24"/>
                <w:szCs w:val="24"/>
                <w:lang w:eastAsia="zh-CN"/>
              </w:rPr>
              <w:t>加强对全体施工人员环保宣传教育，严禁施工人员非法捕猎湿地公园内鸟类、动物等，禁止施工人员在湿地公园内使用明火，把施工期对湿地公园内动物的惊扰降到最低。</w:t>
            </w:r>
          </w:p>
          <w:p w14:paraId="3B74C8C2">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⑦</w:t>
            </w:r>
            <w:r>
              <w:rPr>
                <w:rFonts w:hint="eastAsia" w:ascii="Times New Roman" w:hAnsi="Times New Roman" w:cs="Times New Roman"/>
                <w:sz w:val="24"/>
                <w:szCs w:val="24"/>
                <w:lang w:eastAsia="zh-CN"/>
              </w:rPr>
              <w:t>落实《</w:t>
            </w:r>
            <w:r>
              <w:rPr>
                <w:rFonts w:ascii="Times New Roman" w:hAnsi="Times New Roman" w:cs="Times New Roman"/>
                <w:sz w:val="24"/>
                <w:szCs w:val="24"/>
                <w:lang w:eastAsia="zh-CN"/>
              </w:rPr>
              <w:t>S239 五彩湾至吉木萨尔县公路改扩建项目对新疆吉木萨尔北庭国家湿地公园生态影响评价报告</w:t>
            </w:r>
            <w:r>
              <w:rPr>
                <w:rFonts w:hint="eastAsia" w:ascii="Times New Roman" w:hAnsi="Times New Roman" w:cs="Times New Roman"/>
                <w:sz w:val="24"/>
                <w:szCs w:val="24"/>
                <w:lang w:eastAsia="zh-CN"/>
              </w:rPr>
              <w:t>》中提出的湿地补偿方案：本项目永久占用一般湿地面积</w:t>
            </w:r>
            <w:r>
              <w:rPr>
                <w:rFonts w:ascii="Times New Roman" w:hAnsi="Times New Roman" w:cs="Times New Roman"/>
                <w:sz w:val="24"/>
                <w:szCs w:val="24"/>
                <w:lang w:eastAsia="zh-CN"/>
              </w:rPr>
              <w:t>0.1983公顷，包括河流水面0.0050公顷，坑塘水面0.1933公顷。对该区域进行异地恢复，恢复与建设区质量相当的湿地资源，异地恢复湿地面积，保证湿地面积不减少。根据现地踏查定位，确定在湿地异地恢复区就地播撒芦苇、早熟禾等草种，并从水塘挖引水土渠至恢复区。以将荒地变湿地的方式，使其自然恢复成湿地，增加同等面积湿地，保证湿地面积不减少。</w:t>
            </w:r>
          </w:p>
          <w:p w14:paraId="0E5169B2">
            <w:pPr>
              <w:pStyle w:val="18"/>
              <w:spacing w:line="360" w:lineRule="auto"/>
              <w:rPr>
                <w:rFonts w:ascii="Times New Roman" w:hAnsi="Times New Roman" w:cs="Times New Roman"/>
                <w:b/>
                <w:bCs/>
                <w:sz w:val="28"/>
                <w:szCs w:val="28"/>
                <w:lang w:eastAsia="zh-CN"/>
              </w:rPr>
            </w:pPr>
            <w:r>
              <w:rPr>
                <w:rFonts w:ascii="Times New Roman" w:hAnsi="Times New Roman" w:cs="Times New Roman"/>
                <w:b/>
                <w:bCs/>
                <w:sz w:val="28"/>
                <w:szCs w:val="28"/>
                <w:lang w:eastAsia="zh-CN"/>
              </w:rPr>
              <w:t>8</w:t>
            </w:r>
            <w:r>
              <w:rPr>
                <w:rFonts w:hint="eastAsia" w:ascii="Times New Roman" w:hAnsi="Times New Roman" w:cs="Times New Roman"/>
                <w:b/>
                <w:bCs/>
                <w:sz w:val="28"/>
                <w:szCs w:val="28"/>
                <w:lang w:eastAsia="zh-CN"/>
              </w:rPr>
              <w:t>、施工期环境监理</w:t>
            </w:r>
          </w:p>
          <w:p w14:paraId="64508044">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本次环评提出项目施工期环境监理要求如下：</w:t>
            </w:r>
          </w:p>
          <w:p w14:paraId="7F55B027">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①施工期间环境监理单位应制定施工期环境监理计划，实时监督项目施工情况，记录施工期环境监理台账。</w:t>
            </w:r>
          </w:p>
          <w:p w14:paraId="1553C74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②确保项目建设按本环评要求落实施工期大气环境、水环境、声环境、土壤环境等环境要素的各项环保措施，施工固废合理处置，做好项目水土流失防治、防沙治沙工作。</w:t>
            </w:r>
          </w:p>
          <w:p w14:paraId="4A0F982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③项目项目选址、建设位置、工程规模、总平面布置、建构筑物位置等是否按环评要求建设。</w:t>
            </w:r>
          </w:p>
          <w:p w14:paraId="40799570">
            <w:pPr>
              <w:pStyle w:val="18"/>
              <w:spacing w:line="360" w:lineRule="auto"/>
              <w:ind w:firstLine="480" w:firstLineChars="200"/>
              <w:jc w:val="both"/>
              <w:rPr>
                <w:rFonts w:ascii="Times New Roman" w:hAnsi="Times New Roman" w:cs="Times New Roman"/>
                <w:sz w:val="21"/>
                <w:lang w:eastAsia="zh-CN"/>
              </w:rPr>
            </w:pPr>
            <w:r>
              <w:rPr>
                <w:rFonts w:hint="eastAsia" w:ascii="Times New Roman" w:hAnsi="Times New Roman" w:cs="Times New Roman"/>
                <w:sz w:val="24"/>
                <w:szCs w:val="24"/>
                <w:lang w:eastAsia="zh-CN"/>
              </w:rPr>
              <w:t>④监督施工材料的质量、工艺设备和环保设备的规格、性能与环评的相符性。</w:t>
            </w:r>
          </w:p>
        </w:tc>
      </w:tr>
      <w:tr w14:paraId="7DA15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1" w:hRule="atLeast"/>
        </w:trPr>
        <w:tc>
          <w:tcPr>
            <w:tcW w:w="409" w:type="pct"/>
            <w:tcBorders>
              <w:top w:val="single" w:color="000000" w:sz="4" w:space="0"/>
              <w:bottom w:val="single" w:color="000000" w:sz="4" w:space="0"/>
              <w:right w:val="single" w:color="000000" w:sz="4" w:space="0"/>
            </w:tcBorders>
            <w:vAlign w:val="center"/>
          </w:tcPr>
          <w:p w14:paraId="65E400AF">
            <w:pPr>
              <w:pStyle w:val="18"/>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运营期生态环境保护措施</w:t>
            </w:r>
          </w:p>
        </w:tc>
        <w:tc>
          <w:tcPr>
            <w:tcW w:w="4591" w:type="pct"/>
            <w:tcBorders>
              <w:top w:val="single" w:color="000000" w:sz="4" w:space="0"/>
              <w:left w:val="single" w:color="000000" w:sz="4" w:space="0"/>
              <w:bottom w:val="single" w:color="000000" w:sz="4" w:space="0"/>
            </w:tcBorders>
          </w:tcPr>
          <w:p w14:paraId="76FB155C">
            <w:pPr>
              <w:pStyle w:val="18"/>
              <w:spacing w:line="360" w:lineRule="auto"/>
              <w:rPr>
                <w:rFonts w:ascii="Times New Roman" w:hAnsi="Times New Roman" w:cs="Times New Roman"/>
                <w:sz w:val="24"/>
                <w:szCs w:val="24"/>
                <w:lang w:eastAsia="zh-CN"/>
              </w:rPr>
            </w:pPr>
            <w:r>
              <w:rPr>
                <w:rFonts w:ascii="Times New Roman" w:hAnsi="Times New Roman" w:cs="Times New Roman" w:eastAsiaTheme="minorEastAsia"/>
                <w:b/>
                <w:bCs/>
                <w:sz w:val="28"/>
                <w:szCs w:val="28"/>
                <w:lang w:eastAsia="zh-CN"/>
              </w:rPr>
              <w:t>1、</w:t>
            </w:r>
            <w:r>
              <w:rPr>
                <w:rFonts w:hint="eastAsia" w:ascii="Times New Roman" w:hAnsi="Times New Roman" w:cs="Times New Roman" w:eastAsiaTheme="minorEastAsia"/>
                <w:b/>
                <w:bCs/>
                <w:sz w:val="28"/>
                <w:szCs w:val="28"/>
                <w:lang w:eastAsia="zh-CN"/>
              </w:rPr>
              <w:t>运营期</w:t>
            </w:r>
            <w:r>
              <w:rPr>
                <w:rFonts w:ascii="Times New Roman" w:hAnsi="Times New Roman" w:cs="Times New Roman" w:eastAsiaTheme="minorEastAsia"/>
                <w:b/>
                <w:bCs/>
                <w:sz w:val="28"/>
                <w:szCs w:val="28"/>
                <w:lang w:eastAsia="zh-CN"/>
              </w:rPr>
              <w:t>大气</w:t>
            </w:r>
            <w:r>
              <w:rPr>
                <w:rFonts w:hint="eastAsia" w:ascii="Times New Roman" w:hAnsi="Times New Roman" w:cs="Times New Roman" w:eastAsiaTheme="minorEastAsia"/>
                <w:b/>
                <w:bCs/>
                <w:sz w:val="28"/>
                <w:szCs w:val="28"/>
                <w:lang w:eastAsia="zh-CN"/>
              </w:rPr>
              <w:t>环境保护</w:t>
            </w:r>
            <w:r>
              <w:rPr>
                <w:rFonts w:ascii="Times New Roman" w:hAnsi="Times New Roman" w:cs="Times New Roman" w:eastAsiaTheme="minorEastAsia"/>
                <w:b/>
                <w:bCs/>
                <w:sz w:val="28"/>
                <w:szCs w:val="28"/>
                <w:lang w:eastAsia="zh-CN"/>
              </w:rPr>
              <w:t>措施</w:t>
            </w:r>
          </w:p>
          <w:p w14:paraId="196F57D2">
            <w:pPr>
              <w:pStyle w:val="18"/>
              <w:spacing w:line="360" w:lineRule="auto"/>
              <w:ind w:firstLine="480" w:firstLineChars="200"/>
              <w:jc w:val="both"/>
              <w:rPr>
                <w:rFonts w:ascii="Times New Roman" w:hAnsi="Times New Roman" w:cs="Times New Roman"/>
                <w:sz w:val="24"/>
                <w:szCs w:val="24"/>
                <w:lang w:eastAsia="zh-CN"/>
              </w:rPr>
            </w:pPr>
            <w:r>
              <w:rPr>
                <w:rFonts w:hint="eastAsia"/>
                <w:sz w:val="24"/>
                <w:szCs w:val="24"/>
                <w:lang w:eastAsia="zh-CN"/>
              </w:rPr>
              <w:t>运营期，车辆燃油废气无组织排放；食堂油烟经油烟净化器处理后，通过专用烟道延伸至楼顶排放。</w:t>
            </w:r>
          </w:p>
          <w:p w14:paraId="5C7D91B4">
            <w:pPr>
              <w:pStyle w:val="18"/>
              <w:spacing w:line="360" w:lineRule="auto"/>
              <w:rPr>
                <w:rFonts w:ascii="Times New Roman" w:hAnsi="Times New Roman" w:cs="Times New Roman"/>
                <w:sz w:val="24"/>
                <w:szCs w:val="24"/>
                <w:lang w:eastAsia="zh-CN"/>
              </w:rPr>
            </w:pPr>
            <w:r>
              <w:rPr>
                <w:rFonts w:ascii="Times New Roman" w:hAnsi="Times New Roman" w:cs="Times New Roman" w:eastAsiaTheme="minorEastAsia"/>
                <w:b/>
                <w:bCs/>
                <w:sz w:val="28"/>
                <w:szCs w:val="28"/>
                <w:lang w:eastAsia="zh-CN"/>
              </w:rPr>
              <w:t>2、</w:t>
            </w:r>
            <w:r>
              <w:rPr>
                <w:rFonts w:hint="eastAsia" w:ascii="Times New Roman" w:hAnsi="Times New Roman" w:cs="Times New Roman" w:eastAsiaTheme="minorEastAsia"/>
                <w:b/>
                <w:bCs/>
                <w:sz w:val="28"/>
                <w:szCs w:val="28"/>
                <w:lang w:eastAsia="zh-CN"/>
              </w:rPr>
              <w:t>运营期水环境保护</w:t>
            </w:r>
            <w:r>
              <w:rPr>
                <w:rFonts w:ascii="Times New Roman" w:hAnsi="Times New Roman" w:cs="Times New Roman" w:eastAsiaTheme="minorEastAsia"/>
                <w:b/>
                <w:bCs/>
                <w:sz w:val="28"/>
                <w:szCs w:val="28"/>
                <w:lang w:eastAsia="zh-CN"/>
              </w:rPr>
              <w:t>措施</w:t>
            </w:r>
          </w:p>
          <w:p w14:paraId="584B919D">
            <w:pPr>
              <w:pStyle w:val="18"/>
              <w:spacing w:line="360" w:lineRule="auto"/>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eastAsia="zh-CN"/>
              </w:rPr>
              <w:t>运营期，建设单位应落实以下水环境保护措施：</w:t>
            </w:r>
          </w:p>
          <w:p w14:paraId="661E0B1A">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ascii="Times New Roman" w:hAnsi="Times New Roman" w:cs="Times New Roman"/>
                <w:sz w:val="24"/>
                <w:szCs w:val="24"/>
                <w:lang w:eastAsia="zh-CN"/>
              </w:rPr>
              <w:t>加强</w:t>
            </w:r>
            <w:r>
              <w:rPr>
                <w:rFonts w:hint="eastAsia" w:ascii="Times New Roman" w:hAnsi="Times New Roman" w:cs="Times New Roman"/>
                <w:sz w:val="24"/>
                <w:szCs w:val="24"/>
                <w:lang w:eastAsia="zh-CN"/>
              </w:rPr>
              <w:t>道路</w:t>
            </w:r>
            <w:r>
              <w:rPr>
                <w:rFonts w:ascii="Times New Roman" w:hAnsi="Times New Roman" w:cs="Times New Roman"/>
                <w:sz w:val="24"/>
                <w:szCs w:val="24"/>
                <w:lang w:eastAsia="zh-CN"/>
              </w:rPr>
              <w:t>排水设施的管理，</w:t>
            </w:r>
            <w:r>
              <w:rPr>
                <w:rFonts w:hint="eastAsia" w:ascii="Times New Roman" w:hAnsi="Times New Roman" w:cs="Times New Roman"/>
                <w:sz w:val="24"/>
                <w:szCs w:val="24"/>
                <w:lang w:eastAsia="zh-CN"/>
              </w:rPr>
              <w:t>定期进行</w:t>
            </w:r>
            <w:r>
              <w:rPr>
                <w:rFonts w:ascii="Times New Roman" w:hAnsi="Times New Roman" w:cs="Times New Roman"/>
                <w:sz w:val="24"/>
                <w:szCs w:val="24"/>
                <w:lang w:eastAsia="zh-CN"/>
              </w:rPr>
              <w:t>巡查和</w:t>
            </w:r>
            <w:r>
              <w:rPr>
                <w:rFonts w:hint="eastAsia" w:ascii="Times New Roman" w:hAnsi="Times New Roman" w:cs="Times New Roman"/>
                <w:sz w:val="24"/>
                <w:szCs w:val="24"/>
                <w:lang w:eastAsia="zh-CN"/>
              </w:rPr>
              <w:t>疏浚</w:t>
            </w:r>
            <w:r>
              <w:rPr>
                <w:rFonts w:ascii="Times New Roman" w:hAnsi="Times New Roman" w:cs="Times New Roman"/>
                <w:sz w:val="24"/>
                <w:szCs w:val="24"/>
                <w:lang w:eastAsia="zh-CN"/>
              </w:rPr>
              <w:t>，确保排水系统畅通。</w:t>
            </w:r>
          </w:p>
          <w:p w14:paraId="299CC0D5">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ascii="Times New Roman" w:hAnsi="Times New Roman" w:cs="Times New Roman"/>
                <w:sz w:val="24"/>
                <w:szCs w:val="24"/>
                <w:lang w:eastAsia="zh-CN"/>
              </w:rPr>
              <w:t>加强</w:t>
            </w:r>
            <w:r>
              <w:rPr>
                <w:rFonts w:hint="eastAsia" w:ascii="Times New Roman" w:hAnsi="Times New Roman" w:cs="Times New Roman"/>
                <w:sz w:val="24"/>
                <w:szCs w:val="24"/>
                <w:lang w:eastAsia="zh-CN"/>
              </w:rPr>
              <w:t>道路</w:t>
            </w:r>
            <w:r>
              <w:rPr>
                <w:rFonts w:ascii="Times New Roman" w:hAnsi="Times New Roman" w:cs="Times New Roman"/>
                <w:sz w:val="24"/>
                <w:szCs w:val="24"/>
                <w:lang w:eastAsia="zh-CN"/>
              </w:rPr>
              <w:t>运输管理，建立危险品运输监管制度，针对运输有毒、易燃、易爆物品的车辆在道路旁安装提示慢行的警告牌</w:t>
            </w:r>
            <w:r>
              <w:rPr>
                <w:rFonts w:hint="eastAsia" w:ascii="Times New Roman" w:hAnsi="Times New Roman" w:cs="Times New Roman"/>
                <w:sz w:val="24"/>
                <w:szCs w:val="24"/>
                <w:lang w:eastAsia="zh-CN"/>
              </w:rPr>
              <w:t>。</w:t>
            </w:r>
          </w:p>
          <w:p w14:paraId="7D9E83CA">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hint="eastAsia" w:ascii="Times New Roman" w:hAnsi="Times New Roman" w:cs="Times New Roman"/>
                <w:sz w:val="24"/>
                <w:szCs w:val="24"/>
                <w:lang w:eastAsia="zh-CN"/>
              </w:rPr>
              <w:t>严禁各种泄漏、散装、超载的车辆上路运行，以防止公路散失货物造成沿线水体污染。</w:t>
            </w:r>
          </w:p>
          <w:p w14:paraId="65DDC272">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④</w:t>
            </w:r>
            <w:r>
              <w:rPr>
                <w:rFonts w:ascii="Times New Roman" w:hAnsi="Times New Roman" w:cs="Times New Roman"/>
                <w:sz w:val="24"/>
                <w:szCs w:val="24"/>
                <w:lang w:eastAsia="zh-CN"/>
              </w:rPr>
              <w:t>生活污水</w:t>
            </w:r>
            <w:r>
              <w:rPr>
                <w:rFonts w:hint="eastAsia" w:ascii="Times New Roman" w:hAnsi="Times New Roman" w:cs="Times New Roman"/>
                <w:sz w:val="24"/>
                <w:szCs w:val="24"/>
                <w:lang w:eastAsia="zh-CN"/>
              </w:rPr>
              <w:t>通过污水</w:t>
            </w:r>
            <w:r>
              <w:rPr>
                <w:rFonts w:ascii="Times New Roman" w:hAnsi="Times New Roman" w:cs="Times New Roman"/>
                <w:sz w:val="24"/>
                <w:szCs w:val="24"/>
                <w:lang w:eastAsia="zh-CN"/>
              </w:rPr>
              <w:t>处理后，</w:t>
            </w:r>
            <w:r>
              <w:rPr>
                <w:rFonts w:hint="eastAsia" w:ascii="Times New Roman" w:hAnsi="Times New Roman" w:cs="Times New Roman"/>
                <w:sz w:val="24"/>
                <w:szCs w:val="24"/>
                <w:lang w:eastAsia="zh-CN"/>
              </w:rPr>
              <w:t>用于站区绿化。</w:t>
            </w:r>
          </w:p>
          <w:p w14:paraId="4532E979">
            <w:pPr>
              <w:pStyle w:val="18"/>
              <w:spacing w:line="360" w:lineRule="auto"/>
              <w:rPr>
                <w:rFonts w:ascii="Times New Roman" w:hAnsi="Times New Roman" w:cs="Times New Roman"/>
                <w:sz w:val="24"/>
                <w:szCs w:val="24"/>
                <w:lang w:eastAsia="zh-CN"/>
              </w:rPr>
            </w:pPr>
            <w:r>
              <w:rPr>
                <w:rFonts w:ascii="Times New Roman" w:hAnsi="Times New Roman" w:cs="Times New Roman" w:eastAsiaTheme="minorEastAsia"/>
                <w:b/>
                <w:bCs/>
                <w:sz w:val="28"/>
                <w:szCs w:val="28"/>
                <w:lang w:eastAsia="zh-CN"/>
              </w:rPr>
              <w:t>3、</w:t>
            </w:r>
            <w:r>
              <w:rPr>
                <w:rFonts w:hint="eastAsia" w:ascii="Times New Roman" w:hAnsi="Times New Roman" w:cs="Times New Roman" w:eastAsiaTheme="minorEastAsia"/>
                <w:b/>
                <w:bCs/>
                <w:sz w:val="28"/>
                <w:szCs w:val="28"/>
                <w:lang w:eastAsia="zh-CN"/>
              </w:rPr>
              <w:t>运营期声环境保护</w:t>
            </w:r>
            <w:r>
              <w:rPr>
                <w:rFonts w:ascii="Times New Roman" w:hAnsi="Times New Roman" w:cs="Times New Roman" w:eastAsiaTheme="minorEastAsia"/>
                <w:b/>
                <w:bCs/>
                <w:sz w:val="28"/>
                <w:szCs w:val="28"/>
                <w:lang w:eastAsia="zh-CN"/>
              </w:rPr>
              <w:t>措施</w:t>
            </w:r>
          </w:p>
          <w:p w14:paraId="4D33A1F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运营期，建设单位应落实以下声环境保护措施：</w:t>
            </w:r>
          </w:p>
          <w:p w14:paraId="50DA81B6">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ascii="Times New Roman" w:hAnsi="Times New Roman" w:cs="Times New Roman"/>
                <w:sz w:val="24"/>
                <w:szCs w:val="24"/>
                <w:lang w:eastAsia="zh-CN"/>
              </w:rPr>
              <w:t>加强交通管理，严格执行限速和禁止超载等交通规则，在通过</w:t>
            </w:r>
            <w:r>
              <w:rPr>
                <w:rFonts w:hint="eastAsia" w:ascii="Times New Roman" w:hAnsi="Times New Roman" w:cs="Times New Roman"/>
                <w:sz w:val="24"/>
                <w:szCs w:val="24"/>
                <w:lang w:eastAsia="zh-CN"/>
              </w:rPr>
              <w:t>声环境保护目标</w:t>
            </w:r>
            <w:r>
              <w:rPr>
                <w:rFonts w:ascii="Times New Roman" w:hAnsi="Times New Roman" w:cs="Times New Roman"/>
                <w:sz w:val="24"/>
                <w:szCs w:val="24"/>
                <w:lang w:eastAsia="zh-CN"/>
              </w:rPr>
              <w:t>路段设置禁鸣标志，必要时设置减速带、速度监控设施</w:t>
            </w:r>
            <w:r>
              <w:rPr>
                <w:rFonts w:hint="eastAsia" w:ascii="Times New Roman" w:hAnsi="Times New Roman" w:cs="Times New Roman"/>
                <w:sz w:val="24"/>
                <w:szCs w:val="24"/>
                <w:lang w:eastAsia="zh-CN"/>
              </w:rPr>
              <w:t>、隔声屏障</w:t>
            </w:r>
            <w:r>
              <w:rPr>
                <w:rFonts w:ascii="Times New Roman" w:hAnsi="Times New Roman" w:cs="Times New Roman"/>
                <w:sz w:val="24"/>
                <w:szCs w:val="24"/>
                <w:lang w:eastAsia="zh-CN"/>
              </w:rPr>
              <w:t>等，以减少交通噪声扰民问题。</w:t>
            </w:r>
          </w:p>
          <w:p w14:paraId="69AF074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②</w:t>
            </w:r>
            <w:r>
              <w:rPr>
                <w:rFonts w:ascii="Times New Roman" w:hAnsi="Times New Roman" w:cs="Times New Roman"/>
                <w:sz w:val="24"/>
                <w:szCs w:val="24"/>
                <w:lang w:eastAsia="zh-CN"/>
              </w:rPr>
              <w:t>经常养护路面，保证路面</w:t>
            </w:r>
            <w:r>
              <w:rPr>
                <w:rFonts w:hint="eastAsia" w:ascii="Times New Roman" w:hAnsi="Times New Roman" w:cs="Times New Roman"/>
                <w:sz w:val="24"/>
                <w:szCs w:val="24"/>
                <w:lang w:eastAsia="zh-CN"/>
              </w:rPr>
              <w:t>平整</w:t>
            </w:r>
            <w:r>
              <w:rPr>
                <w:rFonts w:ascii="Times New Roman" w:hAnsi="Times New Roman" w:cs="Times New Roman"/>
                <w:sz w:val="24"/>
                <w:szCs w:val="24"/>
                <w:lang w:eastAsia="zh-CN"/>
              </w:rPr>
              <w:t>清洁，维持道路良好路况</w:t>
            </w:r>
            <w:r>
              <w:rPr>
                <w:rFonts w:hint="eastAsia" w:ascii="Times New Roman" w:hAnsi="Times New Roman" w:cs="Times New Roman"/>
                <w:sz w:val="24"/>
                <w:szCs w:val="24"/>
                <w:lang w:eastAsia="zh-CN"/>
              </w:rPr>
              <w:t>，避免车辆因路面原因发出异响</w:t>
            </w:r>
            <w:r>
              <w:rPr>
                <w:rFonts w:ascii="Times New Roman" w:hAnsi="Times New Roman" w:cs="Times New Roman"/>
                <w:sz w:val="24"/>
                <w:szCs w:val="24"/>
                <w:lang w:eastAsia="zh-CN"/>
              </w:rPr>
              <w:t>。</w:t>
            </w:r>
          </w:p>
          <w:p w14:paraId="07CB6A98">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hint="eastAsia" w:ascii="Times New Roman" w:hAnsi="Times New Roman" w:cs="Times New Roman"/>
                <w:sz w:val="24"/>
                <w:szCs w:val="24"/>
                <w:lang w:eastAsia="zh-CN"/>
              </w:rPr>
              <w:t>项目沿线居民点分布较为集中、离公路较近的路段设置隔声屏障：东二畦下村居民点（</w:t>
            </w:r>
            <w:r>
              <w:rPr>
                <w:rFonts w:ascii="Times New Roman" w:hAnsi="Times New Roman" w:cs="Times New Roman"/>
                <w:sz w:val="24"/>
                <w:szCs w:val="24"/>
                <w:lang w:eastAsia="zh-CN"/>
              </w:rPr>
              <w:t>k113+440~k115+400西侧）、东二畦上村居民点（k116+023~k116+375西侧）、冉家湖村居民点（k116+570~k118+200西侧）、终点附近的东梁村居民点（k125+193~k125+700西侧、k125+700~k126+220东侧）。</w:t>
            </w:r>
          </w:p>
          <w:p w14:paraId="7AB7C2D3">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4、</w:t>
            </w:r>
            <w:r>
              <w:rPr>
                <w:rFonts w:hint="eastAsia" w:ascii="Times New Roman" w:hAnsi="Times New Roman" w:cs="Times New Roman" w:eastAsiaTheme="minorEastAsia"/>
                <w:b/>
                <w:bCs/>
                <w:sz w:val="28"/>
                <w:szCs w:val="28"/>
                <w:lang w:eastAsia="zh-CN"/>
              </w:rPr>
              <w:t>运营期</w:t>
            </w:r>
            <w:r>
              <w:rPr>
                <w:rFonts w:ascii="Times New Roman" w:hAnsi="Times New Roman" w:cs="Times New Roman" w:eastAsiaTheme="minorEastAsia"/>
                <w:b/>
                <w:bCs/>
                <w:sz w:val="28"/>
                <w:szCs w:val="28"/>
                <w:lang w:eastAsia="zh-CN"/>
              </w:rPr>
              <w:t>固体废物</w:t>
            </w:r>
            <w:r>
              <w:rPr>
                <w:rFonts w:hint="eastAsia" w:ascii="Times New Roman" w:hAnsi="Times New Roman" w:cs="Times New Roman" w:eastAsiaTheme="minorEastAsia"/>
                <w:b/>
                <w:bCs/>
                <w:sz w:val="28"/>
                <w:szCs w:val="28"/>
                <w:lang w:eastAsia="zh-CN"/>
              </w:rPr>
              <w:t>污染</w:t>
            </w:r>
            <w:r>
              <w:rPr>
                <w:rFonts w:ascii="Times New Roman" w:hAnsi="Times New Roman" w:cs="Times New Roman" w:eastAsiaTheme="minorEastAsia"/>
                <w:b/>
                <w:bCs/>
                <w:sz w:val="28"/>
                <w:szCs w:val="28"/>
                <w:lang w:eastAsia="zh-CN"/>
              </w:rPr>
              <w:t>防治措施</w:t>
            </w:r>
          </w:p>
          <w:p w14:paraId="76BA1F25">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运营期，为了进一步控制固体废物污染，本项目拟采取的措施如下：</w:t>
            </w:r>
          </w:p>
          <w:p w14:paraId="5D49D071">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hint="eastAsia" w:ascii="Times New Roman" w:hAnsi="Times New Roman" w:cs="Times New Roman"/>
                <w:sz w:val="24"/>
                <w:szCs w:val="24"/>
                <w:lang w:eastAsia="zh-CN"/>
              </w:rPr>
              <w:t>加强司乘人员宣传教育工作</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严禁其在公路通行期间抛撒杂物</w:t>
            </w:r>
            <w:r>
              <w:rPr>
                <w:rFonts w:ascii="Times New Roman" w:hAnsi="Times New Roman" w:cs="Times New Roman"/>
                <w:sz w:val="24"/>
                <w:szCs w:val="24"/>
                <w:lang w:eastAsia="zh-CN"/>
              </w:rPr>
              <w:t>，保证行车安全和公路两侧的清洁卫生。</w:t>
            </w:r>
          </w:p>
          <w:p w14:paraId="73CE5E95">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ascii="Times New Roman" w:hAnsi="Times New Roman" w:cs="Times New Roman"/>
                <w:sz w:val="24"/>
                <w:szCs w:val="24"/>
                <w:lang w:eastAsia="zh-CN"/>
              </w:rPr>
              <w:t>收费站</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服务区、</w:t>
            </w:r>
            <w:r>
              <w:rPr>
                <w:rFonts w:hint="eastAsia" w:ascii="Times New Roman" w:hAnsi="Times New Roman" w:cs="Times New Roman"/>
                <w:sz w:val="24"/>
                <w:szCs w:val="24"/>
                <w:lang w:eastAsia="zh-CN"/>
              </w:rPr>
              <w:t>养护工区</w:t>
            </w:r>
            <w:r>
              <w:rPr>
                <w:rFonts w:ascii="Times New Roman" w:hAnsi="Times New Roman" w:cs="Times New Roman"/>
                <w:sz w:val="24"/>
                <w:szCs w:val="24"/>
                <w:lang w:eastAsia="zh-CN"/>
              </w:rPr>
              <w:t>等处的生活垃圾</w:t>
            </w:r>
            <w:r>
              <w:rPr>
                <w:rFonts w:hint="eastAsia" w:ascii="Times New Roman" w:hAnsi="Times New Roman" w:cs="Times New Roman"/>
                <w:sz w:val="24"/>
                <w:szCs w:val="24"/>
                <w:lang w:eastAsia="zh-CN"/>
              </w:rPr>
              <w:t>应定点收集，</w:t>
            </w:r>
            <w:r>
              <w:rPr>
                <w:rFonts w:ascii="Times New Roman" w:hAnsi="Times New Roman" w:cs="Times New Roman"/>
                <w:sz w:val="24"/>
                <w:szCs w:val="24"/>
                <w:lang w:eastAsia="zh-CN"/>
              </w:rPr>
              <w:t>定期清运至</w:t>
            </w:r>
            <w:r>
              <w:rPr>
                <w:rFonts w:hint="eastAsia" w:ascii="Times New Roman" w:hAnsi="Times New Roman" w:cs="Times New Roman"/>
                <w:sz w:val="24"/>
                <w:szCs w:val="24"/>
                <w:lang w:eastAsia="zh-CN"/>
              </w:rPr>
              <w:t>环卫部门处置</w:t>
            </w:r>
            <w:r>
              <w:rPr>
                <w:rFonts w:ascii="Times New Roman" w:hAnsi="Times New Roman" w:cs="Times New Roman"/>
                <w:sz w:val="24"/>
                <w:szCs w:val="24"/>
                <w:lang w:eastAsia="zh-CN"/>
              </w:rPr>
              <w:t>。</w:t>
            </w:r>
          </w:p>
          <w:p w14:paraId="74E7C691">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hint="eastAsia" w:ascii="Times New Roman" w:hAnsi="Times New Roman" w:cs="Times New Roman"/>
                <w:sz w:val="24"/>
                <w:szCs w:val="24"/>
                <w:lang w:eastAsia="zh-CN"/>
              </w:rPr>
              <w:t>道路维修养护产生的废沥青，收集后回用。</w:t>
            </w:r>
          </w:p>
          <w:p w14:paraId="4F0F6AAC">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④</w:t>
            </w:r>
            <w:r>
              <w:rPr>
                <w:rFonts w:hint="eastAsia" w:ascii="Times New Roman" w:hAnsi="Times New Roman" w:cs="Times New Roman"/>
                <w:sz w:val="24"/>
                <w:szCs w:val="24"/>
                <w:lang w:eastAsia="zh-CN"/>
              </w:rPr>
              <w:t>服务区产生的废机油由危废贮存点贮存，交由有相关处理资质的单位处置。</w:t>
            </w:r>
          </w:p>
          <w:p w14:paraId="1D7C1BBB">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5、</w:t>
            </w:r>
            <w:r>
              <w:rPr>
                <w:rFonts w:hint="eastAsia" w:ascii="Times New Roman" w:hAnsi="Times New Roman" w:cs="Times New Roman" w:eastAsiaTheme="minorEastAsia"/>
                <w:b/>
                <w:bCs/>
                <w:sz w:val="28"/>
                <w:szCs w:val="28"/>
                <w:lang w:eastAsia="zh-CN"/>
              </w:rPr>
              <w:t>运营期生态环境保护</w:t>
            </w:r>
            <w:r>
              <w:rPr>
                <w:rFonts w:ascii="Times New Roman" w:hAnsi="Times New Roman" w:cs="Times New Roman" w:eastAsiaTheme="minorEastAsia"/>
                <w:b/>
                <w:bCs/>
                <w:sz w:val="28"/>
                <w:szCs w:val="28"/>
                <w:lang w:eastAsia="zh-CN"/>
              </w:rPr>
              <w:t>措施</w:t>
            </w:r>
          </w:p>
          <w:p w14:paraId="3D40A735">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ascii="Times New Roman" w:hAnsi="Times New Roman" w:cs="Times New Roman"/>
                <w:sz w:val="24"/>
                <w:szCs w:val="24"/>
                <w:lang w:eastAsia="zh-CN"/>
              </w:rPr>
              <w:t>加强环保宣传工作，</w:t>
            </w:r>
            <w:r>
              <w:rPr>
                <w:rFonts w:hint="eastAsia" w:ascii="Times New Roman" w:hAnsi="Times New Roman" w:cs="Times New Roman"/>
                <w:sz w:val="24"/>
                <w:szCs w:val="24"/>
                <w:lang w:eastAsia="zh-CN"/>
              </w:rPr>
              <w:t>在公路沿线</w:t>
            </w:r>
            <w:r>
              <w:rPr>
                <w:rFonts w:ascii="Times New Roman" w:hAnsi="Times New Roman" w:cs="Times New Roman"/>
                <w:sz w:val="24"/>
                <w:szCs w:val="24"/>
                <w:lang w:eastAsia="zh-CN"/>
              </w:rPr>
              <w:t>设置环境保护</w:t>
            </w:r>
            <w:r>
              <w:rPr>
                <w:rFonts w:hint="eastAsia" w:ascii="Times New Roman" w:hAnsi="Times New Roman" w:cs="Times New Roman"/>
                <w:sz w:val="24"/>
                <w:szCs w:val="24"/>
                <w:lang w:eastAsia="zh-CN"/>
              </w:rPr>
              <w:t>标志和</w:t>
            </w:r>
            <w:r>
              <w:rPr>
                <w:rFonts w:ascii="Times New Roman" w:hAnsi="Times New Roman" w:cs="Times New Roman"/>
                <w:sz w:val="24"/>
                <w:szCs w:val="24"/>
                <w:lang w:eastAsia="zh-CN"/>
              </w:rPr>
              <w:t>提示标语。</w:t>
            </w:r>
          </w:p>
          <w:p w14:paraId="745B60A9">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ascii="Times New Roman" w:hAnsi="Times New Roman" w:cs="Times New Roman"/>
                <w:sz w:val="24"/>
                <w:szCs w:val="24"/>
                <w:lang w:eastAsia="zh-CN"/>
              </w:rPr>
              <w:t>按</w:t>
            </w:r>
            <w:r>
              <w:rPr>
                <w:rFonts w:hint="eastAsia" w:ascii="Times New Roman" w:hAnsi="Times New Roman" w:cs="Times New Roman"/>
                <w:sz w:val="24"/>
                <w:szCs w:val="24"/>
                <w:lang w:eastAsia="zh-CN"/>
              </w:rPr>
              <w:t>照项目</w:t>
            </w:r>
            <w:r>
              <w:rPr>
                <w:rFonts w:ascii="Times New Roman" w:hAnsi="Times New Roman" w:cs="Times New Roman"/>
                <w:sz w:val="24"/>
                <w:szCs w:val="24"/>
                <w:lang w:eastAsia="zh-CN"/>
              </w:rPr>
              <w:t>水土保持方案落实各项工程措施、植物措施</w:t>
            </w:r>
            <w:r>
              <w:rPr>
                <w:rFonts w:hint="eastAsia" w:ascii="Times New Roman" w:hAnsi="Times New Roman" w:cs="Times New Roman"/>
                <w:sz w:val="24"/>
                <w:szCs w:val="24"/>
                <w:lang w:eastAsia="zh-CN"/>
              </w:rPr>
              <w:t>等水土保持措施</w:t>
            </w:r>
            <w:r>
              <w:rPr>
                <w:rFonts w:ascii="Times New Roman" w:hAnsi="Times New Roman" w:cs="Times New Roman"/>
                <w:sz w:val="24"/>
                <w:szCs w:val="24"/>
                <w:lang w:eastAsia="zh-CN"/>
              </w:rPr>
              <w:t>。</w:t>
            </w:r>
          </w:p>
          <w:p w14:paraId="15B01204">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hint="eastAsia" w:ascii="Times New Roman" w:hAnsi="Times New Roman" w:cs="Times New Roman"/>
                <w:sz w:val="24"/>
                <w:szCs w:val="24"/>
                <w:lang w:eastAsia="zh-CN"/>
              </w:rPr>
              <w:t>本工程建设期间，占用林地区域，能移栽的林木尽量移植保护，砍伐的林木，需采取严格的造林绿化措施来补偿，应按“伐一补一”的原则进行植树绿化。</w:t>
            </w:r>
          </w:p>
          <w:p w14:paraId="7B812A6D">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④</w:t>
            </w:r>
            <w:r>
              <w:rPr>
                <w:rFonts w:hint="eastAsia" w:ascii="Times New Roman" w:hAnsi="Times New Roman" w:cs="Times New Roman"/>
                <w:sz w:val="24"/>
                <w:szCs w:val="24"/>
                <w:lang w:eastAsia="zh-CN"/>
              </w:rPr>
              <w:t>施工结束后，弃土场等临时用地播撒草籽。</w:t>
            </w:r>
          </w:p>
          <w:p w14:paraId="70982D6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绿化工程的实施，可由建设单位与沿线地方政府共同协作完成。具体可由建设单位补偿绿化资金，地方政府组织实施绿化。</w:t>
            </w:r>
          </w:p>
          <w:p w14:paraId="1A6297AD">
            <w:pPr>
              <w:pStyle w:val="18"/>
              <w:spacing w:line="360" w:lineRule="auto"/>
              <w:jc w:val="both"/>
              <w:rPr>
                <w:rFonts w:ascii="Times New Roman" w:hAnsi="Times New Roman" w:cs="Times New Roman"/>
                <w:sz w:val="24"/>
                <w:szCs w:val="24"/>
                <w:lang w:eastAsia="zh-CN"/>
              </w:rPr>
            </w:pPr>
            <w:r>
              <w:rPr>
                <w:rFonts w:ascii="Times New Roman" w:hAnsi="Times New Roman" w:cs="Times New Roman" w:eastAsiaTheme="minorEastAsia"/>
                <w:b/>
                <w:bCs/>
                <w:sz w:val="28"/>
                <w:szCs w:val="28"/>
                <w:lang w:eastAsia="zh-CN"/>
              </w:rPr>
              <w:t>5、</w:t>
            </w:r>
            <w:r>
              <w:rPr>
                <w:rFonts w:hint="eastAsia" w:ascii="Times New Roman" w:hAnsi="Times New Roman" w:cs="Times New Roman" w:eastAsiaTheme="minorEastAsia"/>
                <w:b/>
                <w:bCs/>
                <w:sz w:val="28"/>
                <w:szCs w:val="28"/>
                <w:lang w:eastAsia="zh-CN"/>
              </w:rPr>
              <w:t>运营期生态恢复防沙治沙措施</w:t>
            </w:r>
          </w:p>
          <w:p w14:paraId="3AA136AA">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本项目涉及穿越新疆吉木萨尔县国家沙化土地封禁保护区的桩号区间为：</w:t>
            </w:r>
            <w:r>
              <w:rPr>
                <w:rFonts w:ascii="Times New Roman" w:hAnsi="Times New Roman" w:cs="Times New Roman"/>
                <w:sz w:val="24"/>
                <w:szCs w:val="24"/>
                <w:lang w:eastAsia="zh-CN"/>
              </w:rPr>
              <w:t>k49+550-k85+360段，共35.81km，</w:t>
            </w:r>
            <w:r>
              <w:rPr>
                <w:rFonts w:hint="eastAsia" w:ascii="Times New Roman" w:hAnsi="Times New Roman" w:cs="Times New Roman"/>
                <w:sz w:val="24"/>
                <w:szCs w:val="24"/>
                <w:lang w:eastAsia="zh-CN"/>
              </w:rPr>
              <w:t>施工</w:t>
            </w:r>
            <w:r>
              <w:rPr>
                <w:rFonts w:ascii="Times New Roman" w:hAnsi="Times New Roman" w:cs="Times New Roman"/>
                <w:sz w:val="24"/>
                <w:szCs w:val="24"/>
                <w:lang w:eastAsia="zh-CN"/>
              </w:rPr>
              <w:t>结束后</w:t>
            </w:r>
            <w:r>
              <w:rPr>
                <w:rFonts w:hint="eastAsia" w:ascii="Times New Roman" w:hAnsi="Times New Roman" w:cs="Times New Roman"/>
                <w:sz w:val="24"/>
                <w:szCs w:val="24"/>
                <w:lang w:eastAsia="zh-CN"/>
              </w:rPr>
              <w:t>，对占用破坏的封禁保护区原有草方格沙障按照“占一补一”的原则实施生态补偿，补偿区域位于项目</w:t>
            </w:r>
            <w:r>
              <w:rPr>
                <w:rFonts w:ascii="Times New Roman" w:hAnsi="Times New Roman" w:cs="Times New Roman"/>
                <w:sz w:val="24"/>
                <w:szCs w:val="24"/>
                <w:lang w:eastAsia="zh-CN"/>
              </w:rPr>
              <w:t>k49+550-k85+360段封禁保护区原有草方格沙障边界外围</w:t>
            </w:r>
            <w:r>
              <w:rPr>
                <w:rFonts w:hint="eastAsia" w:ascii="Times New Roman" w:hAnsi="Times New Roman" w:cs="Times New Roman"/>
                <w:sz w:val="24"/>
                <w:szCs w:val="24"/>
                <w:lang w:eastAsia="zh-CN"/>
              </w:rPr>
              <w:t>，新建</w:t>
            </w:r>
            <w:r>
              <w:rPr>
                <w:rFonts w:ascii="Times New Roman" w:hAnsi="Times New Roman" w:cs="Times New Roman"/>
                <w:sz w:val="24"/>
                <w:szCs w:val="24"/>
                <w:lang w:eastAsia="zh-CN"/>
              </w:rPr>
              <w:t>草方格沙障面积</w:t>
            </w:r>
            <w:r>
              <w:rPr>
                <w:rFonts w:hint="eastAsia" w:ascii="Times New Roman" w:hAnsi="Times New Roman" w:cs="Times New Roman"/>
                <w:spacing w:val="4"/>
                <w:sz w:val="24"/>
                <w:szCs w:val="24"/>
                <w:lang w:eastAsia="zh-CN"/>
              </w:rPr>
              <w:t>1</w:t>
            </w:r>
            <w:r>
              <w:rPr>
                <w:rFonts w:ascii="Times New Roman" w:hAnsi="Times New Roman" w:cs="Times New Roman"/>
                <w:spacing w:val="4"/>
                <w:sz w:val="24"/>
                <w:szCs w:val="24"/>
                <w:lang w:eastAsia="zh-CN"/>
              </w:rPr>
              <w:t>17.8839</w:t>
            </w:r>
            <w:r>
              <w:rPr>
                <w:rFonts w:hint="eastAsia" w:ascii="Times New Roman" w:hAnsi="Times New Roman" w:cs="Times New Roman"/>
                <w:spacing w:val="4"/>
                <w:sz w:val="24"/>
                <w:szCs w:val="24"/>
                <w:lang w:eastAsia="zh-CN"/>
              </w:rPr>
              <w:t>hm²</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草方格沙障</w:t>
            </w:r>
            <w:r>
              <w:rPr>
                <w:rFonts w:ascii="Times New Roman" w:hAnsi="Times New Roman" w:cs="Times New Roman"/>
                <w:sz w:val="24"/>
                <w:szCs w:val="24"/>
                <w:lang w:eastAsia="zh-CN"/>
              </w:rPr>
              <w:t>结构为半隐蔽式，</w:t>
            </w:r>
            <w:r>
              <w:rPr>
                <w:rFonts w:hint="eastAsia" w:ascii="Times New Roman" w:hAnsi="Times New Roman" w:cs="Times New Roman"/>
                <w:sz w:val="24"/>
                <w:szCs w:val="24"/>
                <w:lang w:eastAsia="zh-CN"/>
              </w:rPr>
              <w:t>规格</w:t>
            </w:r>
            <w:r>
              <w:rPr>
                <w:rFonts w:ascii="Times New Roman" w:hAnsi="Times New Roman" w:cs="Times New Roman"/>
                <w:sz w:val="24"/>
                <w:szCs w:val="24"/>
                <w:lang w:eastAsia="zh-CN"/>
              </w:rPr>
              <w:t>尺寸为1m×1m，将新芦苇一束束呈方格状铺在沙上，用平板挤压芦苇（压入深度不宜小于25cm），并用沙扶植。同时在迎风侧设置沙障。对于边坡采用缓边坡或流线型横断面，路基与边坡相交宜设置成圆弧形。草方格沙障固沙区域涉及桩号区间为k49+550-k85+360。</w:t>
            </w:r>
          </w:p>
          <w:p w14:paraId="1911B0FE">
            <w:pPr>
              <w:pStyle w:val="18"/>
              <w:spacing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6、</w:t>
            </w:r>
            <w:r>
              <w:rPr>
                <w:rFonts w:hint="eastAsia" w:ascii="Times New Roman" w:hAnsi="Times New Roman" w:cs="Times New Roman" w:eastAsiaTheme="minorEastAsia"/>
                <w:b/>
                <w:bCs/>
                <w:sz w:val="28"/>
                <w:szCs w:val="28"/>
                <w:lang w:eastAsia="zh-CN"/>
              </w:rPr>
              <w:t>环境风险防范</w:t>
            </w:r>
            <w:r>
              <w:rPr>
                <w:rFonts w:ascii="Times New Roman" w:hAnsi="Times New Roman" w:cs="Times New Roman" w:eastAsiaTheme="minorEastAsia"/>
                <w:b/>
                <w:bCs/>
                <w:sz w:val="28"/>
                <w:szCs w:val="28"/>
                <w:lang w:eastAsia="zh-CN"/>
              </w:rPr>
              <w:t>措施</w:t>
            </w:r>
          </w:p>
          <w:p w14:paraId="56BFB027">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运营期，项目应落实如下环境风险防范措施：</w:t>
            </w:r>
          </w:p>
          <w:p w14:paraId="12D5A4A2">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①</w:t>
            </w:r>
            <w:r>
              <w:rPr>
                <w:rFonts w:ascii="Times New Roman" w:hAnsi="Times New Roman" w:cs="Times New Roman"/>
                <w:sz w:val="24"/>
                <w:szCs w:val="24"/>
                <w:lang w:eastAsia="zh-CN"/>
              </w:rPr>
              <w:t>强化有关危险品运输法规的教育和培训</w:t>
            </w:r>
            <w:r>
              <w:rPr>
                <w:rFonts w:hint="eastAsia" w:ascii="Times New Roman" w:hAnsi="Times New Roman" w:cs="Times New Roman"/>
                <w:sz w:val="24"/>
                <w:szCs w:val="24"/>
                <w:lang w:eastAsia="zh-CN"/>
              </w:rPr>
              <w:t>，对从事危险品运输的驾驶员和管理人员，应严格遵守有关危险品运输安全技术规定和操作规程，学习和掌握国家有关部门颁布实施的相关法规。</w:t>
            </w:r>
          </w:p>
          <w:p w14:paraId="291993E0">
            <w:pPr>
              <w:pStyle w:val="18"/>
              <w:spacing w:line="360" w:lineRule="auto"/>
              <w:ind w:firstLine="480" w:firstLineChars="200"/>
              <w:jc w:val="both"/>
              <w:rPr>
                <w:rFonts w:ascii="Times New Roman" w:hAnsi="Times New Roman" w:cs="Times New Roman"/>
                <w:sz w:val="24"/>
                <w:szCs w:val="24"/>
                <w:lang w:eastAsia="zh-CN"/>
              </w:rPr>
            </w:pPr>
            <w:r>
              <w:rPr>
                <w:sz w:val="24"/>
                <w:szCs w:val="24"/>
                <w:lang w:eastAsia="zh-CN"/>
              </w:rPr>
              <w:t>②</w:t>
            </w:r>
            <w:r>
              <w:rPr>
                <w:rFonts w:hint="eastAsia" w:ascii="Times New Roman" w:hAnsi="Times New Roman" w:cs="Times New Roman"/>
                <w:sz w:val="24"/>
                <w:szCs w:val="24"/>
                <w:lang w:eastAsia="zh-CN"/>
              </w:rPr>
              <w:t>道路管理部门应加强危险品运输管理，严格执行《道路危险货物运输管理规定》有关危险品运输的规定。</w:t>
            </w:r>
          </w:p>
          <w:p w14:paraId="554AB49E">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a、</w:t>
            </w:r>
            <w:r>
              <w:rPr>
                <w:rFonts w:ascii="Times New Roman" w:hAnsi="Times New Roman" w:cs="Times New Roman"/>
                <w:sz w:val="24"/>
                <w:szCs w:val="24"/>
                <w:lang w:eastAsia="zh-CN"/>
              </w:rPr>
              <w:t>由地方交通局建立本地区危险货物运输调度和货运代理网络。</w:t>
            </w:r>
          </w:p>
          <w:p w14:paraId="2DFFECBD">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b、</w:t>
            </w:r>
            <w:r>
              <w:rPr>
                <w:rFonts w:ascii="Times New Roman" w:hAnsi="Times New Roman" w:cs="Times New Roman"/>
                <w:sz w:val="24"/>
                <w:szCs w:val="24"/>
                <w:lang w:eastAsia="zh-CN"/>
              </w:rPr>
              <w:t>对货运代理和承运单位实行资格认证。</w:t>
            </w:r>
          </w:p>
          <w:p w14:paraId="4E29D23F">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c、</w:t>
            </w:r>
            <w:r>
              <w:rPr>
                <w:rFonts w:ascii="Times New Roman" w:hAnsi="Times New Roman" w:cs="Times New Roman"/>
                <w:sz w:val="24"/>
                <w:szCs w:val="24"/>
                <w:lang w:eastAsia="zh-CN"/>
              </w:rPr>
              <w:t>危险货物运输实行“准运证”、“驾驶证”和“押运员”制度，从事危险货物运输的车辆要使用统一的专用标志，实行定点检测制度。</w:t>
            </w:r>
          </w:p>
          <w:p w14:paraId="35738E95">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d、</w:t>
            </w:r>
            <w:r>
              <w:rPr>
                <w:rFonts w:ascii="Times New Roman" w:hAnsi="Times New Roman" w:cs="Times New Roman"/>
                <w:sz w:val="24"/>
                <w:szCs w:val="24"/>
                <w:lang w:eastAsia="zh-CN"/>
              </w:rPr>
              <w:t>在危险品运输途中，司乘人员应严禁吸烟，停车时不准靠近明火和高温场所。驾驶员在运输途中必须集中精力，要注意观察路标。中途不得随意停车等。</w:t>
            </w:r>
          </w:p>
          <w:p w14:paraId="2D31BFD9">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e、</w:t>
            </w:r>
            <w:r>
              <w:rPr>
                <w:rFonts w:ascii="Times New Roman" w:hAnsi="Times New Roman" w:cs="Times New Roman"/>
                <w:sz w:val="24"/>
                <w:szCs w:val="24"/>
                <w:lang w:eastAsia="zh-CN"/>
              </w:rPr>
              <w:t>如运送剧毒化学品应按公安机关核发的“剧毒化学品公路运输通行证”的规定实施运输。</w:t>
            </w:r>
          </w:p>
          <w:p w14:paraId="6899B9E0">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f、</w:t>
            </w:r>
            <w:r>
              <w:rPr>
                <w:rFonts w:ascii="Times New Roman" w:hAnsi="Times New Roman" w:cs="Times New Roman"/>
                <w:sz w:val="24"/>
                <w:szCs w:val="24"/>
                <w:lang w:eastAsia="zh-CN"/>
              </w:rPr>
              <w:t>在天气不良的状况下，例如大风</w:t>
            </w:r>
            <w:r>
              <w:rPr>
                <w:rFonts w:hint="eastAsia" w:ascii="Times New Roman" w:hAnsi="Times New Roman" w:cs="Times New Roman"/>
                <w:sz w:val="24"/>
                <w:szCs w:val="24"/>
                <w:lang w:eastAsia="zh-CN"/>
              </w:rPr>
              <w:t>、暴雨等</w:t>
            </w:r>
            <w:r>
              <w:rPr>
                <w:rFonts w:ascii="Times New Roman" w:hAnsi="Times New Roman" w:cs="Times New Roman"/>
                <w:sz w:val="24"/>
                <w:szCs w:val="24"/>
                <w:lang w:eastAsia="zh-CN"/>
              </w:rPr>
              <w:t>天气条件应禁止危险品运输车辆进入。</w:t>
            </w:r>
          </w:p>
          <w:p w14:paraId="6C7CC29B">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g、</w:t>
            </w:r>
            <w:r>
              <w:rPr>
                <w:rFonts w:ascii="Times New Roman" w:hAnsi="Times New Roman" w:cs="Times New Roman"/>
                <w:sz w:val="24"/>
                <w:szCs w:val="24"/>
                <w:lang w:eastAsia="zh-CN"/>
              </w:rPr>
              <w:t>在进入居民集中区和学校等敏感处设置明显的标志，以唤起从事危险品运输的驾驶员注意。在发生油料、危险化学品有毒有害物品泄漏紧急情况下，应关闭该路段，启动应</w:t>
            </w:r>
            <w:r>
              <w:rPr>
                <w:rFonts w:hint="eastAsia" w:ascii="Times New Roman" w:hAnsi="Times New Roman" w:cs="Times New Roman"/>
                <w:sz w:val="24"/>
                <w:szCs w:val="24"/>
                <w:lang w:val="en-US" w:eastAsia="zh-CN"/>
              </w:rPr>
              <w:t>急</w:t>
            </w:r>
            <w:bookmarkStart w:id="9" w:name="_GoBack"/>
            <w:bookmarkEnd w:id="9"/>
            <w:r>
              <w:rPr>
                <w:rFonts w:hint="eastAsia" w:ascii="Times New Roman" w:hAnsi="Times New Roman" w:cs="Times New Roman"/>
                <w:sz w:val="24"/>
                <w:szCs w:val="24"/>
                <w:lang w:eastAsia="zh-CN"/>
              </w:rPr>
              <w:t>预案</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进行</w:t>
            </w:r>
            <w:r>
              <w:rPr>
                <w:rFonts w:ascii="Times New Roman" w:hAnsi="Times New Roman" w:cs="Times New Roman"/>
                <w:sz w:val="24"/>
                <w:szCs w:val="24"/>
                <w:lang w:eastAsia="zh-CN"/>
              </w:rPr>
              <w:t>泄漏处理。</w:t>
            </w:r>
          </w:p>
          <w:p w14:paraId="0942944C">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h、一旦运输车辆发生翻车、泄露等事故，司机、押运人必须立即拨打</w:t>
            </w:r>
            <w:r>
              <w:rPr>
                <w:rFonts w:ascii="Times New Roman" w:hAnsi="Times New Roman" w:cs="Times New Roman"/>
                <w:sz w:val="24"/>
                <w:szCs w:val="24"/>
                <w:lang w:eastAsia="zh-CN"/>
              </w:rPr>
              <w:t>110，</w:t>
            </w:r>
            <w:r>
              <w:rPr>
                <w:rFonts w:hint="eastAsia" w:ascii="Times New Roman" w:hAnsi="Times New Roman" w:cs="Times New Roman"/>
                <w:sz w:val="24"/>
                <w:szCs w:val="24"/>
                <w:lang w:eastAsia="zh-CN"/>
              </w:rPr>
              <w:t>说明所有重要的相关信息。</w:t>
            </w:r>
            <w:r>
              <w:rPr>
                <w:rFonts w:ascii="Times New Roman" w:hAnsi="Times New Roman" w:cs="Times New Roman"/>
                <w:sz w:val="24"/>
                <w:szCs w:val="24"/>
                <w:lang w:eastAsia="zh-CN"/>
              </w:rPr>
              <w:t>同时拨打12369环保热线向当地环保部门汇报。</w:t>
            </w:r>
          </w:p>
          <w:p w14:paraId="5A3FCEF2">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i、</w:t>
            </w:r>
            <w:r>
              <w:rPr>
                <w:rFonts w:ascii="Times New Roman" w:hAnsi="Times New Roman" w:cs="Times New Roman"/>
                <w:sz w:val="24"/>
                <w:szCs w:val="24"/>
                <w:lang w:eastAsia="zh-CN"/>
              </w:rPr>
              <w:t>交管部门接受报案后及时向当地政府办公部门报警，并启动</w:t>
            </w:r>
            <w:r>
              <w:rPr>
                <w:rFonts w:hint="eastAsia" w:ascii="Times New Roman" w:hAnsi="Times New Roman" w:cs="Times New Roman"/>
                <w:sz w:val="24"/>
                <w:szCs w:val="24"/>
                <w:lang w:eastAsia="zh-CN"/>
              </w:rPr>
              <w:t>政府部门相应</w:t>
            </w:r>
            <w:r>
              <w:rPr>
                <w:rFonts w:ascii="Times New Roman" w:hAnsi="Times New Roman" w:cs="Times New Roman"/>
                <w:sz w:val="24"/>
                <w:szCs w:val="24"/>
                <w:lang w:eastAsia="zh-CN"/>
              </w:rPr>
              <w:t>应急预案。</w:t>
            </w:r>
          </w:p>
          <w:p w14:paraId="5CF3019D">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j、</w:t>
            </w:r>
            <w:r>
              <w:rPr>
                <w:rFonts w:ascii="Times New Roman" w:hAnsi="Times New Roman" w:cs="Times New Roman"/>
                <w:sz w:val="24"/>
                <w:szCs w:val="24"/>
                <w:lang w:eastAsia="zh-CN"/>
              </w:rPr>
              <w:t>对从事危险品运输的驾驶员有关部门应定期进行排除危险品运输车辆交通事故的业务培训，以使从业人员增强忧患意识，将危险品运输所产生的事故风险降为最低。</w:t>
            </w:r>
          </w:p>
          <w:p w14:paraId="2D4ED32C">
            <w:pPr>
              <w:spacing w:line="360" w:lineRule="auto"/>
              <w:ind w:firstLine="480" w:firstLineChars="200"/>
              <w:jc w:val="both"/>
              <w:rPr>
                <w:rFonts w:ascii="Times New Roman" w:hAnsi="Times New Roman" w:cs="Times New Roman"/>
                <w:sz w:val="24"/>
                <w:szCs w:val="24"/>
                <w:lang w:eastAsia="zh-CN"/>
              </w:rPr>
            </w:pPr>
            <w:r>
              <w:rPr>
                <w:sz w:val="24"/>
                <w:szCs w:val="24"/>
                <w:lang w:eastAsia="zh-CN"/>
              </w:rPr>
              <w:t>③</w:t>
            </w:r>
            <w:r>
              <w:rPr>
                <w:rFonts w:hint="eastAsia" w:ascii="Times New Roman" w:hAnsi="Times New Roman" w:cs="Times New Roman"/>
                <w:sz w:val="24"/>
                <w:szCs w:val="24"/>
                <w:lang w:eastAsia="zh-CN"/>
              </w:rPr>
              <w:t>兵地环境风险应急联动</w:t>
            </w:r>
          </w:p>
          <w:p w14:paraId="71625816">
            <w:pPr>
              <w:pStyle w:val="18"/>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项目约</w:t>
            </w:r>
            <w:r>
              <w:rPr>
                <w:rFonts w:ascii="Times New Roman" w:hAnsi="Times New Roman" w:cs="Times New Roman"/>
                <w:sz w:val="24"/>
                <w:szCs w:val="24"/>
                <w:lang w:eastAsia="zh-CN"/>
              </w:rPr>
              <w:t>51.02km</w:t>
            </w:r>
            <w:r>
              <w:rPr>
                <w:rFonts w:hint="eastAsia" w:ascii="Times New Roman" w:hAnsi="Times New Roman" w:cs="Times New Roman"/>
                <w:sz w:val="24"/>
                <w:szCs w:val="24"/>
                <w:lang w:eastAsia="zh-CN"/>
              </w:rPr>
              <w:t>路段（</w:t>
            </w:r>
            <w:r>
              <w:rPr>
                <w:rFonts w:ascii="Times New Roman" w:hAnsi="Times New Roman" w:cs="Times New Roman"/>
                <w:sz w:val="24"/>
                <w:szCs w:val="24"/>
                <w:lang w:eastAsia="zh-CN"/>
              </w:rPr>
              <w:t>k58+360~k109+380</w:t>
            </w:r>
            <w:r>
              <w:rPr>
                <w:rFonts w:hint="eastAsia" w:ascii="Times New Roman" w:hAnsi="Times New Roman" w:cs="Times New Roman"/>
                <w:sz w:val="24"/>
                <w:szCs w:val="24"/>
                <w:lang w:eastAsia="zh-CN"/>
              </w:rPr>
              <w:t>）位于第六师红旗农场，突发环境事件应急处置原则上是属地管理，应考虑以吉木萨尔县地方为主导，第六师红旗农场参与配合。应成立环境风险应急联动工作领导小组，负责协调、指导和监督环境风险应急联动机制的实施工作。建立吉木萨尔县地方和第六师红旗农场环境风险信息互通机制，实现信息共享、资源共享、优势互补，确保在突发环境事件发生时能够迅速响应、有效处置，最大限度地降低环境风险带来的影响和损失。</w:t>
            </w:r>
          </w:p>
          <w:p w14:paraId="01457897">
            <w:pPr>
              <w:pStyle w:val="18"/>
              <w:rPr>
                <w:rFonts w:ascii="Times New Roman" w:hAnsi="Times New Roman" w:cs="Times New Roman"/>
                <w:sz w:val="21"/>
                <w:lang w:eastAsia="zh-CN"/>
              </w:rPr>
            </w:pPr>
          </w:p>
          <w:p w14:paraId="49B3EB93">
            <w:pPr>
              <w:pStyle w:val="18"/>
              <w:rPr>
                <w:rFonts w:ascii="Times New Roman" w:hAnsi="Times New Roman" w:cs="Times New Roman"/>
                <w:sz w:val="21"/>
                <w:lang w:eastAsia="zh-CN"/>
              </w:rPr>
            </w:pPr>
          </w:p>
          <w:p w14:paraId="4B93BC08">
            <w:pPr>
              <w:pStyle w:val="18"/>
              <w:rPr>
                <w:rFonts w:ascii="Times New Roman" w:hAnsi="Times New Roman" w:cs="Times New Roman"/>
                <w:sz w:val="21"/>
                <w:lang w:eastAsia="zh-CN"/>
              </w:rPr>
            </w:pPr>
          </w:p>
        </w:tc>
      </w:tr>
      <w:tr w14:paraId="59C2AC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15" w:hRule="atLeast"/>
        </w:trPr>
        <w:tc>
          <w:tcPr>
            <w:tcW w:w="409" w:type="pct"/>
            <w:tcBorders>
              <w:top w:val="single" w:color="000000" w:sz="4" w:space="0"/>
              <w:bottom w:val="single" w:color="000000" w:sz="4" w:space="0"/>
              <w:right w:val="single" w:color="000000" w:sz="4" w:space="0"/>
            </w:tcBorders>
            <w:vAlign w:val="center"/>
          </w:tcPr>
          <w:p w14:paraId="31EA939E">
            <w:pPr>
              <w:pStyle w:val="18"/>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其他</w:t>
            </w:r>
          </w:p>
        </w:tc>
        <w:tc>
          <w:tcPr>
            <w:tcW w:w="4591" w:type="pct"/>
            <w:tcBorders>
              <w:top w:val="single" w:color="000000" w:sz="4" w:space="0"/>
              <w:left w:val="single" w:color="000000" w:sz="4" w:space="0"/>
              <w:bottom w:val="single" w:color="000000" w:sz="4" w:space="0"/>
            </w:tcBorders>
          </w:tcPr>
          <w:p w14:paraId="0F2DEF71">
            <w:pPr>
              <w:pStyle w:val="18"/>
              <w:spacing w:before="120" w:beforeLines="50"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1、环境管理与</w:t>
            </w:r>
            <w:r>
              <w:rPr>
                <w:rFonts w:hint="eastAsia" w:ascii="Times New Roman" w:hAnsi="Times New Roman" w:cs="Times New Roman" w:eastAsiaTheme="minorEastAsia"/>
                <w:b/>
                <w:bCs/>
                <w:sz w:val="28"/>
                <w:szCs w:val="28"/>
                <w:lang w:eastAsia="zh-CN"/>
              </w:rPr>
              <w:t>环境</w:t>
            </w:r>
            <w:r>
              <w:rPr>
                <w:rFonts w:ascii="Times New Roman" w:hAnsi="Times New Roman" w:cs="Times New Roman" w:eastAsiaTheme="minorEastAsia"/>
                <w:b/>
                <w:bCs/>
                <w:sz w:val="28"/>
                <w:szCs w:val="28"/>
                <w:lang w:eastAsia="zh-CN"/>
              </w:rPr>
              <w:t>监测计划</w:t>
            </w:r>
          </w:p>
          <w:p w14:paraId="704769C3">
            <w:pPr>
              <w:pStyle w:val="18"/>
              <w:spacing w:line="360" w:lineRule="auto"/>
              <w:ind w:firstLine="480" w:firstLineChars="200"/>
              <w:jc w:val="both"/>
              <w:rPr>
                <w:rFonts w:ascii="Times New Roman" w:hAnsi="Times New Roman" w:eastAsia="MS Mincho" w:cs="Times New Roman"/>
                <w:sz w:val="24"/>
                <w:szCs w:val="24"/>
                <w:lang w:eastAsia="ja-JP"/>
              </w:rPr>
            </w:pPr>
            <w:r>
              <w:rPr>
                <w:rFonts w:ascii="Times New Roman" w:hAnsi="Times New Roman" w:cs="Times New Roman"/>
                <w:sz w:val="24"/>
                <w:szCs w:val="24"/>
                <w:lang w:eastAsia="ja-JP"/>
              </w:rPr>
              <w:t>项目施工期</w:t>
            </w:r>
            <w:r>
              <w:rPr>
                <w:rFonts w:hint="eastAsia" w:ascii="Times New Roman" w:hAnsi="Times New Roman" w:cs="Times New Roman"/>
                <w:sz w:val="24"/>
                <w:szCs w:val="24"/>
                <w:lang w:eastAsia="zh-CN"/>
              </w:rPr>
              <w:t>和运营期</w:t>
            </w:r>
            <w:r>
              <w:rPr>
                <w:rFonts w:ascii="Times New Roman" w:hAnsi="Times New Roman" w:cs="Times New Roman"/>
                <w:sz w:val="24"/>
                <w:szCs w:val="24"/>
                <w:lang w:eastAsia="ja-JP"/>
              </w:rPr>
              <w:t>会对周围的自然环境、生态环境、社会经济环境</w:t>
            </w:r>
            <w:r>
              <w:rPr>
                <w:rFonts w:hint="eastAsia" w:ascii="Times New Roman" w:hAnsi="Times New Roman" w:cs="Times New Roman"/>
                <w:sz w:val="24"/>
                <w:szCs w:val="24"/>
                <w:lang w:eastAsia="zh-CN"/>
              </w:rPr>
              <w:t>和公众生活质量带来</w:t>
            </w:r>
            <w:r>
              <w:rPr>
                <w:rFonts w:ascii="Times New Roman" w:hAnsi="Times New Roman" w:cs="Times New Roman"/>
                <w:sz w:val="24"/>
                <w:szCs w:val="24"/>
                <w:lang w:eastAsia="ja-JP"/>
              </w:rPr>
              <w:t>一定影响，为了</w:t>
            </w:r>
            <w:r>
              <w:rPr>
                <w:rFonts w:hint="eastAsia" w:ascii="Times New Roman" w:hAnsi="Times New Roman" w:cs="Times New Roman"/>
                <w:sz w:val="24"/>
                <w:szCs w:val="24"/>
                <w:lang w:eastAsia="ja-JP"/>
              </w:rPr>
              <w:t>减轻或消除不利影响</w:t>
            </w:r>
            <w:r>
              <w:rPr>
                <w:rFonts w:hint="eastAsia" w:ascii="Times New Roman" w:hAnsi="Times New Roman" w:cs="Times New Roman"/>
                <w:sz w:val="24"/>
                <w:szCs w:val="24"/>
                <w:lang w:eastAsia="zh-CN"/>
              </w:rPr>
              <w:t>，应</w:t>
            </w:r>
            <w:r>
              <w:rPr>
                <w:rFonts w:ascii="Times New Roman" w:hAnsi="Times New Roman" w:cs="Times New Roman"/>
                <w:sz w:val="24"/>
                <w:szCs w:val="24"/>
                <w:lang w:eastAsia="ja-JP"/>
              </w:rPr>
              <w:t>及时采取有效的环境保护措施，在</w:t>
            </w:r>
            <w:r>
              <w:rPr>
                <w:rFonts w:hint="eastAsia" w:ascii="Times New Roman" w:hAnsi="Times New Roman" w:cs="Times New Roman"/>
                <w:sz w:val="24"/>
                <w:szCs w:val="24"/>
                <w:lang w:eastAsia="zh-CN"/>
              </w:rPr>
              <w:t>项目</w:t>
            </w:r>
            <w:r>
              <w:rPr>
                <w:rFonts w:ascii="Times New Roman" w:hAnsi="Times New Roman" w:cs="Times New Roman"/>
                <w:sz w:val="24"/>
                <w:szCs w:val="24"/>
                <w:lang w:eastAsia="ja-JP"/>
              </w:rPr>
              <w:t>施工期</w:t>
            </w:r>
            <w:r>
              <w:rPr>
                <w:rFonts w:hint="eastAsia" w:ascii="Times New Roman" w:hAnsi="Times New Roman" w:cs="Times New Roman"/>
                <w:sz w:val="24"/>
                <w:szCs w:val="24"/>
                <w:lang w:eastAsia="zh-CN"/>
              </w:rPr>
              <w:t>和运营期</w:t>
            </w:r>
            <w:r>
              <w:rPr>
                <w:rFonts w:ascii="Times New Roman" w:hAnsi="Times New Roman" w:cs="Times New Roman"/>
                <w:sz w:val="24"/>
                <w:szCs w:val="24"/>
                <w:lang w:eastAsia="ja-JP"/>
              </w:rPr>
              <w:t>制定必要的环境保护管理与监测计划。其主要目的是及时准确监测</w:t>
            </w:r>
            <w:r>
              <w:rPr>
                <w:rFonts w:hint="eastAsia" w:ascii="Times New Roman" w:hAnsi="Times New Roman" w:cs="Times New Roman"/>
                <w:sz w:val="24"/>
                <w:szCs w:val="24"/>
                <w:lang w:eastAsia="zh-CN"/>
              </w:rPr>
              <w:t>项目</w:t>
            </w:r>
            <w:r>
              <w:rPr>
                <w:rFonts w:ascii="Times New Roman" w:hAnsi="Times New Roman" w:cs="Times New Roman"/>
                <w:sz w:val="24"/>
                <w:szCs w:val="24"/>
                <w:lang w:eastAsia="zh-CN"/>
              </w:rPr>
              <w:t>施工</w:t>
            </w:r>
            <w:r>
              <w:rPr>
                <w:rFonts w:hint="eastAsia" w:ascii="Times New Roman" w:hAnsi="Times New Roman" w:cs="Times New Roman"/>
                <w:sz w:val="24"/>
                <w:szCs w:val="24"/>
                <w:lang w:eastAsia="zh-CN"/>
              </w:rPr>
              <w:t>和运营</w:t>
            </w:r>
            <w:r>
              <w:rPr>
                <w:rFonts w:ascii="Times New Roman" w:hAnsi="Times New Roman" w:cs="Times New Roman"/>
                <w:sz w:val="24"/>
                <w:szCs w:val="24"/>
                <w:lang w:eastAsia="ja-JP"/>
              </w:rPr>
              <w:t>给环境带来的真实影响，监督</w:t>
            </w:r>
            <w:r>
              <w:rPr>
                <w:rFonts w:ascii="Times New Roman" w:hAnsi="Times New Roman" w:cs="Times New Roman"/>
                <w:sz w:val="24"/>
                <w:szCs w:val="24"/>
                <w:lang w:eastAsia="zh-CN"/>
              </w:rPr>
              <w:t>和保障</w:t>
            </w:r>
            <w:r>
              <w:rPr>
                <w:rFonts w:hint="eastAsia" w:ascii="Times New Roman" w:hAnsi="Times New Roman" w:cs="Times New Roman"/>
                <w:sz w:val="24"/>
                <w:szCs w:val="24"/>
                <w:lang w:eastAsia="zh-CN"/>
              </w:rPr>
              <w:t>项目</w:t>
            </w:r>
            <w:r>
              <w:rPr>
                <w:rFonts w:ascii="Times New Roman" w:hAnsi="Times New Roman" w:cs="Times New Roman"/>
                <w:sz w:val="24"/>
                <w:szCs w:val="24"/>
                <w:lang w:eastAsia="ja-JP"/>
              </w:rPr>
              <w:t>的各项环保措施得以实施。根据项目可能造成的环境影响和周</w:t>
            </w:r>
            <w:r>
              <w:rPr>
                <w:rFonts w:ascii="Times New Roman" w:hAnsi="Times New Roman" w:cs="Times New Roman"/>
                <w:sz w:val="24"/>
                <w:szCs w:val="24"/>
                <w:lang w:eastAsia="zh-CN"/>
              </w:rPr>
              <w:t>边</w:t>
            </w:r>
            <w:r>
              <w:rPr>
                <w:rFonts w:ascii="Times New Roman" w:hAnsi="Times New Roman" w:cs="Times New Roman"/>
                <w:sz w:val="24"/>
                <w:szCs w:val="24"/>
                <w:lang w:eastAsia="ja-JP"/>
              </w:rPr>
              <w:t>环境</w:t>
            </w:r>
            <w:r>
              <w:rPr>
                <w:rFonts w:ascii="Times New Roman" w:hAnsi="Times New Roman" w:cs="Times New Roman"/>
                <w:sz w:val="24"/>
                <w:szCs w:val="24"/>
                <w:lang w:eastAsia="zh-CN"/>
              </w:rPr>
              <w:t>保护</w:t>
            </w:r>
            <w:r>
              <w:rPr>
                <w:rFonts w:ascii="Times New Roman" w:hAnsi="Times New Roman" w:cs="Times New Roman"/>
                <w:sz w:val="24"/>
                <w:szCs w:val="24"/>
                <w:lang w:eastAsia="ja-JP"/>
              </w:rPr>
              <w:t>的要求，提出项目建设过程中的环境管理和环境监测的具体要求。</w:t>
            </w:r>
          </w:p>
          <w:p w14:paraId="7EB14204">
            <w:pPr>
              <w:pStyle w:val="18"/>
              <w:spacing w:line="360" w:lineRule="auto"/>
              <w:ind w:firstLine="480" w:firstLineChars="200"/>
              <w:jc w:val="both"/>
              <w:rPr>
                <w:rFonts w:ascii="Times New Roman" w:hAnsi="Times New Roman" w:eastAsia="MS Mincho" w:cs="Times New Roman"/>
                <w:sz w:val="24"/>
                <w:szCs w:val="24"/>
                <w:lang w:eastAsia="ja-JP"/>
              </w:rPr>
            </w:pPr>
            <w:r>
              <w:rPr>
                <w:rFonts w:ascii="Times New Roman" w:hAnsi="Times New Roman" w:cs="Times New Roman"/>
                <w:sz w:val="24"/>
                <w:szCs w:val="24"/>
                <w:lang w:eastAsia="ja-JP"/>
              </w:rPr>
              <w:t>（1）环境管理</w:t>
            </w:r>
          </w:p>
          <w:p w14:paraId="713E8E1C">
            <w:pPr>
              <w:pStyle w:val="18"/>
              <w:spacing w:line="360" w:lineRule="auto"/>
              <w:ind w:firstLine="480" w:firstLineChars="200"/>
              <w:jc w:val="both"/>
              <w:rPr>
                <w:rFonts w:ascii="Times New Roman" w:hAnsi="Times New Roman" w:cs="Times New Roman"/>
                <w:sz w:val="24"/>
                <w:szCs w:val="24"/>
                <w:lang w:eastAsia="ja-JP"/>
              </w:rPr>
            </w:pPr>
            <w:r>
              <w:rPr>
                <w:rFonts w:hint="eastAsia" w:ascii="Times New Roman" w:hAnsi="Times New Roman" w:cs="Times New Roman"/>
                <w:sz w:val="24"/>
                <w:szCs w:val="24"/>
                <w:lang w:eastAsia="ja-JP"/>
              </w:rPr>
              <w:t>施工期由道路建设相关部门统一负责管理，运营期由市政部门统一负责管理。在施工</w:t>
            </w:r>
            <w:r>
              <w:rPr>
                <w:rFonts w:hint="eastAsia" w:ascii="Times New Roman" w:hAnsi="Times New Roman" w:cs="Times New Roman"/>
                <w:sz w:val="24"/>
                <w:szCs w:val="24"/>
                <w:lang w:eastAsia="zh-CN"/>
              </w:rPr>
              <w:t>期</w:t>
            </w:r>
            <w:r>
              <w:rPr>
                <w:rFonts w:hint="eastAsia" w:ascii="Times New Roman" w:hAnsi="Times New Roman" w:cs="Times New Roman"/>
                <w:sz w:val="24"/>
                <w:szCs w:val="24"/>
                <w:lang w:eastAsia="ja-JP"/>
              </w:rPr>
              <w:t>和运营期，</w:t>
            </w:r>
            <w:r>
              <w:rPr>
                <w:rFonts w:hint="eastAsia" w:ascii="Times New Roman" w:hAnsi="Times New Roman" w:cs="Times New Roman"/>
                <w:sz w:val="24"/>
                <w:szCs w:val="24"/>
                <w:lang w:eastAsia="zh-CN"/>
              </w:rPr>
              <w:t>环境</w:t>
            </w:r>
            <w:r>
              <w:rPr>
                <w:rFonts w:hint="eastAsia" w:ascii="Times New Roman" w:hAnsi="Times New Roman" w:cs="Times New Roman"/>
                <w:sz w:val="24"/>
                <w:szCs w:val="24"/>
                <w:lang w:eastAsia="ja-JP"/>
              </w:rPr>
              <w:t>管理机构有义务做好本项目的环境保护管理工作，其主要职责如下：</w:t>
            </w:r>
          </w:p>
          <w:p w14:paraId="07DEAF5A">
            <w:pPr>
              <w:pStyle w:val="18"/>
              <w:spacing w:line="360" w:lineRule="auto"/>
              <w:ind w:firstLine="480" w:firstLineChars="200"/>
              <w:jc w:val="both"/>
              <w:rPr>
                <w:rFonts w:ascii="Times New Roman" w:hAnsi="Times New Roman" w:cs="Times New Roman"/>
                <w:sz w:val="24"/>
                <w:szCs w:val="24"/>
                <w:lang w:eastAsia="ja-JP"/>
              </w:rPr>
            </w:pPr>
            <w:r>
              <w:rPr>
                <w:rFonts w:hint="eastAsia" w:ascii="Times New Roman" w:hAnsi="Times New Roman" w:cs="Times New Roman"/>
                <w:sz w:val="24"/>
                <w:szCs w:val="24"/>
                <w:lang w:eastAsia="ja-JP"/>
              </w:rPr>
              <w:t>①贯彻执行国家及省市各项环境保护方针、政策和法规。</w:t>
            </w:r>
          </w:p>
          <w:p w14:paraId="04F9C7D2">
            <w:pPr>
              <w:pStyle w:val="18"/>
              <w:spacing w:line="360" w:lineRule="auto"/>
              <w:ind w:firstLine="480" w:firstLineChars="200"/>
              <w:jc w:val="both"/>
              <w:rPr>
                <w:rFonts w:ascii="Times New Roman" w:hAnsi="Times New Roman" w:cs="Times New Roman"/>
                <w:sz w:val="24"/>
                <w:szCs w:val="24"/>
                <w:lang w:eastAsia="ja-JP"/>
              </w:rPr>
            </w:pPr>
            <w:r>
              <w:rPr>
                <w:rFonts w:hint="eastAsia" w:ascii="Times New Roman" w:hAnsi="Times New Roman" w:cs="Times New Roman"/>
                <w:sz w:val="24"/>
                <w:szCs w:val="24"/>
                <w:lang w:eastAsia="ja-JP"/>
              </w:rPr>
              <w:t>②负责监督环境</w:t>
            </w:r>
            <w:r>
              <w:rPr>
                <w:rFonts w:hint="eastAsia" w:ascii="Times New Roman" w:hAnsi="Times New Roman" w:cs="Times New Roman"/>
                <w:sz w:val="24"/>
                <w:szCs w:val="24"/>
                <w:lang w:eastAsia="zh-CN"/>
              </w:rPr>
              <w:t>管理</w:t>
            </w:r>
            <w:r>
              <w:rPr>
                <w:rFonts w:hint="eastAsia" w:ascii="Times New Roman" w:hAnsi="Times New Roman" w:cs="Times New Roman"/>
                <w:sz w:val="24"/>
                <w:szCs w:val="24"/>
                <w:lang w:eastAsia="ja-JP"/>
              </w:rPr>
              <w:t>计划实施</w:t>
            </w:r>
            <w:r>
              <w:rPr>
                <w:rFonts w:hint="eastAsia" w:ascii="Times New Roman" w:hAnsi="Times New Roman" w:cs="Times New Roman"/>
                <w:sz w:val="24"/>
                <w:szCs w:val="24"/>
                <w:lang w:eastAsia="zh-CN"/>
              </w:rPr>
              <w:t>情况</w:t>
            </w:r>
            <w:r>
              <w:rPr>
                <w:rFonts w:hint="eastAsia" w:ascii="Times New Roman" w:hAnsi="Times New Roman" w:cs="Times New Roman"/>
                <w:sz w:val="24"/>
                <w:szCs w:val="24"/>
                <w:lang w:eastAsia="ja-JP"/>
              </w:rPr>
              <w:t>，负责监督本</w:t>
            </w:r>
            <w:r>
              <w:rPr>
                <w:rFonts w:hint="eastAsia" w:ascii="Times New Roman" w:hAnsi="Times New Roman" w:cs="Times New Roman"/>
                <w:sz w:val="24"/>
                <w:szCs w:val="24"/>
                <w:lang w:eastAsia="zh-CN"/>
              </w:rPr>
              <w:t>环评</w:t>
            </w:r>
            <w:r>
              <w:rPr>
                <w:rFonts w:hint="eastAsia" w:ascii="Times New Roman" w:hAnsi="Times New Roman" w:cs="Times New Roman"/>
                <w:sz w:val="24"/>
                <w:szCs w:val="24"/>
                <w:lang w:eastAsia="ja-JP"/>
              </w:rPr>
              <w:t>所提到的各项环保措施的落实</w:t>
            </w:r>
            <w:r>
              <w:rPr>
                <w:rFonts w:hint="eastAsia" w:ascii="Times New Roman" w:hAnsi="Times New Roman" w:cs="Times New Roman"/>
                <w:sz w:val="24"/>
                <w:szCs w:val="24"/>
                <w:lang w:eastAsia="zh-CN"/>
              </w:rPr>
              <w:t>情况</w:t>
            </w:r>
            <w:r>
              <w:rPr>
                <w:rFonts w:hint="eastAsia" w:ascii="Times New Roman" w:hAnsi="Times New Roman" w:cs="Times New Roman"/>
                <w:sz w:val="24"/>
                <w:szCs w:val="24"/>
                <w:lang w:eastAsia="ja-JP"/>
              </w:rPr>
              <w:t>。</w:t>
            </w:r>
          </w:p>
          <w:p w14:paraId="7D7378A2">
            <w:pPr>
              <w:pStyle w:val="18"/>
              <w:spacing w:line="360" w:lineRule="auto"/>
              <w:ind w:firstLine="480" w:firstLineChars="200"/>
              <w:jc w:val="both"/>
              <w:rPr>
                <w:rFonts w:ascii="Times New Roman" w:hAnsi="Times New Roman" w:cs="Times New Roman"/>
                <w:sz w:val="24"/>
                <w:szCs w:val="24"/>
                <w:lang w:eastAsia="ja-JP"/>
              </w:rPr>
            </w:pPr>
            <w:r>
              <w:rPr>
                <w:rFonts w:hint="eastAsia" w:ascii="Times New Roman" w:hAnsi="Times New Roman" w:cs="Times New Roman"/>
                <w:sz w:val="24"/>
                <w:szCs w:val="24"/>
                <w:lang w:eastAsia="ja-JP"/>
              </w:rPr>
              <w:t>③</w:t>
            </w:r>
            <w:r>
              <w:rPr>
                <w:rFonts w:ascii="Times New Roman" w:hAnsi="Times New Roman" w:cs="Times New Roman"/>
                <w:sz w:val="24"/>
                <w:szCs w:val="24"/>
                <w:lang w:eastAsia="ja-JP"/>
              </w:rPr>
              <w:t>制定</w:t>
            </w:r>
            <w:r>
              <w:rPr>
                <w:rFonts w:hint="eastAsia" w:ascii="Times New Roman" w:hAnsi="Times New Roman" w:cs="Times New Roman"/>
                <w:sz w:val="24"/>
                <w:szCs w:val="24"/>
                <w:lang w:eastAsia="ja-JP"/>
              </w:rPr>
              <w:t>污染事故处置计划，并对事故进行调查处理</w:t>
            </w:r>
            <w:r>
              <w:rPr>
                <w:rFonts w:ascii="Times New Roman" w:hAnsi="Times New Roman" w:cs="Times New Roman"/>
                <w:sz w:val="24"/>
                <w:szCs w:val="24"/>
                <w:lang w:eastAsia="ja-JP"/>
              </w:rPr>
              <w:t>。</w:t>
            </w:r>
          </w:p>
          <w:p w14:paraId="51E7EBA4">
            <w:pPr>
              <w:pStyle w:val="18"/>
              <w:spacing w:line="360" w:lineRule="auto"/>
              <w:ind w:firstLine="480" w:firstLineChars="200"/>
              <w:rPr>
                <w:rFonts w:ascii="Times New Roman" w:hAnsi="Times New Roman" w:eastAsia="MS Mincho" w:cs="Times New Roman"/>
                <w:sz w:val="24"/>
                <w:szCs w:val="24"/>
                <w:lang w:eastAsia="ja-JP"/>
              </w:rPr>
            </w:pPr>
            <w:r>
              <w:rPr>
                <w:rFonts w:ascii="Times New Roman" w:hAnsi="Times New Roman" w:cs="Times New Roman"/>
                <w:sz w:val="24"/>
                <w:szCs w:val="24"/>
                <w:lang w:eastAsia="ja-JP"/>
              </w:rPr>
              <w:t>（2）</w:t>
            </w:r>
            <w:r>
              <w:rPr>
                <w:rFonts w:hint="eastAsia" w:ascii="Times New Roman" w:hAnsi="Times New Roman" w:cs="Times New Roman"/>
                <w:sz w:val="24"/>
                <w:szCs w:val="24"/>
                <w:lang w:eastAsia="zh-CN"/>
              </w:rPr>
              <w:t>环境</w:t>
            </w:r>
            <w:r>
              <w:rPr>
                <w:rFonts w:ascii="Times New Roman" w:hAnsi="Times New Roman" w:cs="Times New Roman"/>
                <w:sz w:val="24"/>
                <w:szCs w:val="24"/>
                <w:lang w:eastAsia="zh-CN"/>
              </w:rPr>
              <w:t>监测</w:t>
            </w:r>
            <w:r>
              <w:rPr>
                <w:rFonts w:ascii="Times New Roman" w:hAnsi="Times New Roman" w:cs="Times New Roman"/>
                <w:sz w:val="24"/>
                <w:szCs w:val="24"/>
                <w:lang w:eastAsia="ja-JP"/>
              </w:rPr>
              <w:t>计划</w:t>
            </w:r>
          </w:p>
          <w:p w14:paraId="4947D81B">
            <w:pPr>
              <w:pStyle w:val="18"/>
              <w:spacing w:line="360" w:lineRule="auto"/>
              <w:ind w:firstLine="480" w:firstLineChars="200"/>
              <w:jc w:val="both"/>
              <w:rPr>
                <w:rFonts w:ascii="Times New Roman" w:hAnsi="Times New Roman" w:eastAsia="MS Mincho" w:cs="Times New Roman"/>
                <w:sz w:val="24"/>
                <w:szCs w:val="24"/>
                <w:lang w:eastAsia="ja-JP"/>
              </w:rPr>
            </w:pPr>
            <w:r>
              <w:rPr>
                <w:rFonts w:hint="eastAsia" w:ascii="Times New Roman" w:hAnsi="Times New Roman" w:cs="Times New Roman"/>
                <w:sz w:val="24"/>
                <w:szCs w:val="24"/>
                <w:lang w:eastAsia="ja-JP"/>
              </w:rPr>
              <w:t>制定环境监测计划的目的是为了监督各项</w:t>
            </w:r>
            <w:r>
              <w:rPr>
                <w:rFonts w:hint="eastAsia" w:ascii="Times New Roman" w:hAnsi="Times New Roman" w:cs="Times New Roman"/>
                <w:sz w:val="24"/>
                <w:szCs w:val="24"/>
                <w:lang w:eastAsia="zh-CN"/>
              </w:rPr>
              <w:t>环保</w:t>
            </w:r>
            <w:r>
              <w:rPr>
                <w:rFonts w:hint="eastAsia" w:ascii="Times New Roman" w:hAnsi="Times New Roman" w:cs="Times New Roman"/>
                <w:sz w:val="24"/>
                <w:szCs w:val="24"/>
                <w:lang w:eastAsia="ja-JP"/>
              </w:rPr>
              <w:t>措施的落实，为环保措施的实施时间和实施方案提供依据。</w:t>
            </w:r>
            <w:r>
              <w:rPr>
                <w:rFonts w:hint="eastAsia" w:ascii="Times New Roman" w:hAnsi="Times New Roman" w:cs="Times New Roman" w:eastAsiaTheme="minorEastAsia"/>
                <w:sz w:val="24"/>
                <w:szCs w:val="24"/>
                <w:lang w:eastAsia="zh-CN"/>
              </w:rPr>
              <w:t>根据项目排污特点及自身实际情况，企业需建立健全各项监测制度并保障其实施，监测分析方法按照国家生态环境部颁布的现行标准和有关规定执行。监测工作由建设单位按照《排污单位自行监测技术指南</w:t>
            </w:r>
            <w:r>
              <w:rPr>
                <w:rFonts w:ascii="Times New Roman" w:hAnsi="Times New Roman" w:cs="Times New Roman" w:eastAsiaTheme="minorEastAsia"/>
                <w:sz w:val="24"/>
                <w:szCs w:val="24"/>
                <w:lang w:eastAsia="zh-CN"/>
              </w:rPr>
              <w:t xml:space="preserve">   总则》（HG 819-2017）相关要求自行监测，建设单位如不具备监测技术和条件，可委托第三方有资质单位进行监测。</w:t>
            </w:r>
            <w:r>
              <w:rPr>
                <w:rFonts w:hint="eastAsia" w:ascii="Times New Roman" w:hAnsi="Times New Roman" w:cs="Times New Roman" w:eastAsiaTheme="minorEastAsia"/>
                <w:sz w:val="24"/>
                <w:szCs w:val="24"/>
                <w:lang w:eastAsia="zh-CN"/>
              </w:rPr>
              <w:t>本项目施工期对道路沿线大气环境、施工场界噪声进行监测；运营期对道路沿线交通噪声进行监测。</w:t>
            </w:r>
            <w:r>
              <w:rPr>
                <w:rFonts w:ascii="Times New Roman" w:hAnsi="Times New Roman" w:cs="Times New Roman" w:eastAsiaTheme="minorEastAsia"/>
                <w:sz w:val="24"/>
                <w:szCs w:val="24"/>
                <w:lang w:eastAsia="zh-CN"/>
              </w:rPr>
              <w:t>环境监测计划见表5.1。</w:t>
            </w:r>
          </w:p>
          <w:p w14:paraId="643A625E">
            <w:pPr>
              <w:pStyle w:val="18"/>
              <w:jc w:val="center"/>
              <w:rPr>
                <w:rFonts w:ascii="Times New Roman" w:hAnsi="Times New Roman" w:cs="Times New Roman" w:eastAsiaTheme="minorEastAsia"/>
                <w:b/>
                <w:bCs/>
                <w:sz w:val="21"/>
                <w:szCs w:val="21"/>
                <w:lang w:eastAsia="zh-CN"/>
              </w:rPr>
            </w:pPr>
            <w:r>
              <w:rPr>
                <w:rFonts w:hint="eastAsia" w:ascii="Times New Roman" w:hAnsi="Times New Roman" w:cs="Times New Roman" w:eastAsiaTheme="minorEastAsia"/>
                <w:b/>
                <w:bCs/>
                <w:sz w:val="21"/>
                <w:szCs w:val="21"/>
                <w:lang w:eastAsia="zh-CN"/>
              </w:rPr>
              <w:t>表5</w:t>
            </w:r>
            <w:r>
              <w:rPr>
                <w:rFonts w:ascii="Times New Roman" w:hAnsi="Times New Roman" w:cs="Times New Roman" w:eastAsiaTheme="minorEastAsia"/>
                <w:b/>
                <w:bCs/>
                <w:sz w:val="21"/>
                <w:szCs w:val="21"/>
                <w:lang w:eastAsia="zh-CN"/>
              </w:rPr>
              <w:t xml:space="preserve">.1  </w:t>
            </w:r>
            <w:r>
              <w:rPr>
                <w:rFonts w:hint="eastAsia" w:ascii="Times New Roman" w:hAnsi="Times New Roman" w:cs="Times New Roman" w:eastAsiaTheme="minorEastAsia"/>
                <w:b/>
                <w:bCs/>
                <w:sz w:val="21"/>
                <w:szCs w:val="21"/>
                <w:lang w:eastAsia="zh-CN"/>
              </w:rPr>
              <w:t>环境监测计划一览表</w:t>
            </w:r>
          </w:p>
          <w:tbl>
            <w:tblPr>
              <w:tblStyle w:val="11"/>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2"/>
              <w:gridCol w:w="960"/>
              <w:gridCol w:w="1527"/>
              <w:gridCol w:w="732"/>
              <w:gridCol w:w="1600"/>
              <w:gridCol w:w="3152"/>
            </w:tblGrid>
            <w:tr w14:paraId="5D56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5" w:type="pct"/>
                  <w:tcBorders>
                    <w:tl2br w:val="nil"/>
                    <w:tr2bl w:val="nil"/>
                  </w:tcBorders>
                  <w:vAlign w:val="center"/>
                </w:tcPr>
                <w:p w14:paraId="2EDC92D5">
                  <w:pPr>
                    <w:autoSpaceDE/>
                    <w:autoSpaceDN/>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阶段</w:t>
                  </w:r>
                </w:p>
              </w:tc>
              <w:tc>
                <w:tcPr>
                  <w:tcW w:w="570" w:type="pct"/>
                  <w:tcBorders>
                    <w:tl2br w:val="nil"/>
                    <w:tr2bl w:val="nil"/>
                  </w:tcBorders>
                  <w:vAlign w:val="center"/>
                </w:tcPr>
                <w:p w14:paraId="5EF9B152">
                  <w:pPr>
                    <w:pStyle w:val="8"/>
                    <w:pBdr>
                      <w:bottom w:val="none" w:color="auto" w:sz="0" w:space="0"/>
                    </w:pBdr>
                    <w:tabs>
                      <w:tab w:val="clear" w:pos="4153"/>
                      <w:tab w:val="clear" w:pos="8306"/>
                    </w:tabs>
                    <w:autoSpaceDE/>
                    <w:autoSpaceDN/>
                    <w:snapToGrid/>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监测</w:t>
                  </w:r>
                  <w:r>
                    <w:rPr>
                      <w:rFonts w:ascii="Times New Roman" w:hAnsi="Times New Roman" w:cs="Times New Roman"/>
                      <w:b/>
                      <w:bCs/>
                      <w:sz w:val="21"/>
                      <w:szCs w:val="21"/>
                      <w:lang w:eastAsia="zh-CN"/>
                    </w:rPr>
                    <w:t>项目</w:t>
                  </w:r>
                </w:p>
              </w:tc>
              <w:tc>
                <w:tcPr>
                  <w:tcW w:w="895" w:type="pct"/>
                  <w:tcBorders>
                    <w:tl2br w:val="nil"/>
                    <w:tr2bl w:val="nil"/>
                  </w:tcBorders>
                  <w:vAlign w:val="center"/>
                </w:tcPr>
                <w:p w14:paraId="2C147C9E">
                  <w:pPr>
                    <w:autoSpaceDE/>
                    <w:autoSpaceDN/>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w:t>
                  </w:r>
                  <w:r>
                    <w:rPr>
                      <w:rFonts w:hint="eastAsia" w:ascii="Times New Roman" w:hAnsi="Times New Roman" w:cs="Times New Roman"/>
                      <w:b/>
                      <w:bCs/>
                      <w:sz w:val="21"/>
                      <w:szCs w:val="21"/>
                      <w:lang w:eastAsia="zh-CN"/>
                    </w:rPr>
                    <w:t>点位</w:t>
                  </w:r>
                </w:p>
              </w:tc>
              <w:tc>
                <w:tcPr>
                  <w:tcW w:w="325" w:type="pct"/>
                  <w:tcBorders>
                    <w:tl2br w:val="nil"/>
                    <w:tr2bl w:val="nil"/>
                  </w:tcBorders>
                  <w:vAlign w:val="center"/>
                </w:tcPr>
                <w:p w14:paraId="28FD8D78">
                  <w:pPr>
                    <w:autoSpaceDE/>
                    <w:autoSpaceDN/>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w:t>
                  </w:r>
                </w:p>
                <w:p w14:paraId="222906CB">
                  <w:pPr>
                    <w:autoSpaceDE/>
                    <w:autoSpaceDN/>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因子</w:t>
                  </w:r>
                </w:p>
              </w:tc>
              <w:tc>
                <w:tcPr>
                  <w:tcW w:w="937" w:type="pct"/>
                  <w:tcBorders>
                    <w:tl2br w:val="nil"/>
                    <w:tr2bl w:val="nil"/>
                  </w:tcBorders>
                  <w:vAlign w:val="center"/>
                </w:tcPr>
                <w:p w14:paraId="1AF65731">
                  <w:pPr>
                    <w:autoSpaceDE/>
                    <w:autoSpaceDN/>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监测频次</w:t>
                  </w:r>
                </w:p>
              </w:tc>
              <w:tc>
                <w:tcPr>
                  <w:tcW w:w="1828" w:type="pct"/>
                  <w:tcBorders>
                    <w:tl2br w:val="nil"/>
                    <w:tr2bl w:val="nil"/>
                  </w:tcBorders>
                  <w:vAlign w:val="center"/>
                </w:tcPr>
                <w:p w14:paraId="777BA42D">
                  <w:pPr>
                    <w:autoSpaceDE/>
                    <w:autoSpaceDN/>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执行标准</w:t>
                  </w:r>
                </w:p>
              </w:tc>
            </w:tr>
            <w:tr w14:paraId="1ACC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5" w:type="pct"/>
                  <w:vMerge w:val="restart"/>
                  <w:tcBorders>
                    <w:tl2br w:val="nil"/>
                    <w:tr2bl w:val="nil"/>
                  </w:tcBorders>
                  <w:vAlign w:val="center"/>
                </w:tcPr>
                <w:p w14:paraId="51F1F0D5">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施工期</w:t>
                  </w:r>
                </w:p>
              </w:tc>
              <w:tc>
                <w:tcPr>
                  <w:tcW w:w="570" w:type="pct"/>
                  <w:tcBorders>
                    <w:tl2br w:val="nil"/>
                    <w:tr2bl w:val="nil"/>
                  </w:tcBorders>
                  <w:vAlign w:val="center"/>
                </w:tcPr>
                <w:p w14:paraId="49B0ED0D">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环境空气</w:t>
                  </w:r>
                </w:p>
              </w:tc>
              <w:tc>
                <w:tcPr>
                  <w:tcW w:w="895" w:type="pct"/>
                  <w:tcBorders>
                    <w:tl2br w:val="nil"/>
                    <w:tr2bl w:val="nil"/>
                  </w:tcBorders>
                  <w:vAlign w:val="center"/>
                </w:tcPr>
                <w:p w14:paraId="2382E51D">
                  <w:pPr>
                    <w:autoSpaceDE/>
                    <w:autoSpaceDN/>
                    <w:jc w:val="center"/>
                    <w:rPr>
                      <w:rFonts w:ascii="Times New Roman" w:hAnsi="Times New Roman" w:cs="Times New Roman"/>
                      <w:sz w:val="21"/>
                      <w:szCs w:val="21"/>
                      <w:lang w:eastAsia="zh-CN"/>
                    </w:rPr>
                  </w:pPr>
                  <w:r>
                    <w:rPr>
                      <w:rFonts w:ascii="Times New Roman" w:hAnsi="Times New Roman" w:cs="Times New Roman"/>
                      <w:color w:val="000000"/>
                      <w:sz w:val="21"/>
                      <w:szCs w:val="21"/>
                      <w:lang w:eastAsia="zh-CN"/>
                    </w:rPr>
                    <w:t>施工场界</w:t>
                  </w:r>
                </w:p>
              </w:tc>
              <w:tc>
                <w:tcPr>
                  <w:tcW w:w="325" w:type="pct"/>
                  <w:tcBorders>
                    <w:tl2br w:val="nil"/>
                    <w:tr2bl w:val="nil"/>
                  </w:tcBorders>
                  <w:vAlign w:val="center"/>
                </w:tcPr>
                <w:p w14:paraId="6F9C57C2">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TSP</w:t>
                  </w:r>
                </w:p>
              </w:tc>
              <w:tc>
                <w:tcPr>
                  <w:tcW w:w="937" w:type="pct"/>
                  <w:tcBorders>
                    <w:tl2br w:val="nil"/>
                    <w:tr2bl w:val="nil"/>
                  </w:tcBorders>
                  <w:vAlign w:val="center"/>
                </w:tcPr>
                <w:p w14:paraId="5BDF9F97">
                  <w:pPr>
                    <w:autoSpaceDE/>
                    <w:autoSpaceDN/>
                    <w:jc w:val="center"/>
                    <w:rPr>
                      <w:rFonts w:ascii="Times New Roman" w:hAnsi="Times New Roman" w:cs="Times New Roman"/>
                      <w:sz w:val="21"/>
                      <w:szCs w:val="21"/>
                      <w:lang w:eastAsia="zh-CN"/>
                    </w:rPr>
                  </w:pPr>
                  <w:r>
                    <w:rPr>
                      <w:rFonts w:hint="eastAsia" w:ascii="Times New Roman" w:hAnsi="Times New Roman" w:cs="Times New Roman"/>
                      <w:kern w:val="2"/>
                      <w:sz w:val="21"/>
                      <w:szCs w:val="21"/>
                      <w:lang w:eastAsia="zh-CN"/>
                    </w:rPr>
                    <w:t>1次/周</w:t>
                  </w:r>
                </w:p>
              </w:tc>
              <w:tc>
                <w:tcPr>
                  <w:tcW w:w="1828" w:type="pct"/>
                  <w:tcBorders>
                    <w:tl2br w:val="nil"/>
                    <w:tr2bl w:val="nil"/>
                  </w:tcBorders>
                  <w:vAlign w:val="center"/>
                </w:tcPr>
                <w:p w14:paraId="2CFA5646">
                  <w:pPr>
                    <w:autoSpaceDE/>
                    <w:autoSpaceDN/>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《大气污染物综合排放标准》（</w:t>
                  </w:r>
                  <w:r>
                    <w:rPr>
                      <w:rFonts w:ascii="Times New Roman" w:hAnsi="Times New Roman" w:cs="Times New Roman"/>
                      <w:kern w:val="2"/>
                      <w:sz w:val="21"/>
                      <w:szCs w:val="21"/>
                      <w:lang w:eastAsia="zh-CN"/>
                    </w:rPr>
                    <w:t>GB 16297-1996）表2“新污染源大气污染物排放限值”的无组织排放标准</w:t>
                  </w:r>
                </w:p>
              </w:tc>
            </w:tr>
            <w:tr w14:paraId="1362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5" w:type="pct"/>
                  <w:vMerge w:val="continue"/>
                  <w:tcBorders>
                    <w:tl2br w:val="nil"/>
                    <w:tr2bl w:val="nil"/>
                  </w:tcBorders>
                  <w:vAlign w:val="center"/>
                </w:tcPr>
                <w:p w14:paraId="31E113C5">
                  <w:pPr>
                    <w:autoSpaceDE/>
                    <w:autoSpaceDN/>
                    <w:jc w:val="center"/>
                    <w:rPr>
                      <w:rFonts w:ascii="Times New Roman" w:hAnsi="Times New Roman" w:cs="Times New Roman"/>
                      <w:sz w:val="21"/>
                      <w:szCs w:val="21"/>
                      <w:lang w:eastAsia="zh-CN"/>
                    </w:rPr>
                  </w:pPr>
                </w:p>
              </w:tc>
              <w:tc>
                <w:tcPr>
                  <w:tcW w:w="570" w:type="pct"/>
                  <w:tcBorders>
                    <w:tl2br w:val="nil"/>
                    <w:tr2bl w:val="nil"/>
                  </w:tcBorders>
                  <w:vAlign w:val="center"/>
                </w:tcPr>
                <w:p w14:paraId="22C04296">
                  <w:pPr>
                    <w:autoSpaceDE/>
                    <w:autoSpaceDN/>
                    <w:jc w:val="center"/>
                    <w:rPr>
                      <w:rFonts w:ascii="Times New Roman" w:hAnsi="Times New Roman" w:cs="Times New Roman"/>
                      <w:sz w:val="21"/>
                      <w:szCs w:val="21"/>
                    </w:rPr>
                  </w:pPr>
                  <w:r>
                    <w:rPr>
                      <w:rFonts w:hint="eastAsia" w:ascii="Times New Roman" w:hAnsi="Times New Roman" w:cs="Times New Roman"/>
                      <w:sz w:val="21"/>
                      <w:szCs w:val="21"/>
                      <w:lang w:eastAsia="zh-CN"/>
                    </w:rPr>
                    <w:t>场界</w:t>
                  </w:r>
                  <w:r>
                    <w:rPr>
                      <w:rFonts w:ascii="Times New Roman" w:hAnsi="Times New Roman" w:cs="Times New Roman"/>
                      <w:sz w:val="21"/>
                      <w:szCs w:val="21"/>
                    </w:rPr>
                    <w:t>噪声</w:t>
                  </w:r>
                </w:p>
              </w:tc>
              <w:tc>
                <w:tcPr>
                  <w:tcW w:w="895" w:type="pct"/>
                  <w:tcBorders>
                    <w:tl2br w:val="nil"/>
                    <w:tr2bl w:val="nil"/>
                  </w:tcBorders>
                  <w:vAlign w:val="center"/>
                </w:tcPr>
                <w:p w14:paraId="44C73C0C">
                  <w:pPr>
                    <w:autoSpaceDE/>
                    <w:autoSpaceDN/>
                    <w:jc w:val="center"/>
                    <w:rPr>
                      <w:rFonts w:ascii="Times New Roman" w:hAnsi="Times New Roman" w:cs="Times New Roman"/>
                      <w:sz w:val="21"/>
                      <w:szCs w:val="21"/>
                    </w:rPr>
                  </w:pPr>
                  <w:r>
                    <w:rPr>
                      <w:rFonts w:ascii="Times New Roman" w:hAnsi="Times New Roman" w:cs="Times New Roman"/>
                      <w:color w:val="000000"/>
                      <w:sz w:val="21"/>
                      <w:szCs w:val="21"/>
                    </w:rPr>
                    <w:t>施工场界</w:t>
                  </w:r>
                </w:p>
              </w:tc>
              <w:tc>
                <w:tcPr>
                  <w:tcW w:w="325" w:type="pct"/>
                  <w:tcBorders>
                    <w:tl2br w:val="nil"/>
                    <w:tr2bl w:val="nil"/>
                  </w:tcBorders>
                  <w:vAlign w:val="center"/>
                </w:tcPr>
                <w:p w14:paraId="2A57841C">
                  <w:pPr>
                    <w:autoSpaceDE/>
                    <w:autoSpaceDN/>
                    <w:jc w:val="center"/>
                    <w:rPr>
                      <w:rFonts w:ascii="Times New Roman" w:hAnsi="Times New Roman" w:cs="Times New Roman"/>
                      <w:sz w:val="21"/>
                      <w:szCs w:val="21"/>
                    </w:rPr>
                  </w:pPr>
                  <w:r>
                    <w:rPr>
                      <w:rFonts w:ascii="Times New Roman" w:hAnsi="Times New Roman" w:cs="Times New Roman"/>
                      <w:sz w:val="21"/>
                      <w:szCs w:val="21"/>
                    </w:rPr>
                    <w:t>L</w:t>
                  </w:r>
                  <w:r>
                    <w:rPr>
                      <w:rFonts w:ascii="Times New Roman" w:hAnsi="Times New Roman" w:cs="Times New Roman"/>
                      <w:sz w:val="21"/>
                      <w:szCs w:val="21"/>
                      <w:vertAlign w:val="subscript"/>
                    </w:rPr>
                    <w:t>Aeq</w:t>
                  </w:r>
                </w:p>
              </w:tc>
              <w:tc>
                <w:tcPr>
                  <w:tcW w:w="937" w:type="pct"/>
                  <w:tcBorders>
                    <w:tl2br w:val="nil"/>
                    <w:tr2bl w:val="nil"/>
                  </w:tcBorders>
                  <w:vAlign w:val="center"/>
                </w:tcPr>
                <w:p w14:paraId="7A73E149">
                  <w:pPr>
                    <w:autoSpaceDE/>
                    <w:autoSpaceDN/>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施工高峰期监测昼间噪声</w:t>
                  </w:r>
                  <w:r>
                    <w:rPr>
                      <w:rFonts w:ascii="Times New Roman" w:hAnsi="Times New Roman" w:cs="Times New Roman"/>
                      <w:sz w:val="21"/>
                      <w:szCs w:val="21"/>
                      <w:lang w:eastAsia="zh-CN"/>
                    </w:rPr>
                    <w:t>1次</w:t>
                  </w:r>
                </w:p>
              </w:tc>
              <w:tc>
                <w:tcPr>
                  <w:tcW w:w="1828" w:type="pct"/>
                  <w:tcBorders>
                    <w:tl2br w:val="nil"/>
                    <w:tr2bl w:val="nil"/>
                  </w:tcBorders>
                  <w:vAlign w:val="center"/>
                </w:tcPr>
                <w:p w14:paraId="4A96B9C9">
                  <w:pPr>
                    <w:autoSpaceDE/>
                    <w:autoSpaceDN/>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《建筑施工场界环境噪声排放标准》（</w:t>
                  </w:r>
                  <w:r>
                    <w:rPr>
                      <w:rFonts w:ascii="Times New Roman" w:hAnsi="Times New Roman" w:cs="Times New Roman"/>
                      <w:sz w:val="21"/>
                      <w:szCs w:val="21"/>
                      <w:lang w:eastAsia="zh-CN"/>
                    </w:rPr>
                    <w:t>GB 12523-2011）</w:t>
                  </w:r>
                </w:p>
              </w:tc>
            </w:tr>
            <w:tr w14:paraId="181F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5" w:type="pct"/>
                  <w:vMerge w:val="restart"/>
                  <w:tcBorders>
                    <w:tl2br w:val="nil"/>
                    <w:tr2bl w:val="nil"/>
                  </w:tcBorders>
                  <w:vAlign w:val="center"/>
                </w:tcPr>
                <w:p w14:paraId="38B42086">
                  <w:pPr>
                    <w:autoSpaceDE/>
                    <w:autoSpaceDN/>
                    <w:jc w:val="center"/>
                    <w:rPr>
                      <w:rFonts w:ascii="Times New Roman" w:hAnsi="Times New Roman" w:cs="Times New Roman"/>
                      <w:sz w:val="21"/>
                      <w:szCs w:val="21"/>
                    </w:rPr>
                  </w:pPr>
                  <w:r>
                    <w:rPr>
                      <w:rFonts w:ascii="Times New Roman" w:hAnsi="Times New Roman" w:cs="Times New Roman"/>
                      <w:sz w:val="21"/>
                      <w:szCs w:val="21"/>
                    </w:rPr>
                    <w:t>运营期</w:t>
                  </w:r>
                </w:p>
              </w:tc>
              <w:tc>
                <w:tcPr>
                  <w:tcW w:w="570" w:type="pct"/>
                  <w:tcBorders>
                    <w:tl2br w:val="nil"/>
                    <w:tr2bl w:val="nil"/>
                  </w:tcBorders>
                  <w:vAlign w:val="center"/>
                </w:tcPr>
                <w:p w14:paraId="715098DB">
                  <w:pPr>
                    <w:pStyle w:val="32"/>
                    <w:ind w:left="420" w:leftChars="0" w:hanging="420"/>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食堂油烟</w:t>
                  </w:r>
                </w:p>
              </w:tc>
              <w:tc>
                <w:tcPr>
                  <w:tcW w:w="895" w:type="pct"/>
                  <w:tcBorders>
                    <w:tl2br w:val="nil"/>
                    <w:tr2bl w:val="nil"/>
                  </w:tcBorders>
                  <w:vAlign w:val="center"/>
                </w:tcPr>
                <w:p w14:paraId="3C050424">
                  <w:pPr>
                    <w:autoSpaceDE/>
                    <w:autoSpaceDN/>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油烟</w:t>
                  </w:r>
                  <w:r>
                    <w:rPr>
                      <w:rFonts w:ascii="Times New Roman" w:hAnsi="Times New Roman" w:cs="Times New Roman"/>
                      <w:kern w:val="2"/>
                      <w:sz w:val="21"/>
                      <w:szCs w:val="21"/>
                      <w:lang w:eastAsia="zh-CN"/>
                    </w:rPr>
                    <w:t>排放口</w:t>
                  </w:r>
                </w:p>
              </w:tc>
              <w:tc>
                <w:tcPr>
                  <w:tcW w:w="325" w:type="pct"/>
                  <w:tcBorders>
                    <w:tl2br w:val="nil"/>
                    <w:tr2bl w:val="nil"/>
                  </w:tcBorders>
                  <w:vAlign w:val="center"/>
                </w:tcPr>
                <w:p w14:paraId="277CB937">
                  <w:pPr>
                    <w:pStyle w:val="30"/>
                    <w:snapToGrid/>
                    <w:spacing w:line="240" w:lineRule="auto"/>
                    <w:rPr>
                      <w:kern w:val="2"/>
                      <w:sz w:val="21"/>
                      <w:szCs w:val="21"/>
                    </w:rPr>
                  </w:pPr>
                  <w:r>
                    <w:rPr>
                      <w:rFonts w:hint="eastAsia"/>
                      <w:kern w:val="2"/>
                      <w:sz w:val="21"/>
                      <w:szCs w:val="21"/>
                    </w:rPr>
                    <w:t>油烟</w:t>
                  </w:r>
                </w:p>
              </w:tc>
              <w:tc>
                <w:tcPr>
                  <w:tcW w:w="937" w:type="pct"/>
                  <w:tcBorders>
                    <w:tl2br w:val="nil"/>
                    <w:tr2bl w:val="nil"/>
                  </w:tcBorders>
                  <w:vAlign w:val="center"/>
                </w:tcPr>
                <w:p w14:paraId="76DA282D">
                  <w:pPr>
                    <w:autoSpaceDE/>
                    <w:autoSpaceDN/>
                    <w:jc w:val="center"/>
                    <w:rPr>
                      <w:rFonts w:ascii="Times New Roman" w:hAnsi="Times New Roman" w:cs="Times New Roman"/>
                      <w:kern w:val="2"/>
                      <w:sz w:val="21"/>
                      <w:szCs w:val="21"/>
                      <w:lang w:eastAsia="zh-CN"/>
                    </w:rPr>
                  </w:pPr>
                  <w:r>
                    <w:rPr>
                      <w:rFonts w:hint="eastAsia" w:ascii="Times New Roman" w:hAnsi="Times New Roman" w:cs="Times New Roman"/>
                      <w:sz w:val="21"/>
                      <w:szCs w:val="21"/>
                      <w:lang w:eastAsia="zh-CN"/>
                    </w:rPr>
                    <w:t>1次/年</w:t>
                  </w:r>
                </w:p>
              </w:tc>
              <w:tc>
                <w:tcPr>
                  <w:tcW w:w="1828" w:type="pct"/>
                  <w:tcBorders>
                    <w:tl2br w:val="nil"/>
                    <w:tr2bl w:val="nil"/>
                  </w:tcBorders>
                  <w:vAlign w:val="center"/>
                </w:tcPr>
                <w:p w14:paraId="2A444534">
                  <w:pPr>
                    <w:autoSpaceDE/>
                    <w:autoSpaceDN/>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《饮食业油烟排放标准（试行）》（</w:t>
                  </w:r>
                  <w:r>
                    <w:rPr>
                      <w:rFonts w:ascii="Times New Roman" w:hAnsi="Times New Roman" w:cs="Times New Roman"/>
                      <w:sz w:val="21"/>
                      <w:szCs w:val="21"/>
                      <w:lang w:eastAsia="zh-CN"/>
                    </w:rPr>
                    <w:t>GB 18483-2001）</w:t>
                  </w:r>
                </w:p>
              </w:tc>
            </w:tr>
            <w:tr w14:paraId="41F6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5" w:type="pct"/>
                  <w:vMerge w:val="continue"/>
                  <w:tcBorders>
                    <w:tl2br w:val="nil"/>
                    <w:tr2bl w:val="nil"/>
                  </w:tcBorders>
                  <w:vAlign w:val="center"/>
                </w:tcPr>
                <w:p w14:paraId="7048EAC9">
                  <w:pPr>
                    <w:autoSpaceDE/>
                    <w:autoSpaceDN/>
                    <w:jc w:val="center"/>
                    <w:rPr>
                      <w:rFonts w:ascii="Times New Roman" w:hAnsi="Times New Roman" w:cs="Times New Roman"/>
                      <w:sz w:val="21"/>
                      <w:szCs w:val="21"/>
                      <w:lang w:eastAsia="zh-CN"/>
                    </w:rPr>
                  </w:pPr>
                </w:p>
              </w:tc>
              <w:tc>
                <w:tcPr>
                  <w:tcW w:w="570" w:type="pct"/>
                  <w:tcBorders>
                    <w:tl2br w:val="nil"/>
                    <w:tr2bl w:val="nil"/>
                  </w:tcBorders>
                  <w:vAlign w:val="center"/>
                </w:tcPr>
                <w:p w14:paraId="38640773">
                  <w:pPr>
                    <w:pStyle w:val="32"/>
                    <w:ind w:left="420" w:leftChars="0" w:hanging="420"/>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w:t>
                  </w:r>
                  <w:r>
                    <w:rPr>
                      <w:rFonts w:ascii="Times New Roman" w:hAnsi="Times New Roman" w:eastAsia="宋体" w:cs="Times New Roman"/>
                      <w:sz w:val="21"/>
                      <w:szCs w:val="21"/>
                      <w:lang w:eastAsia="zh-CN"/>
                    </w:rPr>
                    <w:t>污水</w:t>
                  </w:r>
                </w:p>
              </w:tc>
              <w:tc>
                <w:tcPr>
                  <w:tcW w:w="895" w:type="pct"/>
                  <w:tcBorders>
                    <w:tl2br w:val="nil"/>
                    <w:tr2bl w:val="nil"/>
                  </w:tcBorders>
                  <w:vAlign w:val="center"/>
                </w:tcPr>
                <w:p w14:paraId="707E85F0">
                  <w:pPr>
                    <w:autoSpaceDE/>
                    <w:autoSpaceDN/>
                    <w:jc w:val="center"/>
                    <w:rPr>
                      <w:rFonts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污水处理站</w:t>
                  </w:r>
                  <w:r>
                    <w:rPr>
                      <w:rFonts w:ascii="Times New Roman" w:hAnsi="Times New Roman" w:cs="Times New Roman"/>
                      <w:kern w:val="2"/>
                      <w:sz w:val="21"/>
                      <w:szCs w:val="21"/>
                      <w:lang w:eastAsia="zh-CN"/>
                    </w:rPr>
                    <w:t>排放口</w:t>
                  </w:r>
                </w:p>
              </w:tc>
              <w:tc>
                <w:tcPr>
                  <w:tcW w:w="325" w:type="pct"/>
                  <w:tcBorders>
                    <w:tl2br w:val="nil"/>
                    <w:tr2bl w:val="nil"/>
                  </w:tcBorders>
                  <w:vAlign w:val="center"/>
                </w:tcPr>
                <w:p w14:paraId="40E54D1C">
                  <w:pPr>
                    <w:pStyle w:val="30"/>
                    <w:snapToGrid/>
                    <w:spacing w:line="240" w:lineRule="auto"/>
                    <w:rPr>
                      <w:sz w:val="21"/>
                      <w:szCs w:val="21"/>
                    </w:rPr>
                  </w:pPr>
                  <w:r>
                    <w:rPr>
                      <w:sz w:val="21"/>
                      <w:szCs w:val="21"/>
                    </w:rPr>
                    <w:t>pH</w:t>
                  </w:r>
                  <w:r>
                    <w:rPr>
                      <w:rFonts w:hint="eastAsia"/>
                      <w:sz w:val="21"/>
                      <w:szCs w:val="21"/>
                    </w:rPr>
                    <w:t>值、</w:t>
                  </w:r>
                  <w:r>
                    <w:rPr>
                      <w:sz w:val="21"/>
                      <w:szCs w:val="21"/>
                    </w:rPr>
                    <w:t>BOD</w:t>
                  </w:r>
                  <w:r>
                    <w:rPr>
                      <w:sz w:val="21"/>
                      <w:szCs w:val="21"/>
                      <w:vertAlign w:val="subscript"/>
                    </w:rPr>
                    <w:t>5</w:t>
                  </w:r>
                  <w:r>
                    <w:rPr>
                      <w:rFonts w:hint="eastAsia"/>
                      <w:sz w:val="21"/>
                      <w:szCs w:val="21"/>
                    </w:rPr>
                    <w:t>、</w:t>
                  </w:r>
                  <w:r>
                    <w:rPr>
                      <w:sz w:val="21"/>
                      <w:szCs w:val="21"/>
                    </w:rPr>
                    <w:t>COD</w:t>
                  </w:r>
                  <w:r>
                    <w:rPr>
                      <w:rFonts w:hint="eastAsia"/>
                      <w:sz w:val="21"/>
                      <w:szCs w:val="21"/>
                    </w:rPr>
                    <w:t>、</w:t>
                  </w:r>
                  <w:r>
                    <w:rPr>
                      <w:sz w:val="21"/>
                      <w:szCs w:val="21"/>
                    </w:rPr>
                    <w:t>SS</w:t>
                  </w:r>
                  <w:r>
                    <w:rPr>
                      <w:rFonts w:hint="eastAsia"/>
                      <w:sz w:val="21"/>
                      <w:szCs w:val="21"/>
                    </w:rPr>
                    <w:t>、</w:t>
                  </w:r>
                  <w:r>
                    <w:rPr>
                      <w:sz w:val="21"/>
                      <w:szCs w:val="21"/>
                    </w:rPr>
                    <w:t>NH</w:t>
                  </w:r>
                  <w:r>
                    <w:rPr>
                      <w:sz w:val="21"/>
                      <w:szCs w:val="21"/>
                      <w:vertAlign w:val="subscript"/>
                    </w:rPr>
                    <w:t>3</w:t>
                  </w:r>
                  <w:r>
                    <w:rPr>
                      <w:sz w:val="21"/>
                      <w:szCs w:val="21"/>
                    </w:rPr>
                    <w:t>-N</w:t>
                  </w:r>
                </w:p>
              </w:tc>
              <w:tc>
                <w:tcPr>
                  <w:tcW w:w="937" w:type="pct"/>
                  <w:tcBorders>
                    <w:tl2br w:val="nil"/>
                    <w:tr2bl w:val="nil"/>
                  </w:tcBorders>
                  <w:vAlign w:val="center"/>
                </w:tcPr>
                <w:p w14:paraId="37CC0E01">
                  <w:pPr>
                    <w:autoSpaceDE/>
                    <w:autoSpaceDN/>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1次/年</w:t>
                  </w:r>
                </w:p>
              </w:tc>
              <w:tc>
                <w:tcPr>
                  <w:tcW w:w="1828" w:type="pct"/>
                  <w:tcBorders>
                    <w:tl2br w:val="nil"/>
                    <w:tr2bl w:val="nil"/>
                  </w:tcBorders>
                  <w:vAlign w:val="center"/>
                </w:tcPr>
                <w:p w14:paraId="2A42063F">
                  <w:pPr>
                    <w:autoSpaceDE/>
                    <w:autoSpaceDN/>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《农村生活污水处理排放标准》（</w:t>
                  </w:r>
                  <w:r>
                    <w:rPr>
                      <w:rFonts w:ascii="Times New Roman" w:hAnsi="Times New Roman" w:cs="Times New Roman"/>
                      <w:sz w:val="21"/>
                      <w:szCs w:val="21"/>
                      <w:lang w:eastAsia="zh-CN"/>
                    </w:rPr>
                    <w:t>DB 65 4275-2019）表2中B级标准限值</w:t>
                  </w:r>
                </w:p>
              </w:tc>
            </w:tr>
            <w:tr w14:paraId="1FC8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5" w:type="pct"/>
                  <w:vMerge w:val="continue"/>
                  <w:tcBorders>
                    <w:tl2br w:val="nil"/>
                    <w:tr2bl w:val="nil"/>
                  </w:tcBorders>
                  <w:vAlign w:val="center"/>
                </w:tcPr>
                <w:p w14:paraId="7B356E25">
                  <w:pPr>
                    <w:autoSpaceDE/>
                    <w:autoSpaceDN/>
                    <w:jc w:val="center"/>
                    <w:rPr>
                      <w:rFonts w:ascii="Times New Roman" w:hAnsi="Times New Roman" w:cs="Times New Roman"/>
                      <w:sz w:val="21"/>
                      <w:szCs w:val="21"/>
                      <w:lang w:eastAsia="zh-CN"/>
                    </w:rPr>
                  </w:pPr>
                </w:p>
              </w:tc>
              <w:tc>
                <w:tcPr>
                  <w:tcW w:w="570" w:type="pct"/>
                  <w:tcBorders>
                    <w:tl2br w:val="nil"/>
                    <w:tr2bl w:val="nil"/>
                  </w:tcBorders>
                  <w:vAlign w:val="center"/>
                </w:tcPr>
                <w:p w14:paraId="4BCF7458">
                  <w:pPr>
                    <w:pStyle w:val="32"/>
                    <w:ind w:left="420" w:leftChars="0" w:hanging="420"/>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交通</w:t>
                  </w:r>
                  <w:r>
                    <w:rPr>
                      <w:rFonts w:ascii="Times New Roman" w:hAnsi="Times New Roman" w:eastAsia="宋体" w:cs="Times New Roman"/>
                      <w:sz w:val="21"/>
                      <w:szCs w:val="21"/>
                    </w:rPr>
                    <w:t>噪声</w:t>
                  </w:r>
                </w:p>
              </w:tc>
              <w:tc>
                <w:tcPr>
                  <w:tcW w:w="895" w:type="pct"/>
                  <w:tcBorders>
                    <w:tl2br w:val="nil"/>
                    <w:tr2bl w:val="nil"/>
                  </w:tcBorders>
                  <w:vAlign w:val="center"/>
                </w:tcPr>
                <w:p w14:paraId="70AF2F9A">
                  <w:pPr>
                    <w:autoSpaceDE/>
                    <w:autoSpaceDN/>
                    <w:jc w:val="center"/>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公路中心线两侧200m范围内的居民点</w:t>
                  </w:r>
                </w:p>
              </w:tc>
              <w:tc>
                <w:tcPr>
                  <w:tcW w:w="325" w:type="pct"/>
                  <w:tcBorders>
                    <w:tl2br w:val="nil"/>
                    <w:tr2bl w:val="nil"/>
                  </w:tcBorders>
                  <w:vAlign w:val="center"/>
                </w:tcPr>
                <w:p w14:paraId="0BC22CC5">
                  <w:pPr>
                    <w:pStyle w:val="30"/>
                    <w:snapToGrid/>
                    <w:spacing w:line="240" w:lineRule="auto"/>
                    <w:rPr>
                      <w:sz w:val="21"/>
                      <w:szCs w:val="21"/>
                    </w:rPr>
                  </w:pPr>
                  <w:r>
                    <w:rPr>
                      <w:sz w:val="21"/>
                      <w:szCs w:val="21"/>
                    </w:rPr>
                    <w:t>L</w:t>
                  </w:r>
                  <w:r>
                    <w:rPr>
                      <w:sz w:val="21"/>
                      <w:szCs w:val="21"/>
                      <w:vertAlign w:val="subscript"/>
                    </w:rPr>
                    <w:t>Aeq</w:t>
                  </w:r>
                </w:p>
              </w:tc>
              <w:tc>
                <w:tcPr>
                  <w:tcW w:w="937" w:type="pct"/>
                  <w:tcBorders>
                    <w:tl2br w:val="nil"/>
                    <w:tr2bl w:val="nil"/>
                  </w:tcBorders>
                  <w:vAlign w:val="center"/>
                </w:tcPr>
                <w:p w14:paraId="333C44EE">
                  <w:pPr>
                    <w:autoSpaceDE/>
                    <w:autoSpaceDN/>
                    <w:jc w:val="center"/>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sz w:val="21"/>
                      <w:szCs w:val="21"/>
                      <w:lang w:eastAsia="zh-CN"/>
                    </w:rPr>
                    <w:t>次/季度</w:t>
                  </w:r>
                </w:p>
              </w:tc>
              <w:tc>
                <w:tcPr>
                  <w:tcW w:w="1828" w:type="pct"/>
                  <w:tcBorders>
                    <w:tl2br w:val="nil"/>
                    <w:tr2bl w:val="nil"/>
                  </w:tcBorders>
                  <w:vAlign w:val="center"/>
                </w:tcPr>
                <w:p w14:paraId="2A2D1D41">
                  <w:pPr>
                    <w:autoSpaceDE/>
                    <w:autoSpaceDN/>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道路边界线外</w:t>
                  </w:r>
                  <w:r>
                    <w:rPr>
                      <w:rFonts w:ascii="Times New Roman" w:hAnsi="Times New Roman" w:cs="Times New Roman"/>
                      <w:sz w:val="21"/>
                      <w:szCs w:val="21"/>
                      <w:lang w:eastAsia="zh-CN"/>
                    </w:rPr>
                    <w:t>35m范围内交通噪声执行《声环境质量标准》（GB 3096-2008）的4a类标准，35m范围外执行2类标准。</w:t>
                  </w:r>
                </w:p>
              </w:tc>
            </w:tr>
          </w:tbl>
          <w:p w14:paraId="10C8786C">
            <w:pPr>
              <w:pStyle w:val="18"/>
              <w:jc w:val="center"/>
              <w:rPr>
                <w:rFonts w:ascii="Times New Roman" w:hAnsi="Times New Roman" w:cs="Times New Roman" w:eastAsiaTheme="minorEastAsia"/>
                <w:b/>
                <w:bCs/>
                <w:sz w:val="21"/>
                <w:szCs w:val="21"/>
                <w:lang w:eastAsia="zh-CN"/>
              </w:rPr>
            </w:pPr>
          </w:p>
          <w:p w14:paraId="75C08A98">
            <w:pPr>
              <w:pStyle w:val="18"/>
              <w:spacing w:line="360" w:lineRule="auto"/>
              <w:rPr>
                <w:rFonts w:ascii="Times New Roman" w:hAnsi="Times New Roman" w:eastAsia="MS Mincho" w:cs="Times New Roman"/>
                <w:sz w:val="24"/>
                <w:szCs w:val="24"/>
                <w:lang w:eastAsia="ja-JP"/>
              </w:rPr>
            </w:pPr>
            <w:r>
              <w:rPr>
                <w:rFonts w:ascii="Times New Roman" w:hAnsi="Times New Roman" w:cs="Times New Roman" w:eastAsiaTheme="minorEastAsia"/>
                <w:b/>
                <w:bCs/>
                <w:sz w:val="28"/>
                <w:szCs w:val="28"/>
                <w:lang w:eastAsia="zh-CN"/>
              </w:rPr>
              <w:t>2、项目竣工环境保护验收</w:t>
            </w:r>
          </w:p>
          <w:p w14:paraId="7691CE5E">
            <w:pPr>
              <w:pStyle w:val="18"/>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根据《建设项目环境保护管理条例》（国务院令682号），建设单位应自主进行环境保护设施竣工验收，委托有资质的检测单位对该项目的环境保护设施进行现场调查及监测，并编制《建设项目竣工环境保护验收报告》。在项目建设过程中，环境污染防治设施应与主体工程同时设计、同时施工、同时投入使用。本项目竣工环境保护验收“三同时”验收内容见表5.2。</w:t>
            </w:r>
          </w:p>
          <w:p w14:paraId="52A6F4BE">
            <w:pPr>
              <w:pStyle w:val="18"/>
              <w:jc w:val="center"/>
              <w:rPr>
                <w:rFonts w:ascii="Times New Roman" w:hAnsi="Times New Roman" w:eastAsia="MS Mincho" w:cs="Times New Roman"/>
                <w:sz w:val="24"/>
                <w:szCs w:val="24"/>
                <w:lang w:eastAsia="ja-JP"/>
              </w:rPr>
            </w:pPr>
            <w:r>
              <w:rPr>
                <w:rFonts w:ascii="Times New Roman" w:hAnsi="Times New Roman" w:cs="Times New Roman"/>
                <w:b/>
                <w:sz w:val="21"/>
                <w:szCs w:val="21"/>
                <w:lang w:eastAsia="zh-CN"/>
              </w:rPr>
              <w:t>表5.2  项目竣工环境保护验收“三同时”验收内容一览表</w:t>
            </w:r>
          </w:p>
          <w:tbl>
            <w:tblPr>
              <w:tblStyle w:val="12"/>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312"/>
              <w:gridCol w:w="3731"/>
              <w:gridCol w:w="2911"/>
            </w:tblGrid>
            <w:tr w14:paraId="559E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pct"/>
                  <w:gridSpan w:val="2"/>
                  <w:vAlign w:val="center"/>
                </w:tcPr>
                <w:p w14:paraId="6A07FBF5">
                  <w:pPr>
                    <w:widowControl/>
                    <w:jc w:val="center"/>
                    <w:rPr>
                      <w:rFonts w:ascii="Times New Roman" w:hAnsi="Times New Roman" w:cs="Times New Roman"/>
                      <w:b/>
                      <w:color w:val="000000" w:themeColor="text1"/>
                      <w:sz w:val="21"/>
                      <w:szCs w:val="21"/>
                      <w:lang w:val="zh-CN" w:eastAsia="zh-CN"/>
                    </w:rPr>
                  </w:pPr>
                  <w:r>
                    <w:rPr>
                      <w:rFonts w:ascii="Times New Roman" w:hAnsi="Times New Roman" w:cs="Times New Roman"/>
                      <w:b/>
                      <w:color w:val="000000" w:themeColor="text1"/>
                      <w:sz w:val="21"/>
                      <w:szCs w:val="21"/>
                      <w:lang w:val="zh-CN"/>
                    </w:rPr>
                    <w:t>类别</w:t>
                  </w:r>
                </w:p>
              </w:tc>
              <w:tc>
                <w:tcPr>
                  <w:tcW w:w="2167" w:type="pct"/>
                  <w:vAlign w:val="center"/>
                </w:tcPr>
                <w:p w14:paraId="4F59C52A">
                  <w:pPr>
                    <w:widowControl/>
                    <w:jc w:val="center"/>
                    <w:rPr>
                      <w:rFonts w:ascii="Times New Roman" w:hAnsi="Times New Roman" w:cs="Times New Roman"/>
                      <w:b/>
                      <w:color w:val="000000" w:themeColor="text1"/>
                      <w:sz w:val="21"/>
                      <w:szCs w:val="21"/>
                      <w:lang w:val="zh-CN"/>
                    </w:rPr>
                  </w:pPr>
                  <w:r>
                    <w:rPr>
                      <w:rFonts w:ascii="Times New Roman" w:hAnsi="Times New Roman" w:cs="Times New Roman"/>
                      <w:b/>
                      <w:color w:val="000000" w:themeColor="text1"/>
                      <w:sz w:val="21"/>
                      <w:szCs w:val="21"/>
                      <w:lang w:val="zh-CN"/>
                    </w:rPr>
                    <w:t>环保措施</w:t>
                  </w:r>
                </w:p>
              </w:tc>
              <w:tc>
                <w:tcPr>
                  <w:tcW w:w="1691" w:type="pct"/>
                  <w:vAlign w:val="center"/>
                </w:tcPr>
                <w:p w14:paraId="41EDA9F5">
                  <w:pPr>
                    <w:widowControl/>
                    <w:jc w:val="center"/>
                    <w:rPr>
                      <w:rFonts w:ascii="Times New Roman" w:hAnsi="Times New Roman" w:cs="Times New Roman"/>
                      <w:b/>
                      <w:color w:val="000000" w:themeColor="text1"/>
                      <w:sz w:val="21"/>
                      <w:szCs w:val="21"/>
                      <w:lang w:val="zh-CN"/>
                    </w:rPr>
                  </w:pPr>
                  <w:r>
                    <w:rPr>
                      <w:rFonts w:ascii="Times New Roman" w:hAnsi="Times New Roman" w:cs="Times New Roman"/>
                      <w:b/>
                      <w:color w:val="000000" w:themeColor="text1"/>
                      <w:sz w:val="21"/>
                      <w:szCs w:val="21"/>
                      <w:lang w:val="zh-CN"/>
                    </w:rPr>
                    <w:t>验收标准</w:t>
                  </w:r>
                </w:p>
              </w:tc>
            </w:tr>
            <w:tr w14:paraId="2EA8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14:paraId="2A00F938">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大气</w:t>
                  </w:r>
                </w:p>
                <w:p w14:paraId="0265913F">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环境</w:t>
                  </w:r>
                </w:p>
              </w:tc>
              <w:tc>
                <w:tcPr>
                  <w:tcW w:w="762" w:type="pct"/>
                  <w:vAlign w:val="center"/>
                </w:tcPr>
                <w:p w14:paraId="0D81BE56">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施工期</w:t>
                  </w:r>
                </w:p>
              </w:tc>
              <w:tc>
                <w:tcPr>
                  <w:tcW w:w="2167" w:type="pct"/>
                  <w:vAlign w:val="center"/>
                </w:tcPr>
                <w:p w14:paraId="456F8F4F">
                  <w:pPr>
                    <w:widowControl/>
                    <w:jc w:val="both"/>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①大气敏感目标路段设置施工围挡；②洒水抑尘；③施工材料、土方等覆盖防尘布、遮网；④运输车辆驶离工地前清洗车轮及车身，车斗用苫布遮蔽；⑤施工机械设备、运输车辆使用标准柴油，加强机械、车辆维护保养，鼓励优先使用清洁能源货车。</w:t>
                  </w:r>
                </w:p>
              </w:tc>
              <w:tc>
                <w:tcPr>
                  <w:tcW w:w="1691" w:type="pct"/>
                  <w:vAlign w:val="center"/>
                </w:tcPr>
                <w:p w14:paraId="63D99EAB">
                  <w:pPr>
                    <w:widowControl/>
                    <w:jc w:val="both"/>
                    <w:rPr>
                      <w:rFonts w:ascii="Times New Roman" w:hAnsi="Times New Roman" w:cs="Times New Roman"/>
                      <w:bCs/>
                      <w:color w:val="000000" w:themeColor="text1"/>
                      <w:sz w:val="21"/>
                      <w:szCs w:val="21"/>
                      <w:lang w:val="zh-CN" w:eastAsia="zh-CN"/>
                    </w:rPr>
                  </w:pPr>
                  <w:r>
                    <w:rPr>
                      <w:rFonts w:hint="eastAsia" w:ascii="Times New Roman" w:hAnsi="Times New Roman" w:cs="Times New Roman"/>
                      <w:color w:val="000000" w:themeColor="text1"/>
                      <w:sz w:val="21"/>
                      <w:szCs w:val="21"/>
                      <w:lang w:eastAsia="zh-CN"/>
                    </w:rPr>
                    <w:t>施工扬尘执行《大气污染物综合排放标准》（</w:t>
                  </w:r>
                  <w:r>
                    <w:rPr>
                      <w:rFonts w:ascii="Times New Roman" w:hAnsi="Times New Roman" w:cs="Times New Roman"/>
                      <w:color w:val="000000" w:themeColor="text1"/>
                      <w:sz w:val="21"/>
                      <w:szCs w:val="21"/>
                      <w:lang w:eastAsia="zh-CN"/>
                    </w:rPr>
                    <w:t>GB 16297-1996）的无组织排放标准；施工机械设备尾气、运输车辆尾气分别执行《非道路柴油移动机械排气烟度限值及测量方法》（GB36886-2018）、《重型柴油车污染物排放限值及测量方法（中国第六阶段）》（GB 17691-2018）</w:t>
                  </w:r>
                </w:p>
              </w:tc>
            </w:tr>
            <w:tr w14:paraId="6F61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1F87F356">
                  <w:pPr>
                    <w:widowControl/>
                    <w:jc w:val="center"/>
                    <w:rPr>
                      <w:rFonts w:ascii="Times New Roman" w:hAnsi="Times New Roman" w:cs="Times New Roman"/>
                      <w:bCs/>
                      <w:color w:val="000000" w:themeColor="text1"/>
                      <w:sz w:val="21"/>
                      <w:szCs w:val="21"/>
                      <w:lang w:val="zh-CN" w:eastAsia="zh-CN"/>
                    </w:rPr>
                  </w:pPr>
                </w:p>
              </w:tc>
              <w:tc>
                <w:tcPr>
                  <w:tcW w:w="762" w:type="pct"/>
                  <w:vAlign w:val="center"/>
                </w:tcPr>
                <w:p w14:paraId="3D8EE01E">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运营期</w:t>
                  </w:r>
                </w:p>
              </w:tc>
              <w:tc>
                <w:tcPr>
                  <w:tcW w:w="2167" w:type="pct"/>
                  <w:vAlign w:val="center"/>
                </w:tcPr>
                <w:p w14:paraId="2D38A961">
                  <w:pPr>
                    <w:widowControl/>
                    <w:jc w:val="both"/>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①食堂油烟经油烟净化器处理后，通过专用烟道延伸至楼顶排放。</w:t>
                  </w:r>
                </w:p>
              </w:tc>
              <w:tc>
                <w:tcPr>
                  <w:tcW w:w="1691" w:type="pct"/>
                  <w:vAlign w:val="center"/>
                </w:tcPr>
                <w:p w14:paraId="71C6B6D7">
                  <w:pPr>
                    <w:widowControl/>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《饮食业油烟排放标准（试行）》（</w:t>
                  </w:r>
                  <w:r>
                    <w:rPr>
                      <w:rFonts w:ascii="Times New Roman" w:hAnsi="Times New Roman" w:cs="Times New Roman"/>
                      <w:color w:val="000000" w:themeColor="text1"/>
                      <w:sz w:val="21"/>
                      <w:szCs w:val="21"/>
                      <w:lang w:eastAsia="zh-CN"/>
                    </w:rPr>
                    <w:t>GB 18483-2001）</w:t>
                  </w:r>
                </w:p>
              </w:tc>
            </w:tr>
            <w:tr w14:paraId="1BD8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14:paraId="044745BA">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水环境</w:t>
                  </w:r>
                </w:p>
              </w:tc>
              <w:tc>
                <w:tcPr>
                  <w:tcW w:w="762" w:type="pct"/>
                  <w:vAlign w:val="center"/>
                </w:tcPr>
                <w:p w14:paraId="3D4AB56E">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施工期</w:t>
                  </w:r>
                </w:p>
              </w:tc>
              <w:tc>
                <w:tcPr>
                  <w:tcW w:w="2167" w:type="pct"/>
                  <w:vAlign w:val="center"/>
                </w:tcPr>
                <w:p w14:paraId="761F1406">
                  <w:pPr>
                    <w:widowControl/>
                    <w:jc w:val="both"/>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①施工材料堆放时采取遮蔽措施；②加强施工期管理，加强对运输车辆、施工机械定期检修保养，避免在施工过程中燃油、机油的跑、冒、滴、漏；③施工废水沉淀后用于洒水抑尘；④施工现场生活污水经移动式环保厕所收集后，定期拉运至吉木萨尔县污水处理厂处理；⑤禁止在道路沿线周边地表水体或河道内冲洗施工机械设备、运输车辆，抛洒杂物，倾倒固废。</w:t>
                  </w:r>
                </w:p>
              </w:tc>
              <w:tc>
                <w:tcPr>
                  <w:tcW w:w="1691" w:type="pct"/>
                  <w:vAlign w:val="center"/>
                </w:tcPr>
                <w:p w14:paraId="21502CEF">
                  <w:pPr>
                    <w:widowControl/>
                    <w:jc w:val="both"/>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施工废水、生活污水合理处置</w:t>
                  </w:r>
                </w:p>
              </w:tc>
            </w:tr>
            <w:tr w14:paraId="4D28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5B8B1DF9">
                  <w:pPr>
                    <w:widowControl/>
                    <w:jc w:val="center"/>
                    <w:rPr>
                      <w:rFonts w:ascii="Times New Roman" w:hAnsi="Times New Roman" w:cs="Times New Roman"/>
                      <w:bCs/>
                      <w:color w:val="000000" w:themeColor="text1"/>
                      <w:sz w:val="21"/>
                      <w:szCs w:val="21"/>
                      <w:lang w:val="zh-CN" w:eastAsia="zh-CN"/>
                    </w:rPr>
                  </w:pPr>
                </w:p>
              </w:tc>
              <w:tc>
                <w:tcPr>
                  <w:tcW w:w="762" w:type="pct"/>
                  <w:vAlign w:val="center"/>
                </w:tcPr>
                <w:p w14:paraId="0309B04E">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运营期</w:t>
                  </w:r>
                </w:p>
              </w:tc>
              <w:tc>
                <w:tcPr>
                  <w:tcW w:w="2167" w:type="pct"/>
                  <w:vAlign w:val="center"/>
                </w:tcPr>
                <w:p w14:paraId="25BD4175">
                  <w:pPr>
                    <w:widowControl/>
                    <w:jc w:val="both"/>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①加强道路排水设施的管理，定期进行巡查和疏浚，确保排水系统畅通；②加强道路运输管理；③运营期生活污水经污水处理站处理后，用于站区绿化，冬储夏灌不外排。</w:t>
                  </w:r>
                </w:p>
              </w:tc>
              <w:tc>
                <w:tcPr>
                  <w:tcW w:w="1691" w:type="pct"/>
                  <w:vAlign w:val="center"/>
                </w:tcPr>
                <w:p w14:paraId="6884E3EB">
                  <w:pPr>
                    <w:widowControl/>
                    <w:jc w:val="both"/>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生活污水</w:t>
                  </w:r>
                  <w:r>
                    <w:rPr>
                      <w:rFonts w:ascii="Times New Roman" w:hAnsi="Times New Roman" w:cs="Times New Roman"/>
                      <w:bCs/>
                      <w:color w:val="000000" w:themeColor="text1"/>
                      <w:sz w:val="21"/>
                      <w:szCs w:val="21"/>
                      <w:lang w:val="zh-CN" w:eastAsia="zh-CN"/>
                    </w:rPr>
                    <w:t>执行</w:t>
                  </w:r>
                  <w:r>
                    <w:rPr>
                      <w:rFonts w:hint="eastAsia" w:ascii="Times New Roman" w:hAnsi="Times New Roman" w:cs="Times New Roman"/>
                      <w:bCs/>
                      <w:color w:val="000000" w:themeColor="text1"/>
                      <w:sz w:val="21"/>
                      <w:szCs w:val="21"/>
                      <w:lang w:val="zh-CN" w:eastAsia="zh-CN"/>
                    </w:rPr>
                    <w:t>《农村生活污水处理排放标准》（</w:t>
                  </w:r>
                  <w:r>
                    <w:rPr>
                      <w:rFonts w:ascii="Times New Roman" w:hAnsi="Times New Roman" w:cs="Times New Roman"/>
                      <w:bCs/>
                      <w:color w:val="000000" w:themeColor="text1"/>
                      <w:sz w:val="21"/>
                      <w:szCs w:val="21"/>
                      <w:lang w:val="zh-CN" w:eastAsia="zh-CN"/>
                    </w:rPr>
                    <w:t>DB 65 4275-2019）表2中B级标准限值</w:t>
                  </w:r>
                </w:p>
              </w:tc>
            </w:tr>
            <w:tr w14:paraId="13F6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14:paraId="2C341549">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声环境</w:t>
                  </w:r>
                </w:p>
              </w:tc>
              <w:tc>
                <w:tcPr>
                  <w:tcW w:w="762" w:type="pct"/>
                  <w:vAlign w:val="center"/>
                </w:tcPr>
                <w:p w14:paraId="65214A8A">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施工期</w:t>
                  </w:r>
                </w:p>
              </w:tc>
              <w:tc>
                <w:tcPr>
                  <w:tcW w:w="2167" w:type="pct"/>
                  <w:vAlign w:val="center"/>
                </w:tcPr>
                <w:p w14:paraId="493572BD">
                  <w:pPr>
                    <w:widowControl/>
                    <w:jc w:val="both"/>
                    <w:rPr>
                      <w:rFonts w:ascii="Times New Roman" w:hAnsi="Times New Roman" w:cs="Times New Roman"/>
                      <w:bCs/>
                      <w:color w:val="000000" w:themeColor="text1"/>
                      <w:sz w:val="21"/>
                      <w:szCs w:val="21"/>
                      <w:lang w:val="zh-CN" w:eastAsia="zh-CN"/>
                    </w:rPr>
                  </w:pPr>
                  <w:r>
                    <w:rPr>
                      <w:bCs/>
                      <w:color w:val="000000" w:themeColor="text1"/>
                      <w:sz w:val="21"/>
                      <w:szCs w:val="21"/>
                      <w:lang w:val="zh-CN" w:eastAsia="zh-CN"/>
                    </w:rPr>
                    <w:t>①</w:t>
                  </w:r>
                  <w:r>
                    <w:rPr>
                      <w:rFonts w:hint="eastAsia" w:ascii="Times New Roman" w:hAnsi="Times New Roman" w:cs="Times New Roman"/>
                      <w:bCs/>
                      <w:color w:val="000000" w:themeColor="text1"/>
                      <w:sz w:val="21"/>
                      <w:szCs w:val="21"/>
                      <w:lang w:val="zh-CN" w:eastAsia="zh-CN"/>
                    </w:rPr>
                    <w:t>选用低噪声机械设备并加强维护保养；</w:t>
                  </w:r>
                  <w:r>
                    <w:rPr>
                      <w:bCs/>
                      <w:color w:val="000000" w:themeColor="text1"/>
                      <w:sz w:val="21"/>
                      <w:szCs w:val="21"/>
                      <w:lang w:val="zh-CN" w:eastAsia="zh-CN"/>
                    </w:rPr>
                    <w:t>②</w:t>
                  </w:r>
                  <w:r>
                    <w:rPr>
                      <w:rFonts w:hint="eastAsia" w:ascii="Times New Roman" w:hAnsi="Times New Roman" w:cs="Times New Roman"/>
                      <w:bCs/>
                      <w:color w:val="000000" w:themeColor="text1"/>
                      <w:sz w:val="21"/>
                      <w:szCs w:val="21"/>
                      <w:lang w:val="zh-CN" w:eastAsia="zh-CN"/>
                    </w:rPr>
                    <w:t>运输车辆控制车速，严禁鸣笛；</w:t>
                  </w:r>
                  <w:r>
                    <w:rPr>
                      <w:bCs/>
                      <w:color w:val="000000" w:themeColor="text1"/>
                      <w:sz w:val="21"/>
                      <w:szCs w:val="21"/>
                      <w:lang w:val="zh-CN" w:eastAsia="zh-CN"/>
                    </w:rPr>
                    <w:t>③</w:t>
                  </w:r>
                  <w:r>
                    <w:rPr>
                      <w:rFonts w:hint="eastAsia" w:ascii="Times New Roman" w:hAnsi="Times New Roman" w:cs="Times New Roman"/>
                      <w:bCs/>
                      <w:color w:val="000000" w:themeColor="text1"/>
                      <w:sz w:val="21"/>
                      <w:szCs w:val="21"/>
                      <w:lang w:val="zh-CN" w:eastAsia="zh-CN"/>
                    </w:rPr>
                    <w:t>合理安排工期，禁止午休时段和夜间进行施工作业。</w:t>
                  </w:r>
                </w:p>
              </w:tc>
              <w:tc>
                <w:tcPr>
                  <w:tcW w:w="1691" w:type="pct"/>
                  <w:vAlign w:val="center"/>
                </w:tcPr>
                <w:p w14:paraId="227F9800">
                  <w:pPr>
                    <w:widowControl/>
                    <w:jc w:val="both"/>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《建筑施工场界环境噪声排放标准》（</w:t>
                  </w:r>
                  <w:r>
                    <w:rPr>
                      <w:rFonts w:ascii="Times New Roman" w:hAnsi="Times New Roman" w:cs="Times New Roman"/>
                      <w:bCs/>
                      <w:color w:val="000000" w:themeColor="text1"/>
                      <w:sz w:val="21"/>
                      <w:szCs w:val="21"/>
                      <w:lang w:val="zh-CN" w:eastAsia="zh-CN"/>
                    </w:rPr>
                    <w:t>GB 12523-2011）</w:t>
                  </w:r>
                </w:p>
              </w:tc>
            </w:tr>
            <w:tr w14:paraId="02B2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051E7D31">
                  <w:pPr>
                    <w:widowControl/>
                    <w:jc w:val="center"/>
                    <w:rPr>
                      <w:rFonts w:ascii="Times New Roman" w:hAnsi="Times New Roman" w:cs="Times New Roman"/>
                      <w:bCs/>
                      <w:color w:val="000000" w:themeColor="text1"/>
                      <w:sz w:val="21"/>
                      <w:szCs w:val="21"/>
                      <w:lang w:val="zh-CN" w:eastAsia="zh-CN"/>
                    </w:rPr>
                  </w:pPr>
                </w:p>
              </w:tc>
              <w:tc>
                <w:tcPr>
                  <w:tcW w:w="762" w:type="pct"/>
                  <w:vAlign w:val="center"/>
                </w:tcPr>
                <w:p w14:paraId="7DB57027">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运营期</w:t>
                  </w:r>
                </w:p>
              </w:tc>
              <w:tc>
                <w:tcPr>
                  <w:tcW w:w="2167" w:type="pct"/>
                  <w:vAlign w:val="center"/>
                </w:tcPr>
                <w:p w14:paraId="349C8094">
                  <w:pPr>
                    <w:widowControl/>
                    <w:jc w:val="both"/>
                    <w:rPr>
                      <w:rFonts w:ascii="Times New Roman" w:hAnsi="Times New Roman" w:cs="Times New Roman"/>
                      <w:bCs/>
                      <w:color w:val="000000" w:themeColor="text1"/>
                      <w:sz w:val="21"/>
                      <w:szCs w:val="21"/>
                      <w:lang w:val="zh-CN" w:eastAsia="zh-CN"/>
                    </w:rPr>
                  </w:pPr>
                  <w:r>
                    <w:rPr>
                      <w:bCs/>
                      <w:color w:val="000000" w:themeColor="text1"/>
                      <w:sz w:val="21"/>
                      <w:szCs w:val="21"/>
                      <w:lang w:val="zh-CN" w:eastAsia="zh-CN"/>
                    </w:rPr>
                    <w:t>①</w:t>
                  </w:r>
                  <w:r>
                    <w:rPr>
                      <w:rFonts w:hint="eastAsia" w:ascii="Times New Roman" w:hAnsi="Times New Roman" w:cs="Times New Roman"/>
                      <w:bCs/>
                      <w:color w:val="000000" w:themeColor="text1"/>
                      <w:sz w:val="21"/>
                      <w:szCs w:val="21"/>
                      <w:lang w:val="zh-CN" w:eastAsia="zh-CN"/>
                    </w:rPr>
                    <w:t>加强交通管理，严格执行限速和禁止超载等交通规则；</w:t>
                  </w:r>
                  <w:r>
                    <w:rPr>
                      <w:bCs/>
                      <w:color w:val="000000" w:themeColor="text1"/>
                      <w:sz w:val="21"/>
                      <w:szCs w:val="21"/>
                      <w:lang w:val="zh-CN" w:eastAsia="zh-CN"/>
                    </w:rPr>
                    <w:t>②</w:t>
                  </w:r>
                  <w:r>
                    <w:rPr>
                      <w:rFonts w:hint="eastAsia" w:ascii="Times New Roman" w:hAnsi="Times New Roman" w:cs="Times New Roman"/>
                      <w:bCs/>
                      <w:color w:val="000000" w:themeColor="text1"/>
                      <w:sz w:val="21"/>
                      <w:szCs w:val="21"/>
                      <w:lang w:val="zh-CN" w:eastAsia="zh-CN"/>
                    </w:rPr>
                    <w:t>经常养护路面，保证路面平整清洁；③项目沿线居民点分布较为集中、离公路较近的路段设置隔声屏障：东二畦下村居民点（</w:t>
                  </w:r>
                  <w:r>
                    <w:rPr>
                      <w:rFonts w:ascii="Times New Roman" w:hAnsi="Times New Roman" w:cs="Times New Roman"/>
                      <w:bCs/>
                      <w:color w:val="000000" w:themeColor="text1"/>
                      <w:sz w:val="21"/>
                      <w:szCs w:val="21"/>
                      <w:lang w:val="zh-CN" w:eastAsia="zh-CN"/>
                    </w:rPr>
                    <w:t>k113+440~k115+400西侧）、东二畦上村居民点（k116+023~k116+375西侧）、冉家湖村居民点（k116+570~k118+200西侧）、终点附近的东梁村居民点（k125+193~k125+700西侧、k125+700~k126+220东侧）。</w:t>
                  </w:r>
                </w:p>
              </w:tc>
              <w:tc>
                <w:tcPr>
                  <w:tcW w:w="1691" w:type="pct"/>
                  <w:vAlign w:val="center"/>
                </w:tcPr>
                <w:p w14:paraId="72FD83B5">
                  <w:pPr>
                    <w:widowControl/>
                    <w:jc w:val="both"/>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道路边界线外</w:t>
                  </w:r>
                  <w:r>
                    <w:rPr>
                      <w:rFonts w:ascii="Times New Roman" w:hAnsi="Times New Roman" w:cs="Times New Roman"/>
                      <w:bCs/>
                      <w:color w:val="000000" w:themeColor="text1"/>
                      <w:sz w:val="21"/>
                      <w:szCs w:val="21"/>
                      <w:lang w:val="zh-CN" w:eastAsia="zh-CN"/>
                    </w:rPr>
                    <w:t>35m范围内交通噪声执行《声环境质量标准》（GB 3096-2008）的4a类标准，35m范围外执行2类标准。</w:t>
                  </w:r>
                </w:p>
              </w:tc>
            </w:tr>
            <w:tr w14:paraId="27C5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14:paraId="1958F269">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固体废物</w:t>
                  </w:r>
                </w:p>
              </w:tc>
              <w:tc>
                <w:tcPr>
                  <w:tcW w:w="762" w:type="pct"/>
                  <w:vAlign w:val="center"/>
                </w:tcPr>
                <w:p w14:paraId="04586ED5">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施工期</w:t>
                  </w:r>
                </w:p>
              </w:tc>
              <w:tc>
                <w:tcPr>
                  <w:tcW w:w="2167" w:type="pct"/>
                  <w:vAlign w:val="center"/>
                </w:tcPr>
                <w:p w14:paraId="4FA08CD6">
                  <w:pPr>
                    <w:widowControl/>
                    <w:jc w:val="both"/>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①施工人员生活垃圾收集后交由环卫部门处置；②建筑垃圾定期由施工单位清运至城市管理部门指定地点处置，废弃土方拉运至弃土场；③运输施工固废的车辆，车斗采取遮蔽措施，防治固废沿途洒落。</w:t>
                  </w:r>
                </w:p>
              </w:tc>
              <w:tc>
                <w:tcPr>
                  <w:tcW w:w="1691" w:type="pct"/>
                  <w:vMerge w:val="restart"/>
                  <w:vAlign w:val="center"/>
                </w:tcPr>
                <w:p w14:paraId="5D47D511">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各固废按环评要求合理处置</w:t>
                  </w:r>
                </w:p>
              </w:tc>
            </w:tr>
            <w:tr w14:paraId="10FE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6C36B62E">
                  <w:pPr>
                    <w:widowControl/>
                    <w:jc w:val="center"/>
                    <w:rPr>
                      <w:rFonts w:ascii="Times New Roman" w:hAnsi="Times New Roman" w:cs="Times New Roman"/>
                      <w:bCs/>
                      <w:color w:val="000000" w:themeColor="text1"/>
                      <w:sz w:val="21"/>
                      <w:szCs w:val="21"/>
                      <w:lang w:val="zh-CN" w:eastAsia="zh-CN"/>
                    </w:rPr>
                  </w:pPr>
                </w:p>
              </w:tc>
              <w:tc>
                <w:tcPr>
                  <w:tcW w:w="762" w:type="pct"/>
                  <w:vAlign w:val="center"/>
                </w:tcPr>
                <w:p w14:paraId="09F7EE03">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运营期</w:t>
                  </w:r>
                </w:p>
              </w:tc>
              <w:tc>
                <w:tcPr>
                  <w:tcW w:w="2167" w:type="pct"/>
                  <w:vAlign w:val="center"/>
                </w:tcPr>
                <w:p w14:paraId="0772A0C4">
                  <w:pPr>
                    <w:widowControl/>
                    <w:jc w:val="both"/>
                    <w:rPr>
                      <w:rFonts w:ascii="Times New Roman" w:hAnsi="Times New Roman" w:cs="Times New Roman"/>
                      <w:bCs/>
                      <w:color w:val="000000" w:themeColor="text1"/>
                      <w:sz w:val="21"/>
                      <w:szCs w:val="21"/>
                      <w:lang w:val="zh-CN" w:eastAsia="zh-CN"/>
                    </w:rPr>
                  </w:pPr>
                  <w:r>
                    <w:rPr>
                      <w:bCs/>
                      <w:color w:val="000000" w:themeColor="text1"/>
                      <w:sz w:val="21"/>
                      <w:szCs w:val="21"/>
                      <w:lang w:val="zh-CN" w:eastAsia="zh-CN"/>
                    </w:rPr>
                    <w:t>①</w:t>
                  </w:r>
                  <w:r>
                    <w:rPr>
                      <w:rFonts w:hint="eastAsia" w:ascii="Times New Roman" w:hAnsi="Times New Roman" w:cs="Times New Roman"/>
                      <w:bCs/>
                      <w:color w:val="000000" w:themeColor="text1"/>
                      <w:sz w:val="21"/>
                      <w:szCs w:val="21"/>
                      <w:lang w:val="zh-CN" w:eastAsia="zh-CN"/>
                    </w:rPr>
                    <w:t>收费站、服务区、养护工区</w:t>
                  </w:r>
                  <w:r>
                    <w:rPr>
                      <w:rFonts w:ascii="Times New Roman" w:hAnsi="Times New Roman" w:cs="Times New Roman"/>
                      <w:bCs/>
                      <w:color w:val="000000" w:themeColor="text1"/>
                      <w:sz w:val="21"/>
                      <w:szCs w:val="21"/>
                      <w:lang w:val="zh-CN" w:eastAsia="zh-CN"/>
                    </w:rPr>
                    <w:t>等处的生活垃圾应定点收集，定期清运至环卫部门处置</w:t>
                  </w:r>
                  <w:r>
                    <w:rPr>
                      <w:rFonts w:hint="eastAsia" w:ascii="Times New Roman" w:hAnsi="Times New Roman" w:cs="Times New Roman"/>
                      <w:bCs/>
                      <w:color w:val="000000" w:themeColor="text1"/>
                      <w:sz w:val="21"/>
                      <w:szCs w:val="21"/>
                      <w:lang w:val="zh-CN" w:eastAsia="zh-CN"/>
                    </w:rPr>
                    <w:t>；②道路维修养护产生的废沥青，收集后回用；</w:t>
                  </w:r>
                  <w:r>
                    <w:rPr>
                      <w:bCs/>
                      <w:color w:val="000000" w:themeColor="text1"/>
                      <w:sz w:val="21"/>
                      <w:szCs w:val="21"/>
                      <w:lang w:val="zh-CN" w:eastAsia="zh-CN"/>
                    </w:rPr>
                    <w:t>③</w:t>
                  </w:r>
                  <w:r>
                    <w:rPr>
                      <w:rFonts w:ascii="Times New Roman" w:hAnsi="Times New Roman" w:cs="Times New Roman"/>
                      <w:bCs/>
                      <w:color w:val="000000" w:themeColor="text1"/>
                      <w:sz w:val="21"/>
                      <w:szCs w:val="21"/>
                      <w:lang w:val="zh-CN" w:eastAsia="zh-CN"/>
                    </w:rPr>
                    <w:t>服务区产生的废机油由危废贮存点贮存，交由有相关处理资质的单位处置。</w:t>
                  </w:r>
                </w:p>
              </w:tc>
              <w:tc>
                <w:tcPr>
                  <w:tcW w:w="1691" w:type="pct"/>
                  <w:vMerge w:val="continue"/>
                  <w:vAlign w:val="center"/>
                </w:tcPr>
                <w:p w14:paraId="538E311B">
                  <w:pPr>
                    <w:widowControl/>
                    <w:jc w:val="center"/>
                    <w:rPr>
                      <w:rFonts w:ascii="Times New Roman" w:hAnsi="Times New Roman" w:cs="Times New Roman"/>
                      <w:bCs/>
                      <w:color w:val="000000" w:themeColor="text1"/>
                      <w:sz w:val="21"/>
                      <w:szCs w:val="21"/>
                      <w:lang w:val="zh-CN" w:eastAsia="zh-CN"/>
                    </w:rPr>
                  </w:pPr>
                </w:p>
              </w:tc>
            </w:tr>
            <w:tr w14:paraId="5519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pct"/>
                  <w:gridSpan w:val="2"/>
                  <w:vAlign w:val="center"/>
                </w:tcPr>
                <w:p w14:paraId="15F01DCA">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生态环境保护</w:t>
                  </w:r>
                </w:p>
              </w:tc>
              <w:tc>
                <w:tcPr>
                  <w:tcW w:w="2167" w:type="pct"/>
                  <w:vAlign w:val="center"/>
                </w:tcPr>
                <w:p w14:paraId="37B394BE">
                  <w:pPr>
                    <w:widowControl/>
                    <w:jc w:val="both"/>
                    <w:rPr>
                      <w:rFonts w:ascii="Times New Roman" w:hAnsi="Times New Roman" w:cs="Times New Roman"/>
                      <w:bCs/>
                      <w:color w:val="000000" w:themeColor="text1"/>
                      <w:sz w:val="21"/>
                      <w:szCs w:val="21"/>
                      <w:lang w:val="zh-CN" w:eastAsia="zh-CN"/>
                    </w:rPr>
                  </w:pPr>
                  <w:r>
                    <w:rPr>
                      <w:bCs/>
                      <w:color w:val="000000" w:themeColor="text1"/>
                      <w:sz w:val="21"/>
                      <w:szCs w:val="21"/>
                      <w:lang w:val="zh-CN" w:eastAsia="zh-CN"/>
                    </w:rPr>
                    <w:t>①</w:t>
                  </w:r>
                  <w:r>
                    <w:rPr>
                      <w:rFonts w:ascii="Times New Roman" w:hAnsi="Times New Roman" w:cs="Times New Roman"/>
                      <w:bCs/>
                      <w:color w:val="000000" w:themeColor="text1"/>
                      <w:sz w:val="21"/>
                      <w:szCs w:val="21"/>
                      <w:lang w:val="zh-CN" w:eastAsia="zh-CN"/>
                    </w:rPr>
                    <w:t>加强环保宣传工作</w:t>
                  </w:r>
                  <w:r>
                    <w:rPr>
                      <w:rFonts w:hint="eastAsia" w:ascii="Times New Roman" w:hAnsi="Times New Roman" w:cs="Times New Roman"/>
                      <w:bCs/>
                      <w:color w:val="000000" w:themeColor="text1"/>
                      <w:sz w:val="21"/>
                      <w:szCs w:val="21"/>
                      <w:lang w:val="zh-CN" w:eastAsia="zh-CN"/>
                    </w:rPr>
                    <w:t>；</w:t>
                  </w:r>
                  <w:r>
                    <w:rPr>
                      <w:bCs/>
                      <w:color w:val="000000" w:themeColor="text1"/>
                      <w:sz w:val="21"/>
                      <w:szCs w:val="21"/>
                      <w:lang w:val="zh-CN" w:eastAsia="zh-CN"/>
                    </w:rPr>
                    <w:t>②</w:t>
                  </w:r>
                  <w:r>
                    <w:rPr>
                      <w:rFonts w:hint="eastAsia" w:ascii="Times New Roman" w:hAnsi="Times New Roman" w:cs="Times New Roman"/>
                      <w:bCs/>
                      <w:color w:val="000000" w:themeColor="text1"/>
                      <w:sz w:val="21"/>
                      <w:szCs w:val="21"/>
                      <w:lang w:val="zh-CN" w:eastAsia="zh-CN"/>
                    </w:rPr>
                    <w:t>落实水保措施；</w:t>
                  </w:r>
                  <w:r>
                    <w:rPr>
                      <w:bCs/>
                      <w:color w:val="000000" w:themeColor="text1"/>
                      <w:sz w:val="21"/>
                      <w:szCs w:val="21"/>
                      <w:lang w:val="zh-CN" w:eastAsia="zh-CN"/>
                    </w:rPr>
                    <w:t>③</w:t>
                  </w:r>
                  <w:r>
                    <w:rPr>
                      <w:rFonts w:hint="eastAsia" w:ascii="Times New Roman" w:hAnsi="Times New Roman" w:cs="Times New Roman"/>
                      <w:bCs/>
                      <w:color w:val="000000" w:themeColor="text1"/>
                      <w:sz w:val="21"/>
                      <w:szCs w:val="21"/>
                      <w:lang w:val="zh-CN" w:eastAsia="zh-CN"/>
                    </w:rPr>
                    <w:t>占用林地区域，能移栽的林木尽量移植保护，砍伐的林木，需采取严格的造林绿化措施来补偿，应按“伐一补一”的原则进行植树绿化；</w:t>
                  </w:r>
                  <w:r>
                    <w:rPr>
                      <w:bCs/>
                      <w:color w:val="000000" w:themeColor="text1"/>
                      <w:sz w:val="21"/>
                      <w:szCs w:val="21"/>
                      <w:lang w:val="zh-CN" w:eastAsia="zh-CN"/>
                    </w:rPr>
                    <w:t>④</w:t>
                  </w:r>
                  <w:r>
                    <w:rPr>
                      <w:rFonts w:hint="eastAsia" w:ascii="Times New Roman" w:hAnsi="Times New Roman" w:cs="Times New Roman"/>
                      <w:bCs/>
                      <w:color w:val="000000" w:themeColor="text1"/>
                      <w:sz w:val="21"/>
                      <w:szCs w:val="21"/>
                      <w:lang w:val="zh-CN" w:eastAsia="zh-CN"/>
                    </w:rPr>
                    <w:t>施工结束后，弃土场等临时用地播撒草籽；</w:t>
                  </w:r>
                  <w:r>
                    <w:rPr>
                      <w:bCs/>
                      <w:color w:val="000000" w:themeColor="text1"/>
                      <w:sz w:val="21"/>
                      <w:szCs w:val="21"/>
                      <w:lang w:val="zh-CN" w:eastAsia="zh-CN"/>
                    </w:rPr>
                    <w:t>⑤</w:t>
                  </w:r>
                  <w:r>
                    <w:rPr>
                      <w:rFonts w:hint="eastAsia" w:ascii="Times New Roman" w:hAnsi="Times New Roman" w:cs="Times New Roman"/>
                      <w:bCs/>
                      <w:color w:val="000000" w:themeColor="text1"/>
                      <w:sz w:val="21"/>
                      <w:szCs w:val="21"/>
                      <w:lang w:val="zh-CN" w:eastAsia="zh-CN"/>
                    </w:rPr>
                    <w:t>本项目涉及穿越新疆吉木萨尔县国家沙化土地封禁保护区的桩号区间为：</w:t>
                  </w:r>
                  <w:r>
                    <w:rPr>
                      <w:rFonts w:ascii="Times New Roman" w:hAnsi="Times New Roman" w:cs="Times New Roman"/>
                      <w:bCs/>
                      <w:color w:val="000000" w:themeColor="text1"/>
                      <w:sz w:val="21"/>
                      <w:szCs w:val="21"/>
                      <w:lang w:val="zh-CN" w:eastAsia="zh-CN"/>
                    </w:rPr>
                    <w:t>k49+550-k85+360段，共35.81km，施工结束后，对占用破坏的封禁保护区原有草方格沙障按照“占一补一”的原则实施生态补偿，补偿区域位于项目k49+550-k85+360段封禁保护区原有草方格沙障边界外围，新建草方格沙障面积117.8839hm²。草方格沙障结构为半隐蔽式，规格尺寸为1m×1m，将新芦苇一束束呈方格状铺在沙上，用平板挤压芦苇（压入深度不宜小于25cm），并用沙扶植。同时在迎风侧设置沙障。对于边坡采用缓边坡或流线型横断</w:t>
                  </w:r>
                  <w:r>
                    <w:rPr>
                      <w:rFonts w:hint="eastAsia" w:ascii="Times New Roman" w:hAnsi="Times New Roman" w:cs="Times New Roman"/>
                      <w:bCs/>
                      <w:color w:val="000000" w:themeColor="text1"/>
                      <w:sz w:val="21"/>
                      <w:szCs w:val="21"/>
                      <w:lang w:val="zh-CN" w:eastAsia="zh-CN"/>
                    </w:rPr>
                    <w:t>面，路基与边坡相交宜设置成圆弧形。草方格沙障固沙区域涉及桩号区间为</w:t>
                  </w:r>
                  <w:r>
                    <w:rPr>
                      <w:rFonts w:ascii="Times New Roman" w:hAnsi="Times New Roman" w:cs="Times New Roman"/>
                      <w:bCs/>
                      <w:color w:val="000000" w:themeColor="text1"/>
                      <w:sz w:val="21"/>
                      <w:szCs w:val="21"/>
                      <w:lang w:val="zh-CN" w:eastAsia="zh-CN"/>
                    </w:rPr>
                    <w:t>k49+550-k85+360。</w:t>
                  </w:r>
                  <w:r>
                    <w:rPr>
                      <w:bCs/>
                      <w:color w:val="000000" w:themeColor="text1"/>
                      <w:sz w:val="21"/>
                      <w:szCs w:val="21"/>
                      <w:lang w:val="zh-CN" w:eastAsia="zh-CN"/>
                    </w:rPr>
                    <w:t>⑥</w:t>
                  </w:r>
                  <w:r>
                    <w:rPr>
                      <w:rFonts w:hint="eastAsia" w:ascii="Times New Roman" w:hAnsi="Times New Roman" w:cs="Times New Roman"/>
                      <w:bCs/>
                      <w:color w:val="000000" w:themeColor="text1"/>
                      <w:sz w:val="21"/>
                      <w:szCs w:val="21"/>
                      <w:lang w:val="zh-CN" w:eastAsia="zh-CN"/>
                    </w:rPr>
                    <w:t>落实《</w:t>
                  </w:r>
                  <w:r>
                    <w:rPr>
                      <w:rFonts w:ascii="Times New Roman" w:hAnsi="Times New Roman" w:cs="Times New Roman"/>
                      <w:bCs/>
                      <w:color w:val="000000" w:themeColor="text1"/>
                      <w:sz w:val="21"/>
                      <w:szCs w:val="21"/>
                      <w:lang w:val="zh-CN" w:eastAsia="zh-CN"/>
                    </w:rPr>
                    <w:t>S239 五彩湾至吉木萨尔县公路改扩建项目对新疆吉木萨尔北庭国家湿地公园生态影响评价报告》中提出的湿地补偿方案：本项目永久占用一般湿地面积0.1983公顷，包括河流水面0.0050公顷，坑塘水面0.1933公顷。对该区域进行异地恢复，恢复与建设区质量相当的湿地资源，异地恢复湿地面积，保证湿地面积不减少。根据现地踏查定位，确定在湿地异地恢复区就地播撒芦苇、早熟禾等草种，并从水塘挖引水土渠至恢复区。以将荒地变湿地的方式，使其自然恢复成湿地，增加同等面积湿地，保证湿地面积不减少。</w:t>
                  </w:r>
                </w:p>
              </w:tc>
              <w:tc>
                <w:tcPr>
                  <w:tcW w:w="1691" w:type="pct"/>
                  <w:vAlign w:val="center"/>
                </w:tcPr>
                <w:p w14:paraId="7F5E0600">
                  <w:pPr>
                    <w:widowControl/>
                    <w:jc w:val="center"/>
                    <w:rPr>
                      <w:rFonts w:ascii="Times New Roman" w:hAnsi="Times New Roman" w:cs="Times New Roman"/>
                      <w:bCs/>
                      <w:color w:val="000000" w:themeColor="text1"/>
                      <w:sz w:val="21"/>
                      <w:szCs w:val="21"/>
                      <w:lang w:val="zh-CN" w:eastAsia="zh-CN"/>
                    </w:rPr>
                  </w:pPr>
                  <w:r>
                    <w:rPr>
                      <w:rFonts w:hint="eastAsia" w:ascii="Times New Roman" w:hAnsi="Times New Roman" w:cs="Times New Roman"/>
                      <w:bCs/>
                      <w:color w:val="000000" w:themeColor="text1"/>
                      <w:sz w:val="21"/>
                      <w:szCs w:val="21"/>
                      <w:lang w:val="zh-CN" w:eastAsia="zh-CN"/>
                    </w:rPr>
                    <w:t>落实本环评要求</w:t>
                  </w:r>
                </w:p>
              </w:tc>
            </w:tr>
          </w:tbl>
          <w:p w14:paraId="41959812">
            <w:pPr>
              <w:pStyle w:val="18"/>
              <w:spacing w:line="360" w:lineRule="auto"/>
              <w:ind w:firstLine="480" w:firstLineChars="200"/>
              <w:rPr>
                <w:rFonts w:ascii="Times New Roman" w:hAnsi="Times New Roman" w:cs="Times New Roman"/>
                <w:sz w:val="24"/>
                <w:szCs w:val="24"/>
                <w:lang w:eastAsia="zh-CN"/>
              </w:rPr>
            </w:pPr>
          </w:p>
          <w:p w14:paraId="78D587BD">
            <w:pPr>
              <w:pStyle w:val="18"/>
              <w:ind w:firstLine="480" w:firstLineChars="200"/>
              <w:rPr>
                <w:rFonts w:ascii="Times New Roman" w:hAnsi="Times New Roman" w:cs="Times New Roman"/>
                <w:sz w:val="24"/>
                <w:szCs w:val="24"/>
                <w:lang w:eastAsia="zh-CN"/>
              </w:rPr>
            </w:pPr>
          </w:p>
          <w:p w14:paraId="01C55EBC">
            <w:pPr>
              <w:pStyle w:val="18"/>
              <w:ind w:firstLine="480" w:firstLineChars="200"/>
              <w:rPr>
                <w:rFonts w:ascii="Times New Roman" w:hAnsi="Times New Roman" w:cs="Times New Roman"/>
                <w:sz w:val="24"/>
                <w:szCs w:val="24"/>
                <w:lang w:eastAsia="zh-CN"/>
              </w:rPr>
            </w:pPr>
          </w:p>
          <w:p w14:paraId="689CBA7D">
            <w:pPr>
              <w:pStyle w:val="18"/>
              <w:ind w:firstLine="480" w:firstLineChars="200"/>
              <w:rPr>
                <w:rFonts w:ascii="Times New Roman" w:hAnsi="Times New Roman" w:cs="Times New Roman"/>
                <w:sz w:val="24"/>
                <w:szCs w:val="24"/>
                <w:lang w:eastAsia="zh-CN"/>
              </w:rPr>
            </w:pPr>
          </w:p>
          <w:p w14:paraId="2AA3A85F">
            <w:pPr>
              <w:pStyle w:val="18"/>
              <w:ind w:firstLine="480" w:firstLineChars="200"/>
              <w:rPr>
                <w:rFonts w:ascii="Times New Roman" w:hAnsi="Times New Roman" w:cs="Times New Roman"/>
                <w:sz w:val="24"/>
                <w:szCs w:val="24"/>
                <w:lang w:eastAsia="zh-CN"/>
              </w:rPr>
            </w:pPr>
          </w:p>
          <w:p w14:paraId="4220BE6A">
            <w:pPr>
              <w:pStyle w:val="18"/>
              <w:ind w:firstLine="480" w:firstLineChars="200"/>
              <w:rPr>
                <w:rFonts w:ascii="Times New Roman" w:hAnsi="Times New Roman" w:cs="Times New Roman"/>
                <w:sz w:val="24"/>
                <w:szCs w:val="24"/>
                <w:lang w:eastAsia="zh-CN"/>
              </w:rPr>
            </w:pPr>
          </w:p>
          <w:p w14:paraId="3715BD0B">
            <w:pPr>
              <w:pStyle w:val="18"/>
              <w:ind w:firstLine="480" w:firstLineChars="200"/>
              <w:rPr>
                <w:rFonts w:ascii="Times New Roman" w:hAnsi="Times New Roman" w:cs="Times New Roman"/>
                <w:sz w:val="24"/>
                <w:szCs w:val="24"/>
                <w:lang w:eastAsia="zh-CN"/>
              </w:rPr>
            </w:pPr>
          </w:p>
          <w:p w14:paraId="364389BE">
            <w:pPr>
              <w:pStyle w:val="18"/>
              <w:ind w:firstLine="480" w:firstLineChars="200"/>
              <w:rPr>
                <w:rFonts w:ascii="Times New Roman" w:hAnsi="Times New Roman" w:cs="Times New Roman"/>
                <w:sz w:val="24"/>
                <w:szCs w:val="24"/>
                <w:lang w:eastAsia="zh-CN"/>
              </w:rPr>
            </w:pPr>
          </w:p>
          <w:p w14:paraId="557C0C5B">
            <w:pPr>
              <w:pStyle w:val="18"/>
              <w:ind w:firstLine="480" w:firstLineChars="200"/>
              <w:rPr>
                <w:rFonts w:ascii="Times New Roman" w:hAnsi="Times New Roman" w:cs="Times New Roman"/>
                <w:sz w:val="24"/>
                <w:szCs w:val="24"/>
                <w:lang w:eastAsia="zh-CN"/>
              </w:rPr>
            </w:pPr>
          </w:p>
          <w:p w14:paraId="0DA1B7E7">
            <w:pPr>
              <w:pStyle w:val="18"/>
              <w:ind w:firstLine="480" w:firstLineChars="200"/>
              <w:rPr>
                <w:rFonts w:ascii="Times New Roman" w:hAnsi="Times New Roman" w:cs="Times New Roman"/>
                <w:sz w:val="24"/>
                <w:szCs w:val="24"/>
                <w:lang w:eastAsia="zh-CN"/>
              </w:rPr>
            </w:pPr>
          </w:p>
          <w:p w14:paraId="5E52FF9C">
            <w:pPr>
              <w:pStyle w:val="18"/>
              <w:ind w:firstLine="480" w:firstLineChars="200"/>
              <w:rPr>
                <w:rFonts w:ascii="Times New Roman" w:hAnsi="Times New Roman" w:cs="Times New Roman"/>
                <w:sz w:val="24"/>
                <w:szCs w:val="24"/>
                <w:lang w:eastAsia="zh-CN"/>
              </w:rPr>
            </w:pPr>
          </w:p>
          <w:p w14:paraId="29E87BFE">
            <w:pPr>
              <w:pStyle w:val="18"/>
              <w:ind w:firstLine="480" w:firstLineChars="200"/>
              <w:rPr>
                <w:rFonts w:ascii="Times New Roman" w:hAnsi="Times New Roman" w:cs="Times New Roman"/>
                <w:sz w:val="24"/>
                <w:szCs w:val="24"/>
                <w:lang w:eastAsia="zh-CN"/>
              </w:rPr>
            </w:pPr>
          </w:p>
          <w:p w14:paraId="475152DC">
            <w:pPr>
              <w:pStyle w:val="18"/>
              <w:ind w:firstLine="480" w:firstLineChars="200"/>
              <w:rPr>
                <w:rFonts w:ascii="Times New Roman" w:hAnsi="Times New Roman" w:cs="Times New Roman"/>
                <w:sz w:val="24"/>
                <w:szCs w:val="24"/>
                <w:lang w:eastAsia="zh-CN"/>
              </w:rPr>
            </w:pPr>
          </w:p>
          <w:p w14:paraId="4E5AA9CE">
            <w:pPr>
              <w:pStyle w:val="18"/>
              <w:ind w:firstLine="480" w:firstLineChars="200"/>
              <w:rPr>
                <w:rFonts w:ascii="Times New Roman" w:hAnsi="Times New Roman" w:cs="Times New Roman"/>
                <w:sz w:val="24"/>
                <w:szCs w:val="24"/>
                <w:lang w:eastAsia="zh-CN"/>
              </w:rPr>
            </w:pPr>
          </w:p>
          <w:p w14:paraId="7CDBE838">
            <w:pPr>
              <w:pStyle w:val="18"/>
              <w:ind w:firstLine="480" w:firstLineChars="200"/>
              <w:rPr>
                <w:rFonts w:ascii="Times New Roman" w:hAnsi="Times New Roman" w:cs="Times New Roman"/>
                <w:sz w:val="24"/>
                <w:szCs w:val="24"/>
                <w:lang w:eastAsia="zh-CN"/>
              </w:rPr>
            </w:pPr>
          </w:p>
          <w:p w14:paraId="0E3EE8E5">
            <w:pPr>
              <w:pStyle w:val="18"/>
              <w:ind w:firstLine="480" w:firstLineChars="200"/>
              <w:rPr>
                <w:rFonts w:ascii="Times New Roman" w:hAnsi="Times New Roman" w:cs="Times New Roman"/>
                <w:sz w:val="24"/>
                <w:szCs w:val="24"/>
                <w:lang w:eastAsia="zh-CN"/>
              </w:rPr>
            </w:pPr>
          </w:p>
          <w:p w14:paraId="02EAA1FD">
            <w:pPr>
              <w:pStyle w:val="18"/>
              <w:ind w:firstLine="480" w:firstLineChars="200"/>
              <w:rPr>
                <w:rFonts w:ascii="Times New Roman" w:hAnsi="Times New Roman" w:cs="Times New Roman"/>
                <w:sz w:val="24"/>
                <w:szCs w:val="24"/>
                <w:lang w:eastAsia="zh-CN"/>
              </w:rPr>
            </w:pPr>
          </w:p>
          <w:p w14:paraId="236A6030">
            <w:pPr>
              <w:pStyle w:val="18"/>
              <w:ind w:firstLine="480" w:firstLineChars="200"/>
              <w:rPr>
                <w:rFonts w:ascii="Times New Roman" w:hAnsi="Times New Roman" w:cs="Times New Roman"/>
                <w:sz w:val="24"/>
                <w:szCs w:val="24"/>
                <w:lang w:eastAsia="zh-CN"/>
              </w:rPr>
            </w:pPr>
          </w:p>
          <w:p w14:paraId="79C7545C">
            <w:pPr>
              <w:pStyle w:val="18"/>
              <w:ind w:firstLine="480" w:firstLineChars="200"/>
              <w:rPr>
                <w:rFonts w:ascii="Times New Roman" w:hAnsi="Times New Roman" w:cs="Times New Roman"/>
                <w:sz w:val="24"/>
                <w:szCs w:val="24"/>
                <w:lang w:eastAsia="zh-CN"/>
              </w:rPr>
            </w:pPr>
          </w:p>
          <w:p w14:paraId="3FB7AED7">
            <w:pPr>
              <w:pStyle w:val="18"/>
              <w:ind w:firstLine="480" w:firstLineChars="200"/>
              <w:rPr>
                <w:rFonts w:ascii="Times New Roman" w:hAnsi="Times New Roman" w:cs="Times New Roman"/>
                <w:sz w:val="24"/>
                <w:szCs w:val="24"/>
                <w:lang w:eastAsia="zh-CN"/>
              </w:rPr>
            </w:pPr>
          </w:p>
          <w:p w14:paraId="32C5650F">
            <w:pPr>
              <w:pStyle w:val="18"/>
              <w:rPr>
                <w:rFonts w:ascii="Times New Roman" w:hAnsi="Times New Roman" w:eastAsia="MS Mincho" w:cs="Times New Roman"/>
                <w:sz w:val="24"/>
                <w:szCs w:val="24"/>
                <w:lang w:eastAsia="ja-JP"/>
              </w:rPr>
            </w:pPr>
          </w:p>
        </w:tc>
      </w:tr>
      <w:tr w14:paraId="5F03BE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90" w:hRule="atLeast"/>
        </w:trPr>
        <w:tc>
          <w:tcPr>
            <w:tcW w:w="409" w:type="pct"/>
            <w:tcBorders>
              <w:top w:val="single" w:color="000000" w:sz="4" w:space="0"/>
              <w:right w:val="single" w:color="000000" w:sz="4" w:space="0"/>
            </w:tcBorders>
            <w:vAlign w:val="center"/>
          </w:tcPr>
          <w:p w14:paraId="1C64FDC5">
            <w:pPr>
              <w:pStyle w:val="18"/>
              <w:jc w:val="center"/>
              <w:rPr>
                <w:rFonts w:ascii="Times New Roman" w:hAnsi="Times New Roman" w:cs="Times New Roman"/>
                <w:b/>
                <w:sz w:val="24"/>
                <w:szCs w:val="24"/>
              </w:rPr>
            </w:pPr>
            <w:r>
              <w:rPr>
                <w:rFonts w:ascii="Times New Roman" w:hAnsi="Times New Roman" w:cs="Times New Roman"/>
                <w:b/>
                <w:sz w:val="24"/>
                <w:szCs w:val="24"/>
              </w:rPr>
              <w:t>环保</w:t>
            </w:r>
          </w:p>
          <w:p w14:paraId="69683645">
            <w:pPr>
              <w:pStyle w:val="18"/>
              <w:jc w:val="center"/>
              <w:rPr>
                <w:rFonts w:ascii="Times New Roman" w:hAnsi="Times New Roman" w:cs="Times New Roman"/>
                <w:sz w:val="21"/>
              </w:rPr>
            </w:pPr>
            <w:r>
              <w:rPr>
                <w:rFonts w:ascii="Times New Roman" w:hAnsi="Times New Roman" w:cs="Times New Roman"/>
                <w:b/>
                <w:sz w:val="24"/>
                <w:szCs w:val="24"/>
              </w:rPr>
              <w:t>投资</w:t>
            </w:r>
          </w:p>
        </w:tc>
        <w:tc>
          <w:tcPr>
            <w:tcW w:w="4591" w:type="pct"/>
            <w:tcBorders>
              <w:top w:val="single" w:color="000000" w:sz="4" w:space="0"/>
              <w:left w:val="single" w:color="000000" w:sz="4" w:space="0"/>
            </w:tcBorders>
          </w:tcPr>
          <w:p w14:paraId="5DF6EEC0">
            <w:pPr>
              <w:pStyle w:val="18"/>
              <w:spacing w:before="120" w:beforeLines="50" w:line="360" w:lineRule="auto"/>
              <w:rPr>
                <w:rFonts w:ascii="Times New Roman" w:hAnsi="Times New Roman" w:cs="Times New Roman" w:eastAsiaTheme="minorEastAsia"/>
                <w:b/>
                <w:bCs/>
                <w:sz w:val="28"/>
                <w:szCs w:val="28"/>
                <w:lang w:eastAsia="zh-CN"/>
              </w:rPr>
            </w:pPr>
            <w:r>
              <w:rPr>
                <w:rFonts w:ascii="Times New Roman" w:hAnsi="Times New Roman" w:cs="Times New Roman" w:eastAsiaTheme="minorEastAsia"/>
                <w:b/>
                <w:bCs/>
                <w:sz w:val="28"/>
                <w:szCs w:val="28"/>
                <w:lang w:eastAsia="zh-CN"/>
              </w:rPr>
              <w:t>1、环保投资</w:t>
            </w:r>
          </w:p>
          <w:p w14:paraId="653214FD">
            <w:pPr>
              <w:pStyle w:val="18"/>
              <w:spacing w:line="360" w:lineRule="auto"/>
              <w:ind w:firstLine="480" w:firstLineChars="200"/>
              <w:jc w:val="both"/>
              <w:rPr>
                <w:rFonts w:ascii="Times New Roman" w:hAnsi="Times New Roman" w:cs="Times New Roman"/>
                <w:sz w:val="24"/>
                <w:szCs w:val="24"/>
                <w:lang w:eastAsia="ja-JP"/>
              </w:rPr>
            </w:pPr>
            <w:r>
              <w:rPr>
                <w:rFonts w:ascii="Times New Roman" w:hAnsi="Times New Roman" w:cs="Times New Roman"/>
                <w:sz w:val="24"/>
                <w:szCs w:val="24"/>
                <w:lang w:eastAsia="ja-JP"/>
              </w:rPr>
              <w:t>本项目总投资</w:t>
            </w:r>
            <w:r>
              <w:rPr>
                <w:rFonts w:ascii="Times New Roman" w:hAnsi="Times New Roman" w:cs="Times New Roman"/>
                <w:sz w:val="24"/>
                <w:szCs w:val="24"/>
                <w:lang w:eastAsia="zh-CN"/>
              </w:rPr>
              <w:t>208912.22万元</w:t>
            </w:r>
            <w:r>
              <w:rPr>
                <w:rFonts w:ascii="Times New Roman" w:hAnsi="Times New Roman" w:cs="Times New Roman"/>
                <w:sz w:val="24"/>
                <w:szCs w:val="24"/>
                <w:lang w:eastAsia="ja-JP"/>
              </w:rPr>
              <w:t>，其中环保投资为</w:t>
            </w:r>
            <w:r>
              <w:rPr>
                <w:rFonts w:ascii="Times New Roman" w:hAnsi="Times New Roman" w:cs="Times New Roman"/>
                <w:sz w:val="24"/>
                <w:szCs w:val="24"/>
                <w:lang w:eastAsia="zh-CN"/>
              </w:rPr>
              <w:t>4356</w:t>
            </w:r>
            <w:r>
              <w:rPr>
                <w:rFonts w:ascii="Times New Roman" w:hAnsi="Times New Roman" w:cs="Times New Roman"/>
                <w:sz w:val="24"/>
                <w:szCs w:val="24"/>
                <w:lang w:eastAsia="ja-JP"/>
              </w:rPr>
              <w:t>万元，占投资总额的2.09%。环保投资估算详见表5.3。</w:t>
            </w:r>
          </w:p>
          <w:p w14:paraId="4D5C1490">
            <w:pPr>
              <w:pStyle w:val="18"/>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表5.3  主要环保措施及投资估算一览表    单位：万元</w:t>
            </w:r>
          </w:p>
          <w:tbl>
            <w:tblPr>
              <w:tblStyle w:val="12"/>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937"/>
              <w:gridCol w:w="2128"/>
              <w:gridCol w:w="3471"/>
              <w:gridCol w:w="938"/>
            </w:tblGrid>
            <w:tr w14:paraId="720E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pct"/>
                  <w:vAlign w:val="center"/>
                </w:tcPr>
                <w:p w14:paraId="608DAC4E">
                  <w:pPr>
                    <w:pStyle w:val="18"/>
                    <w:jc w:val="center"/>
                    <w:rPr>
                      <w:rFonts w:ascii="Times New Roman" w:hAnsi="Times New Roman" w:cs="Times New Roman"/>
                      <w:b/>
                      <w:sz w:val="21"/>
                      <w:lang w:eastAsia="zh-CN"/>
                    </w:rPr>
                  </w:pPr>
                  <w:r>
                    <w:rPr>
                      <w:rFonts w:hint="eastAsia" w:ascii="Times New Roman" w:hAnsi="Times New Roman" w:cs="Times New Roman"/>
                      <w:b/>
                      <w:sz w:val="21"/>
                      <w:lang w:eastAsia="zh-CN"/>
                    </w:rPr>
                    <w:t>治理项目</w:t>
                  </w:r>
                </w:p>
              </w:tc>
              <w:tc>
                <w:tcPr>
                  <w:tcW w:w="1780" w:type="pct"/>
                  <w:gridSpan w:val="2"/>
                  <w:vAlign w:val="center"/>
                </w:tcPr>
                <w:p w14:paraId="36181DEE">
                  <w:pPr>
                    <w:pStyle w:val="18"/>
                    <w:jc w:val="center"/>
                    <w:rPr>
                      <w:rFonts w:ascii="Times New Roman" w:hAnsi="Times New Roman" w:cs="Times New Roman"/>
                      <w:b/>
                      <w:sz w:val="21"/>
                      <w:lang w:eastAsia="zh-CN"/>
                    </w:rPr>
                  </w:pPr>
                  <w:r>
                    <w:rPr>
                      <w:rFonts w:ascii="Times New Roman" w:hAnsi="Times New Roman" w:cs="Times New Roman"/>
                      <w:b/>
                      <w:sz w:val="21"/>
                      <w:lang w:eastAsia="zh-CN"/>
                    </w:rPr>
                    <w:t>类别</w:t>
                  </w:r>
                </w:p>
              </w:tc>
              <w:tc>
                <w:tcPr>
                  <w:tcW w:w="2016" w:type="pct"/>
                  <w:vAlign w:val="center"/>
                </w:tcPr>
                <w:p w14:paraId="5640F506">
                  <w:pPr>
                    <w:pStyle w:val="18"/>
                    <w:jc w:val="center"/>
                    <w:rPr>
                      <w:rFonts w:ascii="Times New Roman" w:hAnsi="Times New Roman" w:cs="Times New Roman"/>
                      <w:b/>
                      <w:sz w:val="21"/>
                      <w:lang w:eastAsia="zh-CN"/>
                    </w:rPr>
                  </w:pPr>
                  <w:r>
                    <w:rPr>
                      <w:rFonts w:ascii="Times New Roman" w:hAnsi="Times New Roman" w:cs="Times New Roman"/>
                      <w:b/>
                      <w:sz w:val="21"/>
                      <w:lang w:eastAsia="zh-CN"/>
                    </w:rPr>
                    <w:t>主要环保措施</w:t>
                  </w:r>
                </w:p>
              </w:tc>
              <w:tc>
                <w:tcPr>
                  <w:tcW w:w="545" w:type="pct"/>
                  <w:vAlign w:val="center"/>
                </w:tcPr>
                <w:p w14:paraId="1504BE8D">
                  <w:pPr>
                    <w:pStyle w:val="18"/>
                    <w:jc w:val="center"/>
                    <w:rPr>
                      <w:rFonts w:ascii="Times New Roman" w:hAnsi="Times New Roman" w:cs="Times New Roman"/>
                      <w:b/>
                      <w:sz w:val="21"/>
                      <w:lang w:eastAsia="zh-CN"/>
                    </w:rPr>
                  </w:pPr>
                  <w:r>
                    <w:rPr>
                      <w:rFonts w:ascii="Times New Roman" w:hAnsi="Times New Roman" w:cs="Times New Roman"/>
                      <w:b/>
                      <w:sz w:val="21"/>
                      <w:lang w:eastAsia="zh-CN"/>
                    </w:rPr>
                    <w:t>投资估算</w:t>
                  </w:r>
                </w:p>
              </w:tc>
            </w:tr>
            <w:tr w14:paraId="2D62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restart"/>
                  <w:vAlign w:val="center"/>
                </w:tcPr>
                <w:p w14:paraId="3DB82468">
                  <w:pPr>
                    <w:pStyle w:val="18"/>
                    <w:jc w:val="center"/>
                    <w:rPr>
                      <w:rFonts w:ascii="Times New Roman" w:hAnsi="Times New Roman" w:cs="Times New Roman"/>
                      <w:sz w:val="21"/>
                      <w:lang w:eastAsia="zh-CN"/>
                    </w:rPr>
                  </w:pPr>
                  <w:r>
                    <w:rPr>
                      <w:rFonts w:ascii="Times New Roman" w:hAnsi="Times New Roman" w:cs="Times New Roman"/>
                      <w:sz w:val="21"/>
                      <w:lang w:eastAsia="zh-CN"/>
                    </w:rPr>
                    <w:t>废气</w:t>
                  </w:r>
                </w:p>
              </w:tc>
              <w:tc>
                <w:tcPr>
                  <w:tcW w:w="544" w:type="pct"/>
                  <w:vMerge w:val="restart"/>
                  <w:vAlign w:val="center"/>
                </w:tcPr>
                <w:p w14:paraId="5C599201">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施工期</w:t>
                  </w:r>
                </w:p>
              </w:tc>
              <w:tc>
                <w:tcPr>
                  <w:tcW w:w="1236" w:type="pct"/>
                  <w:vAlign w:val="center"/>
                </w:tcPr>
                <w:p w14:paraId="7343239A">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施工</w:t>
                  </w:r>
                  <w:r>
                    <w:rPr>
                      <w:rFonts w:ascii="Times New Roman" w:hAnsi="Times New Roman" w:cs="Times New Roman"/>
                      <w:sz w:val="21"/>
                      <w:lang w:eastAsia="zh-CN"/>
                    </w:rPr>
                    <w:t>扬尘</w:t>
                  </w:r>
                  <w:r>
                    <w:rPr>
                      <w:rFonts w:hint="eastAsia" w:ascii="Times New Roman" w:hAnsi="Times New Roman" w:cs="Times New Roman"/>
                      <w:sz w:val="21"/>
                      <w:lang w:eastAsia="zh-CN"/>
                    </w:rPr>
                    <w:t>、交通扬尘</w:t>
                  </w:r>
                </w:p>
              </w:tc>
              <w:tc>
                <w:tcPr>
                  <w:tcW w:w="2016" w:type="pct"/>
                  <w:vAlign w:val="center"/>
                </w:tcPr>
                <w:p w14:paraId="71B9B2B8">
                  <w:pPr>
                    <w:pStyle w:val="18"/>
                    <w:jc w:val="center"/>
                    <w:rPr>
                      <w:rFonts w:ascii="Times New Roman" w:hAnsi="Times New Roman" w:cs="Times New Roman"/>
                      <w:sz w:val="21"/>
                      <w:lang w:eastAsia="zh-CN"/>
                    </w:rPr>
                  </w:pPr>
                  <w:r>
                    <w:rPr>
                      <w:rFonts w:ascii="Times New Roman" w:hAnsi="Times New Roman" w:cs="Times New Roman"/>
                      <w:sz w:val="21"/>
                      <w:lang w:eastAsia="zh-CN"/>
                    </w:rPr>
                    <w:t>施工围挡、洒水、防尘布、遮网、苫布</w:t>
                  </w:r>
                </w:p>
              </w:tc>
              <w:tc>
                <w:tcPr>
                  <w:tcW w:w="545" w:type="pct"/>
                  <w:vAlign w:val="center"/>
                </w:tcPr>
                <w:p w14:paraId="7C0A2CB5">
                  <w:pPr>
                    <w:pStyle w:val="18"/>
                    <w:jc w:val="center"/>
                    <w:rPr>
                      <w:rFonts w:ascii="Times New Roman" w:hAnsi="Times New Roman" w:cs="Times New Roman"/>
                      <w:sz w:val="21"/>
                      <w:lang w:eastAsia="zh-CN"/>
                    </w:rPr>
                  </w:pPr>
                  <w:r>
                    <w:rPr>
                      <w:rFonts w:ascii="Times New Roman" w:hAnsi="Times New Roman" w:cs="Times New Roman"/>
                      <w:sz w:val="21"/>
                      <w:lang w:eastAsia="zh-CN"/>
                    </w:rPr>
                    <w:t>85</w:t>
                  </w:r>
                </w:p>
              </w:tc>
            </w:tr>
            <w:tr w14:paraId="79BF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vAlign w:val="center"/>
                </w:tcPr>
                <w:p w14:paraId="28F10B14">
                  <w:pPr>
                    <w:pStyle w:val="18"/>
                    <w:jc w:val="center"/>
                    <w:rPr>
                      <w:rFonts w:ascii="Times New Roman" w:hAnsi="Times New Roman" w:cs="Times New Roman"/>
                      <w:sz w:val="21"/>
                      <w:lang w:eastAsia="zh-CN"/>
                    </w:rPr>
                  </w:pPr>
                </w:p>
              </w:tc>
              <w:tc>
                <w:tcPr>
                  <w:tcW w:w="544" w:type="pct"/>
                  <w:vMerge w:val="continue"/>
                  <w:vAlign w:val="center"/>
                </w:tcPr>
                <w:p w14:paraId="4242CA65">
                  <w:pPr>
                    <w:pStyle w:val="18"/>
                    <w:jc w:val="center"/>
                    <w:rPr>
                      <w:rFonts w:ascii="Times New Roman" w:hAnsi="Times New Roman" w:cs="Times New Roman"/>
                      <w:sz w:val="21"/>
                      <w:lang w:eastAsia="zh-CN"/>
                    </w:rPr>
                  </w:pPr>
                </w:p>
              </w:tc>
              <w:tc>
                <w:tcPr>
                  <w:tcW w:w="1236" w:type="pct"/>
                  <w:vAlign w:val="center"/>
                </w:tcPr>
                <w:p w14:paraId="175B4D26">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燃油废气、沥青烟气、焊接烟尘</w:t>
                  </w:r>
                </w:p>
              </w:tc>
              <w:tc>
                <w:tcPr>
                  <w:tcW w:w="2016" w:type="pct"/>
                  <w:vAlign w:val="center"/>
                </w:tcPr>
                <w:p w14:paraId="24AB7715">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无组织排放</w:t>
                  </w:r>
                </w:p>
              </w:tc>
              <w:tc>
                <w:tcPr>
                  <w:tcW w:w="545" w:type="pct"/>
                  <w:vAlign w:val="center"/>
                </w:tcPr>
                <w:p w14:paraId="61043705">
                  <w:pPr>
                    <w:pStyle w:val="18"/>
                    <w:jc w:val="center"/>
                    <w:rPr>
                      <w:rFonts w:ascii="Times New Roman" w:hAnsi="Times New Roman" w:cs="Times New Roman"/>
                      <w:sz w:val="21"/>
                      <w:lang w:eastAsia="zh-CN"/>
                    </w:rPr>
                  </w:pPr>
                  <w:r>
                    <w:rPr>
                      <w:rFonts w:ascii="Times New Roman" w:hAnsi="Times New Roman" w:cs="Times New Roman"/>
                      <w:sz w:val="21"/>
                      <w:lang w:eastAsia="zh-CN"/>
                    </w:rPr>
                    <w:t>—</w:t>
                  </w:r>
                </w:p>
              </w:tc>
            </w:tr>
            <w:tr w14:paraId="1B23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vAlign w:val="center"/>
                </w:tcPr>
                <w:p w14:paraId="4832061F">
                  <w:pPr>
                    <w:pStyle w:val="18"/>
                    <w:jc w:val="center"/>
                    <w:rPr>
                      <w:rFonts w:ascii="Times New Roman" w:hAnsi="Times New Roman" w:cs="Times New Roman"/>
                      <w:sz w:val="21"/>
                      <w:lang w:eastAsia="zh-CN"/>
                    </w:rPr>
                  </w:pPr>
                </w:p>
              </w:tc>
              <w:tc>
                <w:tcPr>
                  <w:tcW w:w="544" w:type="pct"/>
                  <w:vMerge w:val="restart"/>
                  <w:vAlign w:val="center"/>
                </w:tcPr>
                <w:p w14:paraId="4221B6B1">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运营期</w:t>
                  </w:r>
                </w:p>
              </w:tc>
              <w:tc>
                <w:tcPr>
                  <w:tcW w:w="1236" w:type="pct"/>
                  <w:vAlign w:val="center"/>
                </w:tcPr>
                <w:p w14:paraId="226A7F91">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燃油废气</w:t>
                  </w:r>
                </w:p>
              </w:tc>
              <w:tc>
                <w:tcPr>
                  <w:tcW w:w="2016" w:type="pct"/>
                  <w:vAlign w:val="center"/>
                </w:tcPr>
                <w:p w14:paraId="6AAC9A4A">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无组织排放</w:t>
                  </w:r>
                </w:p>
              </w:tc>
              <w:tc>
                <w:tcPr>
                  <w:tcW w:w="545" w:type="pct"/>
                  <w:vAlign w:val="center"/>
                </w:tcPr>
                <w:p w14:paraId="7AA8070F">
                  <w:pPr>
                    <w:pStyle w:val="18"/>
                    <w:jc w:val="center"/>
                    <w:rPr>
                      <w:rFonts w:ascii="Times New Roman" w:hAnsi="Times New Roman" w:cs="Times New Roman"/>
                      <w:sz w:val="21"/>
                      <w:lang w:eastAsia="zh-CN"/>
                    </w:rPr>
                  </w:pPr>
                  <w:r>
                    <w:rPr>
                      <w:rFonts w:ascii="Times New Roman" w:hAnsi="Times New Roman" w:cs="Times New Roman"/>
                      <w:sz w:val="21"/>
                      <w:lang w:eastAsia="zh-CN"/>
                    </w:rPr>
                    <w:t>—</w:t>
                  </w:r>
                </w:p>
              </w:tc>
            </w:tr>
            <w:tr w14:paraId="4589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59" w:type="pct"/>
                  <w:vMerge w:val="continue"/>
                  <w:vAlign w:val="center"/>
                </w:tcPr>
                <w:p w14:paraId="65984850">
                  <w:pPr>
                    <w:pStyle w:val="18"/>
                    <w:jc w:val="center"/>
                    <w:rPr>
                      <w:rFonts w:ascii="Times New Roman" w:hAnsi="Times New Roman" w:cs="Times New Roman"/>
                      <w:sz w:val="21"/>
                      <w:lang w:eastAsia="zh-CN"/>
                    </w:rPr>
                  </w:pPr>
                </w:p>
              </w:tc>
              <w:tc>
                <w:tcPr>
                  <w:tcW w:w="544" w:type="pct"/>
                  <w:vMerge w:val="continue"/>
                  <w:vAlign w:val="center"/>
                </w:tcPr>
                <w:p w14:paraId="1E1B1B14">
                  <w:pPr>
                    <w:pStyle w:val="18"/>
                    <w:jc w:val="center"/>
                    <w:rPr>
                      <w:rFonts w:ascii="Times New Roman" w:hAnsi="Times New Roman" w:cs="Times New Roman"/>
                      <w:sz w:val="21"/>
                      <w:lang w:eastAsia="zh-CN"/>
                    </w:rPr>
                  </w:pPr>
                </w:p>
              </w:tc>
              <w:tc>
                <w:tcPr>
                  <w:tcW w:w="1236" w:type="pct"/>
                  <w:vAlign w:val="center"/>
                </w:tcPr>
                <w:p w14:paraId="10EA84F7">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食堂油烟</w:t>
                  </w:r>
                </w:p>
              </w:tc>
              <w:tc>
                <w:tcPr>
                  <w:tcW w:w="2016" w:type="pct"/>
                  <w:vAlign w:val="center"/>
                </w:tcPr>
                <w:p w14:paraId="0FFBC223">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油烟净化器</w:t>
                  </w:r>
                </w:p>
              </w:tc>
              <w:tc>
                <w:tcPr>
                  <w:tcW w:w="545" w:type="pct"/>
                  <w:vAlign w:val="center"/>
                </w:tcPr>
                <w:p w14:paraId="48537A5A">
                  <w:pPr>
                    <w:pStyle w:val="18"/>
                    <w:jc w:val="center"/>
                    <w:rPr>
                      <w:rFonts w:ascii="Times New Roman" w:hAnsi="Times New Roman" w:cs="Times New Roman"/>
                      <w:sz w:val="21"/>
                      <w:lang w:eastAsia="zh-CN"/>
                    </w:rPr>
                  </w:pPr>
                  <w:r>
                    <w:rPr>
                      <w:rFonts w:ascii="Times New Roman" w:hAnsi="Times New Roman" w:cs="Times New Roman"/>
                      <w:sz w:val="21"/>
                      <w:lang w:eastAsia="zh-CN"/>
                    </w:rPr>
                    <w:t>50</w:t>
                  </w:r>
                </w:p>
              </w:tc>
            </w:tr>
            <w:tr w14:paraId="3345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restart"/>
                  <w:vAlign w:val="center"/>
                </w:tcPr>
                <w:p w14:paraId="4675C22D">
                  <w:pPr>
                    <w:pStyle w:val="18"/>
                    <w:jc w:val="center"/>
                    <w:rPr>
                      <w:rFonts w:ascii="Times New Roman" w:hAnsi="Times New Roman" w:cs="Times New Roman"/>
                      <w:sz w:val="21"/>
                      <w:lang w:eastAsia="zh-CN"/>
                    </w:rPr>
                  </w:pPr>
                  <w:r>
                    <w:rPr>
                      <w:rFonts w:ascii="Times New Roman" w:hAnsi="Times New Roman" w:cs="Times New Roman"/>
                      <w:sz w:val="21"/>
                      <w:lang w:eastAsia="zh-CN"/>
                    </w:rPr>
                    <w:t>废水</w:t>
                  </w:r>
                </w:p>
              </w:tc>
              <w:tc>
                <w:tcPr>
                  <w:tcW w:w="544" w:type="pct"/>
                  <w:vMerge w:val="restart"/>
                  <w:vAlign w:val="center"/>
                </w:tcPr>
                <w:p w14:paraId="2EA7036D">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施工期</w:t>
                  </w:r>
                </w:p>
              </w:tc>
              <w:tc>
                <w:tcPr>
                  <w:tcW w:w="1236" w:type="pct"/>
                  <w:vAlign w:val="center"/>
                </w:tcPr>
                <w:p w14:paraId="583B4696">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车轮清洗废水</w:t>
                  </w:r>
                </w:p>
              </w:tc>
              <w:tc>
                <w:tcPr>
                  <w:tcW w:w="2016" w:type="pct"/>
                  <w:vAlign w:val="center"/>
                </w:tcPr>
                <w:p w14:paraId="750FC819">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临时防渗沉淀池</w:t>
                  </w:r>
                </w:p>
              </w:tc>
              <w:tc>
                <w:tcPr>
                  <w:tcW w:w="545" w:type="pct"/>
                  <w:vAlign w:val="center"/>
                </w:tcPr>
                <w:p w14:paraId="797C5E97">
                  <w:pPr>
                    <w:pStyle w:val="18"/>
                    <w:jc w:val="center"/>
                    <w:rPr>
                      <w:rFonts w:ascii="Times New Roman" w:hAnsi="Times New Roman" w:cs="Times New Roman"/>
                      <w:sz w:val="21"/>
                      <w:lang w:eastAsia="zh-CN"/>
                    </w:rPr>
                  </w:pPr>
                  <w:r>
                    <w:rPr>
                      <w:rFonts w:ascii="Times New Roman" w:hAnsi="Times New Roman" w:cs="Times New Roman"/>
                      <w:sz w:val="21"/>
                      <w:lang w:eastAsia="zh-CN"/>
                    </w:rPr>
                    <w:t>8</w:t>
                  </w:r>
                </w:p>
              </w:tc>
            </w:tr>
            <w:tr w14:paraId="4AE4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vAlign w:val="center"/>
                </w:tcPr>
                <w:p w14:paraId="15546ED2">
                  <w:pPr>
                    <w:pStyle w:val="18"/>
                    <w:jc w:val="center"/>
                    <w:rPr>
                      <w:rFonts w:ascii="Times New Roman" w:hAnsi="Times New Roman" w:cs="Times New Roman"/>
                      <w:sz w:val="21"/>
                      <w:lang w:eastAsia="zh-CN"/>
                    </w:rPr>
                  </w:pPr>
                </w:p>
              </w:tc>
              <w:tc>
                <w:tcPr>
                  <w:tcW w:w="544" w:type="pct"/>
                  <w:vMerge w:val="continue"/>
                  <w:vAlign w:val="center"/>
                </w:tcPr>
                <w:p w14:paraId="632C3A44">
                  <w:pPr>
                    <w:pStyle w:val="18"/>
                    <w:jc w:val="center"/>
                    <w:rPr>
                      <w:rFonts w:ascii="Times New Roman" w:hAnsi="Times New Roman" w:cs="Times New Roman"/>
                      <w:sz w:val="21"/>
                      <w:lang w:eastAsia="zh-CN"/>
                    </w:rPr>
                  </w:pPr>
                </w:p>
              </w:tc>
              <w:tc>
                <w:tcPr>
                  <w:tcW w:w="1236" w:type="pct"/>
                  <w:vAlign w:val="center"/>
                </w:tcPr>
                <w:p w14:paraId="32C42396">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混凝土养护废水</w:t>
                  </w:r>
                </w:p>
              </w:tc>
              <w:tc>
                <w:tcPr>
                  <w:tcW w:w="2016" w:type="pct"/>
                  <w:vAlign w:val="center"/>
                </w:tcPr>
                <w:p w14:paraId="29960603">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自然蒸发</w:t>
                  </w:r>
                </w:p>
              </w:tc>
              <w:tc>
                <w:tcPr>
                  <w:tcW w:w="545" w:type="pct"/>
                  <w:vAlign w:val="center"/>
                </w:tcPr>
                <w:p w14:paraId="7B7176BB">
                  <w:pPr>
                    <w:pStyle w:val="18"/>
                    <w:jc w:val="center"/>
                    <w:rPr>
                      <w:rFonts w:ascii="Times New Roman" w:hAnsi="Times New Roman" w:cs="Times New Roman"/>
                      <w:sz w:val="21"/>
                      <w:lang w:eastAsia="zh-CN"/>
                    </w:rPr>
                  </w:pPr>
                  <w:r>
                    <w:rPr>
                      <w:rFonts w:ascii="Times New Roman" w:hAnsi="Times New Roman" w:cs="Times New Roman"/>
                      <w:sz w:val="21"/>
                      <w:lang w:eastAsia="zh-CN"/>
                    </w:rPr>
                    <w:t>—</w:t>
                  </w:r>
                </w:p>
              </w:tc>
            </w:tr>
            <w:tr w14:paraId="57DE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vAlign w:val="center"/>
                </w:tcPr>
                <w:p w14:paraId="7962A6D2">
                  <w:pPr>
                    <w:pStyle w:val="18"/>
                    <w:jc w:val="center"/>
                    <w:rPr>
                      <w:rFonts w:ascii="Times New Roman" w:hAnsi="Times New Roman" w:cs="Times New Roman"/>
                      <w:sz w:val="21"/>
                      <w:lang w:eastAsia="zh-CN"/>
                    </w:rPr>
                  </w:pPr>
                </w:p>
              </w:tc>
              <w:tc>
                <w:tcPr>
                  <w:tcW w:w="544" w:type="pct"/>
                  <w:vMerge w:val="continue"/>
                  <w:vAlign w:val="center"/>
                </w:tcPr>
                <w:p w14:paraId="58A6BA80">
                  <w:pPr>
                    <w:pStyle w:val="18"/>
                    <w:jc w:val="center"/>
                    <w:rPr>
                      <w:rFonts w:ascii="Times New Roman" w:hAnsi="Times New Roman" w:cs="Times New Roman"/>
                      <w:sz w:val="21"/>
                      <w:lang w:eastAsia="zh-CN"/>
                    </w:rPr>
                  </w:pPr>
                </w:p>
              </w:tc>
              <w:tc>
                <w:tcPr>
                  <w:tcW w:w="1236" w:type="pct"/>
                  <w:vAlign w:val="center"/>
                </w:tcPr>
                <w:p w14:paraId="0F4DB637">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生活污水</w:t>
                  </w:r>
                </w:p>
              </w:tc>
              <w:tc>
                <w:tcPr>
                  <w:tcW w:w="2016" w:type="pct"/>
                  <w:vAlign w:val="center"/>
                </w:tcPr>
                <w:p w14:paraId="33541D2B">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移动式环保厕所</w:t>
                  </w:r>
                </w:p>
              </w:tc>
              <w:tc>
                <w:tcPr>
                  <w:tcW w:w="545" w:type="pct"/>
                  <w:vAlign w:val="center"/>
                </w:tcPr>
                <w:p w14:paraId="3CEFD582">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25</w:t>
                  </w:r>
                </w:p>
              </w:tc>
            </w:tr>
            <w:tr w14:paraId="398D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vAlign w:val="center"/>
                </w:tcPr>
                <w:p w14:paraId="47DA9E03">
                  <w:pPr>
                    <w:pStyle w:val="18"/>
                    <w:jc w:val="center"/>
                    <w:rPr>
                      <w:rFonts w:ascii="Times New Roman" w:hAnsi="Times New Roman" w:cs="Times New Roman"/>
                      <w:sz w:val="21"/>
                      <w:lang w:eastAsia="zh-CN"/>
                    </w:rPr>
                  </w:pPr>
                </w:p>
              </w:tc>
              <w:tc>
                <w:tcPr>
                  <w:tcW w:w="544" w:type="pct"/>
                  <w:vAlign w:val="center"/>
                </w:tcPr>
                <w:p w14:paraId="28ECC6A3">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运营期</w:t>
                  </w:r>
                </w:p>
              </w:tc>
              <w:tc>
                <w:tcPr>
                  <w:tcW w:w="1236" w:type="pct"/>
                  <w:vAlign w:val="center"/>
                </w:tcPr>
                <w:p w14:paraId="1E8D241F">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生活污水</w:t>
                  </w:r>
                </w:p>
              </w:tc>
              <w:tc>
                <w:tcPr>
                  <w:tcW w:w="2016" w:type="pct"/>
                  <w:vAlign w:val="center"/>
                </w:tcPr>
                <w:p w14:paraId="27AF88FD">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化粪池、隔油池</w:t>
                  </w:r>
                  <w:r>
                    <w:rPr>
                      <w:rFonts w:ascii="Times New Roman" w:hAnsi="Times New Roman" w:cs="Times New Roman"/>
                      <w:sz w:val="21"/>
                      <w:lang w:eastAsia="zh-CN"/>
                    </w:rPr>
                    <w:t>、</w:t>
                  </w:r>
                  <w:r>
                    <w:rPr>
                      <w:rFonts w:hint="eastAsia" w:ascii="Times New Roman" w:hAnsi="Times New Roman" w:cs="Times New Roman"/>
                      <w:sz w:val="21"/>
                      <w:lang w:eastAsia="zh-CN"/>
                    </w:rPr>
                    <w:t>污水处理站（3座）、中水蓄水池（4个）</w:t>
                  </w:r>
                </w:p>
              </w:tc>
              <w:tc>
                <w:tcPr>
                  <w:tcW w:w="545" w:type="pct"/>
                  <w:vAlign w:val="center"/>
                </w:tcPr>
                <w:p w14:paraId="14270F94">
                  <w:pPr>
                    <w:pStyle w:val="18"/>
                    <w:jc w:val="center"/>
                    <w:rPr>
                      <w:rFonts w:ascii="Times New Roman" w:hAnsi="Times New Roman" w:cs="Times New Roman"/>
                      <w:sz w:val="21"/>
                      <w:lang w:eastAsia="zh-CN"/>
                    </w:rPr>
                  </w:pPr>
                  <w:r>
                    <w:rPr>
                      <w:rFonts w:ascii="Times New Roman" w:hAnsi="Times New Roman" w:cs="Times New Roman"/>
                      <w:sz w:val="21"/>
                      <w:lang w:eastAsia="zh-CN"/>
                    </w:rPr>
                    <w:t>590</w:t>
                  </w:r>
                </w:p>
              </w:tc>
            </w:tr>
            <w:tr w14:paraId="17DA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restart"/>
                  <w:vAlign w:val="center"/>
                </w:tcPr>
                <w:p w14:paraId="00B71FBD">
                  <w:pPr>
                    <w:pStyle w:val="18"/>
                    <w:jc w:val="center"/>
                    <w:rPr>
                      <w:rFonts w:ascii="Times New Roman" w:hAnsi="Times New Roman" w:cs="Times New Roman"/>
                      <w:sz w:val="21"/>
                      <w:lang w:eastAsia="zh-CN"/>
                    </w:rPr>
                  </w:pPr>
                  <w:r>
                    <w:rPr>
                      <w:rFonts w:ascii="Times New Roman" w:hAnsi="Times New Roman" w:cs="Times New Roman"/>
                      <w:sz w:val="21"/>
                      <w:lang w:eastAsia="zh-CN"/>
                    </w:rPr>
                    <w:t>噪声</w:t>
                  </w:r>
                </w:p>
              </w:tc>
              <w:tc>
                <w:tcPr>
                  <w:tcW w:w="544" w:type="pct"/>
                  <w:vAlign w:val="center"/>
                </w:tcPr>
                <w:p w14:paraId="0C494A1D">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施工期</w:t>
                  </w:r>
                </w:p>
              </w:tc>
              <w:tc>
                <w:tcPr>
                  <w:tcW w:w="1236" w:type="pct"/>
                  <w:vAlign w:val="center"/>
                </w:tcPr>
                <w:p w14:paraId="72ACF3B4">
                  <w:pPr>
                    <w:pStyle w:val="18"/>
                    <w:jc w:val="center"/>
                    <w:rPr>
                      <w:rFonts w:ascii="Times New Roman" w:hAnsi="Times New Roman" w:cs="Times New Roman"/>
                      <w:sz w:val="21"/>
                      <w:lang w:eastAsia="zh-CN"/>
                    </w:rPr>
                  </w:pPr>
                  <w:r>
                    <w:rPr>
                      <w:rFonts w:ascii="Times New Roman" w:hAnsi="Times New Roman" w:cs="Times New Roman"/>
                      <w:sz w:val="21"/>
                      <w:lang w:eastAsia="zh-CN"/>
                    </w:rPr>
                    <w:t>运输车辆和施工机械噪声</w:t>
                  </w:r>
                </w:p>
              </w:tc>
              <w:tc>
                <w:tcPr>
                  <w:tcW w:w="2016" w:type="pct"/>
                  <w:vAlign w:val="center"/>
                </w:tcPr>
                <w:p w14:paraId="700E3C6F">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运输车辆和施工机械设备维护保养</w:t>
                  </w:r>
                </w:p>
              </w:tc>
              <w:tc>
                <w:tcPr>
                  <w:tcW w:w="545" w:type="pct"/>
                  <w:vAlign w:val="center"/>
                </w:tcPr>
                <w:p w14:paraId="6D31501A">
                  <w:pPr>
                    <w:pStyle w:val="18"/>
                    <w:jc w:val="center"/>
                    <w:rPr>
                      <w:rFonts w:ascii="Times New Roman" w:hAnsi="Times New Roman" w:cs="Times New Roman"/>
                      <w:sz w:val="21"/>
                      <w:lang w:eastAsia="zh-CN"/>
                    </w:rPr>
                  </w:pPr>
                  <w:r>
                    <w:rPr>
                      <w:rFonts w:ascii="Times New Roman" w:hAnsi="Times New Roman" w:cs="Times New Roman"/>
                      <w:sz w:val="21"/>
                      <w:lang w:eastAsia="zh-CN"/>
                    </w:rPr>
                    <w:t>20</w:t>
                  </w:r>
                </w:p>
              </w:tc>
            </w:tr>
            <w:tr w14:paraId="2B38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vAlign w:val="center"/>
                </w:tcPr>
                <w:p w14:paraId="464DF035">
                  <w:pPr>
                    <w:pStyle w:val="18"/>
                    <w:jc w:val="center"/>
                    <w:rPr>
                      <w:rFonts w:ascii="Times New Roman" w:hAnsi="Times New Roman" w:cs="Times New Roman"/>
                      <w:sz w:val="21"/>
                      <w:lang w:eastAsia="zh-CN"/>
                    </w:rPr>
                  </w:pPr>
                </w:p>
              </w:tc>
              <w:tc>
                <w:tcPr>
                  <w:tcW w:w="544" w:type="pct"/>
                  <w:vAlign w:val="center"/>
                </w:tcPr>
                <w:p w14:paraId="3704F3AD">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运营期</w:t>
                  </w:r>
                </w:p>
              </w:tc>
              <w:tc>
                <w:tcPr>
                  <w:tcW w:w="1236" w:type="pct"/>
                  <w:vAlign w:val="center"/>
                </w:tcPr>
                <w:p w14:paraId="54050631">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交通噪声</w:t>
                  </w:r>
                </w:p>
              </w:tc>
              <w:tc>
                <w:tcPr>
                  <w:tcW w:w="2016" w:type="pct"/>
                  <w:vAlign w:val="center"/>
                </w:tcPr>
                <w:p w14:paraId="5FCB778A">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隔声屏障</w:t>
                  </w:r>
                </w:p>
              </w:tc>
              <w:tc>
                <w:tcPr>
                  <w:tcW w:w="545" w:type="pct"/>
                  <w:vAlign w:val="center"/>
                </w:tcPr>
                <w:p w14:paraId="1BB5DEFF">
                  <w:pPr>
                    <w:pStyle w:val="18"/>
                    <w:jc w:val="center"/>
                    <w:rPr>
                      <w:rFonts w:ascii="Times New Roman" w:hAnsi="Times New Roman" w:cs="Times New Roman"/>
                      <w:sz w:val="21"/>
                      <w:lang w:eastAsia="zh-CN"/>
                    </w:rPr>
                  </w:pPr>
                  <w:r>
                    <w:rPr>
                      <w:rFonts w:ascii="Times New Roman" w:hAnsi="Times New Roman" w:cs="Times New Roman"/>
                      <w:sz w:val="21"/>
                      <w:lang w:eastAsia="zh-CN"/>
                    </w:rPr>
                    <w:t>1125</w:t>
                  </w:r>
                </w:p>
              </w:tc>
            </w:tr>
            <w:tr w14:paraId="3D6A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restart"/>
                  <w:vAlign w:val="center"/>
                </w:tcPr>
                <w:p w14:paraId="38222A7D">
                  <w:pPr>
                    <w:pStyle w:val="18"/>
                    <w:jc w:val="center"/>
                    <w:rPr>
                      <w:rFonts w:ascii="Times New Roman" w:hAnsi="Times New Roman" w:cs="Times New Roman"/>
                      <w:sz w:val="21"/>
                      <w:lang w:eastAsia="zh-CN"/>
                    </w:rPr>
                  </w:pPr>
                  <w:r>
                    <w:rPr>
                      <w:rFonts w:ascii="Times New Roman" w:hAnsi="Times New Roman" w:cs="Times New Roman"/>
                      <w:sz w:val="21"/>
                      <w:lang w:eastAsia="zh-CN"/>
                    </w:rPr>
                    <w:t>固废</w:t>
                  </w:r>
                </w:p>
              </w:tc>
              <w:tc>
                <w:tcPr>
                  <w:tcW w:w="544" w:type="pct"/>
                  <w:vAlign w:val="center"/>
                </w:tcPr>
                <w:p w14:paraId="11C4BE4D">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施工期</w:t>
                  </w:r>
                </w:p>
              </w:tc>
              <w:tc>
                <w:tcPr>
                  <w:tcW w:w="1236" w:type="pct"/>
                  <w:vAlign w:val="center"/>
                </w:tcPr>
                <w:p w14:paraId="43C54EFD">
                  <w:pPr>
                    <w:pStyle w:val="18"/>
                    <w:jc w:val="center"/>
                    <w:rPr>
                      <w:rFonts w:ascii="Times New Roman" w:hAnsi="Times New Roman" w:cs="Times New Roman"/>
                      <w:sz w:val="21"/>
                      <w:lang w:eastAsia="zh-CN"/>
                    </w:rPr>
                  </w:pPr>
                  <w:r>
                    <w:rPr>
                      <w:rFonts w:ascii="Times New Roman" w:hAnsi="Times New Roman" w:cs="Times New Roman"/>
                      <w:sz w:val="21"/>
                      <w:lang w:eastAsia="zh-CN"/>
                    </w:rPr>
                    <w:t>生活垃圾</w:t>
                  </w:r>
                  <w:r>
                    <w:rPr>
                      <w:rFonts w:hint="eastAsia" w:ascii="Times New Roman" w:hAnsi="Times New Roman" w:cs="Times New Roman"/>
                      <w:sz w:val="21"/>
                      <w:lang w:eastAsia="zh-CN"/>
                    </w:rPr>
                    <w:t>、</w:t>
                  </w:r>
                  <w:r>
                    <w:rPr>
                      <w:rFonts w:ascii="Times New Roman" w:hAnsi="Times New Roman" w:cs="Times New Roman"/>
                      <w:sz w:val="21"/>
                      <w:lang w:eastAsia="zh-CN"/>
                    </w:rPr>
                    <w:t>废弃</w:t>
                  </w:r>
                  <w:r>
                    <w:rPr>
                      <w:rFonts w:hint="eastAsia" w:ascii="Times New Roman" w:hAnsi="Times New Roman" w:cs="Times New Roman"/>
                      <w:sz w:val="21"/>
                      <w:lang w:eastAsia="zh-CN"/>
                    </w:rPr>
                    <w:t>土</w:t>
                  </w:r>
                  <w:r>
                    <w:rPr>
                      <w:rFonts w:ascii="Times New Roman" w:hAnsi="Times New Roman" w:cs="Times New Roman"/>
                      <w:sz w:val="21"/>
                      <w:lang w:eastAsia="zh-CN"/>
                    </w:rPr>
                    <w:t>方、建筑垃圾</w:t>
                  </w:r>
                </w:p>
              </w:tc>
              <w:tc>
                <w:tcPr>
                  <w:tcW w:w="2016" w:type="pct"/>
                  <w:vAlign w:val="center"/>
                </w:tcPr>
                <w:p w14:paraId="03741089">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清运费用</w:t>
                  </w:r>
                </w:p>
              </w:tc>
              <w:tc>
                <w:tcPr>
                  <w:tcW w:w="545" w:type="pct"/>
                  <w:vAlign w:val="center"/>
                </w:tcPr>
                <w:p w14:paraId="16AB1C55">
                  <w:pPr>
                    <w:pStyle w:val="18"/>
                    <w:jc w:val="center"/>
                    <w:rPr>
                      <w:rFonts w:ascii="Times New Roman" w:hAnsi="Times New Roman" w:cs="Times New Roman"/>
                      <w:sz w:val="21"/>
                      <w:lang w:eastAsia="zh-CN"/>
                    </w:rPr>
                  </w:pPr>
                  <w:r>
                    <w:rPr>
                      <w:rFonts w:ascii="Times New Roman" w:hAnsi="Times New Roman" w:cs="Times New Roman"/>
                      <w:sz w:val="21"/>
                      <w:lang w:eastAsia="zh-CN"/>
                    </w:rPr>
                    <w:t>110</w:t>
                  </w:r>
                </w:p>
              </w:tc>
            </w:tr>
            <w:tr w14:paraId="0EE6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vAlign w:val="center"/>
                </w:tcPr>
                <w:p w14:paraId="3F253369">
                  <w:pPr>
                    <w:pStyle w:val="18"/>
                    <w:jc w:val="center"/>
                    <w:rPr>
                      <w:rFonts w:ascii="Times New Roman" w:hAnsi="Times New Roman" w:cs="Times New Roman"/>
                      <w:sz w:val="21"/>
                      <w:lang w:eastAsia="zh-CN"/>
                    </w:rPr>
                  </w:pPr>
                </w:p>
              </w:tc>
              <w:tc>
                <w:tcPr>
                  <w:tcW w:w="544" w:type="pct"/>
                  <w:vAlign w:val="center"/>
                </w:tcPr>
                <w:p w14:paraId="11321A11">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运营期</w:t>
                  </w:r>
                </w:p>
              </w:tc>
              <w:tc>
                <w:tcPr>
                  <w:tcW w:w="1236" w:type="pct"/>
                  <w:vAlign w:val="center"/>
                </w:tcPr>
                <w:p w14:paraId="4A1EA643">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生活垃圾、废机油</w:t>
                  </w:r>
                </w:p>
              </w:tc>
              <w:tc>
                <w:tcPr>
                  <w:tcW w:w="2016" w:type="pct"/>
                  <w:vAlign w:val="center"/>
                </w:tcPr>
                <w:p w14:paraId="14DD3900">
                  <w:pPr>
                    <w:pStyle w:val="18"/>
                    <w:jc w:val="center"/>
                    <w:rPr>
                      <w:rFonts w:ascii="Times New Roman" w:hAnsi="Times New Roman" w:cs="Times New Roman"/>
                      <w:sz w:val="21"/>
                      <w:lang w:eastAsia="zh-CN"/>
                    </w:rPr>
                  </w:pPr>
                  <w:r>
                    <w:rPr>
                      <w:rFonts w:hint="eastAsia" w:ascii="Times New Roman" w:hAnsi="Times New Roman" w:cs="Times New Roman"/>
                      <w:sz w:val="21"/>
                      <w:lang w:eastAsia="zh-CN"/>
                    </w:rPr>
                    <w:t>清运费用、委托转移处置费用、危废贮存点</w:t>
                  </w:r>
                </w:p>
              </w:tc>
              <w:tc>
                <w:tcPr>
                  <w:tcW w:w="545" w:type="pct"/>
                  <w:vAlign w:val="center"/>
                </w:tcPr>
                <w:p w14:paraId="05E0749E">
                  <w:pPr>
                    <w:pStyle w:val="18"/>
                    <w:jc w:val="center"/>
                    <w:rPr>
                      <w:rFonts w:ascii="Times New Roman" w:hAnsi="Times New Roman" w:cs="Times New Roman"/>
                      <w:sz w:val="21"/>
                      <w:lang w:eastAsia="zh-CN"/>
                    </w:rPr>
                  </w:pPr>
                  <w:r>
                    <w:rPr>
                      <w:rFonts w:ascii="Times New Roman" w:hAnsi="Times New Roman" w:cs="Times New Roman"/>
                      <w:sz w:val="21"/>
                      <w:lang w:eastAsia="zh-CN"/>
                    </w:rPr>
                    <w:t>100</w:t>
                  </w:r>
                </w:p>
              </w:tc>
            </w:tr>
            <w:tr w14:paraId="3AA6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pct"/>
                  <w:gridSpan w:val="3"/>
                  <w:vMerge w:val="restart"/>
                  <w:vAlign w:val="center"/>
                </w:tcPr>
                <w:p w14:paraId="38F19BFE">
                  <w:pPr>
                    <w:pStyle w:val="18"/>
                    <w:jc w:val="center"/>
                    <w:rPr>
                      <w:rFonts w:ascii="Times New Roman" w:hAnsi="Times New Roman" w:cs="Times New Roman"/>
                      <w:bCs/>
                      <w:sz w:val="21"/>
                      <w:lang w:eastAsia="zh-CN"/>
                    </w:rPr>
                  </w:pPr>
                  <w:r>
                    <w:rPr>
                      <w:rFonts w:hint="eastAsia" w:ascii="Times New Roman" w:hAnsi="Times New Roman" w:cs="Times New Roman"/>
                      <w:bCs/>
                      <w:sz w:val="21"/>
                      <w:lang w:eastAsia="zh-CN"/>
                    </w:rPr>
                    <w:t>生态</w:t>
                  </w:r>
                </w:p>
              </w:tc>
              <w:tc>
                <w:tcPr>
                  <w:tcW w:w="2016" w:type="pct"/>
                  <w:vAlign w:val="center"/>
                </w:tcPr>
                <w:p w14:paraId="27FA3C43">
                  <w:pPr>
                    <w:pStyle w:val="18"/>
                    <w:jc w:val="center"/>
                    <w:rPr>
                      <w:rFonts w:ascii="Times New Roman" w:hAnsi="Times New Roman" w:cs="Times New Roman"/>
                      <w:bCs/>
                      <w:sz w:val="21"/>
                      <w:lang w:eastAsia="zh-CN"/>
                    </w:rPr>
                  </w:pPr>
                  <w:r>
                    <w:rPr>
                      <w:rFonts w:hint="eastAsia" w:ascii="Times New Roman" w:hAnsi="Times New Roman" w:cs="Times New Roman"/>
                      <w:bCs/>
                      <w:sz w:val="21"/>
                      <w:lang w:eastAsia="zh-CN"/>
                    </w:rPr>
                    <w:t>草方格沙障生态补偿</w:t>
                  </w:r>
                </w:p>
              </w:tc>
              <w:tc>
                <w:tcPr>
                  <w:tcW w:w="545" w:type="pct"/>
                  <w:vAlign w:val="center"/>
                </w:tcPr>
                <w:p w14:paraId="45E699C6">
                  <w:pPr>
                    <w:pStyle w:val="18"/>
                    <w:jc w:val="center"/>
                    <w:rPr>
                      <w:rFonts w:ascii="Times New Roman" w:hAnsi="Times New Roman" w:cs="Times New Roman"/>
                      <w:bCs/>
                      <w:sz w:val="21"/>
                      <w:lang w:eastAsia="zh-CN"/>
                    </w:rPr>
                  </w:pPr>
                  <w:r>
                    <w:rPr>
                      <w:rFonts w:hint="eastAsia" w:ascii="Times New Roman" w:hAnsi="Times New Roman" w:cs="Times New Roman"/>
                      <w:bCs/>
                      <w:sz w:val="21"/>
                      <w:lang w:eastAsia="zh-CN"/>
                    </w:rPr>
                    <w:t>2</w:t>
                  </w:r>
                  <w:r>
                    <w:rPr>
                      <w:rFonts w:ascii="Times New Roman" w:hAnsi="Times New Roman" w:cs="Times New Roman"/>
                      <w:bCs/>
                      <w:sz w:val="21"/>
                      <w:lang w:eastAsia="zh-CN"/>
                    </w:rPr>
                    <w:t>095</w:t>
                  </w:r>
                </w:p>
              </w:tc>
            </w:tr>
            <w:tr w14:paraId="0EAC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pct"/>
                  <w:gridSpan w:val="3"/>
                  <w:vMerge w:val="continue"/>
                  <w:vAlign w:val="center"/>
                </w:tcPr>
                <w:p w14:paraId="677C5523">
                  <w:pPr>
                    <w:pStyle w:val="18"/>
                    <w:jc w:val="center"/>
                    <w:rPr>
                      <w:rFonts w:ascii="Times New Roman" w:hAnsi="Times New Roman" w:cs="Times New Roman"/>
                      <w:bCs/>
                      <w:sz w:val="21"/>
                      <w:lang w:eastAsia="zh-CN"/>
                    </w:rPr>
                  </w:pPr>
                </w:p>
              </w:tc>
              <w:tc>
                <w:tcPr>
                  <w:tcW w:w="2016" w:type="pct"/>
                  <w:vAlign w:val="center"/>
                </w:tcPr>
                <w:p w14:paraId="27DAFC7A">
                  <w:pPr>
                    <w:pStyle w:val="18"/>
                    <w:jc w:val="center"/>
                    <w:rPr>
                      <w:rFonts w:ascii="Times New Roman" w:hAnsi="Times New Roman" w:cs="Times New Roman"/>
                      <w:bCs/>
                      <w:sz w:val="21"/>
                      <w:lang w:eastAsia="zh-CN"/>
                    </w:rPr>
                  </w:pPr>
                  <w:r>
                    <w:rPr>
                      <w:rFonts w:hint="eastAsia" w:ascii="Times New Roman" w:hAnsi="Times New Roman" w:cs="Times New Roman"/>
                      <w:bCs/>
                      <w:sz w:val="21"/>
                      <w:lang w:eastAsia="zh-CN"/>
                    </w:rPr>
                    <w:t>湿地生态补偿</w:t>
                  </w:r>
                </w:p>
              </w:tc>
              <w:tc>
                <w:tcPr>
                  <w:tcW w:w="545" w:type="pct"/>
                  <w:vAlign w:val="center"/>
                </w:tcPr>
                <w:p w14:paraId="1714A938">
                  <w:pPr>
                    <w:pStyle w:val="18"/>
                    <w:jc w:val="center"/>
                    <w:rPr>
                      <w:rFonts w:ascii="Times New Roman" w:hAnsi="Times New Roman" w:cs="Times New Roman"/>
                      <w:bCs/>
                      <w:sz w:val="21"/>
                      <w:lang w:eastAsia="zh-CN"/>
                    </w:rPr>
                  </w:pPr>
                  <w:r>
                    <w:rPr>
                      <w:rFonts w:hint="eastAsia" w:ascii="Times New Roman" w:hAnsi="Times New Roman" w:cs="Times New Roman"/>
                      <w:bCs/>
                      <w:sz w:val="21"/>
                      <w:lang w:eastAsia="zh-CN"/>
                    </w:rPr>
                    <w:t>2</w:t>
                  </w:r>
                  <w:r>
                    <w:rPr>
                      <w:rFonts w:ascii="Times New Roman" w:hAnsi="Times New Roman" w:cs="Times New Roman"/>
                      <w:bCs/>
                      <w:sz w:val="21"/>
                      <w:lang w:eastAsia="zh-CN"/>
                    </w:rPr>
                    <w:t>8</w:t>
                  </w:r>
                </w:p>
              </w:tc>
            </w:tr>
            <w:tr w14:paraId="65BD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pct"/>
                  <w:gridSpan w:val="3"/>
                  <w:vMerge w:val="continue"/>
                  <w:vAlign w:val="center"/>
                </w:tcPr>
                <w:p w14:paraId="2F0913D2">
                  <w:pPr>
                    <w:pStyle w:val="18"/>
                    <w:jc w:val="center"/>
                    <w:rPr>
                      <w:rFonts w:ascii="Times New Roman" w:hAnsi="Times New Roman" w:cs="Times New Roman"/>
                      <w:bCs/>
                      <w:sz w:val="21"/>
                      <w:lang w:eastAsia="zh-CN"/>
                    </w:rPr>
                  </w:pPr>
                </w:p>
              </w:tc>
              <w:tc>
                <w:tcPr>
                  <w:tcW w:w="2016" w:type="pct"/>
                  <w:vAlign w:val="center"/>
                </w:tcPr>
                <w:p w14:paraId="0A4A2533">
                  <w:pPr>
                    <w:pStyle w:val="18"/>
                    <w:jc w:val="center"/>
                    <w:rPr>
                      <w:rFonts w:ascii="Times New Roman" w:hAnsi="Times New Roman" w:cs="Times New Roman"/>
                      <w:bCs/>
                      <w:sz w:val="21"/>
                      <w:lang w:eastAsia="zh-CN"/>
                    </w:rPr>
                  </w:pPr>
                  <w:r>
                    <w:rPr>
                      <w:rFonts w:hint="eastAsia" w:ascii="Times New Roman" w:hAnsi="Times New Roman" w:cs="Times New Roman"/>
                      <w:bCs/>
                      <w:sz w:val="21"/>
                      <w:lang w:eastAsia="zh-CN"/>
                    </w:rPr>
                    <w:t>临时用地生态恢复</w:t>
                  </w:r>
                </w:p>
              </w:tc>
              <w:tc>
                <w:tcPr>
                  <w:tcW w:w="545" w:type="pct"/>
                  <w:vAlign w:val="center"/>
                </w:tcPr>
                <w:p w14:paraId="5981DB0F">
                  <w:pPr>
                    <w:pStyle w:val="18"/>
                    <w:jc w:val="center"/>
                    <w:rPr>
                      <w:rFonts w:ascii="Times New Roman" w:hAnsi="Times New Roman" w:cs="Times New Roman"/>
                      <w:bCs/>
                      <w:sz w:val="21"/>
                      <w:lang w:eastAsia="zh-CN"/>
                    </w:rPr>
                  </w:pPr>
                  <w:r>
                    <w:rPr>
                      <w:rFonts w:hint="eastAsia" w:ascii="Times New Roman" w:hAnsi="Times New Roman" w:cs="Times New Roman"/>
                      <w:bCs/>
                      <w:sz w:val="21"/>
                      <w:lang w:eastAsia="zh-CN"/>
                    </w:rPr>
                    <w:t>1</w:t>
                  </w:r>
                  <w:r>
                    <w:rPr>
                      <w:rFonts w:ascii="Times New Roman" w:hAnsi="Times New Roman" w:cs="Times New Roman"/>
                      <w:bCs/>
                      <w:sz w:val="21"/>
                      <w:lang w:eastAsia="zh-CN"/>
                    </w:rPr>
                    <w:t>20</w:t>
                  </w:r>
                </w:p>
              </w:tc>
            </w:tr>
            <w:tr w14:paraId="6878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pct"/>
                  <w:gridSpan w:val="3"/>
                  <w:vAlign w:val="center"/>
                </w:tcPr>
                <w:p w14:paraId="3DBDA8F3">
                  <w:pPr>
                    <w:pStyle w:val="18"/>
                    <w:jc w:val="center"/>
                    <w:rPr>
                      <w:rFonts w:ascii="Times New Roman" w:hAnsi="Times New Roman" w:cs="Times New Roman"/>
                      <w:b/>
                      <w:bCs/>
                      <w:sz w:val="21"/>
                      <w:lang w:eastAsia="zh-CN"/>
                    </w:rPr>
                  </w:pPr>
                  <w:r>
                    <w:rPr>
                      <w:rFonts w:ascii="Times New Roman" w:hAnsi="Times New Roman" w:cs="Times New Roman"/>
                      <w:b/>
                      <w:bCs/>
                      <w:sz w:val="21"/>
                      <w:lang w:eastAsia="zh-CN"/>
                    </w:rPr>
                    <w:t>合    计</w:t>
                  </w:r>
                </w:p>
              </w:tc>
              <w:tc>
                <w:tcPr>
                  <w:tcW w:w="2016" w:type="pct"/>
                  <w:vAlign w:val="center"/>
                </w:tcPr>
                <w:p w14:paraId="300756D5">
                  <w:pPr>
                    <w:pStyle w:val="18"/>
                    <w:jc w:val="center"/>
                    <w:rPr>
                      <w:rFonts w:ascii="Times New Roman" w:hAnsi="Times New Roman" w:cs="Times New Roman"/>
                      <w:b/>
                      <w:bCs/>
                      <w:sz w:val="21"/>
                      <w:lang w:eastAsia="zh-CN"/>
                    </w:rPr>
                  </w:pPr>
                </w:p>
              </w:tc>
              <w:tc>
                <w:tcPr>
                  <w:tcW w:w="545" w:type="pct"/>
                  <w:vAlign w:val="center"/>
                </w:tcPr>
                <w:p w14:paraId="249AFA14">
                  <w:pPr>
                    <w:pStyle w:val="18"/>
                    <w:jc w:val="center"/>
                    <w:rPr>
                      <w:rFonts w:ascii="Times New Roman" w:hAnsi="Times New Roman" w:cs="Times New Roman"/>
                      <w:b/>
                      <w:bCs/>
                      <w:sz w:val="21"/>
                      <w:lang w:eastAsia="zh-CN"/>
                    </w:rPr>
                  </w:pPr>
                  <w:r>
                    <w:rPr>
                      <w:rFonts w:ascii="Times New Roman" w:hAnsi="Times New Roman" w:cs="Times New Roman"/>
                      <w:b/>
                      <w:bCs/>
                      <w:sz w:val="21"/>
                      <w:lang w:eastAsia="zh-CN"/>
                    </w:rPr>
                    <w:t>4356</w:t>
                  </w:r>
                </w:p>
              </w:tc>
            </w:tr>
          </w:tbl>
          <w:p w14:paraId="7623F52E">
            <w:pPr>
              <w:pStyle w:val="18"/>
              <w:rPr>
                <w:rFonts w:ascii="Times New Roman" w:hAnsi="Times New Roman" w:cs="Times New Roman"/>
                <w:sz w:val="21"/>
                <w:lang w:eastAsia="zh-CN"/>
              </w:rPr>
            </w:pPr>
          </w:p>
          <w:p w14:paraId="5C81D2F4">
            <w:pPr>
              <w:pStyle w:val="18"/>
              <w:rPr>
                <w:rFonts w:ascii="Times New Roman" w:hAnsi="Times New Roman" w:cs="Times New Roman"/>
                <w:sz w:val="21"/>
                <w:lang w:eastAsia="zh-CN"/>
              </w:rPr>
            </w:pPr>
          </w:p>
          <w:p w14:paraId="7B86D48C">
            <w:pPr>
              <w:pStyle w:val="18"/>
              <w:rPr>
                <w:rFonts w:ascii="Times New Roman" w:hAnsi="Times New Roman" w:cs="Times New Roman"/>
                <w:sz w:val="21"/>
                <w:lang w:eastAsia="zh-CN"/>
              </w:rPr>
            </w:pPr>
          </w:p>
          <w:p w14:paraId="7E94ED00">
            <w:pPr>
              <w:pStyle w:val="18"/>
              <w:rPr>
                <w:rFonts w:ascii="Times New Roman" w:hAnsi="Times New Roman" w:cs="Times New Roman"/>
                <w:sz w:val="21"/>
                <w:lang w:eastAsia="zh-CN"/>
              </w:rPr>
            </w:pPr>
          </w:p>
          <w:p w14:paraId="325519CE">
            <w:pPr>
              <w:pStyle w:val="18"/>
              <w:rPr>
                <w:rFonts w:ascii="Times New Roman" w:hAnsi="Times New Roman" w:cs="Times New Roman"/>
                <w:sz w:val="21"/>
                <w:lang w:eastAsia="zh-CN"/>
              </w:rPr>
            </w:pPr>
          </w:p>
          <w:p w14:paraId="05CBB09B">
            <w:pPr>
              <w:pStyle w:val="18"/>
              <w:rPr>
                <w:rFonts w:ascii="Times New Roman" w:hAnsi="Times New Roman" w:cs="Times New Roman"/>
                <w:sz w:val="21"/>
                <w:lang w:eastAsia="zh-CN"/>
              </w:rPr>
            </w:pPr>
          </w:p>
          <w:p w14:paraId="7242E9B2">
            <w:pPr>
              <w:pStyle w:val="18"/>
              <w:rPr>
                <w:rFonts w:ascii="Times New Roman" w:hAnsi="Times New Roman" w:cs="Times New Roman"/>
                <w:sz w:val="21"/>
                <w:lang w:eastAsia="zh-CN"/>
              </w:rPr>
            </w:pPr>
          </w:p>
          <w:p w14:paraId="0C0C4522">
            <w:pPr>
              <w:pStyle w:val="18"/>
              <w:rPr>
                <w:rFonts w:ascii="Times New Roman" w:hAnsi="Times New Roman" w:cs="Times New Roman"/>
                <w:sz w:val="21"/>
                <w:lang w:eastAsia="zh-CN"/>
              </w:rPr>
            </w:pPr>
          </w:p>
          <w:p w14:paraId="4DC4D961">
            <w:pPr>
              <w:pStyle w:val="18"/>
              <w:rPr>
                <w:rFonts w:ascii="Times New Roman" w:hAnsi="Times New Roman" w:cs="Times New Roman"/>
                <w:sz w:val="21"/>
                <w:lang w:eastAsia="zh-CN"/>
              </w:rPr>
            </w:pPr>
          </w:p>
          <w:p w14:paraId="13D448A4">
            <w:pPr>
              <w:pStyle w:val="18"/>
              <w:rPr>
                <w:rFonts w:ascii="Times New Roman" w:hAnsi="Times New Roman" w:cs="Times New Roman"/>
                <w:sz w:val="21"/>
                <w:lang w:eastAsia="zh-CN"/>
              </w:rPr>
            </w:pPr>
          </w:p>
          <w:p w14:paraId="51F36C5B">
            <w:pPr>
              <w:pStyle w:val="18"/>
              <w:rPr>
                <w:rFonts w:ascii="Times New Roman" w:hAnsi="Times New Roman" w:cs="Times New Roman"/>
                <w:sz w:val="21"/>
                <w:lang w:eastAsia="zh-CN"/>
              </w:rPr>
            </w:pPr>
          </w:p>
          <w:p w14:paraId="0290C26B">
            <w:pPr>
              <w:pStyle w:val="18"/>
              <w:rPr>
                <w:rFonts w:ascii="Times New Roman" w:hAnsi="Times New Roman" w:cs="Times New Roman"/>
                <w:sz w:val="21"/>
                <w:lang w:eastAsia="zh-CN"/>
              </w:rPr>
            </w:pPr>
          </w:p>
          <w:p w14:paraId="067F30CE">
            <w:pPr>
              <w:pStyle w:val="18"/>
              <w:rPr>
                <w:rFonts w:ascii="Times New Roman" w:hAnsi="Times New Roman" w:cs="Times New Roman"/>
                <w:sz w:val="21"/>
                <w:lang w:eastAsia="zh-CN"/>
              </w:rPr>
            </w:pPr>
          </w:p>
          <w:p w14:paraId="58800F93">
            <w:pPr>
              <w:pStyle w:val="18"/>
              <w:rPr>
                <w:rFonts w:ascii="Times New Roman" w:hAnsi="Times New Roman" w:cs="Times New Roman"/>
                <w:sz w:val="21"/>
                <w:lang w:eastAsia="zh-CN"/>
              </w:rPr>
            </w:pPr>
          </w:p>
          <w:p w14:paraId="43E268D6">
            <w:pPr>
              <w:pStyle w:val="18"/>
              <w:rPr>
                <w:rFonts w:ascii="Times New Roman" w:hAnsi="Times New Roman" w:cs="Times New Roman"/>
                <w:sz w:val="21"/>
                <w:lang w:eastAsia="zh-CN"/>
              </w:rPr>
            </w:pPr>
          </w:p>
          <w:p w14:paraId="5FDCC09E">
            <w:pPr>
              <w:pStyle w:val="18"/>
              <w:rPr>
                <w:rFonts w:ascii="Times New Roman" w:hAnsi="Times New Roman" w:cs="Times New Roman"/>
                <w:sz w:val="21"/>
                <w:lang w:eastAsia="zh-CN"/>
              </w:rPr>
            </w:pPr>
          </w:p>
          <w:p w14:paraId="32D6564D">
            <w:pPr>
              <w:pStyle w:val="18"/>
              <w:rPr>
                <w:rFonts w:ascii="Times New Roman" w:hAnsi="Times New Roman" w:cs="Times New Roman"/>
                <w:sz w:val="21"/>
                <w:lang w:eastAsia="zh-CN"/>
              </w:rPr>
            </w:pPr>
          </w:p>
          <w:p w14:paraId="63B986D6">
            <w:pPr>
              <w:pStyle w:val="18"/>
              <w:rPr>
                <w:rFonts w:ascii="Times New Roman" w:hAnsi="Times New Roman" w:cs="Times New Roman"/>
                <w:sz w:val="21"/>
                <w:lang w:eastAsia="zh-CN"/>
              </w:rPr>
            </w:pPr>
          </w:p>
          <w:p w14:paraId="5F76A8CA">
            <w:pPr>
              <w:pStyle w:val="18"/>
              <w:rPr>
                <w:rFonts w:ascii="Times New Roman" w:hAnsi="Times New Roman" w:cs="Times New Roman"/>
                <w:sz w:val="21"/>
                <w:lang w:eastAsia="zh-CN"/>
              </w:rPr>
            </w:pPr>
          </w:p>
          <w:p w14:paraId="6636408C">
            <w:pPr>
              <w:pStyle w:val="18"/>
              <w:rPr>
                <w:rFonts w:ascii="Times New Roman" w:hAnsi="Times New Roman" w:cs="Times New Roman"/>
                <w:sz w:val="21"/>
                <w:lang w:eastAsia="zh-CN"/>
              </w:rPr>
            </w:pPr>
          </w:p>
          <w:p w14:paraId="7B0E7739">
            <w:pPr>
              <w:pStyle w:val="18"/>
              <w:rPr>
                <w:rFonts w:ascii="Times New Roman" w:hAnsi="Times New Roman" w:cs="Times New Roman"/>
                <w:sz w:val="21"/>
                <w:lang w:eastAsia="zh-CN"/>
              </w:rPr>
            </w:pPr>
          </w:p>
          <w:p w14:paraId="0D3F88FB">
            <w:pPr>
              <w:pStyle w:val="18"/>
              <w:rPr>
                <w:rFonts w:ascii="Times New Roman" w:hAnsi="Times New Roman" w:cs="Times New Roman"/>
                <w:sz w:val="21"/>
                <w:lang w:eastAsia="zh-CN"/>
              </w:rPr>
            </w:pPr>
          </w:p>
          <w:p w14:paraId="4D583175">
            <w:pPr>
              <w:pStyle w:val="18"/>
              <w:rPr>
                <w:rFonts w:ascii="Times New Roman" w:hAnsi="Times New Roman" w:cs="Times New Roman"/>
                <w:sz w:val="21"/>
                <w:lang w:eastAsia="zh-CN"/>
              </w:rPr>
            </w:pPr>
          </w:p>
          <w:p w14:paraId="4B6E3C15">
            <w:pPr>
              <w:pStyle w:val="18"/>
              <w:rPr>
                <w:rFonts w:ascii="Times New Roman" w:hAnsi="Times New Roman" w:cs="Times New Roman"/>
                <w:sz w:val="21"/>
                <w:lang w:eastAsia="zh-CN"/>
              </w:rPr>
            </w:pPr>
          </w:p>
        </w:tc>
      </w:tr>
    </w:tbl>
    <w:p w14:paraId="4E3F50DE">
      <w:pPr>
        <w:rPr>
          <w:rFonts w:ascii="Times New Roman" w:hAnsi="Times New Roman" w:cs="Times New Roman"/>
          <w:sz w:val="21"/>
          <w:lang w:eastAsia="zh-CN"/>
        </w:rPr>
        <w:sectPr>
          <w:type w:val="nextColumn"/>
          <w:pgSz w:w="11913" w:h="16840"/>
          <w:pgMar w:top="1134" w:right="1134" w:bottom="1134" w:left="1134" w:header="0" w:footer="1043" w:gutter="0"/>
          <w:cols w:space="720" w:num="1"/>
        </w:sectPr>
      </w:pPr>
    </w:p>
    <w:p w14:paraId="3A862ACA">
      <w:pPr>
        <w:pStyle w:val="2"/>
        <w:ind w:left="0"/>
        <w:jc w:val="center"/>
        <w:rPr>
          <w:rFonts w:ascii="黑体" w:hAnsi="黑体" w:eastAsia="黑体" w:cs="Times New Roman"/>
          <w:b/>
          <w:bCs/>
          <w:lang w:eastAsia="zh-CN"/>
        </w:rPr>
      </w:pPr>
      <w:bookmarkStart w:id="7" w:name="_Toc119927463"/>
      <w:r>
        <w:rPr>
          <w:rFonts w:ascii="黑体" w:hAnsi="黑体" w:eastAsia="黑体" w:cs="Times New Roman"/>
          <w:b/>
          <w:bCs/>
          <w:lang w:eastAsia="zh-CN"/>
        </w:rPr>
        <w:t>六、生态环境保护措施监督检查清单</w:t>
      </w:r>
      <w:bookmarkEnd w:id="7"/>
    </w:p>
    <w:tbl>
      <w:tblPr>
        <w:tblStyle w:val="1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523"/>
        <w:gridCol w:w="1700"/>
        <w:gridCol w:w="1644"/>
        <w:gridCol w:w="2068"/>
        <w:gridCol w:w="1730"/>
      </w:tblGrid>
      <w:tr w14:paraId="574833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vMerge w:val="restart"/>
            <w:tcBorders>
              <w:right w:val="single" w:color="000000" w:sz="4" w:space="0"/>
              <w:tl2br w:val="single" w:color="auto" w:sz="4" w:space="0"/>
            </w:tcBorders>
          </w:tcPr>
          <w:p w14:paraId="48246245">
            <w:pPr>
              <w:pStyle w:val="18"/>
              <w:spacing w:line="237" w:lineRule="auto"/>
              <w:ind w:right="26"/>
              <w:jc w:val="right"/>
              <w:rPr>
                <w:rFonts w:ascii="Times New Roman" w:hAnsi="Times New Roman" w:cs="Times New Roman"/>
                <w:b/>
                <w:sz w:val="24"/>
                <w:szCs w:val="24"/>
                <w:lang w:eastAsia="zh-CN"/>
              </w:rPr>
            </w:pPr>
            <w:r>
              <w:rPr>
                <w:rFonts w:ascii="Times New Roman" w:hAnsi="Times New Roman" w:cs="Times New Roman"/>
                <w:b/>
                <w:sz w:val="24"/>
                <w:szCs w:val="24"/>
                <w:lang w:eastAsia="zh-CN"/>
              </w:rPr>
              <w:t>内容</w:t>
            </w:r>
          </w:p>
          <w:p w14:paraId="36DAD792">
            <w:pPr>
              <w:pStyle w:val="18"/>
              <w:spacing w:line="237" w:lineRule="auto"/>
              <w:ind w:right="26"/>
              <w:jc w:val="center"/>
              <w:rPr>
                <w:rFonts w:ascii="Times New Roman" w:hAnsi="Times New Roman" w:cs="Times New Roman"/>
                <w:b/>
                <w:sz w:val="24"/>
                <w:szCs w:val="24"/>
                <w:lang w:eastAsia="zh-CN"/>
              </w:rPr>
            </w:pPr>
          </w:p>
          <w:p w14:paraId="048CC21A">
            <w:pPr>
              <w:pStyle w:val="18"/>
              <w:spacing w:line="237" w:lineRule="auto"/>
              <w:ind w:right="26"/>
              <w:jc w:val="center"/>
              <w:rPr>
                <w:rFonts w:ascii="Times New Roman" w:hAnsi="Times New Roman" w:cs="Times New Roman"/>
                <w:b/>
                <w:sz w:val="24"/>
                <w:szCs w:val="24"/>
                <w:lang w:eastAsia="zh-CN"/>
              </w:rPr>
            </w:pPr>
          </w:p>
          <w:p w14:paraId="26FF0C8E">
            <w:pPr>
              <w:pStyle w:val="18"/>
              <w:spacing w:line="237" w:lineRule="auto"/>
              <w:ind w:right="26"/>
              <w:jc w:val="center"/>
              <w:rPr>
                <w:rFonts w:ascii="Times New Roman" w:hAnsi="Times New Roman" w:cs="Times New Roman"/>
                <w:b/>
                <w:sz w:val="24"/>
                <w:szCs w:val="24"/>
                <w:lang w:eastAsia="zh-CN"/>
              </w:rPr>
            </w:pPr>
          </w:p>
          <w:p w14:paraId="21916467">
            <w:pPr>
              <w:pStyle w:val="18"/>
              <w:spacing w:line="237" w:lineRule="auto"/>
              <w:ind w:right="26"/>
              <w:rPr>
                <w:rFonts w:ascii="Times New Roman" w:hAnsi="Times New Roman" w:cs="Times New Roman"/>
                <w:b/>
                <w:sz w:val="24"/>
                <w:szCs w:val="24"/>
              </w:rPr>
            </w:pPr>
            <w:r>
              <w:rPr>
                <w:rFonts w:ascii="Times New Roman" w:hAnsi="Times New Roman" w:cs="Times New Roman"/>
                <w:b/>
                <w:sz w:val="24"/>
                <w:szCs w:val="24"/>
                <w:lang w:eastAsia="zh-CN"/>
              </w:rPr>
              <w:t>要素</w:t>
            </w:r>
          </w:p>
        </w:tc>
        <w:tc>
          <w:tcPr>
            <w:tcW w:w="1795" w:type="pct"/>
            <w:gridSpan w:val="2"/>
            <w:tcBorders>
              <w:left w:val="single" w:color="000000" w:sz="4" w:space="0"/>
              <w:bottom w:val="single" w:color="000000" w:sz="4" w:space="0"/>
              <w:right w:val="single" w:color="000000" w:sz="4" w:space="0"/>
            </w:tcBorders>
            <w:vAlign w:val="center"/>
          </w:tcPr>
          <w:p w14:paraId="61C57B76">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施工期</w:t>
            </w:r>
          </w:p>
        </w:tc>
        <w:tc>
          <w:tcPr>
            <w:tcW w:w="1867" w:type="pct"/>
            <w:gridSpan w:val="2"/>
            <w:tcBorders>
              <w:left w:val="single" w:color="000000" w:sz="4" w:space="0"/>
              <w:bottom w:val="single" w:color="000000" w:sz="4" w:space="0"/>
            </w:tcBorders>
            <w:vAlign w:val="center"/>
          </w:tcPr>
          <w:p w14:paraId="701E58F9">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运营期</w:t>
            </w:r>
          </w:p>
        </w:tc>
      </w:tr>
      <w:tr w14:paraId="77180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vMerge w:val="continue"/>
            <w:tcBorders>
              <w:bottom w:val="single" w:color="000000" w:sz="4" w:space="0"/>
              <w:right w:val="single" w:color="000000" w:sz="4" w:space="0"/>
            </w:tcBorders>
          </w:tcPr>
          <w:p w14:paraId="07D99298">
            <w:pPr>
              <w:rPr>
                <w:rFonts w:ascii="Times New Roman" w:hAnsi="Times New Roman" w:cs="Times New Roman"/>
                <w:b/>
                <w:sz w:val="24"/>
                <w:szCs w:val="24"/>
              </w:rPr>
            </w:pPr>
          </w:p>
        </w:tc>
        <w:tc>
          <w:tcPr>
            <w:tcW w:w="912" w:type="pct"/>
            <w:tcBorders>
              <w:top w:val="single" w:color="000000" w:sz="4" w:space="0"/>
              <w:left w:val="single" w:color="000000" w:sz="4" w:space="0"/>
              <w:bottom w:val="single" w:color="000000" w:sz="4" w:space="0"/>
              <w:right w:val="single" w:color="000000" w:sz="4" w:space="0"/>
            </w:tcBorders>
            <w:vAlign w:val="center"/>
          </w:tcPr>
          <w:p w14:paraId="40D993E8">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环境保护措施</w:t>
            </w:r>
          </w:p>
        </w:tc>
        <w:tc>
          <w:tcPr>
            <w:tcW w:w="883" w:type="pct"/>
            <w:tcBorders>
              <w:top w:val="single" w:color="000000" w:sz="4" w:space="0"/>
              <w:left w:val="single" w:color="000000" w:sz="4" w:space="0"/>
              <w:bottom w:val="single" w:color="000000" w:sz="4" w:space="0"/>
              <w:right w:val="single" w:color="000000" w:sz="4" w:space="0"/>
            </w:tcBorders>
            <w:vAlign w:val="center"/>
          </w:tcPr>
          <w:p w14:paraId="760BF814">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验收要求</w:t>
            </w:r>
          </w:p>
        </w:tc>
        <w:tc>
          <w:tcPr>
            <w:tcW w:w="940" w:type="pct"/>
            <w:tcBorders>
              <w:top w:val="single" w:color="000000" w:sz="4" w:space="0"/>
              <w:left w:val="single" w:color="000000" w:sz="4" w:space="0"/>
              <w:bottom w:val="single" w:color="000000" w:sz="4" w:space="0"/>
              <w:right w:val="single" w:color="000000" w:sz="4" w:space="0"/>
            </w:tcBorders>
            <w:vAlign w:val="center"/>
          </w:tcPr>
          <w:p w14:paraId="44391E70">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环境保护措施</w:t>
            </w:r>
          </w:p>
        </w:tc>
        <w:tc>
          <w:tcPr>
            <w:tcW w:w="927" w:type="pct"/>
            <w:tcBorders>
              <w:top w:val="single" w:color="000000" w:sz="4" w:space="0"/>
              <w:left w:val="single" w:color="000000" w:sz="4" w:space="0"/>
              <w:bottom w:val="single" w:color="000000" w:sz="4" w:space="0"/>
            </w:tcBorders>
            <w:vAlign w:val="center"/>
          </w:tcPr>
          <w:p w14:paraId="5E517C3D">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验收要求</w:t>
            </w:r>
          </w:p>
        </w:tc>
      </w:tr>
      <w:tr w14:paraId="16246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704193CC">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陆生生态</w:t>
            </w:r>
          </w:p>
        </w:tc>
        <w:tc>
          <w:tcPr>
            <w:tcW w:w="912" w:type="pct"/>
            <w:tcBorders>
              <w:top w:val="single" w:color="000000" w:sz="4" w:space="0"/>
              <w:left w:val="single" w:color="000000" w:sz="4" w:space="0"/>
              <w:bottom w:val="single" w:color="000000" w:sz="4" w:space="0"/>
              <w:right w:val="single" w:color="000000" w:sz="4" w:space="0"/>
            </w:tcBorders>
            <w:vAlign w:val="center"/>
          </w:tcPr>
          <w:p w14:paraId="1ECFFD0F">
            <w:pPr>
              <w:pStyle w:val="18"/>
              <w:ind w:right="28"/>
              <w:jc w:val="both"/>
              <w:rPr>
                <w:rFonts w:ascii="Times New Roman" w:hAnsi="Times New Roman" w:cs="Times New Roman"/>
                <w:sz w:val="21"/>
                <w:szCs w:val="21"/>
                <w:lang w:eastAsia="zh-CN"/>
              </w:rPr>
            </w:pPr>
            <w:r>
              <w:rPr>
                <w:rFonts w:ascii="Times New Roman" w:hAnsi="Times New Roman" w:cs="Times New Roman"/>
                <w:sz w:val="21"/>
                <w:szCs w:val="21"/>
                <w:lang w:eastAsia="zh-CN"/>
              </w:rPr>
              <w:t>严格在划定施工范围内施工，严禁非法占地，加强施工人员生态环境保护的宣传教育，土方分层开挖</w:t>
            </w:r>
            <w:r>
              <w:rPr>
                <w:rFonts w:hint="eastAsia" w:ascii="Times New Roman" w:hAnsi="Times New Roman" w:cs="Times New Roman"/>
                <w:sz w:val="21"/>
                <w:szCs w:val="21"/>
                <w:lang w:eastAsia="zh-CN"/>
              </w:rPr>
              <w:t>、回填，分开堆放</w:t>
            </w:r>
            <w:r>
              <w:rPr>
                <w:rFonts w:ascii="Times New Roman" w:hAnsi="Times New Roman" w:cs="Times New Roman"/>
                <w:sz w:val="21"/>
                <w:szCs w:val="21"/>
                <w:lang w:eastAsia="zh-CN"/>
              </w:rPr>
              <w:t>。</w:t>
            </w:r>
          </w:p>
        </w:tc>
        <w:tc>
          <w:tcPr>
            <w:tcW w:w="883" w:type="pct"/>
            <w:tcBorders>
              <w:top w:val="single" w:color="000000" w:sz="4" w:space="0"/>
              <w:left w:val="single" w:color="000000" w:sz="4" w:space="0"/>
              <w:bottom w:val="single" w:color="000000" w:sz="4" w:space="0"/>
              <w:right w:val="single" w:color="000000" w:sz="4" w:space="0"/>
            </w:tcBorders>
            <w:vAlign w:val="center"/>
          </w:tcPr>
          <w:p w14:paraId="2C2BFD58">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按本环评要求落实相关措施</w:t>
            </w:r>
          </w:p>
        </w:tc>
        <w:tc>
          <w:tcPr>
            <w:tcW w:w="940" w:type="pct"/>
            <w:tcBorders>
              <w:top w:val="single" w:color="000000" w:sz="4" w:space="0"/>
              <w:left w:val="single" w:color="000000" w:sz="4" w:space="0"/>
              <w:bottom w:val="single" w:color="000000" w:sz="4" w:space="0"/>
              <w:right w:val="single" w:color="000000" w:sz="4" w:space="0"/>
            </w:tcBorders>
            <w:vAlign w:val="center"/>
          </w:tcPr>
          <w:p w14:paraId="2EA2EB17">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加强环保宣传，设置环保标志和提示标语。落实水土保持措施、生态恢复相关措施。</w:t>
            </w:r>
          </w:p>
        </w:tc>
        <w:tc>
          <w:tcPr>
            <w:tcW w:w="927" w:type="pct"/>
            <w:tcBorders>
              <w:top w:val="single" w:color="000000" w:sz="4" w:space="0"/>
              <w:left w:val="single" w:color="000000" w:sz="4" w:space="0"/>
              <w:bottom w:val="single" w:color="000000" w:sz="4" w:space="0"/>
            </w:tcBorders>
            <w:vAlign w:val="center"/>
          </w:tcPr>
          <w:p w14:paraId="3B21AE31">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按本环评要求落实相关措施</w:t>
            </w:r>
          </w:p>
        </w:tc>
      </w:tr>
      <w:tr w14:paraId="6CFAAB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0DF66CC3">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水生生态</w:t>
            </w:r>
          </w:p>
        </w:tc>
        <w:tc>
          <w:tcPr>
            <w:tcW w:w="912" w:type="pct"/>
            <w:tcBorders>
              <w:top w:val="single" w:color="000000" w:sz="4" w:space="0"/>
              <w:left w:val="single" w:color="000000" w:sz="4" w:space="0"/>
              <w:bottom w:val="single" w:color="000000" w:sz="4" w:space="0"/>
              <w:right w:val="single" w:color="000000" w:sz="4" w:space="0"/>
            </w:tcBorders>
          </w:tcPr>
          <w:p w14:paraId="41B72BB0">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lang w:eastAsia="zh-CN"/>
              </w:rPr>
              <w:t>—</w:t>
            </w:r>
          </w:p>
        </w:tc>
        <w:tc>
          <w:tcPr>
            <w:tcW w:w="883" w:type="pct"/>
            <w:tcBorders>
              <w:top w:val="single" w:color="000000" w:sz="4" w:space="0"/>
              <w:left w:val="single" w:color="000000" w:sz="4" w:space="0"/>
              <w:bottom w:val="single" w:color="000000" w:sz="4" w:space="0"/>
              <w:right w:val="single" w:color="000000" w:sz="4" w:space="0"/>
            </w:tcBorders>
          </w:tcPr>
          <w:p w14:paraId="2B13D748">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lang w:eastAsia="zh-CN"/>
              </w:rPr>
              <w:t>—</w:t>
            </w:r>
          </w:p>
        </w:tc>
        <w:tc>
          <w:tcPr>
            <w:tcW w:w="940" w:type="pct"/>
            <w:tcBorders>
              <w:top w:val="single" w:color="000000" w:sz="4" w:space="0"/>
              <w:left w:val="single" w:color="000000" w:sz="4" w:space="0"/>
              <w:bottom w:val="single" w:color="000000" w:sz="4" w:space="0"/>
              <w:right w:val="single" w:color="000000" w:sz="4" w:space="0"/>
            </w:tcBorders>
          </w:tcPr>
          <w:p w14:paraId="33369E8D">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lang w:eastAsia="zh-CN"/>
              </w:rPr>
              <w:t>—</w:t>
            </w:r>
          </w:p>
        </w:tc>
        <w:tc>
          <w:tcPr>
            <w:tcW w:w="927" w:type="pct"/>
            <w:tcBorders>
              <w:top w:val="single" w:color="000000" w:sz="4" w:space="0"/>
              <w:left w:val="single" w:color="000000" w:sz="4" w:space="0"/>
              <w:bottom w:val="single" w:color="000000" w:sz="4" w:space="0"/>
            </w:tcBorders>
          </w:tcPr>
          <w:p w14:paraId="516D664E">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lang w:eastAsia="zh-CN"/>
              </w:rPr>
              <w:t>—</w:t>
            </w:r>
          </w:p>
        </w:tc>
      </w:tr>
      <w:tr w14:paraId="6DC73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678F86C8">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地表水环境</w:t>
            </w:r>
          </w:p>
        </w:tc>
        <w:tc>
          <w:tcPr>
            <w:tcW w:w="912" w:type="pct"/>
            <w:tcBorders>
              <w:top w:val="single" w:color="000000" w:sz="4" w:space="0"/>
              <w:left w:val="single" w:color="000000" w:sz="4" w:space="0"/>
              <w:bottom w:val="single" w:color="000000" w:sz="4" w:space="0"/>
              <w:right w:val="single" w:color="000000" w:sz="4" w:space="0"/>
            </w:tcBorders>
            <w:vAlign w:val="center"/>
          </w:tcPr>
          <w:p w14:paraId="08328F2F">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bCs/>
                <w:color w:val="000000" w:themeColor="text1"/>
                <w:sz w:val="21"/>
                <w:szCs w:val="21"/>
                <w:lang w:val="zh-CN" w:eastAsia="zh-CN"/>
              </w:rPr>
              <w:t>①施工材料堆放时采取遮蔽措施；②加强施工期管理，加强对运输车辆、施工机械定期检修保养，避免在施工过程中燃油、机油的跑、冒、滴、漏；③施工废水沉淀后用于洒水抑尘；④施工现场生活污水经移动式环保厕所收集后，定期拉运至吉木萨尔县污水处理厂处理；⑤禁止在道路沿线周边地表水体或河道内冲洗施工机械设备、运输车辆，抛洒杂物，倾倒固废。</w:t>
            </w:r>
          </w:p>
        </w:tc>
        <w:tc>
          <w:tcPr>
            <w:tcW w:w="883" w:type="pct"/>
            <w:tcBorders>
              <w:top w:val="single" w:color="000000" w:sz="4" w:space="0"/>
              <w:left w:val="single" w:color="000000" w:sz="4" w:space="0"/>
              <w:bottom w:val="single" w:color="000000" w:sz="4" w:space="0"/>
              <w:right w:val="single" w:color="000000" w:sz="4" w:space="0"/>
            </w:tcBorders>
            <w:vAlign w:val="center"/>
          </w:tcPr>
          <w:p w14:paraId="16ABC077">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按本环评要求落实相关措施</w:t>
            </w:r>
          </w:p>
        </w:tc>
        <w:tc>
          <w:tcPr>
            <w:tcW w:w="940" w:type="pct"/>
            <w:tcBorders>
              <w:top w:val="single" w:color="000000" w:sz="4" w:space="0"/>
              <w:left w:val="single" w:color="000000" w:sz="4" w:space="0"/>
              <w:bottom w:val="single" w:color="000000" w:sz="4" w:space="0"/>
              <w:right w:val="single" w:color="000000" w:sz="4" w:space="0"/>
            </w:tcBorders>
            <w:vAlign w:val="center"/>
          </w:tcPr>
          <w:p w14:paraId="56034628">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bCs/>
                <w:color w:val="000000" w:themeColor="text1"/>
                <w:sz w:val="21"/>
                <w:szCs w:val="21"/>
                <w:lang w:val="zh-CN" w:eastAsia="zh-CN"/>
              </w:rPr>
              <w:t>①加强道路排水设施的管理，定期进行巡查和疏浚，确保排水系统畅通；②加强道路运输管理；③运营期生活污水经污水处理站处理后，用于站区绿化，冬储夏灌不外排。</w:t>
            </w:r>
          </w:p>
        </w:tc>
        <w:tc>
          <w:tcPr>
            <w:tcW w:w="927" w:type="pct"/>
            <w:tcBorders>
              <w:top w:val="single" w:color="000000" w:sz="4" w:space="0"/>
              <w:left w:val="single" w:color="000000" w:sz="4" w:space="0"/>
              <w:bottom w:val="single" w:color="000000" w:sz="4" w:space="0"/>
            </w:tcBorders>
            <w:vAlign w:val="center"/>
          </w:tcPr>
          <w:p w14:paraId="56A75DD2">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生活污水执行《农村生活污水处理排放标准》（</w:t>
            </w:r>
            <w:r>
              <w:rPr>
                <w:rFonts w:ascii="Times New Roman" w:hAnsi="Times New Roman" w:cs="Times New Roman"/>
                <w:sz w:val="21"/>
                <w:szCs w:val="21"/>
                <w:lang w:eastAsia="zh-CN"/>
              </w:rPr>
              <w:t>DB 65 4275-2019）表2中B级标准限值</w:t>
            </w:r>
          </w:p>
        </w:tc>
      </w:tr>
      <w:tr w14:paraId="4E4C5F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0E17683F">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地下水及土壤环境</w:t>
            </w:r>
          </w:p>
        </w:tc>
        <w:tc>
          <w:tcPr>
            <w:tcW w:w="912" w:type="pct"/>
            <w:tcBorders>
              <w:top w:val="single" w:color="000000" w:sz="4" w:space="0"/>
              <w:left w:val="single" w:color="000000" w:sz="4" w:space="0"/>
              <w:bottom w:val="single" w:color="000000" w:sz="4" w:space="0"/>
              <w:right w:val="single" w:color="000000" w:sz="4" w:space="0"/>
            </w:tcBorders>
          </w:tcPr>
          <w:p w14:paraId="3306E313">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lang w:eastAsia="zh-CN"/>
              </w:rPr>
              <w:t>—</w:t>
            </w:r>
          </w:p>
        </w:tc>
        <w:tc>
          <w:tcPr>
            <w:tcW w:w="883" w:type="pct"/>
            <w:tcBorders>
              <w:top w:val="single" w:color="000000" w:sz="4" w:space="0"/>
              <w:left w:val="single" w:color="000000" w:sz="4" w:space="0"/>
              <w:bottom w:val="single" w:color="000000" w:sz="4" w:space="0"/>
              <w:right w:val="single" w:color="000000" w:sz="4" w:space="0"/>
            </w:tcBorders>
          </w:tcPr>
          <w:p w14:paraId="2A420D7F">
            <w:pPr>
              <w:jc w:val="center"/>
              <w:rPr>
                <w:rFonts w:ascii="Times New Roman" w:hAnsi="Times New Roman" w:cs="Times New Roman"/>
                <w:sz w:val="21"/>
                <w:szCs w:val="21"/>
                <w:lang w:eastAsia="zh-CN"/>
              </w:rPr>
            </w:pPr>
            <w:r>
              <w:rPr>
                <w:rFonts w:ascii="Times New Roman" w:hAnsi="Times New Roman" w:cs="Times New Roman"/>
                <w:sz w:val="21"/>
                <w:lang w:eastAsia="zh-CN"/>
              </w:rPr>
              <w:t>—</w:t>
            </w:r>
          </w:p>
        </w:tc>
        <w:tc>
          <w:tcPr>
            <w:tcW w:w="940" w:type="pct"/>
            <w:tcBorders>
              <w:top w:val="single" w:color="000000" w:sz="4" w:space="0"/>
              <w:left w:val="single" w:color="000000" w:sz="4" w:space="0"/>
              <w:bottom w:val="single" w:color="000000" w:sz="4" w:space="0"/>
              <w:right w:val="single" w:color="000000" w:sz="4" w:space="0"/>
            </w:tcBorders>
          </w:tcPr>
          <w:p w14:paraId="430C8074">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lang w:eastAsia="zh-CN"/>
              </w:rPr>
              <w:t>—</w:t>
            </w:r>
          </w:p>
        </w:tc>
        <w:tc>
          <w:tcPr>
            <w:tcW w:w="927" w:type="pct"/>
            <w:tcBorders>
              <w:top w:val="single" w:color="000000" w:sz="4" w:space="0"/>
              <w:left w:val="single" w:color="000000" w:sz="4" w:space="0"/>
              <w:bottom w:val="single" w:color="000000" w:sz="4" w:space="0"/>
            </w:tcBorders>
          </w:tcPr>
          <w:p w14:paraId="51A8A846">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lang w:eastAsia="zh-CN"/>
              </w:rPr>
              <w:t>—</w:t>
            </w:r>
          </w:p>
        </w:tc>
      </w:tr>
      <w:tr w14:paraId="322F67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6306AAB4">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声环境</w:t>
            </w:r>
          </w:p>
        </w:tc>
        <w:tc>
          <w:tcPr>
            <w:tcW w:w="912" w:type="pct"/>
            <w:tcBorders>
              <w:top w:val="single" w:color="000000" w:sz="4" w:space="0"/>
              <w:left w:val="single" w:color="000000" w:sz="4" w:space="0"/>
              <w:bottom w:val="single" w:color="000000" w:sz="4" w:space="0"/>
              <w:right w:val="single" w:color="000000" w:sz="4" w:space="0"/>
            </w:tcBorders>
            <w:vAlign w:val="center"/>
          </w:tcPr>
          <w:p w14:paraId="11CF9A2E">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①选用低噪声机械设备并加强维护保养；②运输车辆控制车速，严禁鸣笛；③合理安排工期，禁止午休时段和夜间进行施工作业。</w:t>
            </w:r>
          </w:p>
        </w:tc>
        <w:tc>
          <w:tcPr>
            <w:tcW w:w="883" w:type="pct"/>
            <w:tcBorders>
              <w:top w:val="single" w:color="000000" w:sz="4" w:space="0"/>
              <w:left w:val="single" w:color="000000" w:sz="4" w:space="0"/>
              <w:bottom w:val="single" w:color="000000" w:sz="4" w:space="0"/>
              <w:right w:val="single" w:color="000000" w:sz="4" w:space="0"/>
            </w:tcBorders>
            <w:vAlign w:val="center"/>
          </w:tcPr>
          <w:p w14:paraId="645A8191">
            <w:pPr>
              <w:pStyle w:val="18"/>
              <w:spacing w:line="237" w:lineRule="auto"/>
              <w:ind w:right="26"/>
              <w:jc w:val="both"/>
              <w:rPr>
                <w:rFonts w:ascii="Times New Roman" w:hAnsi="Times New Roman" w:cs="Times New Roman"/>
                <w:sz w:val="21"/>
                <w:szCs w:val="21"/>
                <w:lang w:eastAsia="zh-CN"/>
              </w:rPr>
            </w:pPr>
            <w:r>
              <w:rPr>
                <w:rFonts w:ascii="Times New Roman" w:hAnsi="Times New Roman" w:cs="Times New Roman"/>
                <w:sz w:val="21"/>
                <w:szCs w:val="21"/>
                <w:lang w:eastAsia="zh-CN"/>
              </w:rPr>
              <w:t>施工噪声满足《建筑施工场界环境噪声排放标准》（GB 12523-2011）的要求。</w:t>
            </w:r>
          </w:p>
        </w:tc>
        <w:tc>
          <w:tcPr>
            <w:tcW w:w="940" w:type="pct"/>
            <w:tcBorders>
              <w:top w:val="single" w:color="000000" w:sz="4" w:space="0"/>
              <w:left w:val="single" w:color="000000" w:sz="4" w:space="0"/>
              <w:bottom w:val="single" w:color="000000" w:sz="4" w:space="0"/>
              <w:right w:val="single" w:color="000000" w:sz="4" w:space="0"/>
            </w:tcBorders>
            <w:vAlign w:val="center"/>
          </w:tcPr>
          <w:p w14:paraId="7F2993FA">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①加强交通管理，严格执行限速和禁止超载等交通规则；②经常养护路面，保证路面平整清洁；③项目沿线居民点分布较为集中、离公路较近的路段设置隔声屏障：东二畦下村居民点（</w:t>
            </w:r>
            <w:r>
              <w:rPr>
                <w:rFonts w:ascii="Times New Roman" w:hAnsi="Times New Roman" w:cs="Times New Roman"/>
                <w:sz w:val="21"/>
                <w:szCs w:val="21"/>
                <w:lang w:eastAsia="zh-CN"/>
              </w:rPr>
              <w:t>k113+440~k115+400西侧）、东二畦上村居民点（k116+023~k116+375西侧）、冉家湖村居民点（k116+570~k118+200西侧）、终点附近的东梁村居民点（k125+193~k125+700西侧、k125+700~k126+220东侧）。</w:t>
            </w:r>
          </w:p>
        </w:tc>
        <w:tc>
          <w:tcPr>
            <w:tcW w:w="927" w:type="pct"/>
            <w:tcBorders>
              <w:top w:val="single" w:color="000000" w:sz="4" w:space="0"/>
              <w:left w:val="single" w:color="000000" w:sz="4" w:space="0"/>
              <w:bottom w:val="single" w:color="000000" w:sz="4" w:space="0"/>
            </w:tcBorders>
            <w:vAlign w:val="center"/>
          </w:tcPr>
          <w:p w14:paraId="791EEB22">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bCs/>
                <w:color w:val="000000" w:themeColor="text1"/>
                <w:sz w:val="21"/>
                <w:szCs w:val="21"/>
                <w:lang w:val="zh-CN" w:eastAsia="zh-CN"/>
              </w:rPr>
              <w:t>道路边界线外</w:t>
            </w:r>
            <w:r>
              <w:rPr>
                <w:rFonts w:ascii="Times New Roman" w:hAnsi="Times New Roman" w:cs="Times New Roman"/>
                <w:bCs/>
                <w:color w:val="000000" w:themeColor="text1"/>
                <w:sz w:val="21"/>
                <w:szCs w:val="21"/>
                <w:lang w:val="zh-CN" w:eastAsia="zh-CN"/>
              </w:rPr>
              <w:t>35m范围内交通噪声执行《声环境质量标准》（GB 3096-2008）的4a类标准，35m范围外执行2类标准。</w:t>
            </w:r>
          </w:p>
        </w:tc>
      </w:tr>
      <w:tr w14:paraId="574336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5F9D7044">
            <w:pPr>
              <w:pStyle w:val="18"/>
              <w:spacing w:line="237" w:lineRule="auto"/>
              <w:ind w:right="26"/>
              <w:jc w:val="center"/>
              <w:rPr>
                <w:rFonts w:ascii="Times New Roman" w:hAnsi="Times New Roman" w:cs="Times New Roman"/>
                <w:b/>
                <w:sz w:val="24"/>
                <w:szCs w:val="24"/>
                <w:lang w:eastAsia="zh-CN"/>
              </w:rPr>
            </w:pPr>
            <w:r>
              <w:rPr>
                <w:rFonts w:hint="eastAsia" w:ascii="Times New Roman" w:hAnsi="Times New Roman" w:cs="Times New Roman"/>
                <w:b/>
                <w:sz w:val="24"/>
                <w:szCs w:val="24"/>
                <w:lang w:eastAsia="zh-CN"/>
              </w:rPr>
              <w:t xml:space="preserve">振 </w:t>
            </w:r>
            <w:r>
              <w:rPr>
                <w:rFonts w:ascii="Times New Roman" w:hAnsi="Times New Roman" w:cs="Times New Roman"/>
                <w:b/>
                <w:sz w:val="24"/>
                <w:szCs w:val="24"/>
                <w:lang w:eastAsia="zh-CN"/>
              </w:rPr>
              <w:t xml:space="preserve">   动</w:t>
            </w:r>
          </w:p>
        </w:tc>
        <w:tc>
          <w:tcPr>
            <w:tcW w:w="912" w:type="pct"/>
            <w:tcBorders>
              <w:top w:val="single" w:color="000000" w:sz="4" w:space="0"/>
              <w:left w:val="single" w:color="000000" w:sz="4" w:space="0"/>
              <w:bottom w:val="single" w:color="000000" w:sz="4" w:space="0"/>
              <w:right w:val="single" w:color="000000" w:sz="4" w:space="0"/>
            </w:tcBorders>
          </w:tcPr>
          <w:p w14:paraId="35E8C8DB">
            <w:pPr>
              <w:jc w:val="center"/>
            </w:pPr>
            <w:r>
              <w:rPr>
                <w:rFonts w:ascii="Times New Roman" w:hAnsi="Times New Roman" w:cs="Times New Roman"/>
                <w:sz w:val="21"/>
                <w:szCs w:val="21"/>
                <w:lang w:eastAsia="zh-CN"/>
              </w:rPr>
              <w:t>无</w:t>
            </w:r>
          </w:p>
        </w:tc>
        <w:tc>
          <w:tcPr>
            <w:tcW w:w="883" w:type="pct"/>
            <w:tcBorders>
              <w:top w:val="single" w:color="000000" w:sz="4" w:space="0"/>
              <w:left w:val="single" w:color="000000" w:sz="4" w:space="0"/>
              <w:bottom w:val="single" w:color="000000" w:sz="4" w:space="0"/>
              <w:right w:val="single" w:color="000000" w:sz="4" w:space="0"/>
            </w:tcBorders>
          </w:tcPr>
          <w:p w14:paraId="3E6E3F78">
            <w:pPr>
              <w:jc w:val="center"/>
            </w:pPr>
            <w:r>
              <w:rPr>
                <w:rFonts w:ascii="Times New Roman" w:hAnsi="Times New Roman" w:cs="Times New Roman"/>
                <w:sz w:val="21"/>
                <w:szCs w:val="21"/>
                <w:lang w:eastAsia="zh-CN"/>
              </w:rPr>
              <w:t>无</w:t>
            </w:r>
          </w:p>
        </w:tc>
        <w:tc>
          <w:tcPr>
            <w:tcW w:w="940" w:type="pct"/>
            <w:tcBorders>
              <w:top w:val="single" w:color="000000" w:sz="4" w:space="0"/>
              <w:left w:val="single" w:color="000000" w:sz="4" w:space="0"/>
              <w:bottom w:val="single" w:color="000000" w:sz="4" w:space="0"/>
              <w:right w:val="single" w:color="000000" w:sz="4" w:space="0"/>
            </w:tcBorders>
            <w:vAlign w:val="center"/>
          </w:tcPr>
          <w:p w14:paraId="2685A421">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927" w:type="pct"/>
            <w:tcBorders>
              <w:top w:val="single" w:color="000000" w:sz="4" w:space="0"/>
              <w:left w:val="single" w:color="000000" w:sz="4" w:space="0"/>
              <w:bottom w:val="single" w:color="000000" w:sz="4" w:space="0"/>
            </w:tcBorders>
            <w:vAlign w:val="center"/>
          </w:tcPr>
          <w:p w14:paraId="6FF64F0A">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r>
      <w:tr w14:paraId="51CDAC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4894A6F8">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大气环境</w:t>
            </w:r>
          </w:p>
        </w:tc>
        <w:tc>
          <w:tcPr>
            <w:tcW w:w="912" w:type="pct"/>
            <w:tcBorders>
              <w:top w:val="single" w:color="000000" w:sz="4" w:space="0"/>
              <w:left w:val="single" w:color="000000" w:sz="4" w:space="0"/>
              <w:bottom w:val="single" w:color="000000" w:sz="4" w:space="0"/>
              <w:right w:val="single" w:color="000000" w:sz="4" w:space="0"/>
            </w:tcBorders>
            <w:vAlign w:val="center"/>
          </w:tcPr>
          <w:p w14:paraId="09D64D11">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设置施工围挡；洒水抑尘；施工材料、土方等覆盖防尘布、遮网；运输车辆驶离工地前清洗车轮及车身，车斗用苫布遮蔽；施工机械设备、运输车辆使用标准柴油，加强机械、车辆维护保养，鼓励优先使用清洁能源货车。</w:t>
            </w:r>
          </w:p>
        </w:tc>
        <w:tc>
          <w:tcPr>
            <w:tcW w:w="883" w:type="pct"/>
            <w:tcBorders>
              <w:top w:val="single" w:color="000000" w:sz="4" w:space="0"/>
              <w:left w:val="single" w:color="000000" w:sz="4" w:space="0"/>
              <w:bottom w:val="single" w:color="000000" w:sz="4" w:space="0"/>
              <w:right w:val="single" w:color="000000" w:sz="4" w:space="0"/>
            </w:tcBorders>
            <w:vAlign w:val="center"/>
          </w:tcPr>
          <w:p w14:paraId="7D5737E6">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施工扬尘满足《大气污染物综合排放标准》（</w:t>
            </w:r>
            <w:r>
              <w:rPr>
                <w:rFonts w:ascii="Times New Roman" w:hAnsi="Times New Roman" w:cs="Times New Roman"/>
                <w:sz w:val="21"/>
                <w:szCs w:val="21"/>
                <w:lang w:eastAsia="zh-CN"/>
              </w:rPr>
              <w:t>GB 16297-1996</w:t>
            </w:r>
            <w:r>
              <w:rPr>
                <w:rFonts w:hint="eastAsia" w:ascii="Times New Roman" w:hAnsi="Times New Roman" w:cs="Times New Roman"/>
                <w:sz w:val="21"/>
                <w:szCs w:val="21"/>
                <w:lang w:eastAsia="zh-CN"/>
              </w:rPr>
              <w:t>）表</w:t>
            </w:r>
            <w:r>
              <w:rPr>
                <w:rFonts w:ascii="Times New Roman" w:hAnsi="Times New Roman" w:cs="Times New Roman"/>
                <w:sz w:val="21"/>
                <w:szCs w:val="21"/>
                <w:lang w:eastAsia="zh-CN"/>
              </w:rPr>
              <w:t>2“</w:t>
            </w:r>
            <w:r>
              <w:rPr>
                <w:rFonts w:hint="eastAsia" w:ascii="Times New Roman" w:hAnsi="Times New Roman" w:cs="Times New Roman"/>
                <w:sz w:val="21"/>
                <w:szCs w:val="21"/>
                <w:lang w:eastAsia="zh-CN"/>
              </w:rPr>
              <w:t>新污染源大气污染物排放限值</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无组织排放标准。施工机械设备尾气、运输车辆尾气分别执行《非道路柴油移动机械排气烟度限值及测量方法》（</w:t>
            </w:r>
            <w:r>
              <w:rPr>
                <w:rFonts w:ascii="Times New Roman" w:hAnsi="Times New Roman" w:cs="Times New Roman"/>
                <w:sz w:val="21"/>
                <w:szCs w:val="21"/>
                <w:lang w:eastAsia="zh-CN"/>
              </w:rPr>
              <w:t>GB36886-2018</w:t>
            </w:r>
            <w:r>
              <w:rPr>
                <w:rFonts w:hint="eastAsia" w:ascii="Times New Roman" w:hAnsi="Times New Roman" w:cs="Times New Roman"/>
                <w:sz w:val="21"/>
                <w:szCs w:val="21"/>
                <w:lang w:eastAsia="zh-CN"/>
              </w:rPr>
              <w:t>）、《重型柴油车污染物排放限值及测量方法（中国第六阶段）》（</w:t>
            </w:r>
            <w:r>
              <w:rPr>
                <w:rFonts w:ascii="Times New Roman" w:hAnsi="Times New Roman" w:cs="Times New Roman"/>
                <w:sz w:val="21"/>
                <w:szCs w:val="21"/>
                <w:lang w:eastAsia="zh-CN"/>
              </w:rPr>
              <w:t>GB 17691-2018</w:t>
            </w:r>
            <w:r>
              <w:rPr>
                <w:rFonts w:hint="eastAsia" w:ascii="Times New Roman" w:hAnsi="Times New Roman" w:cs="Times New Roman"/>
                <w:sz w:val="21"/>
                <w:szCs w:val="21"/>
                <w:lang w:eastAsia="zh-CN"/>
              </w:rPr>
              <w:t>）</w:t>
            </w:r>
          </w:p>
        </w:tc>
        <w:tc>
          <w:tcPr>
            <w:tcW w:w="940" w:type="pct"/>
            <w:tcBorders>
              <w:top w:val="single" w:color="000000" w:sz="4" w:space="0"/>
              <w:left w:val="single" w:color="000000" w:sz="4" w:space="0"/>
              <w:bottom w:val="single" w:color="000000" w:sz="4" w:space="0"/>
              <w:right w:val="single" w:color="000000" w:sz="4" w:space="0"/>
            </w:tcBorders>
            <w:vAlign w:val="center"/>
          </w:tcPr>
          <w:p w14:paraId="160871A3">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食堂油烟经油烟净化器处理后，通过专用烟道延伸至楼顶排放。</w:t>
            </w:r>
          </w:p>
        </w:tc>
        <w:tc>
          <w:tcPr>
            <w:tcW w:w="927" w:type="pct"/>
            <w:tcBorders>
              <w:top w:val="single" w:color="000000" w:sz="4" w:space="0"/>
              <w:left w:val="single" w:color="000000" w:sz="4" w:space="0"/>
              <w:bottom w:val="single" w:color="000000" w:sz="4" w:space="0"/>
            </w:tcBorders>
            <w:vAlign w:val="center"/>
          </w:tcPr>
          <w:p w14:paraId="5CFC3016">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《饮食业油烟排放标准（试行）》（</w:t>
            </w:r>
            <w:r>
              <w:rPr>
                <w:rFonts w:ascii="Times New Roman" w:hAnsi="Times New Roman" w:cs="Times New Roman"/>
                <w:sz w:val="21"/>
                <w:szCs w:val="21"/>
                <w:lang w:eastAsia="zh-CN"/>
              </w:rPr>
              <w:t>GB 18483-2001）</w:t>
            </w:r>
          </w:p>
        </w:tc>
      </w:tr>
      <w:tr w14:paraId="6034E9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5A6C5659">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固体废物</w:t>
            </w:r>
          </w:p>
        </w:tc>
        <w:tc>
          <w:tcPr>
            <w:tcW w:w="912" w:type="pct"/>
            <w:tcBorders>
              <w:top w:val="single" w:color="000000" w:sz="4" w:space="0"/>
              <w:left w:val="single" w:color="000000" w:sz="4" w:space="0"/>
              <w:bottom w:val="single" w:color="000000" w:sz="4" w:space="0"/>
              <w:right w:val="single" w:color="000000" w:sz="4" w:space="0"/>
            </w:tcBorders>
            <w:vAlign w:val="center"/>
          </w:tcPr>
          <w:p w14:paraId="09396E8D">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①施工现场生活垃圾收集后交由环卫部门处置；②建筑垃圾定期由施工单位清运至城市管理部门指定地点处置，废弃土方拉运至弃土场；③运输施工固废的车辆，车斗采取遮蔽措施，防治固废沿途洒落。</w:t>
            </w:r>
          </w:p>
        </w:tc>
        <w:tc>
          <w:tcPr>
            <w:tcW w:w="883" w:type="pct"/>
            <w:tcBorders>
              <w:top w:val="single" w:color="000000" w:sz="4" w:space="0"/>
              <w:left w:val="single" w:color="000000" w:sz="4" w:space="0"/>
              <w:bottom w:val="single" w:color="000000" w:sz="4" w:space="0"/>
              <w:right w:val="single" w:color="000000" w:sz="4" w:space="0"/>
            </w:tcBorders>
            <w:vAlign w:val="center"/>
          </w:tcPr>
          <w:p w14:paraId="7B52BF02">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按本环评要求落实相关措施</w:t>
            </w:r>
          </w:p>
        </w:tc>
        <w:tc>
          <w:tcPr>
            <w:tcW w:w="940" w:type="pct"/>
            <w:tcBorders>
              <w:top w:val="single" w:color="000000" w:sz="4" w:space="0"/>
              <w:left w:val="single" w:color="000000" w:sz="4" w:space="0"/>
              <w:bottom w:val="single" w:color="000000" w:sz="4" w:space="0"/>
              <w:right w:val="single" w:color="000000" w:sz="4" w:space="0"/>
            </w:tcBorders>
            <w:vAlign w:val="center"/>
          </w:tcPr>
          <w:p w14:paraId="30769AE0">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①服务区、收费站等处的生活垃圾应定点收集，定期清运至环卫部门处置；②道路维修养护产生的废沥青，收集后回用；③服务区产生的废机油由危废贮存点贮存，交由有相关处理资质的单位处置。</w:t>
            </w:r>
          </w:p>
        </w:tc>
        <w:tc>
          <w:tcPr>
            <w:tcW w:w="927" w:type="pct"/>
            <w:tcBorders>
              <w:top w:val="single" w:color="000000" w:sz="4" w:space="0"/>
              <w:left w:val="single" w:color="000000" w:sz="4" w:space="0"/>
              <w:bottom w:val="single" w:color="000000" w:sz="4" w:space="0"/>
            </w:tcBorders>
            <w:vAlign w:val="center"/>
          </w:tcPr>
          <w:p w14:paraId="5120539F">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按本环评要求落实相关措施</w:t>
            </w:r>
          </w:p>
        </w:tc>
      </w:tr>
      <w:tr w14:paraId="4F4E9F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68E3660D">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电磁环境</w:t>
            </w:r>
          </w:p>
        </w:tc>
        <w:tc>
          <w:tcPr>
            <w:tcW w:w="912" w:type="pct"/>
            <w:tcBorders>
              <w:top w:val="single" w:color="000000" w:sz="4" w:space="0"/>
              <w:left w:val="single" w:color="000000" w:sz="4" w:space="0"/>
              <w:bottom w:val="single" w:color="000000" w:sz="4" w:space="0"/>
              <w:right w:val="single" w:color="000000" w:sz="4" w:space="0"/>
            </w:tcBorders>
            <w:vAlign w:val="center"/>
          </w:tcPr>
          <w:p w14:paraId="76CEEBB8">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883" w:type="pct"/>
            <w:tcBorders>
              <w:top w:val="single" w:color="000000" w:sz="4" w:space="0"/>
              <w:left w:val="single" w:color="000000" w:sz="4" w:space="0"/>
              <w:bottom w:val="single" w:color="000000" w:sz="4" w:space="0"/>
              <w:right w:val="single" w:color="000000" w:sz="4" w:space="0"/>
            </w:tcBorders>
            <w:vAlign w:val="center"/>
          </w:tcPr>
          <w:p w14:paraId="7B35DA5E">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940" w:type="pct"/>
            <w:tcBorders>
              <w:top w:val="single" w:color="000000" w:sz="4" w:space="0"/>
              <w:left w:val="single" w:color="000000" w:sz="4" w:space="0"/>
              <w:bottom w:val="single" w:color="000000" w:sz="4" w:space="0"/>
              <w:right w:val="single" w:color="000000" w:sz="4" w:space="0"/>
            </w:tcBorders>
            <w:vAlign w:val="center"/>
          </w:tcPr>
          <w:p w14:paraId="5C0730F9">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927" w:type="pct"/>
            <w:tcBorders>
              <w:top w:val="single" w:color="000000" w:sz="4" w:space="0"/>
              <w:left w:val="single" w:color="000000" w:sz="4" w:space="0"/>
              <w:bottom w:val="single" w:color="000000" w:sz="4" w:space="0"/>
            </w:tcBorders>
            <w:vAlign w:val="center"/>
          </w:tcPr>
          <w:p w14:paraId="1AEE9ECB">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r>
      <w:tr w14:paraId="1ACCD1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bottom w:val="single" w:color="000000" w:sz="4" w:space="0"/>
              <w:right w:val="single" w:color="000000" w:sz="4" w:space="0"/>
            </w:tcBorders>
            <w:vAlign w:val="center"/>
          </w:tcPr>
          <w:p w14:paraId="164A9FFD">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环境风险</w:t>
            </w:r>
          </w:p>
        </w:tc>
        <w:tc>
          <w:tcPr>
            <w:tcW w:w="912" w:type="pct"/>
            <w:tcBorders>
              <w:top w:val="single" w:color="000000" w:sz="4" w:space="0"/>
              <w:left w:val="single" w:color="000000" w:sz="4" w:space="0"/>
              <w:bottom w:val="single" w:color="000000" w:sz="4" w:space="0"/>
              <w:right w:val="single" w:color="000000" w:sz="4" w:space="0"/>
            </w:tcBorders>
            <w:vAlign w:val="center"/>
          </w:tcPr>
          <w:p w14:paraId="47E86B40">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883" w:type="pct"/>
            <w:tcBorders>
              <w:top w:val="single" w:color="000000" w:sz="4" w:space="0"/>
              <w:left w:val="single" w:color="000000" w:sz="4" w:space="0"/>
              <w:bottom w:val="single" w:color="000000" w:sz="4" w:space="0"/>
              <w:right w:val="single" w:color="000000" w:sz="4" w:space="0"/>
            </w:tcBorders>
            <w:vAlign w:val="center"/>
          </w:tcPr>
          <w:p w14:paraId="3A6754E3">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940" w:type="pct"/>
            <w:tcBorders>
              <w:top w:val="single" w:color="000000" w:sz="4" w:space="0"/>
              <w:left w:val="single" w:color="000000" w:sz="4" w:space="0"/>
              <w:bottom w:val="single" w:color="000000" w:sz="4" w:space="0"/>
              <w:right w:val="single" w:color="000000" w:sz="4" w:space="0"/>
            </w:tcBorders>
            <w:vAlign w:val="center"/>
          </w:tcPr>
          <w:p w14:paraId="29304BC1">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道路管理部门应加强危险品运输管理。道路</w:t>
            </w:r>
            <w:r>
              <w:rPr>
                <w:rFonts w:ascii="Times New Roman" w:hAnsi="Times New Roman" w:cs="Times New Roman"/>
                <w:sz w:val="21"/>
                <w:szCs w:val="21"/>
                <w:lang w:eastAsia="zh-CN"/>
              </w:rPr>
              <w:t>沿线设置相应</w:t>
            </w:r>
            <w:r>
              <w:rPr>
                <w:rFonts w:hint="eastAsia" w:ascii="Times New Roman" w:hAnsi="Times New Roman" w:cs="Times New Roman"/>
                <w:sz w:val="21"/>
                <w:szCs w:val="21"/>
                <w:lang w:eastAsia="zh-CN"/>
              </w:rPr>
              <w:t>警示牌</w:t>
            </w:r>
            <w:r>
              <w:rPr>
                <w:rFonts w:ascii="Times New Roman" w:hAnsi="Times New Roman" w:cs="Times New Roman"/>
                <w:sz w:val="21"/>
                <w:szCs w:val="21"/>
                <w:lang w:eastAsia="zh-CN"/>
              </w:rPr>
              <w:t>。</w:t>
            </w:r>
          </w:p>
        </w:tc>
        <w:tc>
          <w:tcPr>
            <w:tcW w:w="927" w:type="pct"/>
            <w:tcBorders>
              <w:top w:val="single" w:color="000000" w:sz="4" w:space="0"/>
              <w:left w:val="single" w:color="000000" w:sz="4" w:space="0"/>
              <w:bottom w:val="single" w:color="000000" w:sz="4" w:space="0"/>
            </w:tcBorders>
            <w:vAlign w:val="center"/>
          </w:tcPr>
          <w:p w14:paraId="3CD6E2EF">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按本环评要求落实相关措施</w:t>
            </w:r>
          </w:p>
        </w:tc>
      </w:tr>
      <w:tr w14:paraId="2D873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right w:val="single" w:color="000000" w:sz="4" w:space="0"/>
            </w:tcBorders>
            <w:vAlign w:val="center"/>
          </w:tcPr>
          <w:p w14:paraId="3E7BCA17">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环境监测</w:t>
            </w:r>
          </w:p>
        </w:tc>
        <w:tc>
          <w:tcPr>
            <w:tcW w:w="912" w:type="pct"/>
            <w:tcBorders>
              <w:top w:val="single" w:color="000000" w:sz="4" w:space="0"/>
              <w:left w:val="single" w:color="000000" w:sz="4" w:space="0"/>
              <w:bottom w:val="single" w:color="000000" w:sz="4" w:space="0"/>
              <w:right w:val="single" w:color="000000" w:sz="4" w:space="0"/>
            </w:tcBorders>
            <w:vAlign w:val="center"/>
          </w:tcPr>
          <w:p w14:paraId="2E04B850">
            <w:pPr>
              <w:pStyle w:val="18"/>
              <w:spacing w:line="237" w:lineRule="auto"/>
              <w:ind w:right="26" w:firstLine="210" w:firstLineChars="100"/>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施工场界T</w:t>
            </w:r>
            <w:r>
              <w:rPr>
                <w:rFonts w:ascii="Times New Roman" w:hAnsi="Times New Roman" w:cs="Times New Roman"/>
                <w:sz w:val="21"/>
                <w:szCs w:val="21"/>
                <w:lang w:eastAsia="zh-CN"/>
              </w:rPr>
              <w:t>SP</w:t>
            </w:r>
          </w:p>
          <w:p w14:paraId="061F9461">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施工场界噪声</w:t>
            </w:r>
          </w:p>
        </w:tc>
        <w:tc>
          <w:tcPr>
            <w:tcW w:w="883" w:type="pct"/>
            <w:tcBorders>
              <w:top w:val="single" w:color="000000" w:sz="4" w:space="0"/>
              <w:left w:val="single" w:color="000000" w:sz="4" w:space="0"/>
              <w:bottom w:val="single" w:color="000000" w:sz="4" w:space="0"/>
              <w:right w:val="single" w:color="000000" w:sz="4" w:space="0"/>
            </w:tcBorders>
            <w:vAlign w:val="center"/>
          </w:tcPr>
          <w:p w14:paraId="048C1360">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施工场界</w:t>
            </w:r>
            <w:r>
              <w:rPr>
                <w:rFonts w:ascii="Times New Roman" w:hAnsi="Times New Roman" w:cs="Times New Roman"/>
                <w:sz w:val="21"/>
                <w:szCs w:val="21"/>
                <w:lang w:eastAsia="zh-CN"/>
              </w:rPr>
              <w:t>TSP</w:t>
            </w:r>
            <w:r>
              <w:rPr>
                <w:rFonts w:hint="eastAsia" w:ascii="Times New Roman" w:hAnsi="Times New Roman" w:cs="Times New Roman"/>
                <w:sz w:val="21"/>
                <w:szCs w:val="21"/>
                <w:lang w:eastAsia="zh-CN"/>
              </w:rPr>
              <w:t>满足《大气污染物综合排放标准》（</w:t>
            </w:r>
            <w:r>
              <w:rPr>
                <w:rFonts w:ascii="Times New Roman" w:hAnsi="Times New Roman" w:cs="Times New Roman"/>
                <w:sz w:val="21"/>
                <w:szCs w:val="21"/>
                <w:lang w:eastAsia="zh-CN"/>
              </w:rPr>
              <w:t>GB 16297-1996）表2“新污染源大气污染物排放限值”的无组织排放标准</w:t>
            </w:r>
            <w:r>
              <w:rPr>
                <w:rFonts w:hint="eastAsia" w:ascii="Times New Roman" w:hAnsi="Times New Roman" w:cs="Times New Roman"/>
                <w:sz w:val="21"/>
                <w:szCs w:val="21"/>
                <w:lang w:eastAsia="zh-CN"/>
              </w:rPr>
              <w:t>；施工场界噪声满足《建筑施工场界环境噪声排放标准》（</w:t>
            </w:r>
            <w:r>
              <w:rPr>
                <w:rFonts w:ascii="Times New Roman" w:hAnsi="Times New Roman" w:cs="Times New Roman"/>
                <w:sz w:val="21"/>
                <w:szCs w:val="21"/>
                <w:lang w:eastAsia="zh-CN"/>
              </w:rPr>
              <w:t>GB 12523-2011）</w:t>
            </w:r>
          </w:p>
        </w:tc>
        <w:tc>
          <w:tcPr>
            <w:tcW w:w="940" w:type="pct"/>
            <w:tcBorders>
              <w:top w:val="single" w:color="000000" w:sz="4" w:space="0"/>
              <w:left w:val="single" w:color="000000" w:sz="4" w:space="0"/>
              <w:bottom w:val="single" w:color="000000" w:sz="4" w:space="0"/>
              <w:right w:val="single" w:color="000000" w:sz="4" w:space="0"/>
            </w:tcBorders>
            <w:vAlign w:val="center"/>
          </w:tcPr>
          <w:p w14:paraId="0E153ECA">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①食堂油烟</w:t>
            </w:r>
          </w:p>
          <w:p w14:paraId="60168873">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②生活污水</w:t>
            </w:r>
          </w:p>
          <w:p w14:paraId="0CCFFDF4">
            <w:pPr>
              <w:pStyle w:val="18"/>
              <w:spacing w:line="237" w:lineRule="auto"/>
              <w:ind w:right="2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③交通噪声</w:t>
            </w:r>
          </w:p>
        </w:tc>
        <w:tc>
          <w:tcPr>
            <w:tcW w:w="927" w:type="pct"/>
            <w:tcBorders>
              <w:top w:val="single" w:color="000000" w:sz="4" w:space="0"/>
              <w:left w:val="single" w:color="000000" w:sz="4" w:space="0"/>
              <w:bottom w:val="single" w:color="000000" w:sz="4" w:space="0"/>
            </w:tcBorders>
            <w:vAlign w:val="center"/>
          </w:tcPr>
          <w:p w14:paraId="224E3656">
            <w:pPr>
              <w:pStyle w:val="18"/>
              <w:spacing w:line="237" w:lineRule="auto"/>
              <w:ind w:right="26"/>
              <w:jc w:val="both"/>
              <w:rPr>
                <w:rFonts w:ascii="Times New Roman" w:hAnsi="Times New Roman" w:cs="Times New Roman"/>
                <w:sz w:val="21"/>
                <w:szCs w:val="21"/>
                <w:lang w:eastAsia="zh-CN"/>
              </w:rPr>
            </w:pPr>
            <w:r>
              <w:rPr>
                <w:rFonts w:hint="eastAsia" w:ascii="Times New Roman" w:hAnsi="Times New Roman" w:cs="Times New Roman"/>
                <w:sz w:val="21"/>
                <w:szCs w:val="21"/>
                <w:lang w:eastAsia="zh-CN"/>
              </w:rPr>
              <w:t>①《饮食业油烟排放标准（试行）》（</w:t>
            </w:r>
            <w:r>
              <w:rPr>
                <w:rFonts w:ascii="Times New Roman" w:hAnsi="Times New Roman" w:cs="Times New Roman"/>
                <w:sz w:val="21"/>
                <w:szCs w:val="21"/>
                <w:lang w:eastAsia="zh-CN"/>
              </w:rPr>
              <w:t>GB 18483-2001）</w:t>
            </w:r>
            <w:r>
              <w:rPr>
                <w:rFonts w:hint="eastAsia" w:ascii="Times New Roman" w:hAnsi="Times New Roman" w:cs="Times New Roman"/>
                <w:sz w:val="21"/>
                <w:szCs w:val="21"/>
                <w:lang w:eastAsia="zh-CN"/>
              </w:rPr>
              <w:t>；</w:t>
            </w:r>
            <w:r>
              <w:rPr>
                <w:rFonts w:hint="eastAsia"/>
                <w:sz w:val="21"/>
                <w:szCs w:val="21"/>
                <w:lang w:eastAsia="zh-CN"/>
              </w:rPr>
              <w:t>②</w:t>
            </w:r>
            <w:r>
              <w:rPr>
                <w:rFonts w:hint="eastAsia" w:ascii="Times New Roman" w:hAnsi="Times New Roman" w:cs="Times New Roman"/>
                <w:sz w:val="21"/>
                <w:szCs w:val="21"/>
                <w:lang w:eastAsia="zh-CN"/>
              </w:rPr>
              <w:t>《农村生活污水处理排放标准》（</w:t>
            </w:r>
            <w:r>
              <w:rPr>
                <w:rFonts w:ascii="Times New Roman" w:hAnsi="Times New Roman" w:cs="Times New Roman"/>
                <w:sz w:val="21"/>
                <w:szCs w:val="21"/>
                <w:lang w:eastAsia="zh-CN"/>
              </w:rPr>
              <w:t>DB 65 4275-2019）表2中B级标准限值</w:t>
            </w:r>
            <w:r>
              <w:rPr>
                <w:rFonts w:hint="eastAsia" w:ascii="Times New Roman" w:hAnsi="Times New Roman" w:cs="Times New Roman"/>
                <w:sz w:val="21"/>
                <w:szCs w:val="21"/>
                <w:lang w:eastAsia="zh-CN"/>
              </w:rPr>
              <w:t>；</w:t>
            </w:r>
            <w:r>
              <w:rPr>
                <w:rFonts w:hint="eastAsia"/>
                <w:sz w:val="21"/>
                <w:szCs w:val="21"/>
                <w:lang w:eastAsia="zh-CN"/>
              </w:rPr>
              <w:t>③</w:t>
            </w:r>
            <w:r>
              <w:rPr>
                <w:rFonts w:hint="eastAsia" w:ascii="Times New Roman" w:hAnsi="Times New Roman" w:cs="Times New Roman"/>
                <w:sz w:val="21"/>
                <w:szCs w:val="21"/>
                <w:lang w:eastAsia="zh-CN"/>
              </w:rPr>
              <w:t>道路边界线外</w:t>
            </w:r>
            <w:r>
              <w:rPr>
                <w:rFonts w:ascii="Times New Roman" w:hAnsi="Times New Roman" w:cs="Times New Roman"/>
                <w:sz w:val="21"/>
                <w:szCs w:val="21"/>
                <w:lang w:eastAsia="zh-CN"/>
              </w:rPr>
              <w:t>35m范围内交通噪声执行《声环境质量标准》（GB 3096-2008）的4a类标准，35m范围外执行2类标准。</w:t>
            </w:r>
          </w:p>
        </w:tc>
      </w:tr>
      <w:tr w14:paraId="37CE38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338" w:type="pct"/>
            <w:tcBorders>
              <w:top w:val="single" w:color="000000" w:sz="4" w:space="0"/>
              <w:right w:val="single" w:color="000000" w:sz="4" w:space="0"/>
            </w:tcBorders>
            <w:vAlign w:val="center"/>
          </w:tcPr>
          <w:p w14:paraId="37BBFFFB">
            <w:pPr>
              <w:pStyle w:val="18"/>
              <w:spacing w:line="237" w:lineRule="auto"/>
              <w:ind w:right="26"/>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其他</w:t>
            </w:r>
          </w:p>
        </w:tc>
        <w:tc>
          <w:tcPr>
            <w:tcW w:w="912" w:type="pct"/>
            <w:tcBorders>
              <w:top w:val="single" w:color="000000" w:sz="4" w:space="0"/>
              <w:left w:val="single" w:color="000000" w:sz="4" w:space="0"/>
              <w:bottom w:val="single" w:color="000000" w:sz="4" w:space="0"/>
              <w:right w:val="single" w:color="000000" w:sz="4" w:space="0"/>
            </w:tcBorders>
            <w:vAlign w:val="center"/>
          </w:tcPr>
          <w:p w14:paraId="42581620">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883" w:type="pct"/>
            <w:tcBorders>
              <w:top w:val="single" w:color="000000" w:sz="4" w:space="0"/>
              <w:left w:val="single" w:color="000000" w:sz="4" w:space="0"/>
              <w:bottom w:val="single" w:color="000000" w:sz="4" w:space="0"/>
              <w:right w:val="single" w:color="000000" w:sz="4" w:space="0"/>
            </w:tcBorders>
            <w:vAlign w:val="center"/>
          </w:tcPr>
          <w:p w14:paraId="4855B094">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940" w:type="pct"/>
            <w:tcBorders>
              <w:top w:val="single" w:color="000000" w:sz="4" w:space="0"/>
              <w:left w:val="single" w:color="000000" w:sz="4" w:space="0"/>
              <w:bottom w:val="single" w:color="000000" w:sz="4" w:space="0"/>
              <w:right w:val="single" w:color="000000" w:sz="4" w:space="0"/>
            </w:tcBorders>
            <w:vAlign w:val="center"/>
          </w:tcPr>
          <w:p w14:paraId="1A63E746">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c>
          <w:tcPr>
            <w:tcW w:w="927" w:type="pct"/>
            <w:tcBorders>
              <w:top w:val="single" w:color="000000" w:sz="4" w:space="0"/>
              <w:left w:val="single" w:color="000000" w:sz="4" w:space="0"/>
              <w:bottom w:val="single" w:color="000000" w:sz="4" w:space="0"/>
            </w:tcBorders>
            <w:vAlign w:val="center"/>
          </w:tcPr>
          <w:p w14:paraId="05AC232D">
            <w:pPr>
              <w:pStyle w:val="18"/>
              <w:spacing w:line="237" w:lineRule="auto"/>
              <w:ind w:right="26"/>
              <w:jc w:val="center"/>
              <w:rPr>
                <w:rFonts w:ascii="Times New Roman" w:hAnsi="Times New Roman" w:cs="Times New Roman"/>
                <w:sz w:val="21"/>
                <w:szCs w:val="21"/>
                <w:lang w:eastAsia="zh-CN"/>
              </w:rPr>
            </w:pPr>
            <w:r>
              <w:rPr>
                <w:rFonts w:ascii="Times New Roman" w:hAnsi="Times New Roman" w:cs="Times New Roman"/>
                <w:sz w:val="21"/>
                <w:szCs w:val="21"/>
                <w:lang w:eastAsia="zh-CN"/>
              </w:rPr>
              <w:t>无</w:t>
            </w:r>
          </w:p>
        </w:tc>
      </w:tr>
    </w:tbl>
    <w:p w14:paraId="7D56DD6C">
      <w:pPr>
        <w:rPr>
          <w:rFonts w:ascii="Times New Roman" w:hAnsi="Times New Roman" w:cs="Times New Roman"/>
          <w:sz w:val="21"/>
        </w:rPr>
      </w:pPr>
    </w:p>
    <w:p w14:paraId="011C5F8F">
      <w:pPr>
        <w:rPr>
          <w:rFonts w:ascii="Times New Roman" w:hAnsi="Times New Roman" w:cs="Times New Roman"/>
          <w:sz w:val="21"/>
        </w:rPr>
        <w:sectPr>
          <w:type w:val="nextColumn"/>
          <w:pgSz w:w="11913" w:h="16840"/>
          <w:pgMar w:top="1134" w:right="1134" w:bottom="1134" w:left="1134" w:header="0" w:footer="1043" w:gutter="0"/>
          <w:cols w:space="720" w:num="1"/>
        </w:sectPr>
      </w:pPr>
    </w:p>
    <w:p w14:paraId="350309F9">
      <w:pPr>
        <w:pStyle w:val="2"/>
        <w:ind w:left="0"/>
        <w:jc w:val="center"/>
        <w:rPr>
          <w:rFonts w:ascii="黑体" w:hAnsi="黑体" w:eastAsia="黑体" w:cs="Times New Roman"/>
          <w:b/>
          <w:bCs/>
          <w:lang w:eastAsia="zh-CN"/>
        </w:rPr>
      </w:pPr>
      <w:bookmarkStart w:id="8" w:name="_Toc119927464"/>
      <w:r>
        <w:rPr>
          <w:rFonts w:ascii="黑体" w:hAnsi="黑体" w:eastAsia="黑体" w:cs="Times New Roman"/>
          <w:b/>
          <w:bCs/>
          <w:lang w:eastAsia="zh-CN"/>
        </w:rPr>
        <w:t>七、结论</w:t>
      </w:r>
      <w:bookmarkEnd w:id="8"/>
    </w:p>
    <w:tbl>
      <w:tblPr>
        <w:tblStyle w:val="12"/>
        <w:tblW w:w="4887"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8"/>
      </w:tblGrid>
      <w:tr w14:paraId="6FDE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7" w:hRule="atLeast"/>
        </w:trPr>
        <w:tc>
          <w:tcPr>
            <w:tcW w:w="5000" w:type="pct"/>
          </w:tcPr>
          <w:p w14:paraId="50A26495">
            <w:pPr>
              <w:autoSpaceDE/>
              <w:autoSpaceDN/>
              <w:spacing w:line="360" w:lineRule="auto"/>
              <w:ind w:firstLine="480" w:firstLineChars="200"/>
              <w:jc w:val="both"/>
              <w:rPr>
                <w:rFonts w:ascii="Times New Roman" w:hAnsi="Times New Roman" w:cs="Times New Roman"/>
                <w:kern w:val="2"/>
                <w:sz w:val="24"/>
                <w:szCs w:val="24"/>
                <w:lang w:eastAsia="zh-CN"/>
              </w:rPr>
            </w:pPr>
            <w:r>
              <w:rPr>
                <w:rFonts w:hint="eastAsia" w:ascii="Times New Roman" w:hAnsi="Times New Roman" w:cs="Times New Roman"/>
                <w:kern w:val="2"/>
                <w:sz w:val="24"/>
                <w:szCs w:val="24"/>
                <w:lang w:eastAsia="zh-CN"/>
              </w:rPr>
              <w:t>“</w:t>
            </w:r>
            <w:r>
              <w:rPr>
                <w:rFonts w:ascii="Times New Roman" w:hAnsi="Times New Roman" w:cs="Times New Roman"/>
                <w:kern w:val="2"/>
                <w:sz w:val="24"/>
                <w:szCs w:val="24"/>
                <w:lang w:eastAsia="zh-CN"/>
              </w:rPr>
              <w:t>S239线五彩湾至吉木萨尔县公路改扩建项目</w:t>
            </w:r>
            <w:r>
              <w:rPr>
                <w:rFonts w:hint="eastAsia" w:ascii="Times New Roman" w:hAnsi="Times New Roman" w:cs="Times New Roman"/>
                <w:kern w:val="2"/>
                <w:sz w:val="24"/>
                <w:szCs w:val="24"/>
                <w:lang w:eastAsia="zh-CN"/>
              </w:rPr>
              <w:t>”符合国家产业政策、符合相关规划，在认真落实本环评报告提出的各项污染防治措施，落实穿越新疆吉木萨尔县国家沙化土地封禁保护区路段（</w:t>
            </w:r>
            <w:r>
              <w:rPr>
                <w:rFonts w:ascii="Times New Roman" w:hAnsi="Times New Roman" w:cs="Times New Roman"/>
                <w:kern w:val="2"/>
                <w:sz w:val="24"/>
                <w:szCs w:val="24"/>
                <w:lang w:eastAsia="zh-CN"/>
              </w:rPr>
              <w:t>k49+550-k85+360）</w:t>
            </w:r>
            <w:r>
              <w:rPr>
                <w:rFonts w:hint="eastAsia" w:ascii="Times New Roman" w:hAnsi="Times New Roman" w:cs="Times New Roman"/>
                <w:kern w:val="2"/>
                <w:sz w:val="24"/>
                <w:szCs w:val="24"/>
                <w:lang w:eastAsia="zh-CN"/>
              </w:rPr>
              <w:t>和穿越</w:t>
            </w:r>
            <w:r>
              <w:rPr>
                <w:rFonts w:ascii="Times New Roman" w:hAnsi="Times New Roman" w:cs="Times New Roman"/>
                <w:kern w:val="2"/>
                <w:sz w:val="24"/>
                <w:szCs w:val="24"/>
                <w:lang w:eastAsia="zh-CN"/>
              </w:rPr>
              <w:t>吉木萨尔北庭国家湿地公园</w:t>
            </w:r>
            <w:r>
              <w:rPr>
                <w:rFonts w:hint="eastAsia" w:ascii="Times New Roman" w:hAnsi="Times New Roman" w:cs="Times New Roman"/>
                <w:kern w:val="2"/>
                <w:sz w:val="24"/>
                <w:szCs w:val="24"/>
                <w:lang w:eastAsia="zh-CN"/>
              </w:rPr>
              <w:t>路段</w:t>
            </w:r>
            <w:r>
              <w:rPr>
                <w:rFonts w:ascii="Times New Roman" w:hAnsi="Times New Roman" w:cs="Times New Roman"/>
                <w:kern w:val="2"/>
                <w:sz w:val="24"/>
                <w:szCs w:val="24"/>
                <w:lang w:eastAsia="zh-CN"/>
              </w:rPr>
              <w:t>（k118+480-k119+370）</w:t>
            </w:r>
            <w:r>
              <w:rPr>
                <w:rFonts w:hint="eastAsia" w:ascii="Times New Roman" w:hAnsi="Times New Roman" w:cs="Times New Roman"/>
                <w:kern w:val="2"/>
                <w:sz w:val="24"/>
                <w:szCs w:val="24"/>
                <w:lang w:eastAsia="zh-CN"/>
              </w:rPr>
              <w:t>的生态补偿措施，严格执行国家的有关规定，做到主体工程与环境污染防治设施“三同时”的前提下，从环保角度上讲，本项目建设是可行的。</w:t>
            </w:r>
          </w:p>
          <w:p w14:paraId="00F97AC7">
            <w:pPr>
              <w:pStyle w:val="5"/>
              <w:rPr>
                <w:rFonts w:ascii="Times New Roman" w:hAnsi="Times New Roman" w:cs="Times New Roman"/>
                <w:b/>
                <w:bCs/>
                <w:lang w:eastAsia="zh-CN"/>
              </w:rPr>
            </w:pPr>
          </w:p>
          <w:p w14:paraId="7DE7E52D">
            <w:pPr>
              <w:pStyle w:val="5"/>
              <w:rPr>
                <w:rFonts w:ascii="Times New Roman" w:hAnsi="Times New Roman" w:cs="Times New Roman"/>
                <w:b/>
                <w:bCs/>
                <w:lang w:eastAsia="zh-CN"/>
              </w:rPr>
            </w:pPr>
          </w:p>
          <w:p w14:paraId="444FFB17">
            <w:pPr>
              <w:pStyle w:val="5"/>
              <w:rPr>
                <w:rFonts w:ascii="Times New Roman" w:hAnsi="Times New Roman" w:cs="Times New Roman"/>
                <w:b/>
                <w:bCs/>
                <w:lang w:eastAsia="zh-CN"/>
              </w:rPr>
            </w:pPr>
          </w:p>
          <w:p w14:paraId="4B607D98">
            <w:pPr>
              <w:pStyle w:val="5"/>
              <w:rPr>
                <w:rFonts w:ascii="Times New Roman" w:hAnsi="Times New Roman" w:cs="Times New Roman"/>
                <w:b/>
                <w:bCs/>
                <w:lang w:eastAsia="zh-CN"/>
              </w:rPr>
            </w:pPr>
          </w:p>
          <w:p w14:paraId="4FBEFAB2">
            <w:pPr>
              <w:pStyle w:val="5"/>
              <w:rPr>
                <w:rFonts w:ascii="Times New Roman" w:hAnsi="Times New Roman" w:cs="Times New Roman"/>
                <w:b/>
                <w:bCs/>
                <w:lang w:eastAsia="zh-CN"/>
              </w:rPr>
            </w:pPr>
          </w:p>
          <w:p w14:paraId="6CA46DA1">
            <w:pPr>
              <w:pStyle w:val="5"/>
              <w:rPr>
                <w:rFonts w:ascii="Times New Roman" w:hAnsi="Times New Roman" w:cs="Times New Roman"/>
                <w:b/>
                <w:bCs/>
                <w:lang w:eastAsia="zh-CN"/>
              </w:rPr>
            </w:pPr>
          </w:p>
          <w:p w14:paraId="7B0EBA10">
            <w:pPr>
              <w:pStyle w:val="5"/>
              <w:rPr>
                <w:rFonts w:ascii="Times New Roman" w:hAnsi="Times New Roman" w:cs="Times New Roman"/>
                <w:b/>
                <w:bCs/>
                <w:lang w:eastAsia="zh-CN"/>
              </w:rPr>
            </w:pPr>
          </w:p>
          <w:p w14:paraId="7F04EC53">
            <w:pPr>
              <w:pStyle w:val="5"/>
              <w:rPr>
                <w:rFonts w:ascii="Times New Roman" w:hAnsi="Times New Roman" w:cs="Times New Roman"/>
                <w:b/>
                <w:bCs/>
                <w:lang w:eastAsia="zh-CN"/>
              </w:rPr>
            </w:pPr>
          </w:p>
          <w:p w14:paraId="7AEB175F">
            <w:pPr>
              <w:pStyle w:val="5"/>
              <w:rPr>
                <w:rFonts w:ascii="Times New Roman" w:hAnsi="Times New Roman" w:cs="Times New Roman"/>
                <w:b/>
                <w:bCs/>
                <w:lang w:eastAsia="zh-CN"/>
              </w:rPr>
            </w:pPr>
          </w:p>
          <w:p w14:paraId="27EC9505">
            <w:pPr>
              <w:pStyle w:val="5"/>
              <w:rPr>
                <w:rFonts w:ascii="Times New Roman" w:hAnsi="Times New Roman" w:cs="Times New Roman"/>
                <w:b/>
                <w:bCs/>
                <w:lang w:eastAsia="zh-CN"/>
              </w:rPr>
            </w:pPr>
          </w:p>
          <w:p w14:paraId="3A1D9DE2">
            <w:pPr>
              <w:pStyle w:val="5"/>
              <w:rPr>
                <w:rFonts w:ascii="Times New Roman" w:hAnsi="Times New Roman" w:cs="Times New Roman"/>
                <w:b/>
                <w:bCs/>
                <w:lang w:eastAsia="zh-CN"/>
              </w:rPr>
            </w:pPr>
          </w:p>
          <w:p w14:paraId="1D3EC25E">
            <w:pPr>
              <w:pStyle w:val="5"/>
              <w:rPr>
                <w:rFonts w:ascii="Times New Roman" w:hAnsi="Times New Roman" w:cs="Times New Roman"/>
                <w:b/>
                <w:bCs/>
                <w:lang w:eastAsia="zh-CN"/>
              </w:rPr>
            </w:pPr>
          </w:p>
          <w:p w14:paraId="0BB34CC5">
            <w:pPr>
              <w:pStyle w:val="5"/>
              <w:rPr>
                <w:rFonts w:ascii="Times New Roman" w:hAnsi="Times New Roman" w:cs="Times New Roman"/>
                <w:b/>
                <w:bCs/>
                <w:lang w:eastAsia="zh-CN"/>
              </w:rPr>
            </w:pPr>
          </w:p>
          <w:p w14:paraId="7894D304">
            <w:pPr>
              <w:pStyle w:val="5"/>
              <w:rPr>
                <w:rFonts w:ascii="Times New Roman" w:hAnsi="Times New Roman" w:cs="Times New Roman"/>
                <w:b/>
                <w:bCs/>
                <w:lang w:eastAsia="zh-CN"/>
              </w:rPr>
            </w:pPr>
          </w:p>
          <w:p w14:paraId="00703C2A">
            <w:pPr>
              <w:pStyle w:val="5"/>
              <w:rPr>
                <w:rFonts w:ascii="Times New Roman" w:hAnsi="Times New Roman" w:cs="Times New Roman"/>
                <w:b/>
                <w:bCs/>
                <w:lang w:eastAsia="zh-CN"/>
              </w:rPr>
            </w:pPr>
          </w:p>
          <w:p w14:paraId="6CC0C689">
            <w:pPr>
              <w:pStyle w:val="5"/>
              <w:rPr>
                <w:rFonts w:ascii="Times New Roman" w:hAnsi="Times New Roman" w:cs="Times New Roman"/>
                <w:b/>
                <w:bCs/>
                <w:lang w:eastAsia="zh-CN"/>
              </w:rPr>
            </w:pPr>
          </w:p>
          <w:p w14:paraId="3A8D6736">
            <w:pPr>
              <w:pStyle w:val="5"/>
              <w:rPr>
                <w:rFonts w:ascii="Times New Roman" w:hAnsi="Times New Roman" w:cs="Times New Roman"/>
                <w:b/>
                <w:bCs/>
                <w:lang w:eastAsia="zh-CN"/>
              </w:rPr>
            </w:pPr>
          </w:p>
          <w:p w14:paraId="5DBD6825">
            <w:pPr>
              <w:pStyle w:val="5"/>
              <w:rPr>
                <w:rFonts w:ascii="Times New Roman" w:hAnsi="Times New Roman" w:cs="Times New Roman"/>
                <w:b/>
                <w:bCs/>
                <w:lang w:eastAsia="zh-CN"/>
              </w:rPr>
            </w:pPr>
          </w:p>
          <w:p w14:paraId="46513200">
            <w:pPr>
              <w:pStyle w:val="5"/>
              <w:rPr>
                <w:rFonts w:ascii="Times New Roman" w:hAnsi="Times New Roman" w:cs="Times New Roman"/>
                <w:b/>
                <w:bCs/>
                <w:lang w:eastAsia="zh-CN"/>
              </w:rPr>
            </w:pPr>
          </w:p>
          <w:p w14:paraId="33F80CAE">
            <w:pPr>
              <w:pStyle w:val="5"/>
              <w:rPr>
                <w:rFonts w:ascii="Times New Roman" w:hAnsi="Times New Roman" w:cs="Times New Roman"/>
                <w:b/>
                <w:bCs/>
                <w:lang w:eastAsia="zh-CN"/>
              </w:rPr>
            </w:pPr>
          </w:p>
          <w:p w14:paraId="4E0B5184">
            <w:pPr>
              <w:pStyle w:val="5"/>
              <w:rPr>
                <w:rFonts w:ascii="Times New Roman" w:hAnsi="Times New Roman" w:cs="Times New Roman"/>
                <w:b/>
                <w:bCs/>
                <w:lang w:eastAsia="zh-CN"/>
              </w:rPr>
            </w:pPr>
          </w:p>
          <w:p w14:paraId="23431AC8">
            <w:pPr>
              <w:pStyle w:val="5"/>
              <w:spacing w:before="8"/>
              <w:rPr>
                <w:rFonts w:ascii="Times New Roman" w:hAnsi="Times New Roman" w:cs="Times New Roman"/>
                <w:b/>
                <w:bCs/>
                <w:lang w:eastAsia="zh-CN"/>
              </w:rPr>
            </w:pPr>
          </w:p>
          <w:p w14:paraId="60673EB9">
            <w:pPr>
              <w:pStyle w:val="5"/>
              <w:spacing w:before="8"/>
              <w:rPr>
                <w:rFonts w:ascii="Times New Roman" w:hAnsi="Times New Roman" w:cs="Times New Roman"/>
                <w:b/>
                <w:bCs/>
                <w:lang w:eastAsia="zh-CN"/>
              </w:rPr>
            </w:pPr>
          </w:p>
          <w:p w14:paraId="73DE37C4">
            <w:pPr>
              <w:pStyle w:val="5"/>
              <w:spacing w:before="8"/>
              <w:rPr>
                <w:rFonts w:ascii="Times New Roman" w:hAnsi="Times New Roman" w:cs="Times New Roman"/>
                <w:b/>
                <w:bCs/>
                <w:lang w:eastAsia="zh-CN"/>
              </w:rPr>
            </w:pPr>
          </w:p>
          <w:p w14:paraId="2F0E3E02">
            <w:pPr>
              <w:pStyle w:val="5"/>
              <w:spacing w:before="8"/>
              <w:rPr>
                <w:rFonts w:ascii="Times New Roman" w:hAnsi="Times New Roman" w:cs="Times New Roman"/>
                <w:b/>
                <w:bCs/>
                <w:lang w:eastAsia="zh-CN"/>
              </w:rPr>
            </w:pPr>
          </w:p>
          <w:p w14:paraId="506DAA78">
            <w:pPr>
              <w:pStyle w:val="5"/>
              <w:spacing w:before="8"/>
              <w:rPr>
                <w:rFonts w:ascii="Times New Roman" w:hAnsi="Times New Roman" w:cs="Times New Roman"/>
                <w:b/>
                <w:bCs/>
                <w:lang w:eastAsia="zh-CN"/>
              </w:rPr>
            </w:pPr>
          </w:p>
          <w:p w14:paraId="1A318BF9">
            <w:pPr>
              <w:pStyle w:val="5"/>
              <w:spacing w:before="8"/>
              <w:rPr>
                <w:rFonts w:ascii="Times New Roman" w:hAnsi="Times New Roman" w:cs="Times New Roman"/>
                <w:b/>
                <w:bCs/>
                <w:lang w:eastAsia="zh-CN"/>
              </w:rPr>
            </w:pPr>
          </w:p>
          <w:p w14:paraId="79D382C8">
            <w:pPr>
              <w:pStyle w:val="5"/>
              <w:spacing w:before="8"/>
              <w:rPr>
                <w:rFonts w:ascii="Times New Roman" w:hAnsi="Times New Roman" w:cs="Times New Roman"/>
                <w:b/>
                <w:bCs/>
                <w:lang w:eastAsia="zh-CN"/>
              </w:rPr>
            </w:pPr>
          </w:p>
          <w:p w14:paraId="424D1CC1">
            <w:pPr>
              <w:pStyle w:val="5"/>
              <w:spacing w:before="8"/>
              <w:rPr>
                <w:rFonts w:ascii="Times New Roman" w:hAnsi="Times New Roman" w:cs="Times New Roman"/>
                <w:b/>
                <w:bCs/>
                <w:lang w:eastAsia="zh-CN"/>
              </w:rPr>
            </w:pPr>
          </w:p>
          <w:p w14:paraId="2354F9BF">
            <w:pPr>
              <w:pStyle w:val="5"/>
              <w:spacing w:before="8"/>
              <w:rPr>
                <w:rFonts w:ascii="Times New Roman" w:hAnsi="Times New Roman" w:cs="Times New Roman"/>
                <w:b/>
                <w:bCs/>
                <w:lang w:eastAsia="zh-CN"/>
              </w:rPr>
            </w:pPr>
          </w:p>
          <w:p w14:paraId="5FCEAE14">
            <w:pPr>
              <w:pStyle w:val="5"/>
              <w:spacing w:before="8"/>
              <w:rPr>
                <w:rFonts w:ascii="Times New Roman" w:hAnsi="Times New Roman" w:cs="Times New Roman"/>
                <w:b/>
                <w:bCs/>
                <w:lang w:eastAsia="zh-CN"/>
              </w:rPr>
            </w:pPr>
          </w:p>
          <w:p w14:paraId="16F92A75">
            <w:pPr>
              <w:pStyle w:val="5"/>
              <w:spacing w:before="8"/>
              <w:rPr>
                <w:rFonts w:ascii="Times New Roman" w:hAnsi="Times New Roman" w:cs="Times New Roman"/>
                <w:b/>
                <w:bCs/>
                <w:lang w:eastAsia="zh-CN"/>
              </w:rPr>
            </w:pPr>
          </w:p>
        </w:tc>
      </w:tr>
    </w:tbl>
    <w:p w14:paraId="4612522A">
      <w:pPr>
        <w:pStyle w:val="5"/>
        <w:rPr>
          <w:rFonts w:ascii="Times New Roman" w:hAnsi="Times New Roman" w:cs="Times New Roman"/>
          <w:sz w:val="21"/>
          <w:lang w:eastAsia="zh-CN"/>
        </w:rPr>
      </w:pPr>
    </w:p>
    <w:sectPr>
      <w:pgSz w:w="11913" w:h="16840"/>
      <w:pgMar w:top="1134" w:right="1134" w:bottom="1134" w:left="1134" w:header="0" w:footer="104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9341077"/>
      <w:docPartObj>
        <w:docPartGallery w:val="AutoText"/>
      </w:docPartObj>
    </w:sdtPr>
    <w:sdtContent>
      <w:p w14:paraId="40240598">
        <w:pPr>
          <w:pStyle w:val="7"/>
          <w:jc w:val="center"/>
        </w:pPr>
        <w:r>
          <w:fldChar w:fldCharType="begin"/>
        </w:r>
        <w:r>
          <w:instrText xml:space="preserve">PAGE   \* MERGEFORMAT</w:instrText>
        </w:r>
        <w:r>
          <w:fldChar w:fldCharType="separate"/>
        </w:r>
        <w:r>
          <w:rPr>
            <w:lang w:val="zh-CN" w:eastAsia="zh-CN"/>
          </w:rPr>
          <w:t>28</w:t>
        </w:r>
        <w:r>
          <w:fldChar w:fldCharType="end"/>
        </w:r>
      </w:p>
    </w:sdtContent>
  </w:sdt>
  <w:p w14:paraId="40F766E5">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EFFBD">
    <w:pPr>
      <w:pStyle w:val="5"/>
      <w:spacing w:line="14" w:lineRule="auto"/>
      <w:rPr>
        <w:sz w:val="20"/>
      </w:rPr>
    </w:pPr>
    <w:r>
      <w:pict>
        <v:shape id="_x0000_s2051" o:spid="_x0000_s2051" o:spt="202" type="#_x0000_t202" style="position:absolute;left:0pt;margin-left:75.6pt;margin-top:778.8pt;height:16.05pt;width:63.1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5703E29D">
                <w:pPr>
                  <w:spacing w:line="301" w:lineRule="exact"/>
                  <w:ind w:left="20"/>
                  <w:rPr>
                    <w:sz w:val="2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8BF1">
    <w:pPr>
      <w:pStyle w:val="7"/>
      <w:jc w:val="center"/>
    </w:pPr>
  </w:p>
  <w:p w14:paraId="37107FAF">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3239060"/>
      <w:docPartObj>
        <w:docPartGallery w:val="AutoText"/>
      </w:docPartObj>
    </w:sdtPr>
    <w:sdtContent>
      <w:p w14:paraId="48CF8418">
        <w:pPr>
          <w:pStyle w:val="7"/>
          <w:jc w:val="center"/>
        </w:pPr>
        <w:r>
          <w:fldChar w:fldCharType="begin"/>
        </w:r>
        <w:r>
          <w:instrText xml:space="preserve">PAGE   \* MERGEFORMAT</w:instrText>
        </w:r>
        <w:r>
          <w:fldChar w:fldCharType="separate"/>
        </w:r>
        <w:r>
          <w:rPr>
            <w:lang w:val="zh-CN" w:eastAsia="zh-CN"/>
          </w:rPr>
          <w:t>29</w:t>
        </w:r>
        <w:r>
          <w:fldChar w:fldCharType="end"/>
        </w:r>
      </w:p>
    </w:sdtContent>
  </w:sdt>
  <w:p w14:paraId="5C0B67FB">
    <w:pPr>
      <w:pStyle w:val="5"/>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09FD4">
    <w:pPr>
      <w:pStyle w:val="5"/>
      <w:spacing w:line="14" w:lineRule="auto"/>
      <w:rPr>
        <w:sz w:val="20"/>
      </w:rPr>
    </w:pPr>
    <w:r>
      <w:pict>
        <v:shape id="_x0000_s2049" o:spid="_x0000_s2049" o:spt="202" type="#_x0000_t202" style="position:absolute;left:0pt;margin-left:89pt;margin-top:778.8pt;height:16.05pt;width:63.1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2C2F8DAD">
                <w:pPr>
                  <w:spacing w:line="301" w:lineRule="exact"/>
                  <w:ind w:left="20"/>
                  <w:rPr>
                    <w:sz w:val="28"/>
                  </w:rPr>
                </w:pP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docVars>
    <w:docVar w:name="commondata" w:val="eyJoZGlkIjoiZGZmMjg3MDQ2MzExNDk0OWY5M2UwNzBmOWViMDBkMGMifQ=="/>
  </w:docVars>
  <w:rsids>
    <w:rsidRoot w:val="00715815"/>
    <w:rsid w:val="00000523"/>
    <w:rsid w:val="00000583"/>
    <w:rsid w:val="000006DB"/>
    <w:rsid w:val="000008F1"/>
    <w:rsid w:val="0000164D"/>
    <w:rsid w:val="00001B96"/>
    <w:rsid w:val="00001C29"/>
    <w:rsid w:val="0000236F"/>
    <w:rsid w:val="000029BC"/>
    <w:rsid w:val="00002D6F"/>
    <w:rsid w:val="00002D80"/>
    <w:rsid w:val="00002E55"/>
    <w:rsid w:val="0000363D"/>
    <w:rsid w:val="000039B6"/>
    <w:rsid w:val="00003B33"/>
    <w:rsid w:val="00003D5B"/>
    <w:rsid w:val="00004508"/>
    <w:rsid w:val="00004B71"/>
    <w:rsid w:val="00004D2D"/>
    <w:rsid w:val="0000511F"/>
    <w:rsid w:val="000056FD"/>
    <w:rsid w:val="000058B8"/>
    <w:rsid w:val="00005AD7"/>
    <w:rsid w:val="00005ADE"/>
    <w:rsid w:val="00005B70"/>
    <w:rsid w:val="00005D77"/>
    <w:rsid w:val="00005F17"/>
    <w:rsid w:val="00005FF0"/>
    <w:rsid w:val="00006159"/>
    <w:rsid w:val="00006490"/>
    <w:rsid w:val="00006496"/>
    <w:rsid w:val="00006D63"/>
    <w:rsid w:val="00006E5F"/>
    <w:rsid w:val="00006F39"/>
    <w:rsid w:val="00010C42"/>
    <w:rsid w:val="00011135"/>
    <w:rsid w:val="000124B2"/>
    <w:rsid w:val="0001257E"/>
    <w:rsid w:val="000128ED"/>
    <w:rsid w:val="0001292B"/>
    <w:rsid w:val="00012E3C"/>
    <w:rsid w:val="0001303F"/>
    <w:rsid w:val="00013AD3"/>
    <w:rsid w:val="00013C3C"/>
    <w:rsid w:val="00013E73"/>
    <w:rsid w:val="000140DB"/>
    <w:rsid w:val="00014148"/>
    <w:rsid w:val="00014BB5"/>
    <w:rsid w:val="00014C45"/>
    <w:rsid w:val="00014D96"/>
    <w:rsid w:val="00014F06"/>
    <w:rsid w:val="0001511A"/>
    <w:rsid w:val="0001590B"/>
    <w:rsid w:val="000159AF"/>
    <w:rsid w:val="00015FC7"/>
    <w:rsid w:val="000160FC"/>
    <w:rsid w:val="00016A87"/>
    <w:rsid w:val="00016DEE"/>
    <w:rsid w:val="00017134"/>
    <w:rsid w:val="00017264"/>
    <w:rsid w:val="000174C6"/>
    <w:rsid w:val="00017E40"/>
    <w:rsid w:val="00017EAF"/>
    <w:rsid w:val="00020140"/>
    <w:rsid w:val="000202B2"/>
    <w:rsid w:val="000206E1"/>
    <w:rsid w:val="00020C19"/>
    <w:rsid w:val="00020FB7"/>
    <w:rsid w:val="000212AC"/>
    <w:rsid w:val="00021978"/>
    <w:rsid w:val="00021C41"/>
    <w:rsid w:val="00021EAB"/>
    <w:rsid w:val="0002259C"/>
    <w:rsid w:val="000228B5"/>
    <w:rsid w:val="00022EE1"/>
    <w:rsid w:val="0002327C"/>
    <w:rsid w:val="00023418"/>
    <w:rsid w:val="000234FE"/>
    <w:rsid w:val="00023B5D"/>
    <w:rsid w:val="00023E72"/>
    <w:rsid w:val="000245A7"/>
    <w:rsid w:val="000245FB"/>
    <w:rsid w:val="00024756"/>
    <w:rsid w:val="00024D35"/>
    <w:rsid w:val="000250BB"/>
    <w:rsid w:val="00025697"/>
    <w:rsid w:val="0002572C"/>
    <w:rsid w:val="00025E27"/>
    <w:rsid w:val="000266AF"/>
    <w:rsid w:val="00026E3D"/>
    <w:rsid w:val="00026ED0"/>
    <w:rsid w:val="000270A3"/>
    <w:rsid w:val="00027404"/>
    <w:rsid w:val="00027B12"/>
    <w:rsid w:val="00027E69"/>
    <w:rsid w:val="00030225"/>
    <w:rsid w:val="000303C5"/>
    <w:rsid w:val="000308A2"/>
    <w:rsid w:val="0003139C"/>
    <w:rsid w:val="000313FD"/>
    <w:rsid w:val="00031756"/>
    <w:rsid w:val="00031977"/>
    <w:rsid w:val="00032487"/>
    <w:rsid w:val="000324D6"/>
    <w:rsid w:val="00032703"/>
    <w:rsid w:val="00032996"/>
    <w:rsid w:val="0003299F"/>
    <w:rsid w:val="00033719"/>
    <w:rsid w:val="00033DB9"/>
    <w:rsid w:val="00033FE0"/>
    <w:rsid w:val="00034133"/>
    <w:rsid w:val="0003444E"/>
    <w:rsid w:val="0003482B"/>
    <w:rsid w:val="00034EF8"/>
    <w:rsid w:val="00034FA2"/>
    <w:rsid w:val="000356D4"/>
    <w:rsid w:val="00035A76"/>
    <w:rsid w:val="00035AC8"/>
    <w:rsid w:val="00035E64"/>
    <w:rsid w:val="00036F16"/>
    <w:rsid w:val="0003727A"/>
    <w:rsid w:val="0003748F"/>
    <w:rsid w:val="0003787E"/>
    <w:rsid w:val="00037903"/>
    <w:rsid w:val="00037D21"/>
    <w:rsid w:val="00037ED8"/>
    <w:rsid w:val="0004109A"/>
    <w:rsid w:val="00041430"/>
    <w:rsid w:val="000416C5"/>
    <w:rsid w:val="00042525"/>
    <w:rsid w:val="0004293E"/>
    <w:rsid w:val="00042B99"/>
    <w:rsid w:val="00043B4A"/>
    <w:rsid w:val="00043C7C"/>
    <w:rsid w:val="0004408D"/>
    <w:rsid w:val="000443FD"/>
    <w:rsid w:val="00044D24"/>
    <w:rsid w:val="00045613"/>
    <w:rsid w:val="00045727"/>
    <w:rsid w:val="00045DF1"/>
    <w:rsid w:val="000461AF"/>
    <w:rsid w:val="000462E6"/>
    <w:rsid w:val="000467A9"/>
    <w:rsid w:val="00046990"/>
    <w:rsid w:val="00046CAD"/>
    <w:rsid w:val="00047216"/>
    <w:rsid w:val="000472E3"/>
    <w:rsid w:val="0004764E"/>
    <w:rsid w:val="00050323"/>
    <w:rsid w:val="00050703"/>
    <w:rsid w:val="00050C91"/>
    <w:rsid w:val="00050D13"/>
    <w:rsid w:val="00051459"/>
    <w:rsid w:val="00051674"/>
    <w:rsid w:val="0005168F"/>
    <w:rsid w:val="000519CA"/>
    <w:rsid w:val="00051F34"/>
    <w:rsid w:val="00052080"/>
    <w:rsid w:val="00052507"/>
    <w:rsid w:val="00052542"/>
    <w:rsid w:val="00052635"/>
    <w:rsid w:val="000531D1"/>
    <w:rsid w:val="000535CA"/>
    <w:rsid w:val="00053800"/>
    <w:rsid w:val="000540C0"/>
    <w:rsid w:val="00054650"/>
    <w:rsid w:val="00055205"/>
    <w:rsid w:val="00055457"/>
    <w:rsid w:val="000554C0"/>
    <w:rsid w:val="00055714"/>
    <w:rsid w:val="00055A4E"/>
    <w:rsid w:val="00056108"/>
    <w:rsid w:val="00056439"/>
    <w:rsid w:val="000569AC"/>
    <w:rsid w:val="00056CEB"/>
    <w:rsid w:val="00056E71"/>
    <w:rsid w:val="0005746E"/>
    <w:rsid w:val="0005777F"/>
    <w:rsid w:val="000578C4"/>
    <w:rsid w:val="00057BEC"/>
    <w:rsid w:val="00060531"/>
    <w:rsid w:val="000608F0"/>
    <w:rsid w:val="00060A0E"/>
    <w:rsid w:val="00060EE9"/>
    <w:rsid w:val="00061056"/>
    <w:rsid w:val="00061443"/>
    <w:rsid w:val="00061A22"/>
    <w:rsid w:val="00061EF4"/>
    <w:rsid w:val="000625AC"/>
    <w:rsid w:val="00062754"/>
    <w:rsid w:val="000629B3"/>
    <w:rsid w:val="00062D01"/>
    <w:rsid w:val="00062D2D"/>
    <w:rsid w:val="00063143"/>
    <w:rsid w:val="000636CF"/>
    <w:rsid w:val="00063944"/>
    <w:rsid w:val="00063BE1"/>
    <w:rsid w:val="000640C4"/>
    <w:rsid w:val="000641A7"/>
    <w:rsid w:val="00064831"/>
    <w:rsid w:val="00064C63"/>
    <w:rsid w:val="00064E79"/>
    <w:rsid w:val="00064FD7"/>
    <w:rsid w:val="00065395"/>
    <w:rsid w:val="000653A5"/>
    <w:rsid w:val="00065A2C"/>
    <w:rsid w:val="00065D49"/>
    <w:rsid w:val="0006612D"/>
    <w:rsid w:val="000665CE"/>
    <w:rsid w:val="000668A4"/>
    <w:rsid w:val="00066B5B"/>
    <w:rsid w:val="000670A0"/>
    <w:rsid w:val="0006731E"/>
    <w:rsid w:val="00067749"/>
    <w:rsid w:val="00067883"/>
    <w:rsid w:val="00067A58"/>
    <w:rsid w:val="00067A7A"/>
    <w:rsid w:val="00067B44"/>
    <w:rsid w:val="00067DFF"/>
    <w:rsid w:val="00070147"/>
    <w:rsid w:val="00070819"/>
    <w:rsid w:val="00070FDA"/>
    <w:rsid w:val="00071515"/>
    <w:rsid w:val="00071D4D"/>
    <w:rsid w:val="00072501"/>
    <w:rsid w:val="00072646"/>
    <w:rsid w:val="000729F5"/>
    <w:rsid w:val="00072E49"/>
    <w:rsid w:val="0007348E"/>
    <w:rsid w:val="0007380D"/>
    <w:rsid w:val="0007457A"/>
    <w:rsid w:val="0007481E"/>
    <w:rsid w:val="00075028"/>
    <w:rsid w:val="00075192"/>
    <w:rsid w:val="000753E8"/>
    <w:rsid w:val="00075F21"/>
    <w:rsid w:val="000760C6"/>
    <w:rsid w:val="00076A9D"/>
    <w:rsid w:val="00076C02"/>
    <w:rsid w:val="0007734B"/>
    <w:rsid w:val="0007747C"/>
    <w:rsid w:val="00077641"/>
    <w:rsid w:val="0007786C"/>
    <w:rsid w:val="00077989"/>
    <w:rsid w:val="00077C2E"/>
    <w:rsid w:val="000806F7"/>
    <w:rsid w:val="000808B9"/>
    <w:rsid w:val="00080B57"/>
    <w:rsid w:val="00080E7D"/>
    <w:rsid w:val="000816E8"/>
    <w:rsid w:val="0008172F"/>
    <w:rsid w:val="00081BCB"/>
    <w:rsid w:val="00082360"/>
    <w:rsid w:val="000829F4"/>
    <w:rsid w:val="0008309B"/>
    <w:rsid w:val="0008319F"/>
    <w:rsid w:val="000836D9"/>
    <w:rsid w:val="00083D6D"/>
    <w:rsid w:val="00083EDE"/>
    <w:rsid w:val="00083FA4"/>
    <w:rsid w:val="00084083"/>
    <w:rsid w:val="000840F0"/>
    <w:rsid w:val="00084580"/>
    <w:rsid w:val="00084F47"/>
    <w:rsid w:val="00085378"/>
    <w:rsid w:val="00085787"/>
    <w:rsid w:val="000857BB"/>
    <w:rsid w:val="00085917"/>
    <w:rsid w:val="000860BE"/>
    <w:rsid w:val="0008613E"/>
    <w:rsid w:val="00086674"/>
    <w:rsid w:val="00086694"/>
    <w:rsid w:val="000866D9"/>
    <w:rsid w:val="00086B08"/>
    <w:rsid w:val="00086CDD"/>
    <w:rsid w:val="000874DA"/>
    <w:rsid w:val="0008764C"/>
    <w:rsid w:val="00087783"/>
    <w:rsid w:val="00087B90"/>
    <w:rsid w:val="00087C7A"/>
    <w:rsid w:val="00087F93"/>
    <w:rsid w:val="00090D60"/>
    <w:rsid w:val="00090E2E"/>
    <w:rsid w:val="00090F3F"/>
    <w:rsid w:val="0009166F"/>
    <w:rsid w:val="000916C6"/>
    <w:rsid w:val="0009173B"/>
    <w:rsid w:val="00091855"/>
    <w:rsid w:val="00091DBD"/>
    <w:rsid w:val="0009210B"/>
    <w:rsid w:val="00092194"/>
    <w:rsid w:val="00092388"/>
    <w:rsid w:val="0009300D"/>
    <w:rsid w:val="000941AD"/>
    <w:rsid w:val="000947B7"/>
    <w:rsid w:val="00095228"/>
    <w:rsid w:val="00095660"/>
    <w:rsid w:val="000958FF"/>
    <w:rsid w:val="00095A70"/>
    <w:rsid w:val="00095FE3"/>
    <w:rsid w:val="00096797"/>
    <w:rsid w:val="00097139"/>
    <w:rsid w:val="00097331"/>
    <w:rsid w:val="0009758B"/>
    <w:rsid w:val="000979BA"/>
    <w:rsid w:val="00097D40"/>
    <w:rsid w:val="00097EBC"/>
    <w:rsid w:val="00097FC1"/>
    <w:rsid w:val="00097FF4"/>
    <w:rsid w:val="000A0533"/>
    <w:rsid w:val="000A0C28"/>
    <w:rsid w:val="000A10E8"/>
    <w:rsid w:val="000A1835"/>
    <w:rsid w:val="000A19E6"/>
    <w:rsid w:val="000A1A34"/>
    <w:rsid w:val="000A1ED0"/>
    <w:rsid w:val="000A20EE"/>
    <w:rsid w:val="000A217A"/>
    <w:rsid w:val="000A2186"/>
    <w:rsid w:val="000A2382"/>
    <w:rsid w:val="000A2C10"/>
    <w:rsid w:val="000A329E"/>
    <w:rsid w:val="000A3395"/>
    <w:rsid w:val="000A37A4"/>
    <w:rsid w:val="000A3CB5"/>
    <w:rsid w:val="000A3E59"/>
    <w:rsid w:val="000A4B86"/>
    <w:rsid w:val="000A4C65"/>
    <w:rsid w:val="000A55BC"/>
    <w:rsid w:val="000A5A70"/>
    <w:rsid w:val="000A63E6"/>
    <w:rsid w:val="000A6494"/>
    <w:rsid w:val="000A6551"/>
    <w:rsid w:val="000A6CB5"/>
    <w:rsid w:val="000A6DA5"/>
    <w:rsid w:val="000A6EF3"/>
    <w:rsid w:val="000A79B0"/>
    <w:rsid w:val="000A7B63"/>
    <w:rsid w:val="000B0A8F"/>
    <w:rsid w:val="000B0FE8"/>
    <w:rsid w:val="000B1157"/>
    <w:rsid w:val="000B1226"/>
    <w:rsid w:val="000B12E4"/>
    <w:rsid w:val="000B14F2"/>
    <w:rsid w:val="000B1A1A"/>
    <w:rsid w:val="000B2CAC"/>
    <w:rsid w:val="000B2D98"/>
    <w:rsid w:val="000B33F3"/>
    <w:rsid w:val="000B3623"/>
    <w:rsid w:val="000B369D"/>
    <w:rsid w:val="000B36A9"/>
    <w:rsid w:val="000B4072"/>
    <w:rsid w:val="000B4562"/>
    <w:rsid w:val="000B47AA"/>
    <w:rsid w:val="000B481E"/>
    <w:rsid w:val="000B48F6"/>
    <w:rsid w:val="000B4BFD"/>
    <w:rsid w:val="000B4E12"/>
    <w:rsid w:val="000B4F82"/>
    <w:rsid w:val="000B4F95"/>
    <w:rsid w:val="000B4FBA"/>
    <w:rsid w:val="000B5146"/>
    <w:rsid w:val="000B533B"/>
    <w:rsid w:val="000B65B9"/>
    <w:rsid w:val="000B6665"/>
    <w:rsid w:val="000B676F"/>
    <w:rsid w:val="000C030B"/>
    <w:rsid w:val="000C06F6"/>
    <w:rsid w:val="000C0871"/>
    <w:rsid w:val="000C0DFF"/>
    <w:rsid w:val="000C1239"/>
    <w:rsid w:val="000C1626"/>
    <w:rsid w:val="000C1BBC"/>
    <w:rsid w:val="000C1D4E"/>
    <w:rsid w:val="000C20CF"/>
    <w:rsid w:val="000C21F3"/>
    <w:rsid w:val="000C2313"/>
    <w:rsid w:val="000C2670"/>
    <w:rsid w:val="000C2FD4"/>
    <w:rsid w:val="000C40D3"/>
    <w:rsid w:val="000C4547"/>
    <w:rsid w:val="000C4596"/>
    <w:rsid w:val="000C45B3"/>
    <w:rsid w:val="000C46E1"/>
    <w:rsid w:val="000C4DA4"/>
    <w:rsid w:val="000C5256"/>
    <w:rsid w:val="000C5377"/>
    <w:rsid w:val="000C681E"/>
    <w:rsid w:val="000C6CFD"/>
    <w:rsid w:val="000C6E3A"/>
    <w:rsid w:val="000C717C"/>
    <w:rsid w:val="000C74A7"/>
    <w:rsid w:val="000C797B"/>
    <w:rsid w:val="000C7CAB"/>
    <w:rsid w:val="000C7D67"/>
    <w:rsid w:val="000D0476"/>
    <w:rsid w:val="000D0597"/>
    <w:rsid w:val="000D05A6"/>
    <w:rsid w:val="000D0623"/>
    <w:rsid w:val="000D081F"/>
    <w:rsid w:val="000D0BDC"/>
    <w:rsid w:val="000D1211"/>
    <w:rsid w:val="000D159F"/>
    <w:rsid w:val="000D1735"/>
    <w:rsid w:val="000D173B"/>
    <w:rsid w:val="000D1AF0"/>
    <w:rsid w:val="000D1B7F"/>
    <w:rsid w:val="000D1E69"/>
    <w:rsid w:val="000D243E"/>
    <w:rsid w:val="000D2497"/>
    <w:rsid w:val="000D2660"/>
    <w:rsid w:val="000D2785"/>
    <w:rsid w:val="000D27F5"/>
    <w:rsid w:val="000D2D07"/>
    <w:rsid w:val="000D2E69"/>
    <w:rsid w:val="000D2EA3"/>
    <w:rsid w:val="000D33BB"/>
    <w:rsid w:val="000D374B"/>
    <w:rsid w:val="000D3BEE"/>
    <w:rsid w:val="000D3E2F"/>
    <w:rsid w:val="000D41CE"/>
    <w:rsid w:val="000D4314"/>
    <w:rsid w:val="000D4A97"/>
    <w:rsid w:val="000D5045"/>
    <w:rsid w:val="000D5074"/>
    <w:rsid w:val="000D50D1"/>
    <w:rsid w:val="000D56EE"/>
    <w:rsid w:val="000D6731"/>
    <w:rsid w:val="000D67F6"/>
    <w:rsid w:val="000D69EA"/>
    <w:rsid w:val="000D6DB5"/>
    <w:rsid w:val="000D73E9"/>
    <w:rsid w:val="000D7EB6"/>
    <w:rsid w:val="000D7F5B"/>
    <w:rsid w:val="000D7FC4"/>
    <w:rsid w:val="000E0083"/>
    <w:rsid w:val="000E0158"/>
    <w:rsid w:val="000E030B"/>
    <w:rsid w:val="000E03CF"/>
    <w:rsid w:val="000E043C"/>
    <w:rsid w:val="000E05A9"/>
    <w:rsid w:val="000E07AB"/>
    <w:rsid w:val="000E1D72"/>
    <w:rsid w:val="000E210B"/>
    <w:rsid w:val="000E2208"/>
    <w:rsid w:val="000E2422"/>
    <w:rsid w:val="000E2819"/>
    <w:rsid w:val="000E2DBC"/>
    <w:rsid w:val="000E31F2"/>
    <w:rsid w:val="000E32BA"/>
    <w:rsid w:val="000E337F"/>
    <w:rsid w:val="000E3872"/>
    <w:rsid w:val="000E3B65"/>
    <w:rsid w:val="000E3CD2"/>
    <w:rsid w:val="000E3E4E"/>
    <w:rsid w:val="000E3F8B"/>
    <w:rsid w:val="000E40F4"/>
    <w:rsid w:val="000E427D"/>
    <w:rsid w:val="000E4390"/>
    <w:rsid w:val="000E4DED"/>
    <w:rsid w:val="000E6115"/>
    <w:rsid w:val="000E6ADE"/>
    <w:rsid w:val="000E6B51"/>
    <w:rsid w:val="000E6BE3"/>
    <w:rsid w:val="000E6E47"/>
    <w:rsid w:val="000E7042"/>
    <w:rsid w:val="000E74E3"/>
    <w:rsid w:val="000E77A5"/>
    <w:rsid w:val="000F0001"/>
    <w:rsid w:val="000F0028"/>
    <w:rsid w:val="000F17D3"/>
    <w:rsid w:val="000F17F3"/>
    <w:rsid w:val="000F227D"/>
    <w:rsid w:val="000F29B5"/>
    <w:rsid w:val="000F32A3"/>
    <w:rsid w:val="000F3368"/>
    <w:rsid w:val="000F389E"/>
    <w:rsid w:val="000F3980"/>
    <w:rsid w:val="000F3E28"/>
    <w:rsid w:val="000F459F"/>
    <w:rsid w:val="000F477D"/>
    <w:rsid w:val="000F55E6"/>
    <w:rsid w:val="000F61B9"/>
    <w:rsid w:val="000F7019"/>
    <w:rsid w:val="000F7035"/>
    <w:rsid w:val="000F7462"/>
    <w:rsid w:val="000F7BBF"/>
    <w:rsid w:val="000F7E04"/>
    <w:rsid w:val="00100291"/>
    <w:rsid w:val="0010034A"/>
    <w:rsid w:val="00100D61"/>
    <w:rsid w:val="001015D5"/>
    <w:rsid w:val="00101CF0"/>
    <w:rsid w:val="00102089"/>
    <w:rsid w:val="00102270"/>
    <w:rsid w:val="00102DF4"/>
    <w:rsid w:val="0010319D"/>
    <w:rsid w:val="001034BB"/>
    <w:rsid w:val="001035A2"/>
    <w:rsid w:val="00103AB0"/>
    <w:rsid w:val="00103DEF"/>
    <w:rsid w:val="00104688"/>
    <w:rsid w:val="00104696"/>
    <w:rsid w:val="00104B78"/>
    <w:rsid w:val="0010501E"/>
    <w:rsid w:val="001051A4"/>
    <w:rsid w:val="001055B0"/>
    <w:rsid w:val="001056EF"/>
    <w:rsid w:val="001059E5"/>
    <w:rsid w:val="00105F6C"/>
    <w:rsid w:val="001070A3"/>
    <w:rsid w:val="001071B2"/>
    <w:rsid w:val="00107283"/>
    <w:rsid w:val="00110710"/>
    <w:rsid w:val="001108AE"/>
    <w:rsid w:val="00110ACC"/>
    <w:rsid w:val="00110E94"/>
    <w:rsid w:val="0011141E"/>
    <w:rsid w:val="001118A4"/>
    <w:rsid w:val="001119FD"/>
    <w:rsid w:val="00111EA6"/>
    <w:rsid w:val="001123BD"/>
    <w:rsid w:val="0011265E"/>
    <w:rsid w:val="00112F1D"/>
    <w:rsid w:val="0011309A"/>
    <w:rsid w:val="001131D6"/>
    <w:rsid w:val="001131FD"/>
    <w:rsid w:val="0011337D"/>
    <w:rsid w:val="0011341B"/>
    <w:rsid w:val="001136C9"/>
    <w:rsid w:val="00113818"/>
    <w:rsid w:val="00113877"/>
    <w:rsid w:val="001144E1"/>
    <w:rsid w:val="00114A27"/>
    <w:rsid w:val="001158A8"/>
    <w:rsid w:val="00115E3F"/>
    <w:rsid w:val="00116205"/>
    <w:rsid w:val="00116F4F"/>
    <w:rsid w:val="0011725C"/>
    <w:rsid w:val="0011748A"/>
    <w:rsid w:val="00117493"/>
    <w:rsid w:val="001175B6"/>
    <w:rsid w:val="0011769A"/>
    <w:rsid w:val="001178D9"/>
    <w:rsid w:val="00117B06"/>
    <w:rsid w:val="00117E0E"/>
    <w:rsid w:val="00117F9A"/>
    <w:rsid w:val="001205FE"/>
    <w:rsid w:val="0012066A"/>
    <w:rsid w:val="001207F8"/>
    <w:rsid w:val="0012141F"/>
    <w:rsid w:val="00121F5B"/>
    <w:rsid w:val="001221CB"/>
    <w:rsid w:val="00122AEF"/>
    <w:rsid w:val="0012306B"/>
    <w:rsid w:val="00123125"/>
    <w:rsid w:val="00123641"/>
    <w:rsid w:val="00123CE9"/>
    <w:rsid w:val="00123D89"/>
    <w:rsid w:val="0012412F"/>
    <w:rsid w:val="0012440F"/>
    <w:rsid w:val="001246A6"/>
    <w:rsid w:val="001248BF"/>
    <w:rsid w:val="001252B2"/>
    <w:rsid w:val="0012542A"/>
    <w:rsid w:val="001254BF"/>
    <w:rsid w:val="00125857"/>
    <w:rsid w:val="001261CC"/>
    <w:rsid w:val="00130EED"/>
    <w:rsid w:val="0013132F"/>
    <w:rsid w:val="0013183A"/>
    <w:rsid w:val="00131D15"/>
    <w:rsid w:val="00133BEE"/>
    <w:rsid w:val="00134336"/>
    <w:rsid w:val="00134875"/>
    <w:rsid w:val="00134E0A"/>
    <w:rsid w:val="00135474"/>
    <w:rsid w:val="001359FC"/>
    <w:rsid w:val="00135C56"/>
    <w:rsid w:val="00136106"/>
    <w:rsid w:val="00136642"/>
    <w:rsid w:val="00136674"/>
    <w:rsid w:val="00136883"/>
    <w:rsid w:val="001369A9"/>
    <w:rsid w:val="00136A24"/>
    <w:rsid w:val="00136A88"/>
    <w:rsid w:val="00136FE1"/>
    <w:rsid w:val="001377DC"/>
    <w:rsid w:val="00137E45"/>
    <w:rsid w:val="00137FE4"/>
    <w:rsid w:val="001401C9"/>
    <w:rsid w:val="00140265"/>
    <w:rsid w:val="001408E1"/>
    <w:rsid w:val="00140B1F"/>
    <w:rsid w:val="00140B6C"/>
    <w:rsid w:val="00140D07"/>
    <w:rsid w:val="00140F71"/>
    <w:rsid w:val="0014134A"/>
    <w:rsid w:val="00141512"/>
    <w:rsid w:val="00141BE2"/>
    <w:rsid w:val="00142527"/>
    <w:rsid w:val="00142ACA"/>
    <w:rsid w:val="00142B8B"/>
    <w:rsid w:val="00142BF7"/>
    <w:rsid w:val="0014317A"/>
    <w:rsid w:val="00143477"/>
    <w:rsid w:val="001435CB"/>
    <w:rsid w:val="001437EA"/>
    <w:rsid w:val="00143AE7"/>
    <w:rsid w:val="00143C5C"/>
    <w:rsid w:val="001442EA"/>
    <w:rsid w:val="001446A4"/>
    <w:rsid w:val="0014470F"/>
    <w:rsid w:val="00144B1E"/>
    <w:rsid w:val="0014520D"/>
    <w:rsid w:val="00145669"/>
    <w:rsid w:val="00145672"/>
    <w:rsid w:val="00145D59"/>
    <w:rsid w:val="00146262"/>
    <w:rsid w:val="00146BF5"/>
    <w:rsid w:val="001479A6"/>
    <w:rsid w:val="00147A19"/>
    <w:rsid w:val="00147B2E"/>
    <w:rsid w:val="0015041A"/>
    <w:rsid w:val="00151B3F"/>
    <w:rsid w:val="00152DC6"/>
    <w:rsid w:val="00152F0C"/>
    <w:rsid w:val="00153437"/>
    <w:rsid w:val="0015373E"/>
    <w:rsid w:val="001537AB"/>
    <w:rsid w:val="00153817"/>
    <w:rsid w:val="001539A0"/>
    <w:rsid w:val="00153A43"/>
    <w:rsid w:val="00154372"/>
    <w:rsid w:val="001547B6"/>
    <w:rsid w:val="00154CD1"/>
    <w:rsid w:val="00154ED7"/>
    <w:rsid w:val="00155A31"/>
    <w:rsid w:val="001562DE"/>
    <w:rsid w:val="0015668D"/>
    <w:rsid w:val="00156D85"/>
    <w:rsid w:val="001570AB"/>
    <w:rsid w:val="001570BB"/>
    <w:rsid w:val="0015718F"/>
    <w:rsid w:val="001576E3"/>
    <w:rsid w:val="00157FC8"/>
    <w:rsid w:val="001612AF"/>
    <w:rsid w:val="00161745"/>
    <w:rsid w:val="00161C9C"/>
    <w:rsid w:val="00162813"/>
    <w:rsid w:val="00162A61"/>
    <w:rsid w:val="001634DF"/>
    <w:rsid w:val="00163E8C"/>
    <w:rsid w:val="001644F7"/>
    <w:rsid w:val="001652FE"/>
    <w:rsid w:val="00165C2A"/>
    <w:rsid w:val="00165D11"/>
    <w:rsid w:val="00165F7D"/>
    <w:rsid w:val="0016660F"/>
    <w:rsid w:val="00166857"/>
    <w:rsid w:val="00166AFA"/>
    <w:rsid w:val="00166D70"/>
    <w:rsid w:val="00167B10"/>
    <w:rsid w:val="00167CFA"/>
    <w:rsid w:val="00167DF3"/>
    <w:rsid w:val="00170519"/>
    <w:rsid w:val="00170721"/>
    <w:rsid w:val="00170742"/>
    <w:rsid w:val="00170D79"/>
    <w:rsid w:val="00171343"/>
    <w:rsid w:val="00171538"/>
    <w:rsid w:val="001715D9"/>
    <w:rsid w:val="00171F58"/>
    <w:rsid w:val="00172076"/>
    <w:rsid w:val="001724C5"/>
    <w:rsid w:val="00172A55"/>
    <w:rsid w:val="00172B5C"/>
    <w:rsid w:val="00173038"/>
    <w:rsid w:val="0017337B"/>
    <w:rsid w:val="00173437"/>
    <w:rsid w:val="0017351F"/>
    <w:rsid w:val="00173FFD"/>
    <w:rsid w:val="00174174"/>
    <w:rsid w:val="0017451D"/>
    <w:rsid w:val="00174D81"/>
    <w:rsid w:val="0017553E"/>
    <w:rsid w:val="00175B0B"/>
    <w:rsid w:val="001760A2"/>
    <w:rsid w:val="0017637D"/>
    <w:rsid w:val="00176570"/>
    <w:rsid w:val="00176D12"/>
    <w:rsid w:val="00176E09"/>
    <w:rsid w:val="00177208"/>
    <w:rsid w:val="001772CD"/>
    <w:rsid w:val="001778C9"/>
    <w:rsid w:val="001779F6"/>
    <w:rsid w:val="00177C86"/>
    <w:rsid w:val="00180BBD"/>
    <w:rsid w:val="001812D3"/>
    <w:rsid w:val="00181326"/>
    <w:rsid w:val="00181449"/>
    <w:rsid w:val="001816F6"/>
    <w:rsid w:val="001821E5"/>
    <w:rsid w:val="00182473"/>
    <w:rsid w:val="00182B99"/>
    <w:rsid w:val="00182F6E"/>
    <w:rsid w:val="00183083"/>
    <w:rsid w:val="0018313F"/>
    <w:rsid w:val="0018398A"/>
    <w:rsid w:val="00183AC7"/>
    <w:rsid w:val="00183B06"/>
    <w:rsid w:val="0018448C"/>
    <w:rsid w:val="001847EB"/>
    <w:rsid w:val="00184AC1"/>
    <w:rsid w:val="00184F17"/>
    <w:rsid w:val="00185148"/>
    <w:rsid w:val="001851DC"/>
    <w:rsid w:val="001853FF"/>
    <w:rsid w:val="00185971"/>
    <w:rsid w:val="00185EC0"/>
    <w:rsid w:val="00185FC7"/>
    <w:rsid w:val="0018616C"/>
    <w:rsid w:val="00186B64"/>
    <w:rsid w:val="00187321"/>
    <w:rsid w:val="001873D1"/>
    <w:rsid w:val="0018790E"/>
    <w:rsid w:val="00187B6F"/>
    <w:rsid w:val="00190073"/>
    <w:rsid w:val="001901BB"/>
    <w:rsid w:val="00190582"/>
    <w:rsid w:val="001905DE"/>
    <w:rsid w:val="00190777"/>
    <w:rsid w:val="001907B7"/>
    <w:rsid w:val="00190C60"/>
    <w:rsid w:val="00190EC8"/>
    <w:rsid w:val="00191840"/>
    <w:rsid w:val="00191EA5"/>
    <w:rsid w:val="0019210C"/>
    <w:rsid w:val="001932E8"/>
    <w:rsid w:val="00193538"/>
    <w:rsid w:val="00193F29"/>
    <w:rsid w:val="00194A20"/>
    <w:rsid w:val="00194E0A"/>
    <w:rsid w:val="00194E4D"/>
    <w:rsid w:val="0019507F"/>
    <w:rsid w:val="00195538"/>
    <w:rsid w:val="001959AC"/>
    <w:rsid w:val="001964EE"/>
    <w:rsid w:val="001964FC"/>
    <w:rsid w:val="00196611"/>
    <w:rsid w:val="0019661C"/>
    <w:rsid w:val="00196A15"/>
    <w:rsid w:val="00196AA0"/>
    <w:rsid w:val="0019717B"/>
    <w:rsid w:val="00197A90"/>
    <w:rsid w:val="00197E64"/>
    <w:rsid w:val="00197ED0"/>
    <w:rsid w:val="001A0CB6"/>
    <w:rsid w:val="001A0FB2"/>
    <w:rsid w:val="001A295D"/>
    <w:rsid w:val="001A29C9"/>
    <w:rsid w:val="001A32BF"/>
    <w:rsid w:val="001A33C8"/>
    <w:rsid w:val="001A3578"/>
    <w:rsid w:val="001A36E7"/>
    <w:rsid w:val="001A371B"/>
    <w:rsid w:val="001A3D21"/>
    <w:rsid w:val="001A4176"/>
    <w:rsid w:val="001A433D"/>
    <w:rsid w:val="001A4442"/>
    <w:rsid w:val="001A4682"/>
    <w:rsid w:val="001A4837"/>
    <w:rsid w:val="001A4FD7"/>
    <w:rsid w:val="001A56CA"/>
    <w:rsid w:val="001A666C"/>
    <w:rsid w:val="001A6F91"/>
    <w:rsid w:val="001A7521"/>
    <w:rsid w:val="001A7661"/>
    <w:rsid w:val="001A78A5"/>
    <w:rsid w:val="001A78C6"/>
    <w:rsid w:val="001A7C18"/>
    <w:rsid w:val="001A7EE2"/>
    <w:rsid w:val="001B02D4"/>
    <w:rsid w:val="001B03A9"/>
    <w:rsid w:val="001B04AC"/>
    <w:rsid w:val="001B06DC"/>
    <w:rsid w:val="001B0D8E"/>
    <w:rsid w:val="001B11F1"/>
    <w:rsid w:val="001B11F2"/>
    <w:rsid w:val="001B1600"/>
    <w:rsid w:val="001B1701"/>
    <w:rsid w:val="001B2416"/>
    <w:rsid w:val="001B2715"/>
    <w:rsid w:val="001B2A19"/>
    <w:rsid w:val="001B2AB0"/>
    <w:rsid w:val="001B2C11"/>
    <w:rsid w:val="001B2E37"/>
    <w:rsid w:val="001B35CA"/>
    <w:rsid w:val="001B39DD"/>
    <w:rsid w:val="001B3D76"/>
    <w:rsid w:val="001B3DFD"/>
    <w:rsid w:val="001B3F89"/>
    <w:rsid w:val="001B4090"/>
    <w:rsid w:val="001B44E4"/>
    <w:rsid w:val="001B455F"/>
    <w:rsid w:val="001B45AC"/>
    <w:rsid w:val="001B46A8"/>
    <w:rsid w:val="001B4C5A"/>
    <w:rsid w:val="001B4CBD"/>
    <w:rsid w:val="001B4F0B"/>
    <w:rsid w:val="001B5DE5"/>
    <w:rsid w:val="001B5EBB"/>
    <w:rsid w:val="001B5F5D"/>
    <w:rsid w:val="001B6217"/>
    <w:rsid w:val="001B6289"/>
    <w:rsid w:val="001B640A"/>
    <w:rsid w:val="001B661D"/>
    <w:rsid w:val="001B673B"/>
    <w:rsid w:val="001B6DE0"/>
    <w:rsid w:val="001B784F"/>
    <w:rsid w:val="001B7FD6"/>
    <w:rsid w:val="001B7FEA"/>
    <w:rsid w:val="001C0208"/>
    <w:rsid w:val="001C026C"/>
    <w:rsid w:val="001C079F"/>
    <w:rsid w:val="001C0B07"/>
    <w:rsid w:val="001C0CBE"/>
    <w:rsid w:val="001C1B1B"/>
    <w:rsid w:val="001C1D26"/>
    <w:rsid w:val="001C1F9D"/>
    <w:rsid w:val="001C21E4"/>
    <w:rsid w:val="001C2F1D"/>
    <w:rsid w:val="001C320C"/>
    <w:rsid w:val="001C37B3"/>
    <w:rsid w:val="001C3C0B"/>
    <w:rsid w:val="001C3D14"/>
    <w:rsid w:val="001C44F8"/>
    <w:rsid w:val="001C50DB"/>
    <w:rsid w:val="001C51F1"/>
    <w:rsid w:val="001C527D"/>
    <w:rsid w:val="001C5378"/>
    <w:rsid w:val="001C5F11"/>
    <w:rsid w:val="001C6685"/>
    <w:rsid w:val="001C6B95"/>
    <w:rsid w:val="001C6FFE"/>
    <w:rsid w:val="001C7DBE"/>
    <w:rsid w:val="001D010F"/>
    <w:rsid w:val="001D05DD"/>
    <w:rsid w:val="001D064D"/>
    <w:rsid w:val="001D0712"/>
    <w:rsid w:val="001D07CB"/>
    <w:rsid w:val="001D0A78"/>
    <w:rsid w:val="001D18DE"/>
    <w:rsid w:val="001D1F67"/>
    <w:rsid w:val="001D21CB"/>
    <w:rsid w:val="001D2384"/>
    <w:rsid w:val="001D241A"/>
    <w:rsid w:val="001D253D"/>
    <w:rsid w:val="001D2865"/>
    <w:rsid w:val="001D2AE4"/>
    <w:rsid w:val="001D2CDC"/>
    <w:rsid w:val="001D2DA5"/>
    <w:rsid w:val="001D3D56"/>
    <w:rsid w:val="001D4066"/>
    <w:rsid w:val="001D44EC"/>
    <w:rsid w:val="001D4558"/>
    <w:rsid w:val="001D46E8"/>
    <w:rsid w:val="001D4A08"/>
    <w:rsid w:val="001D507D"/>
    <w:rsid w:val="001D5294"/>
    <w:rsid w:val="001D5D08"/>
    <w:rsid w:val="001D69AD"/>
    <w:rsid w:val="001D6AB6"/>
    <w:rsid w:val="001D74BA"/>
    <w:rsid w:val="001D75B2"/>
    <w:rsid w:val="001D75EE"/>
    <w:rsid w:val="001D76E5"/>
    <w:rsid w:val="001D77A4"/>
    <w:rsid w:val="001D77D0"/>
    <w:rsid w:val="001D7AF0"/>
    <w:rsid w:val="001D7F73"/>
    <w:rsid w:val="001E0080"/>
    <w:rsid w:val="001E08C8"/>
    <w:rsid w:val="001E0D54"/>
    <w:rsid w:val="001E0F1B"/>
    <w:rsid w:val="001E1293"/>
    <w:rsid w:val="001E135F"/>
    <w:rsid w:val="001E142E"/>
    <w:rsid w:val="001E1D60"/>
    <w:rsid w:val="001E1DC0"/>
    <w:rsid w:val="001E28CF"/>
    <w:rsid w:val="001E290A"/>
    <w:rsid w:val="001E32B4"/>
    <w:rsid w:val="001E35E5"/>
    <w:rsid w:val="001E376D"/>
    <w:rsid w:val="001E38F7"/>
    <w:rsid w:val="001E54D1"/>
    <w:rsid w:val="001E562C"/>
    <w:rsid w:val="001E56E4"/>
    <w:rsid w:val="001E58BB"/>
    <w:rsid w:val="001E5D5C"/>
    <w:rsid w:val="001E6287"/>
    <w:rsid w:val="001E629E"/>
    <w:rsid w:val="001E6EDB"/>
    <w:rsid w:val="001E7110"/>
    <w:rsid w:val="001E79E2"/>
    <w:rsid w:val="001E7A76"/>
    <w:rsid w:val="001F0804"/>
    <w:rsid w:val="001F1BDB"/>
    <w:rsid w:val="001F1BE2"/>
    <w:rsid w:val="001F1C78"/>
    <w:rsid w:val="001F1ED8"/>
    <w:rsid w:val="001F2736"/>
    <w:rsid w:val="001F296F"/>
    <w:rsid w:val="001F3246"/>
    <w:rsid w:val="001F32C1"/>
    <w:rsid w:val="001F3B39"/>
    <w:rsid w:val="001F442C"/>
    <w:rsid w:val="001F472C"/>
    <w:rsid w:val="001F4757"/>
    <w:rsid w:val="001F50BD"/>
    <w:rsid w:val="001F547B"/>
    <w:rsid w:val="001F6AD7"/>
    <w:rsid w:val="001F6EA7"/>
    <w:rsid w:val="001F6EAA"/>
    <w:rsid w:val="001F78E0"/>
    <w:rsid w:val="001F79D2"/>
    <w:rsid w:val="002001C3"/>
    <w:rsid w:val="002003A9"/>
    <w:rsid w:val="002003AD"/>
    <w:rsid w:val="0020053F"/>
    <w:rsid w:val="00200574"/>
    <w:rsid w:val="002005F5"/>
    <w:rsid w:val="0020093B"/>
    <w:rsid w:val="00201197"/>
    <w:rsid w:val="0020169B"/>
    <w:rsid w:val="0020182C"/>
    <w:rsid w:val="0020182D"/>
    <w:rsid w:val="00201AF7"/>
    <w:rsid w:val="00201F01"/>
    <w:rsid w:val="0020219C"/>
    <w:rsid w:val="00202EB1"/>
    <w:rsid w:val="002043C7"/>
    <w:rsid w:val="00204AA2"/>
    <w:rsid w:val="00204D93"/>
    <w:rsid w:val="00204DC5"/>
    <w:rsid w:val="00205190"/>
    <w:rsid w:val="002055C1"/>
    <w:rsid w:val="00205AD6"/>
    <w:rsid w:val="0020625B"/>
    <w:rsid w:val="002068B7"/>
    <w:rsid w:val="0020741F"/>
    <w:rsid w:val="002075A6"/>
    <w:rsid w:val="00207C98"/>
    <w:rsid w:val="0021050C"/>
    <w:rsid w:val="00210A1C"/>
    <w:rsid w:val="00210E58"/>
    <w:rsid w:val="0021130E"/>
    <w:rsid w:val="0021167D"/>
    <w:rsid w:val="002117F8"/>
    <w:rsid w:val="0021188F"/>
    <w:rsid w:val="00211CCD"/>
    <w:rsid w:val="00211EE7"/>
    <w:rsid w:val="00212466"/>
    <w:rsid w:val="00212715"/>
    <w:rsid w:val="00212860"/>
    <w:rsid w:val="00212A00"/>
    <w:rsid w:val="00212C7A"/>
    <w:rsid w:val="002135DB"/>
    <w:rsid w:val="00213DC5"/>
    <w:rsid w:val="00213F70"/>
    <w:rsid w:val="00213FF9"/>
    <w:rsid w:val="0021407D"/>
    <w:rsid w:val="002142FB"/>
    <w:rsid w:val="00214C96"/>
    <w:rsid w:val="00214EDF"/>
    <w:rsid w:val="00215196"/>
    <w:rsid w:val="00215A0D"/>
    <w:rsid w:val="00215B85"/>
    <w:rsid w:val="00215EAC"/>
    <w:rsid w:val="00216A3A"/>
    <w:rsid w:val="0021713A"/>
    <w:rsid w:val="002175A9"/>
    <w:rsid w:val="002176EF"/>
    <w:rsid w:val="002178F5"/>
    <w:rsid w:val="00217D25"/>
    <w:rsid w:val="00220160"/>
    <w:rsid w:val="0022033D"/>
    <w:rsid w:val="00220C0D"/>
    <w:rsid w:val="002211DF"/>
    <w:rsid w:val="0022137F"/>
    <w:rsid w:val="00221497"/>
    <w:rsid w:val="00221890"/>
    <w:rsid w:val="00221AA1"/>
    <w:rsid w:val="00221DF0"/>
    <w:rsid w:val="00221EFB"/>
    <w:rsid w:val="00221F9C"/>
    <w:rsid w:val="002225D9"/>
    <w:rsid w:val="0022364C"/>
    <w:rsid w:val="002236CB"/>
    <w:rsid w:val="00223DB1"/>
    <w:rsid w:val="002240CF"/>
    <w:rsid w:val="00224509"/>
    <w:rsid w:val="0022456B"/>
    <w:rsid w:val="00224659"/>
    <w:rsid w:val="002249AB"/>
    <w:rsid w:val="002251DF"/>
    <w:rsid w:val="002252D9"/>
    <w:rsid w:val="002255FA"/>
    <w:rsid w:val="0022676D"/>
    <w:rsid w:val="00226B2F"/>
    <w:rsid w:val="0022733F"/>
    <w:rsid w:val="0022759B"/>
    <w:rsid w:val="00227B09"/>
    <w:rsid w:val="00227F85"/>
    <w:rsid w:val="00230212"/>
    <w:rsid w:val="002307CF"/>
    <w:rsid w:val="00230BE7"/>
    <w:rsid w:val="00231686"/>
    <w:rsid w:val="002316D3"/>
    <w:rsid w:val="0023178C"/>
    <w:rsid w:val="0023185C"/>
    <w:rsid w:val="00231E49"/>
    <w:rsid w:val="00231E99"/>
    <w:rsid w:val="002320C9"/>
    <w:rsid w:val="00232463"/>
    <w:rsid w:val="00232907"/>
    <w:rsid w:val="002329FC"/>
    <w:rsid w:val="00232B30"/>
    <w:rsid w:val="002334AF"/>
    <w:rsid w:val="00235475"/>
    <w:rsid w:val="00235BD1"/>
    <w:rsid w:val="00236140"/>
    <w:rsid w:val="00236F99"/>
    <w:rsid w:val="00237395"/>
    <w:rsid w:val="0023742D"/>
    <w:rsid w:val="002376EE"/>
    <w:rsid w:val="0024038E"/>
    <w:rsid w:val="00240B0F"/>
    <w:rsid w:val="00240F4B"/>
    <w:rsid w:val="00241183"/>
    <w:rsid w:val="00241447"/>
    <w:rsid w:val="00241B9E"/>
    <w:rsid w:val="00242261"/>
    <w:rsid w:val="00242673"/>
    <w:rsid w:val="00242B13"/>
    <w:rsid w:val="00243025"/>
    <w:rsid w:val="0024316D"/>
    <w:rsid w:val="0024336D"/>
    <w:rsid w:val="00243464"/>
    <w:rsid w:val="002434B8"/>
    <w:rsid w:val="002437C2"/>
    <w:rsid w:val="0024392D"/>
    <w:rsid w:val="002439B2"/>
    <w:rsid w:val="00243FFE"/>
    <w:rsid w:val="002441BB"/>
    <w:rsid w:val="002441E1"/>
    <w:rsid w:val="00244502"/>
    <w:rsid w:val="00244612"/>
    <w:rsid w:val="00244C84"/>
    <w:rsid w:val="00244EED"/>
    <w:rsid w:val="00244F3C"/>
    <w:rsid w:val="002456F5"/>
    <w:rsid w:val="00245DB3"/>
    <w:rsid w:val="00245ED1"/>
    <w:rsid w:val="00245F12"/>
    <w:rsid w:val="00246315"/>
    <w:rsid w:val="002466E2"/>
    <w:rsid w:val="0024687E"/>
    <w:rsid w:val="0024706D"/>
    <w:rsid w:val="002475D0"/>
    <w:rsid w:val="00247613"/>
    <w:rsid w:val="0024778C"/>
    <w:rsid w:val="00247BC8"/>
    <w:rsid w:val="00247C48"/>
    <w:rsid w:val="002501E5"/>
    <w:rsid w:val="002505CB"/>
    <w:rsid w:val="00250700"/>
    <w:rsid w:val="00250B17"/>
    <w:rsid w:val="00250BCA"/>
    <w:rsid w:val="00250BDB"/>
    <w:rsid w:val="00251526"/>
    <w:rsid w:val="00251569"/>
    <w:rsid w:val="0025157E"/>
    <w:rsid w:val="00251A87"/>
    <w:rsid w:val="00251C1A"/>
    <w:rsid w:val="00252E4B"/>
    <w:rsid w:val="00252EAE"/>
    <w:rsid w:val="00252FB2"/>
    <w:rsid w:val="00253446"/>
    <w:rsid w:val="002539DE"/>
    <w:rsid w:val="00253E8F"/>
    <w:rsid w:val="002540A4"/>
    <w:rsid w:val="00254395"/>
    <w:rsid w:val="0025480E"/>
    <w:rsid w:val="0025488B"/>
    <w:rsid w:val="002549ED"/>
    <w:rsid w:val="00256581"/>
    <w:rsid w:val="0025664E"/>
    <w:rsid w:val="002569D5"/>
    <w:rsid w:val="00256E09"/>
    <w:rsid w:val="00257057"/>
    <w:rsid w:val="00257095"/>
    <w:rsid w:val="00257487"/>
    <w:rsid w:val="00257958"/>
    <w:rsid w:val="00257A12"/>
    <w:rsid w:val="00260399"/>
    <w:rsid w:val="00261139"/>
    <w:rsid w:val="00261226"/>
    <w:rsid w:val="002618E7"/>
    <w:rsid w:val="00261D0D"/>
    <w:rsid w:val="0026212A"/>
    <w:rsid w:val="002628DF"/>
    <w:rsid w:val="00262958"/>
    <w:rsid w:val="002637E3"/>
    <w:rsid w:val="00263DBC"/>
    <w:rsid w:val="00263FBB"/>
    <w:rsid w:val="00264315"/>
    <w:rsid w:val="002643BE"/>
    <w:rsid w:val="002643C4"/>
    <w:rsid w:val="00264DF0"/>
    <w:rsid w:val="002655A1"/>
    <w:rsid w:val="00265C14"/>
    <w:rsid w:val="00266000"/>
    <w:rsid w:val="002665E8"/>
    <w:rsid w:val="00266D44"/>
    <w:rsid w:val="00266DBA"/>
    <w:rsid w:val="00266EE3"/>
    <w:rsid w:val="0026720A"/>
    <w:rsid w:val="0026722A"/>
    <w:rsid w:val="00267AA0"/>
    <w:rsid w:val="00267C8A"/>
    <w:rsid w:val="00267D20"/>
    <w:rsid w:val="00267E32"/>
    <w:rsid w:val="00267EBE"/>
    <w:rsid w:val="00267F03"/>
    <w:rsid w:val="002704BA"/>
    <w:rsid w:val="002708CE"/>
    <w:rsid w:val="00270DF2"/>
    <w:rsid w:val="002718D2"/>
    <w:rsid w:val="00271C91"/>
    <w:rsid w:val="00271E19"/>
    <w:rsid w:val="00272D8C"/>
    <w:rsid w:val="00272E1A"/>
    <w:rsid w:val="0027300D"/>
    <w:rsid w:val="002733D3"/>
    <w:rsid w:val="00273D82"/>
    <w:rsid w:val="00274396"/>
    <w:rsid w:val="00274577"/>
    <w:rsid w:val="002746D7"/>
    <w:rsid w:val="002747A8"/>
    <w:rsid w:val="00274F21"/>
    <w:rsid w:val="002755C7"/>
    <w:rsid w:val="0027576A"/>
    <w:rsid w:val="00275953"/>
    <w:rsid w:val="00275A12"/>
    <w:rsid w:val="00275FB0"/>
    <w:rsid w:val="002764E4"/>
    <w:rsid w:val="00277531"/>
    <w:rsid w:val="00277594"/>
    <w:rsid w:val="0028038A"/>
    <w:rsid w:val="002806E4"/>
    <w:rsid w:val="00280981"/>
    <w:rsid w:val="00281123"/>
    <w:rsid w:val="002811E1"/>
    <w:rsid w:val="00281546"/>
    <w:rsid w:val="0028157E"/>
    <w:rsid w:val="00281874"/>
    <w:rsid w:val="0028187B"/>
    <w:rsid w:val="002818BD"/>
    <w:rsid w:val="00281D2A"/>
    <w:rsid w:val="00282BC4"/>
    <w:rsid w:val="00282C15"/>
    <w:rsid w:val="002830B6"/>
    <w:rsid w:val="00283AD4"/>
    <w:rsid w:val="00283B00"/>
    <w:rsid w:val="0028571D"/>
    <w:rsid w:val="00285C36"/>
    <w:rsid w:val="00285E1C"/>
    <w:rsid w:val="0028680D"/>
    <w:rsid w:val="002869E6"/>
    <w:rsid w:val="002872DE"/>
    <w:rsid w:val="00287413"/>
    <w:rsid w:val="002876C0"/>
    <w:rsid w:val="00287A12"/>
    <w:rsid w:val="00287E64"/>
    <w:rsid w:val="002900CC"/>
    <w:rsid w:val="00290A21"/>
    <w:rsid w:val="00290B85"/>
    <w:rsid w:val="00290BDC"/>
    <w:rsid w:val="00290DB2"/>
    <w:rsid w:val="00290EC9"/>
    <w:rsid w:val="00291688"/>
    <w:rsid w:val="00291A2E"/>
    <w:rsid w:val="00291F58"/>
    <w:rsid w:val="00292294"/>
    <w:rsid w:val="0029231F"/>
    <w:rsid w:val="00292720"/>
    <w:rsid w:val="00292987"/>
    <w:rsid w:val="002929D7"/>
    <w:rsid w:val="00292BBB"/>
    <w:rsid w:val="00292D27"/>
    <w:rsid w:val="00293171"/>
    <w:rsid w:val="002931C5"/>
    <w:rsid w:val="00293913"/>
    <w:rsid w:val="002939A0"/>
    <w:rsid w:val="00293BD6"/>
    <w:rsid w:val="00293FE1"/>
    <w:rsid w:val="002946B4"/>
    <w:rsid w:val="00294884"/>
    <w:rsid w:val="00295253"/>
    <w:rsid w:val="002957E7"/>
    <w:rsid w:val="0029597B"/>
    <w:rsid w:val="00295A40"/>
    <w:rsid w:val="00296205"/>
    <w:rsid w:val="002964AF"/>
    <w:rsid w:val="002968CB"/>
    <w:rsid w:val="00296C54"/>
    <w:rsid w:val="00296E6E"/>
    <w:rsid w:val="00296F1E"/>
    <w:rsid w:val="00296F3B"/>
    <w:rsid w:val="002970F8"/>
    <w:rsid w:val="0029761C"/>
    <w:rsid w:val="00297DB0"/>
    <w:rsid w:val="002A07CB"/>
    <w:rsid w:val="002A13F1"/>
    <w:rsid w:val="002A19C5"/>
    <w:rsid w:val="002A1B24"/>
    <w:rsid w:val="002A20DE"/>
    <w:rsid w:val="002A229B"/>
    <w:rsid w:val="002A316C"/>
    <w:rsid w:val="002A3263"/>
    <w:rsid w:val="002A4684"/>
    <w:rsid w:val="002A4C02"/>
    <w:rsid w:val="002A51D6"/>
    <w:rsid w:val="002A5CDA"/>
    <w:rsid w:val="002A64C9"/>
    <w:rsid w:val="002A6A3E"/>
    <w:rsid w:val="002A738B"/>
    <w:rsid w:val="002A73B0"/>
    <w:rsid w:val="002A7CDB"/>
    <w:rsid w:val="002A7FA9"/>
    <w:rsid w:val="002A7FD1"/>
    <w:rsid w:val="002B0165"/>
    <w:rsid w:val="002B0655"/>
    <w:rsid w:val="002B0DF4"/>
    <w:rsid w:val="002B17A6"/>
    <w:rsid w:val="002B1937"/>
    <w:rsid w:val="002B19DB"/>
    <w:rsid w:val="002B267D"/>
    <w:rsid w:val="002B319B"/>
    <w:rsid w:val="002B3869"/>
    <w:rsid w:val="002B39EA"/>
    <w:rsid w:val="002B3FBA"/>
    <w:rsid w:val="002B42E7"/>
    <w:rsid w:val="002B45FB"/>
    <w:rsid w:val="002B4689"/>
    <w:rsid w:val="002B46BB"/>
    <w:rsid w:val="002B48B0"/>
    <w:rsid w:val="002B4D76"/>
    <w:rsid w:val="002B4F1D"/>
    <w:rsid w:val="002B52F4"/>
    <w:rsid w:val="002B5432"/>
    <w:rsid w:val="002B5A6C"/>
    <w:rsid w:val="002B5CEA"/>
    <w:rsid w:val="002B5EB5"/>
    <w:rsid w:val="002B60AD"/>
    <w:rsid w:val="002B628C"/>
    <w:rsid w:val="002B62A0"/>
    <w:rsid w:val="002B63B3"/>
    <w:rsid w:val="002B67F2"/>
    <w:rsid w:val="002B6D68"/>
    <w:rsid w:val="002B7B8F"/>
    <w:rsid w:val="002B7E40"/>
    <w:rsid w:val="002C00C4"/>
    <w:rsid w:val="002C01DC"/>
    <w:rsid w:val="002C023A"/>
    <w:rsid w:val="002C0692"/>
    <w:rsid w:val="002C0823"/>
    <w:rsid w:val="002C086A"/>
    <w:rsid w:val="002C0A7C"/>
    <w:rsid w:val="002C0B41"/>
    <w:rsid w:val="002C1463"/>
    <w:rsid w:val="002C23B2"/>
    <w:rsid w:val="002C2512"/>
    <w:rsid w:val="002C29F3"/>
    <w:rsid w:val="002C2EB2"/>
    <w:rsid w:val="002C2FA0"/>
    <w:rsid w:val="002C31DA"/>
    <w:rsid w:val="002C331B"/>
    <w:rsid w:val="002C3412"/>
    <w:rsid w:val="002C3E06"/>
    <w:rsid w:val="002C3E58"/>
    <w:rsid w:val="002C4183"/>
    <w:rsid w:val="002C469D"/>
    <w:rsid w:val="002C49D8"/>
    <w:rsid w:val="002C4AE6"/>
    <w:rsid w:val="002C5893"/>
    <w:rsid w:val="002C5D10"/>
    <w:rsid w:val="002C5E37"/>
    <w:rsid w:val="002C6094"/>
    <w:rsid w:val="002C63C5"/>
    <w:rsid w:val="002C6A12"/>
    <w:rsid w:val="002C6E32"/>
    <w:rsid w:val="002C6FB2"/>
    <w:rsid w:val="002C71D9"/>
    <w:rsid w:val="002C74C3"/>
    <w:rsid w:val="002C78D6"/>
    <w:rsid w:val="002C79E0"/>
    <w:rsid w:val="002C7B00"/>
    <w:rsid w:val="002C7D10"/>
    <w:rsid w:val="002D0052"/>
    <w:rsid w:val="002D00F8"/>
    <w:rsid w:val="002D085F"/>
    <w:rsid w:val="002D0F92"/>
    <w:rsid w:val="002D13A9"/>
    <w:rsid w:val="002D1521"/>
    <w:rsid w:val="002D1ECC"/>
    <w:rsid w:val="002D2D6B"/>
    <w:rsid w:val="002D3685"/>
    <w:rsid w:val="002D3805"/>
    <w:rsid w:val="002D39B8"/>
    <w:rsid w:val="002D4022"/>
    <w:rsid w:val="002D42C0"/>
    <w:rsid w:val="002D4323"/>
    <w:rsid w:val="002D486A"/>
    <w:rsid w:val="002D4DC3"/>
    <w:rsid w:val="002D4F81"/>
    <w:rsid w:val="002D516C"/>
    <w:rsid w:val="002D6129"/>
    <w:rsid w:val="002D6221"/>
    <w:rsid w:val="002D6840"/>
    <w:rsid w:val="002D7493"/>
    <w:rsid w:val="002D7575"/>
    <w:rsid w:val="002D7D2F"/>
    <w:rsid w:val="002D7DF3"/>
    <w:rsid w:val="002E038C"/>
    <w:rsid w:val="002E0540"/>
    <w:rsid w:val="002E063C"/>
    <w:rsid w:val="002E067F"/>
    <w:rsid w:val="002E0F43"/>
    <w:rsid w:val="002E1096"/>
    <w:rsid w:val="002E10E6"/>
    <w:rsid w:val="002E1C5C"/>
    <w:rsid w:val="002E2BD3"/>
    <w:rsid w:val="002E2FE0"/>
    <w:rsid w:val="002E308B"/>
    <w:rsid w:val="002E33AA"/>
    <w:rsid w:val="002E3456"/>
    <w:rsid w:val="002E363A"/>
    <w:rsid w:val="002E39F1"/>
    <w:rsid w:val="002E407D"/>
    <w:rsid w:val="002E4341"/>
    <w:rsid w:val="002E45BB"/>
    <w:rsid w:val="002E45D1"/>
    <w:rsid w:val="002E5210"/>
    <w:rsid w:val="002E5340"/>
    <w:rsid w:val="002E5391"/>
    <w:rsid w:val="002E5652"/>
    <w:rsid w:val="002E5BCD"/>
    <w:rsid w:val="002E5DBB"/>
    <w:rsid w:val="002E5FAF"/>
    <w:rsid w:val="002E60A0"/>
    <w:rsid w:val="002E6921"/>
    <w:rsid w:val="002E70D9"/>
    <w:rsid w:val="002E71ED"/>
    <w:rsid w:val="002E75D6"/>
    <w:rsid w:val="002F037E"/>
    <w:rsid w:val="002F05B9"/>
    <w:rsid w:val="002F14CA"/>
    <w:rsid w:val="002F167C"/>
    <w:rsid w:val="002F175F"/>
    <w:rsid w:val="002F182C"/>
    <w:rsid w:val="002F1A22"/>
    <w:rsid w:val="002F1E43"/>
    <w:rsid w:val="002F1E9A"/>
    <w:rsid w:val="002F246C"/>
    <w:rsid w:val="002F26E7"/>
    <w:rsid w:val="002F2CC5"/>
    <w:rsid w:val="002F2D6F"/>
    <w:rsid w:val="002F32AA"/>
    <w:rsid w:val="002F3488"/>
    <w:rsid w:val="002F3E35"/>
    <w:rsid w:val="002F4F05"/>
    <w:rsid w:val="002F50D5"/>
    <w:rsid w:val="002F5171"/>
    <w:rsid w:val="002F51F4"/>
    <w:rsid w:val="002F5396"/>
    <w:rsid w:val="002F5BE2"/>
    <w:rsid w:val="002F5F82"/>
    <w:rsid w:val="002F6520"/>
    <w:rsid w:val="002F6DE6"/>
    <w:rsid w:val="002F70F7"/>
    <w:rsid w:val="002F7125"/>
    <w:rsid w:val="002F72F6"/>
    <w:rsid w:val="002F753A"/>
    <w:rsid w:val="002F7581"/>
    <w:rsid w:val="00300828"/>
    <w:rsid w:val="00300B4F"/>
    <w:rsid w:val="00300E56"/>
    <w:rsid w:val="00301239"/>
    <w:rsid w:val="0030124A"/>
    <w:rsid w:val="00301BF4"/>
    <w:rsid w:val="00301FB2"/>
    <w:rsid w:val="003023C1"/>
    <w:rsid w:val="00302531"/>
    <w:rsid w:val="0030255E"/>
    <w:rsid w:val="0030280B"/>
    <w:rsid w:val="00302B48"/>
    <w:rsid w:val="00302B4F"/>
    <w:rsid w:val="003030C3"/>
    <w:rsid w:val="0030319B"/>
    <w:rsid w:val="003033D2"/>
    <w:rsid w:val="00303498"/>
    <w:rsid w:val="00303CC2"/>
    <w:rsid w:val="00303ED9"/>
    <w:rsid w:val="0030405A"/>
    <w:rsid w:val="0030408D"/>
    <w:rsid w:val="0030420A"/>
    <w:rsid w:val="003046AC"/>
    <w:rsid w:val="003047E4"/>
    <w:rsid w:val="003052BA"/>
    <w:rsid w:val="00305452"/>
    <w:rsid w:val="0030568F"/>
    <w:rsid w:val="00305E9B"/>
    <w:rsid w:val="003061A4"/>
    <w:rsid w:val="00306375"/>
    <w:rsid w:val="00306672"/>
    <w:rsid w:val="003068D0"/>
    <w:rsid w:val="00306A11"/>
    <w:rsid w:val="00306FFA"/>
    <w:rsid w:val="0030704F"/>
    <w:rsid w:val="003075C9"/>
    <w:rsid w:val="00307611"/>
    <w:rsid w:val="003077CA"/>
    <w:rsid w:val="00307ABE"/>
    <w:rsid w:val="00307CF0"/>
    <w:rsid w:val="00307DF9"/>
    <w:rsid w:val="00310925"/>
    <w:rsid w:val="0031098C"/>
    <w:rsid w:val="00311164"/>
    <w:rsid w:val="00311346"/>
    <w:rsid w:val="00311C97"/>
    <w:rsid w:val="00312672"/>
    <w:rsid w:val="00312708"/>
    <w:rsid w:val="0031277C"/>
    <w:rsid w:val="00312AB2"/>
    <w:rsid w:val="00312B3D"/>
    <w:rsid w:val="00312B99"/>
    <w:rsid w:val="003137C7"/>
    <w:rsid w:val="0031420F"/>
    <w:rsid w:val="00314485"/>
    <w:rsid w:val="003146E4"/>
    <w:rsid w:val="00314D03"/>
    <w:rsid w:val="003159BB"/>
    <w:rsid w:val="00315A6F"/>
    <w:rsid w:val="00315C31"/>
    <w:rsid w:val="0031609A"/>
    <w:rsid w:val="003160FA"/>
    <w:rsid w:val="0031617F"/>
    <w:rsid w:val="00316A0E"/>
    <w:rsid w:val="00316F05"/>
    <w:rsid w:val="00317254"/>
    <w:rsid w:val="003176EA"/>
    <w:rsid w:val="00317838"/>
    <w:rsid w:val="003200C2"/>
    <w:rsid w:val="00320691"/>
    <w:rsid w:val="0032069B"/>
    <w:rsid w:val="003208CA"/>
    <w:rsid w:val="00320A66"/>
    <w:rsid w:val="00320B99"/>
    <w:rsid w:val="00320BC8"/>
    <w:rsid w:val="0032109C"/>
    <w:rsid w:val="003211E7"/>
    <w:rsid w:val="003218B2"/>
    <w:rsid w:val="003219E4"/>
    <w:rsid w:val="0032224C"/>
    <w:rsid w:val="0032253E"/>
    <w:rsid w:val="00322B9A"/>
    <w:rsid w:val="00323218"/>
    <w:rsid w:val="0032346C"/>
    <w:rsid w:val="003235A6"/>
    <w:rsid w:val="00323653"/>
    <w:rsid w:val="003239A2"/>
    <w:rsid w:val="00323B35"/>
    <w:rsid w:val="0032404F"/>
    <w:rsid w:val="003245C8"/>
    <w:rsid w:val="003249CA"/>
    <w:rsid w:val="00324F29"/>
    <w:rsid w:val="00325399"/>
    <w:rsid w:val="00325409"/>
    <w:rsid w:val="00326680"/>
    <w:rsid w:val="0032699B"/>
    <w:rsid w:val="00326FAB"/>
    <w:rsid w:val="0032718A"/>
    <w:rsid w:val="00327B53"/>
    <w:rsid w:val="0033017D"/>
    <w:rsid w:val="00330FA2"/>
    <w:rsid w:val="00331259"/>
    <w:rsid w:val="003313D4"/>
    <w:rsid w:val="0033147E"/>
    <w:rsid w:val="00331EDC"/>
    <w:rsid w:val="003324E2"/>
    <w:rsid w:val="003326D7"/>
    <w:rsid w:val="00333047"/>
    <w:rsid w:val="003332D5"/>
    <w:rsid w:val="003333E2"/>
    <w:rsid w:val="0033366F"/>
    <w:rsid w:val="00333EB3"/>
    <w:rsid w:val="00334EAC"/>
    <w:rsid w:val="0033558E"/>
    <w:rsid w:val="00335968"/>
    <w:rsid w:val="00335EDE"/>
    <w:rsid w:val="00335F39"/>
    <w:rsid w:val="00335FF5"/>
    <w:rsid w:val="003360C5"/>
    <w:rsid w:val="003367F0"/>
    <w:rsid w:val="0033684B"/>
    <w:rsid w:val="00336A1B"/>
    <w:rsid w:val="0033774F"/>
    <w:rsid w:val="003377D1"/>
    <w:rsid w:val="00337CA1"/>
    <w:rsid w:val="003404D8"/>
    <w:rsid w:val="00341848"/>
    <w:rsid w:val="00341F4D"/>
    <w:rsid w:val="003425DA"/>
    <w:rsid w:val="00342E96"/>
    <w:rsid w:val="00342FD2"/>
    <w:rsid w:val="00343C47"/>
    <w:rsid w:val="00343DF6"/>
    <w:rsid w:val="00344933"/>
    <w:rsid w:val="00345FFA"/>
    <w:rsid w:val="003466C7"/>
    <w:rsid w:val="00346EB0"/>
    <w:rsid w:val="003479E3"/>
    <w:rsid w:val="00347CDB"/>
    <w:rsid w:val="00347F94"/>
    <w:rsid w:val="003500B6"/>
    <w:rsid w:val="00350730"/>
    <w:rsid w:val="00350970"/>
    <w:rsid w:val="00350C2E"/>
    <w:rsid w:val="00350F85"/>
    <w:rsid w:val="003516B3"/>
    <w:rsid w:val="00352321"/>
    <w:rsid w:val="00352C42"/>
    <w:rsid w:val="00352F2A"/>
    <w:rsid w:val="003531A3"/>
    <w:rsid w:val="00353465"/>
    <w:rsid w:val="00353839"/>
    <w:rsid w:val="003539E8"/>
    <w:rsid w:val="00353B3D"/>
    <w:rsid w:val="00354051"/>
    <w:rsid w:val="0035433D"/>
    <w:rsid w:val="003544EC"/>
    <w:rsid w:val="0035459B"/>
    <w:rsid w:val="00355664"/>
    <w:rsid w:val="00355B8A"/>
    <w:rsid w:val="003564C2"/>
    <w:rsid w:val="0035663F"/>
    <w:rsid w:val="003569D7"/>
    <w:rsid w:val="00356B9E"/>
    <w:rsid w:val="00357996"/>
    <w:rsid w:val="003602CF"/>
    <w:rsid w:val="00360CC3"/>
    <w:rsid w:val="003611D4"/>
    <w:rsid w:val="003611F7"/>
    <w:rsid w:val="003617D8"/>
    <w:rsid w:val="003619A7"/>
    <w:rsid w:val="00361C07"/>
    <w:rsid w:val="00361D9D"/>
    <w:rsid w:val="00362249"/>
    <w:rsid w:val="0036235E"/>
    <w:rsid w:val="003625AC"/>
    <w:rsid w:val="00362A07"/>
    <w:rsid w:val="00362B47"/>
    <w:rsid w:val="00362DAC"/>
    <w:rsid w:val="00363206"/>
    <w:rsid w:val="00363B64"/>
    <w:rsid w:val="00363E33"/>
    <w:rsid w:val="00364038"/>
    <w:rsid w:val="003648F8"/>
    <w:rsid w:val="00364CE2"/>
    <w:rsid w:val="003656F5"/>
    <w:rsid w:val="0036578E"/>
    <w:rsid w:val="00365D7D"/>
    <w:rsid w:val="0036686B"/>
    <w:rsid w:val="00367545"/>
    <w:rsid w:val="003676DB"/>
    <w:rsid w:val="00367A07"/>
    <w:rsid w:val="00367B37"/>
    <w:rsid w:val="00367DF1"/>
    <w:rsid w:val="00370031"/>
    <w:rsid w:val="003707E5"/>
    <w:rsid w:val="003708B2"/>
    <w:rsid w:val="00371081"/>
    <w:rsid w:val="003713A3"/>
    <w:rsid w:val="00371819"/>
    <w:rsid w:val="0037183F"/>
    <w:rsid w:val="003721E8"/>
    <w:rsid w:val="003722F4"/>
    <w:rsid w:val="0037284E"/>
    <w:rsid w:val="003728EE"/>
    <w:rsid w:val="00372939"/>
    <w:rsid w:val="003737F2"/>
    <w:rsid w:val="00373F66"/>
    <w:rsid w:val="00374DA7"/>
    <w:rsid w:val="0037519A"/>
    <w:rsid w:val="003753DC"/>
    <w:rsid w:val="00375576"/>
    <w:rsid w:val="0037567C"/>
    <w:rsid w:val="00375D5E"/>
    <w:rsid w:val="00376AFE"/>
    <w:rsid w:val="00376B6E"/>
    <w:rsid w:val="003771E6"/>
    <w:rsid w:val="00377C32"/>
    <w:rsid w:val="00377F17"/>
    <w:rsid w:val="003803D5"/>
    <w:rsid w:val="003806D2"/>
    <w:rsid w:val="0038103A"/>
    <w:rsid w:val="00381975"/>
    <w:rsid w:val="00381ABA"/>
    <w:rsid w:val="00381AE7"/>
    <w:rsid w:val="00381BEB"/>
    <w:rsid w:val="00382192"/>
    <w:rsid w:val="003823AD"/>
    <w:rsid w:val="00382CBA"/>
    <w:rsid w:val="003831E3"/>
    <w:rsid w:val="0038361B"/>
    <w:rsid w:val="0038409A"/>
    <w:rsid w:val="00384A6A"/>
    <w:rsid w:val="00384BF0"/>
    <w:rsid w:val="003854B0"/>
    <w:rsid w:val="00385677"/>
    <w:rsid w:val="003862ED"/>
    <w:rsid w:val="00386305"/>
    <w:rsid w:val="0038645B"/>
    <w:rsid w:val="00386806"/>
    <w:rsid w:val="00386896"/>
    <w:rsid w:val="00386976"/>
    <w:rsid w:val="00386C28"/>
    <w:rsid w:val="003877F0"/>
    <w:rsid w:val="00387FA7"/>
    <w:rsid w:val="003901E3"/>
    <w:rsid w:val="0039036D"/>
    <w:rsid w:val="00390407"/>
    <w:rsid w:val="00390488"/>
    <w:rsid w:val="00390B3D"/>
    <w:rsid w:val="00390CFE"/>
    <w:rsid w:val="00391330"/>
    <w:rsid w:val="003915BE"/>
    <w:rsid w:val="003918EB"/>
    <w:rsid w:val="003923BA"/>
    <w:rsid w:val="00392D12"/>
    <w:rsid w:val="00392D46"/>
    <w:rsid w:val="00392DF0"/>
    <w:rsid w:val="0039348A"/>
    <w:rsid w:val="003945D9"/>
    <w:rsid w:val="00394636"/>
    <w:rsid w:val="00395235"/>
    <w:rsid w:val="003956D4"/>
    <w:rsid w:val="0039595D"/>
    <w:rsid w:val="00397234"/>
    <w:rsid w:val="00397298"/>
    <w:rsid w:val="00397B13"/>
    <w:rsid w:val="003A00CA"/>
    <w:rsid w:val="003A032A"/>
    <w:rsid w:val="003A0C28"/>
    <w:rsid w:val="003A0D5D"/>
    <w:rsid w:val="003A122C"/>
    <w:rsid w:val="003A1459"/>
    <w:rsid w:val="003A1548"/>
    <w:rsid w:val="003A1BC2"/>
    <w:rsid w:val="003A24F6"/>
    <w:rsid w:val="003A2843"/>
    <w:rsid w:val="003A2889"/>
    <w:rsid w:val="003A2893"/>
    <w:rsid w:val="003A30F1"/>
    <w:rsid w:val="003A3293"/>
    <w:rsid w:val="003A3901"/>
    <w:rsid w:val="003A452C"/>
    <w:rsid w:val="003A49A7"/>
    <w:rsid w:val="003A49B8"/>
    <w:rsid w:val="003A5068"/>
    <w:rsid w:val="003A5CC0"/>
    <w:rsid w:val="003A648E"/>
    <w:rsid w:val="003A66CA"/>
    <w:rsid w:val="003A677C"/>
    <w:rsid w:val="003A680B"/>
    <w:rsid w:val="003A6DB7"/>
    <w:rsid w:val="003A7501"/>
    <w:rsid w:val="003A75B5"/>
    <w:rsid w:val="003B00C8"/>
    <w:rsid w:val="003B012C"/>
    <w:rsid w:val="003B11BE"/>
    <w:rsid w:val="003B121A"/>
    <w:rsid w:val="003B1245"/>
    <w:rsid w:val="003B1287"/>
    <w:rsid w:val="003B12D1"/>
    <w:rsid w:val="003B19B7"/>
    <w:rsid w:val="003B1A5D"/>
    <w:rsid w:val="003B1C1C"/>
    <w:rsid w:val="003B1F42"/>
    <w:rsid w:val="003B1FF6"/>
    <w:rsid w:val="003B2621"/>
    <w:rsid w:val="003B289F"/>
    <w:rsid w:val="003B2922"/>
    <w:rsid w:val="003B2D91"/>
    <w:rsid w:val="003B32DC"/>
    <w:rsid w:val="003B3405"/>
    <w:rsid w:val="003B341E"/>
    <w:rsid w:val="003B365B"/>
    <w:rsid w:val="003B3A4F"/>
    <w:rsid w:val="003B3E8E"/>
    <w:rsid w:val="003B4564"/>
    <w:rsid w:val="003B4DD5"/>
    <w:rsid w:val="003B4F5E"/>
    <w:rsid w:val="003B5765"/>
    <w:rsid w:val="003B5A3E"/>
    <w:rsid w:val="003B5ECB"/>
    <w:rsid w:val="003B6176"/>
    <w:rsid w:val="003B62C2"/>
    <w:rsid w:val="003B6580"/>
    <w:rsid w:val="003B695E"/>
    <w:rsid w:val="003B6F5F"/>
    <w:rsid w:val="003B75BE"/>
    <w:rsid w:val="003B7A61"/>
    <w:rsid w:val="003B7D01"/>
    <w:rsid w:val="003C0133"/>
    <w:rsid w:val="003C013D"/>
    <w:rsid w:val="003C07DD"/>
    <w:rsid w:val="003C0942"/>
    <w:rsid w:val="003C0EEE"/>
    <w:rsid w:val="003C1593"/>
    <w:rsid w:val="003C1612"/>
    <w:rsid w:val="003C195C"/>
    <w:rsid w:val="003C2B77"/>
    <w:rsid w:val="003C2D8E"/>
    <w:rsid w:val="003C3C73"/>
    <w:rsid w:val="003C3CC8"/>
    <w:rsid w:val="003C3F83"/>
    <w:rsid w:val="003C428D"/>
    <w:rsid w:val="003C42C1"/>
    <w:rsid w:val="003C42C3"/>
    <w:rsid w:val="003C43E2"/>
    <w:rsid w:val="003C43F0"/>
    <w:rsid w:val="003C4432"/>
    <w:rsid w:val="003C642D"/>
    <w:rsid w:val="003C6D6C"/>
    <w:rsid w:val="003C7A95"/>
    <w:rsid w:val="003C7B57"/>
    <w:rsid w:val="003C7CA8"/>
    <w:rsid w:val="003D024F"/>
    <w:rsid w:val="003D073F"/>
    <w:rsid w:val="003D14ED"/>
    <w:rsid w:val="003D14FF"/>
    <w:rsid w:val="003D1D65"/>
    <w:rsid w:val="003D1E5B"/>
    <w:rsid w:val="003D2A6D"/>
    <w:rsid w:val="003D2D1E"/>
    <w:rsid w:val="003D2FCD"/>
    <w:rsid w:val="003D353C"/>
    <w:rsid w:val="003D4083"/>
    <w:rsid w:val="003D4150"/>
    <w:rsid w:val="003D418D"/>
    <w:rsid w:val="003D4758"/>
    <w:rsid w:val="003D476B"/>
    <w:rsid w:val="003D487B"/>
    <w:rsid w:val="003D4934"/>
    <w:rsid w:val="003D49A4"/>
    <w:rsid w:val="003D4A79"/>
    <w:rsid w:val="003D4A89"/>
    <w:rsid w:val="003D514A"/>
    <w:rsid w:val="003D52F0"/>
    <w:rsid w:val="003D53D0"/>
    <w:rsid w:val="003D62F9"/>
    <w:rsid w:val="003D68D3"/>
    <w:rsid w:val="003D70AC"/>
    <w:rsid w:val="003E0424"/>
    <w:rsid w:val="003E0574"/>
    <w:rsid w:val="003E0BC2"/>
    <w:rsid w:val="003E0C45"/>
    <w:rsid w:val="003E0C8C"/>
    <w:rsid w:val="003E0E57"/>
    <w:rsid w:val="003E1130"/>
    <w:rsid w:val="003E17D1"/>
    <w:rsid w:val="003E1E99"/>
    <w:rsid w:val="003E1EAC"/>
    <w:rsid w:val="003E2322"/>
    <w:rsid w:val="003E2857"/>
    <w:rsid w:val="003E286C"/>
    <w:rsid w:val="003E2A5D"/>
    <w:rsid w:val="003E2B52"/>
    <w:rsid w:val="003E2BA5"/>
    <w:rsid w:val="003E350A"/>
    <w:rsid w:val="003E356E"/>
    <w:rsid w:val="003E38CB"/>
    <w:rsid w:val="003E3A5F"/>
    <w:rsid w:val="003E3CC8"/>
    <w:rsid w:val="003E4457"/>
    <w:rsid w:val="003E45A3"/>
    <w:rsid w:val="003E4C1C"/>
    <w:rsid w:val="003E4F1C"/>
    <w:rsid w:val="003E526A"/>
    <w:rsid w:val="003E52D8"/>
    <w:rsid w:val="003E5681"/>
    <w:rsid w:val="003E5CEE"/>
    <w:rsid w:val="003E5E5C"/>
    <w:rsid w:val="003E6052"/>
    <w:rsid w:val="003E6351"/>
    <w:rsid w:val="003E66BE"/>
    <w:rsid w:val="003E6E54"/>
    <w:rsid w:val="003E6FAD"/>
    <w:rsid w:val="003E7E4F"/>
    <w:rsid w:val="003F0721"/>
    <w:rsid w:val="003F0B73"/>
    <w:rsid w:val="003F124D"/>
    <w:rsid w:val="003F1792"/>
    <w:rsid w:val="003F199E"/>
    <w:rsid w:val="003F1CF8"/>
    <w:rsid w:val="003F2F89"/>
    <w:rsid w:val="003F2FDC"/>
    <w:rsid w:val="003F3944"/>
    <w:rsid w:val="003F3BAA"/>
    <w:rsid w:val="003F4297"/>
    <w:rsid w:val="003F46E4"/>
    <w:rsid w:val="003F47E7"/>
    <w:rsid w:val="003F49CE"/>
    <w:rsid w:val="003F53A5"/>
    <w:rsid w:val="003F5945"/>
    <w:rsid w:val="003F5A97"/>
    <w:rsid w:val="003F5DFE"/>
    <w:rsid w:val="003F5F36"/>
    <w:rsid w:val="003F6119"/>
    <w:rsid w:val="003F68E1"/>
    <w:rsid w:val="003F75CE"/>
    <w:rsid w:val="004001FA"/>
    <w:rsid w:val="0040075B"/>
    <w:rsid w:val="00400A47"/>
    <w:rsid w:val="00401567"/>
    <w:rsid w:val="0040157F"/>
    <w:rsid w:val="00401C77"/>
    <w:rsid w:val="00401F6F"/>
    <w:rsid w:val="0040280A"/>
    <w:rsid w:val="0040375B"/>
    <w:rsid w:val="00403A3E"/>
    <w:rsid w:val="00403BFB"/>
    <w:rsid w:val="00404249"/>
    <w:rsid w:val="00404369"/>
    <w:rsid w:val="0040457D"/>
    <w:rsid w:val="00404AD8"/>
    <w:rsid w:val="00404C64"/>
    <w:rsid w:val="00404ED0"/>
    <w:rsid w:val="00404F14"/>
    <w:rsid w:val="00404F1A"/>
    <w:rsid w:val="004052E2"/>
    <w:rsid w:val="004058DD"/>
    <w:rsid w:val="00405D6C"/>
    <w:rsid w:val="00405E56"/>
    <w:rsid w:val="00406051"/>
    <w:rsid w:val="004060DA"/>
    <w:rsid w:val="00406FEA"/>
    <w:rsid w:val="00407561"/>
    <w:rsid w:val="00407FE4"/>
    <w:rsid w:val="0041060B"/>
    <w:rsid w:val="00410C80"/>
    <w:rsid w:val="00411204"/>
    <w:rsid w:val="004112A9"/>
    <w:rsid w:val="004117B4"/>
    <w:rsid w:val="004118FA"/>
    <w:rsid w:val="00411A32"/>
    <w:rsid w:val="00411AE7"/>
    <w:rsid w:val="00411DB7"/>
    <w:rsid w:val="004121FE"/>
    <w:rsid w:val="0041264E"/>
    <w:rsid w:val="00412897"/>
    <w:rsid w:val="00412E0F"/>
    <w:rsid w:val="004130E5"/>
    <w:rsid w:val="00413440"/>
    <w:rsid w:val="00413D22"/>
    <w:rsid w:val="00413DE1"/>
    <w:rsid w:val="00413F4D"/>
    <w:rsid w:val="004151C5"/>
    <w:rsid w:val="0041538D"/>
    <w:rsid w:val="00415C49"/>
    <w:rsid w:val="00416235"/>
    <w:rsid w:val="0041627E"/>
    <w:rsid w:val="0041648D"/>
    <w:rsid w:val="00416EB3"/>
    <w:rsid w:val="00417B7A"/>
    <w:rsid w:val="00417E8B"/>
    <w:rsid w:val="0042022A"/>
    <w:rsid w:val="0042022C"/>
    <w:rsid w:val="004202C6"/>
    <w:rsid w:val="00420439"/>
    <w:rsid w:val="004204B0"/>
    <w:rsid w:val="0042071A"/>
    <w:rsid w:val="00420893"/>
    <w:rsid w:val="00421972"/>
    <w:rsid w:val="00422029"/>
    <w:rsid w:val="0042231F"/>
    <w:rsid w:val="004223B8"/>
    <w:rsid w:val="004223CF"/>
    <w:rsid w:val="00422F50"/>
    <w:rsid w:val="00423640"/>
    <w:rsid w:val="00423AD4"/>
    <w:rsid w:val="00423BB5"/>
    <w:rsid w:val="00423C45"/>
    <w:rsid w:val="00424027"/>
    <w:rsid w:val="004241AE"/>
    <w:rsid w:val="00424848"/>
    <w:rsid w:val="004249CB"/>
    <w:rsid w:val="00424BD8"/>
    <w:rsid w:val="00424D8E"/>
    <w:rsid w:val="00425E90"/>
    <w:rsid w:val="0042672D"/>
    <w:rsid w:val="0042699D"/>
    <w:rsid w:val="0042715D"/>
    <w:rsid w:val="00427362"/>
    <w:rsid w:val="004273F7"/>
    <w:rsid w:val="00427560"/>
    <w:rsid w:val="0042758F"/>
    <w:rsid w:val="004275BD"/>
    <w:rsid w:val="00427765"/>
    <w:rsid w:val="004279EA"/>
    <w:rsid w:val="00427BFE"/>
    <w:rsid w:val="00427CB3"/>
    <w:rsid w:val="0043008E"/>
    <w:rsid w:val="00430194"/>
    <w:rsid w:val="00430A45"/>
    <w:rsid w:val="00431A83"/>
    <w:rsid w:val="00432640"/>
    <w:rsid w:val="004326BB"/>
    <w:rsid w:val="0043290B"/>
    <w:rsid w:val="00432A89"/>
    <w:rsid w:val="00432EAE"/>
    <w:rsid w:val="00433063"/>
    <w:rsid w:val="004338AB"/>
    <w:rsid w:val="004341B7"/>
    <w:rsid w:val="0043438B"/>
    <w:rsid w:val="004343BE"/>
    <w:rsid w:val="00434410"/>
    <w:rsid w:val="00434A1A"/>
    <w:rsid w:val="00434A4B"/>
    <w:rsid w:val="00435398"/>
    <w:rsid w:val="004357B8"/>
    <w:rsid w:val="00435A60"/>
    <w:rsid w:val="00435B1F"/>
    <w:rsid w:val="0043607D"/>
    <w:rsid w:val="00436239"/>
    <w:rsid w:val="004366F1"/>
    <w:rsid w:val="004378F8"/>
    <w:rsid w:val="00437FBF"/>
    <w:rsid w:val="004404CA"/>
    <w:rsid w:val="00440985"/>
    <w:rsid w:val="00440B65"/>
    <w:rsid w:val="0044114A"/>
    <w:rsid w:val="004419C9"/>
    <w:rsid w:val="00441D20"/>
    <w:rsid w:val="00441D3C"/>
    <w:rsid w:val="00441F68"/>
    <w:rsid w:val="00441F73"/>
    <w:rsid w:val="00442AF4"/>
    <w:rsid w:val="0044333E"/>
    <w:rsid w:val="00443A63"/>
    <w:rsid w:val="00444612"/>
    <w:rsid w:val="0044492F"/>
    <w:rsid w:val="00444A75"/>
    <w:rsid w:val="00444B1D"/>
    <w:rsid w:val="00445333"/>
    <w:rsid w:val="00445BA7"/>
    <w:rsid w:val="00445EEE"/>
    <w:rsid w:val="00445F96"/>
    <w:rsid w:val="0044663C"/>
    <w:rsid w:val="004468D7"/>
    <w:rsid w:val="00446C18"/>
    <w:rsid w:val="00446ED9"/>
    <w:rsid w:val="004479F7"/>
    <w:rsid w:val="00447B3C"/>
    <w:rsid w:val="004502F3"/>
    <w:rsid w:val="0045044F"/>
    <w:rsid w:val="00450718"/>
    <w:rsid w:val="00450966"/>
    <w:rsid w:val="0045098C"/>
    <w:rsid w:val="00450D9B"/>
    <w:rsid w:val="00451106"/>
    <w:rsid w:val="004512BE"/>
    <w:rsid w:val="00451A4C"/>
    <w:rsid w:val="00451C72"/>
    <w:rsid w:val="00452C5C"/>
    <w:rsid w:val="00453114"/>
    <w:rsid w:val="0045325D"/>
    <w:rsid w:val="00453599"/>
    <w:rsid w:val="0045378E"/>
    <w:rsid w:val="00453823"/>
    <w:rsid w:val="00453A7C"/>
    <w:rsid w:val="00453DA0"/>
    <w:rsid w:val="00454080"/>
    <w:rsid w:val="0045428C"/>
    <w:rsid w:val="0045432D"/>
    <w:rsid w:val="00454671"/>
    <w:rsid w:val="00454C3C"/>
    <w:rsid w:val="004552D1"/>
    <w:rsid w:val="0045570C"/>
    <w:rsid w:val="004558C7"/>
    <w:rsid w:val="0045591A"/>
    <w:rsid w:val="00455C34"/>
    <w:rsid w:val="00455E98"/>
    <w:rsid w:val="004564B1"/>
    <w:rsid w:val="00456A8B"/>
    <w:rsid w:val="00456E6A"/>
    <w:rsid w:val="004572FA"/>
    <w:rsid w:val="004574FD"/>
    <w:rsid w:val="004577D3"/>
    <w:rsid w:val="004600AB"/>
    <w:rsid w:val="00460CC5"/>
    <w:rsid w:val="00460E1C"/>
    <w:rsid w:val="00460E4D"/>
    <w:rsid w:val="004616CA"/>
    <w:rsid w:val="00461BAA"/>
    <w:rsid w:val="00461C95"/>
    <w:rsid w:val="00462761"/>
    <w:rsid w:val="00462A35"/>
    <w:rsid w:val="00462D52"/>
    <w:rsid w:val="00463068"/>
    <w:rsid w:val="00463141"/>
    <w:rsid w:val="004635BF"/>
    <w:rsid w:val="00463AA7"/>
    <w:rsid w:val="00463ABF"/>
    <w:rsid w:val="00463DEB"/>
    <w:rsid w:val="004645E0"/>
    <w:rsid w:val="00464651"/>
    <w:rsid w:val="004649D7"/>
    <w:rsid w:val="00464B39"/>
    <w:rsid w:val="00465CB0"/>
    <w:rsid w:val="00466C21"/>
    <w:rsid w:val="0046723C"/>
    <w:rsid w:val="00470371"/>
    <w:rsid w:val="004705F7"/>
    <w:rsid w:val="004711F2"/>
    <w:rsid w:val="00471636"/>
    <w:rsid w:val="00471B55"/>
    <w:rsid w:val="00472595"/>
    <w:rsid w:val="00472A0B"/>
    <w:rsid w:val="00472EFF"/>
    <w:rsid w:val="00473233"/>
    <w:rsid w:val="00473B75"/>
    <w:rsid w:val="00473D9F"/>
    <w:rsid w:val="004745DE"/>
    <w:rsid w:val="00474693"/>
    <w:rsid w:val="00474950"/>
    <w:rsid w:val="00474A23"/>
    <w:rsid w:val="00474A8E"/>
    <w:rsid w:val="00475034"/>
    <w:rsid w:val="0047525E"/>
    <w:rsid w:val="00475612"/>
    <w:rsid w:val="00475652"/>
    <w:rsid w:val="004758B5"/>
    <w:rsid w:val="00475ACF"/>
    <w:rsid w:val="00475AD0"/>
    <w:rsid w:val="00475B67"/>
    <w:rsid w:val="00475DA7"/>
    <w:rsid w:val="004763C3"/>
    <w:rsid w:val="004764AA"/>
    <w:rsid w:val="00476F7B"/>
    <w:rsid w:val="004771B4"/>
    <w:rsid w:val="00477276"/>
    <w:rsid w:val="00477552"/>
    <w:rsid w:val="0047759E"/>
    <w:rsid w:val="004778B1"/>
    <w:rsid w:val="00477C4A"/>
    <w:rsid w:val="00477EC5"/>
    <w:rsid w:val="004803E6"/>
    <w:rsid w:val="004805CC"/>
    <w:rsid w:val="0048070B"/>
    <w:rsid w:val="00480762"/>
    <w:rsid w:val="00480D51"/>
    <w:rsid w:val="00480F5C"/>
    <w:rsid w:val="00481505"/>
    <w:rsid w:val="004819C7"/>
    <w:rsid w:val="00481CAE"/>
    <w:rsid w:val="004824DE"/>
    <w:rsid w:val="004827B2"/>
    <w:rsid w:val="00483447"/>
    <w:rsid w:val="00483477"/>
    <w:rsid w:val="00484047"/>
    <w:rsid w:val="00485487"/>
    <w:rsid w:val="00485D50"/>
    <w:rsid w:val="00485F7D"/>
    <w:rsid w:val="0048611E"/>
    <w:rsid w:val="004863D9"/>
    <w:rsid w:val="00486C10"/>
    <w:rsid w:val="00486D48"/>
    <w:rsid w:val="00486DF1"/>
    <w:rsid w:val="00486E4F"/>
    <w:rsid w:val="00487A02"/>
    <w:rsid w:val="00487A53"/>
    <w:rsid w:val="00487C72"/>
    <w:rsid w:val="004900D4"/>
    <w:rsid w:val="004905AA"/>
    <w:rsid w:val="004907DC"/>
    <w:rsid w:val="00490D89"/>
    <w:rsid w:val="00491408"/>
    <w:rsid w:val="004914F7"/>
    <w:rsid w:val="004917F6"/>
    <w:rsid w:val="00491E44"/>
    <w:rsid w:val="00491EF5"/>
    <w:rsid w:val="00492189"/>
    <w:rsid w:val="004924AB"/>
    <w:rsid w:val="0049260E"/>
    <w:rsid w:val="004929CD"/>
    <w:rsid w:val="0049336B"/>
    <w:rsid w:val="00493492"/>
    <w:rsid w:val="00493577"/>
    <w:rsid w:val="0049362D"/>
    <w:rsid w:val="00493947"/>
    <w:rsid w:val="00493B1B"/>
    <w:rsid w:val="00493D80"/>
    <w:rsid w:val="0049407D"/>
    <w:rsid w:val="004946D7"/>
    <w:rsid w:val="00494840"/>
    <w:rsid w:val="00494B8E"/>
    <w:rsid w:val="00494C32"/>
    <w:rsid w:val="004956BD"/>
    <w:rsid w:val="00495940"/>
    <w:rsid w:val="00495EB0"/>
    <w:rsid w:val="004962AD"/>
    <w:rsid w:val="0049637D"/>
    <w:rsid w:val="00496844"/>
    <w:rsid w:val="00497381"/>
    <w:rsid w:val="004974F8"/>
    <w:rsid w:val="00497C0D"/>
    <w:rsid w:val="004A03AC"/>
    <w:rsid w:val="004A0665"/>
    <w:rsid w:val="004A07C4"/>
    <w:rsid w:val="004A0A1D"/>
    <w:rsid w:val="004A1D91"/>
    <w:rsid w:val="004A22E2"/>
    <w:rsid w:val="004A2DA9"/>
    <w:rsid w:val="004A3D47"/>
    <w:rsid w:val="004A3E71"/>
    <w:rsid w:val="004A40A7"/>
    <w:rsid w:val="004A4833"/>
    <w:rsid w:val="004A60D5"/>
    <w:rsid w:val="004A61D7"/>
    <w:rsid w:val="004A65CB"/>
    <w:rsid w:val="004A65E8"/>
    <w:rsid w:val="004A670F"/>
    <w:rsid w:val="004A6F8F"/>
    <w:rsid w:val="004A7208"/>
    <w:rsid w:val="004A77B5"/>
    <w:rsid w:val="004A79CD"/>
    <w:rsid w:val="004A7FD2"/>
    <w:rsid w:val="004B02ED"/>
    <w:rsid w:val="004B0DFF"/>
    <w:rsid w:val="004B1920"/>
    <w:rsid w:val="004B19D6"/>
    <w:rsid w:val="004B1E52"/>
    <w:rsid w:val="004B216E"/>
    <w:rsid w:val="004B2879"/>
    <w:rsid w:val="004B2A6D"/>
    <w:rsid w:val="004B3F3E"/>
    <w:rsid w:val="004B4194"/>
    <w:rsid w:val="004B4616"/>
    <w:rsid w:val="004B4662"/>
    <w:rsid w:val="004B46EE"/>
    <w:rsid w:val="004B4D48"/>
    <w:rsid w:val="004B5021"/>
    <w:rsid w:val="004B5192"/>
    <w:rsid w:val="004B5C53"/>
    <w:rsid w:val="004B5D3B"/>
    <w:rsid w:val="004B64D3"/>
    <w:rsid w:val="004B66D3"/>
    <w:rsid w:val="004B68E4"/>
    <w:rsid w:val="004B68F5"/>
    <w:rsid w:val="004B717F"/>
    <w:rsid w:val="004B79AA"/>
    <w:rsid w:val="004B7FCA"/>
    <w:rsid w:val="004C005A"/>
    <w:rsid w:val="004C0205"/>
    <w:rsid w:val="004C0242"/>
    <w:rsid w:val="004C0278"/>
    <w:rsid w:val="004C0BB8"/>
    <w:rsid w:val="004C1185"/>
    <w:rsid w:val="004C150F"/>
    <w:rsid w:val="004C2175"/>
    <w:rsid w:val="004C2B5B"/>
    <w:rsid w:val="004C2EAD"/>
    <w:rsid w:val="004C320B"/>
    <w:rsid w:val="004C3ACB"/>
    <w:rsid w:val="004C41C1"/>
    <w:rsid w:val="004C42F8"/>
    <w:rsid w:val="004C430F"/>
    <w:rsid w:val="004C4A1D"/>
    <w:rsid w:val="004C4AB9"/>
    <w:rsid w:val="004C4AFB"/>
    <w:rsid w:val="004C4C75"/>
    <w:rsid w:val="004C530E"/>
    <w:rsid w:val="004C6A14"/>
    <w:rsid w:val="004C6B51"/>
    <w:rsid w:val="004C718D"/>
    <w:rsid w:val="004C7206"/>
    <w:rsid w:val="004C7CB5"/>
    <w:rsid w:val="004C7D17"/>
    <w:rsid w:val="004D045A"/>
    <w:rsid w:val="004D21C8"/>
    <w:rsid w:val="004D28D5"/>
    <w:rsid w:val="004D32DD"/>
    <w:rsid w:val="004D3521"/>
    <w:rsid w:val="004D366F"/>
    <w:rsid w:val="004D4183"/>
    <w:rsid w:val="004D43B9"/>
    <w:rsid w:val="004D4B5F"/>
    <w:rsid w:val="004D5230"/>
    <w:rsid w:val="004D5619"/>
    <w:rsid w:val="004D5F94"/>
    <w:rsid w:val="004D6004"/>
    <w:rsid w:val="004D6073"/>
    <w:rsid w:val="004D6BC8"/>
    <w:rsid w:val="004D74FA"/>
    <w:rsid w:val="004D7ACD"/>
    <w:rsid w:val="004D7D78"/>
    <w:rsid w:val="004D7EA7"/>
    <w:rsid w:val="004E010B"/>
    <w:rsid w:val="004E01BD"/>
    <w:rsid w:val="004E0445"/>
    <w:rsid w:val="004E0A98"/>
    <w:rsid w:val="004E0BC5"/>
    <w:rsid w:val="004E10D0"/>
    <w:rsid w:val="004E18B0"/>
    <w:rsid w:val="004E18D3"/>
    <w:rsid w:val="004E27C7"/>
    <w:rsid w:val="004E2835"/>
    <w:rsid w:val="004E28E7"/>
    <w:rsid w:val="004E29E3"/>
    <w:rsid w:val="004E3925"/>
    <w:rsid w:val="004E3B2E"/>
    <w:rsid w:val="004E41A9"/>
    <w:rsid w:val="004E41D5"/>
    <w:rsid w:val="004E443F"/>
    <w:rsid w:val="004E531E"/>
    <w:rsid w:val="004E54A5"/>
    <w:rsid w:val="004E5622"/>
    <w:rsid w:val="004E5BB8"/>
    <w:rsid w:val="004E60C5"/>
    <w:rsid w:val="004E68FA"/>
    <w:rsid w:val="004E6D06"/>
    <w:rsid w:val="004E7AC2"/>
    <w:rsid w:val="004E7CDD"/>
    <w:rsid w:val="004E7E78"/>
    <w:rsid w:val="004E7EDF"/>
    <w:rsid w:val="004F051F"/>
    <w:rsid w:val="004F06EF"/>
    <w:rsid w:val="004F1397"/>
    <w:rsid w:val="004F1505"/>
    <w:rsid w:val="004F1571"/>
    <w:rsid w:val="004F15B1"/>
    <w:rsid w:val="004F18A4"/>
    <w:rsid w:val="004F20A2"/>
    <w:rsid w:val="004F230D"/>
    <w:rsid w:val="004F34E4"/>
    <w:rsid w:val="004F3F5A"/>
    <w:rsid w:val="004F4213"/>
    <w:rsid w:val="004F4AF5"/>
    <w:rsid w:val="004F4C0E"/>
    <w:rsid w:val="004F52BD"/>
    <w:rsid w:val="004F52E2"/>
    <w:rsid w:val="004F58D6"/>
    <w:rsid w:val="004F6C18"/>
    <w:rsid w:val="004F6E82"/>
    <w:rsid w:val="004F755C"/>
    <w:rsid w:val="004F75EB"/>
    <w:rsid w:val="00500173"/>
    <w:rsid w:val="00500543"/>
    <w:rsid w:val="0050085B"/>
    <w:rsid w:val="00500AE7"/>
    <w:rsid w:val="005013A7"/>
    <w:rsid w:val="005019E5"/>
    <w:rsid w:val="00501A8C"/>
    <w:rsid w:val="00501CC3"/>
    <w:rsid w:val="0050218E"/>
    <w:rsid w:val="0050230B"/>
    <w:rsid w:val="00502645"/>
    <w:rsid w:val="00502BF4"/>
    <w:rsid w:val="00502F9A"/>
    <w:rsid w:val="00502FDA"/>
    <w:rsid w:val="00503174"/>
    <w:rsid w:val="005039AC"/>
    <w:rsid w:val="00504393"/>
    <w:rsid w:val="0050536E"/>
    <w:rsid w:val="00505502"/>
    <w:rsid w:val="0050592A"/>
    <w:rsid w:val="00505C4A"/>
    <w:rsid w:val="00506425"/>
    <w:rsid w:val="0050697C"/>
    <w:rsid w:val="005069E0"/>
    <w:rsid w:val="00506ABF"/>
    <w:rsid w:val="00506F63"/>
    <w:rsid w:val="00507155"/>
    <w:rsid w:val="00507384"/>
    <w:rsid w:val="0050746E"/>
    <w:rsid w:val="005074CE"/>
    <w:rsid w:val="00507786"/>
    <w:rsid w:val="005077EE"/>
    <w:rsid w:val="005079C8"/>
    <w:rsid w:val="00507A2C"/>
    <w:rsid w:val="00510A41"/>
    <w:rsid w:val="00510B17"/>
    <w:rsid w:val="00510C3C"/>
    <w:rsid w:val="00511E80"/>
    <w:rsid w:val="0051278E"/>
    <w:rsid w:val="00512910"/>
    <w:rsid w:val="00512AAA"/>
    <w:rsid w:val="005131CA"/>
    <w:rsid w:val="00513583"/>
    <w:rsid w:val="005135C9"/>
    <w:rsid w:val="005136E6"/>
    <w:rsid w:val="005138EF"/>
    <w:rsid w:val="00514509"/>
    <w:rsid w:val="00514E9E"/>
    <w:rsid w:val="00514F15"/>
    <w:rsid w:val="00515233"/>
    <w:rsid w:val="00515F4E"/>
    <w:rsid w:val="0051606A"/>
    <w:rsid w:val="0051618A"/>
    <w:rsid w:val="00516309"/>
    <w:rsid w:val="00516B40"/>
    <w:rsid w:val="00517077"/>
    <w:rsid w:val="00517295"/>
    <w:rsid w:val="005172D3"/>
    <w:rsid w:val="00517D83"/>
    <w:rsid w:val="00520097"/>
    <w:rsid w:val="005201FD"/>
    <w:rsid w:val="005203FC"/>
    <w:rsid w:val="00520904"/>
    <w:rsid w:val="00520A50"/>
    <w:rsid w:val="00520C9F"/>
    <w:rsid w:val="00521566"/>
    <w:rsid w:val="00521633"/>
    <w:rsid w:val="00521B80"/>
    <w:rsid w:val="00521F6E"/>
    <w:rsid w:val="00521FFA"/>
    <w:rsid w:val="005223EA"/>
    <w:rsid w:val="005227E4"/>
    <w:rsid w:val="00522FEA"/>
    <w:rsid w:val="005230EB"/>
    <w:rsid w:val="005232C6"/>
    <w:rsid w:val="005235C9"/>
    <w:rsid w:val="00524128"/>
    <w:rsid w:val="005243BF"/>
    <w:rsid w:val="00524719"/>
    <w:rsid w:val="005248A5"/>
    <w:rsid w:val="00524908"/>
    <w:rsid w:val="00524BBF"/>
    <w:rsid w:val="00525919"/>
    <w:rsid w:val="00525BD1"/>
    <w:rsid w:val="00526185"/>
    <w:rsid w:val="00526209"/>
    <w:rsid w:val="00526A04"/>
    <w:rsid w:val="00526E5A"/>
    <w:rsid w:val="00526E6F"/>
    <w:rsid w:val="0052753E"/>
    <w:rsid w:val="00527C33"/>
    <w:rsid w:val="00527E46"/>
    <w:rsid w:val="00530044"/>
    <w:rsid w:val="00530105"/>
    <w:rsid w:val="00530577"/>
    <w:rsid w:val="00530C0B"/>
    <w:rsid w:val="00530C24"/>
    <w:rsid w:val="00530CEF"/>
    <w:rsid w:val="00530E73"/>
    <w:rsid w:val="0053144A"/>
    <w:rsid w:val="0053159C"/>
    <w:rsid w:val="00531779"/>
    <w:rsid w:val="00531FE1"/>
    <w:rsid w:val="00532034"/>
    <w:rsid w:val="005323DF"/>
    <w:rsid w:val="0053269E"/>
    <w:rsid w:val="00532928"/>
    <w:rsid w:val="00532A98"/>
    <w:rsid w:val="00532AF2"/>
    <w:rsid w:val="00532CC3"/>
    <w:rsid w:val="005338FD"/>
    <w:rsid w:val="0053397E"/>
    <w:rsid w:val="0053414E"/>
    <w:rsid w:val="005341D0"/>
    <w:rsid w:val="00534FFB"/>
    <w:rsid w:val="00535B6F"/>
    <w:rsid w:val="00535B78"/>
    <w:rsid w:val="005364D0"/>
    <w:rsid w:val="0053678B"/>
    <w:rsid w:val="00536BF6"/>
    <w:rsid w:val="00536E5C"/>
    <w:rsid w:val="00537061"/>
    <w:rsid w:val="00537221"/>
    <w:rsid w:val="00537F26"/>
    <w:rsid w:val="00540186"/>
    <w:rsid w:val="005405B9"/>
    <w:rsid w:val="00540FB8"/>
    <w:rsid w:val="00541229"/>
    <w:rsid w:val="005414C0"/>
    <w:rsid w:val="0054151F"/>
    <w:rsid w:val="0054155A"/>
    <w:rsid w:val="00541766"/>
    <w:rsid w:val="00541786"/>
    <w:rsid w:val="00541965"/>
    <w:rsid w:val="00541E43"/>
    <w:rsid w:val="00541EBB"/>
    <w:rsid w:val="00542451"/>
    <w:rsid w:val="0054253E"/>
    <w:rsid w:val="005428B8"/>
    <w:rsid w:val="00542923"/>
    <w:rsid w:val="00542C29"/>
    <w:rsid w:val="005432CF"/>
    <w:rsid w:val="00543F0F"/>
    <w:rsid w:val="005444C1"/>
    <w:rsid w:val="0054479F"/>
    <w:rsid w:val="00544962"/>
    <w:rsid w:val="00544B50"/>
    <w:rsid w:val="00544C67"/>
    <w:rsid w:val="00544D71"/>
    <w:rsid w:val="0054525D"/>
    <w:rsid w:val="00546594"/>
    <w:rsid w:val="00546DEE"/>
    <w:rsid w:val="005502A1"/>
    <w:rsid w:val="005504C5"/>
    <w:rsid w:val="00550608"/>
    <w:rsid w:val="00550936"/>
    <w:rsid w:val="00550D8D"/>
    <w:rsid w:val="00550F94"/>
    <w:rsid w:val="00551116"/>
    <w:rsid w:val="00551154"/>
    <w:rsid w:val="0055145C"/>
    <w:rsid w:val="0055175B"/>
    <w:rsid w:val="00551A83"/>
    <w:rsid w:val="00551EC8"/>
    <w:rsid w:val="00551F26"/>
    <w:rsid w:val="00552254"/>
    <w:rsid w:val="005522D3"/>
    <w:rsid w:val="005527AB"/>
    <w:rsid w:val="00552EE2"/>
    <w:rsid w:val="00553895"/>
    <w:rsid w:val="00553B60"/>
    <w:rsid w:val="005541D6"/>
    <w:rsid w:val="005545F5"/>
    <w:rsid w:val="00554684"/>
    <w:rsid w:val="00554FF3"/>
    <w:rsid w:val="0055607E"/>
    <w:rsid w:val="005560F8"/>
    <w:rsid w:val="00557142"/>
    <w:rsid w:val="00557182"/>
    <w:rsid w:val="00557657"/>
    <w:rsid w:val="005600FC"/>
    <w:rsid w:val="0056017C"/>
    <w:rsid w:val="005601BD"/>
    <w:rsid w:val="00560D29"/>
    <w:rsid w:val="00560FD8"/>
    <w:rsid w:val="00561030"/>
    <w:rsid w:val="00561803"/>
    <w:rsid w:val="00561882"/>
    <w:rsid w:val="0056189C"/>
    <w:rsid w:val="00561F0B"/>
    <w:rsid w:val="005623E3"/>
    <w:rsid w:val="0056251D"/>
    <w:rsid w:val="0056267E"/>
    <w:rsid w:val="00562FD9"/>
    <w:rsid w:val="005632BB"/>
    <w:rsid w:val="00563606"/>
    <w:rsid w:val="00563664"/>
    <w:rsid w:val="00563700"/>
    <w:rsid w:val="00563B31"/>
    <w:rsid w:val="00563B8B"/>
    <w:rsid w:val="00563C58"/>
    <w:rsid w:val="0056439D"/>
    <w:rsid w:val="005647CA"/>
    <w:rsid w:val="00564C37"/>
    <w:rsid w:val="00564CF0"/>
    <w:rsid w:val="00565D4A"/>
    <w:rsid w:val="0056640A"/>
    <w:rsid w:val="005665BE"/>
    <w:rsid w:val="00566A32"/>
    <w:rsid w:val="00567214"/>
    <w:rsid w:val="005677F7"/>
    <w:rsid w:val="00567C89"/>
    <w:rsid w:val="005706B4"/>
    <w:rsid w:val="00570D8C"/>
    <w:rsid w:val="00570E7D"/>
    <w:rsid w:val="00570EC8"/>
    <w:rsid w:val="00571150"/>
    <w:rsid w:val="00571364"/>
    <w:rsid w:val="00571DD4"/>
    <w:rsid w:val="00571E7F"/>
    <w:rsid w:val="00572B58"/>
    <w:rsid w:val="0057427B"/>
    <w:rsid w:val="005742B2"/>
    <w:rsid w:val="0057484A"/>
    <w:rsid w:val="0057545C"/>
    <w:rsid w:val="0057552F"/>
    <w:rsid w:val="00575555"/>
    <w:rsid w:val="00575941"/>
    <w:rsid w:val="00576E7C"/>
    <w:rsid w:val="0057708D"/>
    <w:rsid w:val="005774A7"/>
    <w:rsid w:val="0057754B"/>
    <w:rsid w:val="005779A8"/>
    <w:rsid w:val="00577C80"/>
    <w:rsid w:val="00577E9A"/>
    <w:rsid w:val="00580506"/>
    <w:rsid w:val="00580F29"/>
    <w:rsid w:val="005810A4"/>
    <w:rsid w:val="00581952"/>
    <w:rsid w:val="00581B2A"/>
    <w:rsid w:val="00581C50"/>
    <w:rsid w:val="00582129"/>
    <w:rsid w:val="00582485"/>
    <w:rsid w:val="00582CB2"/>
    <w:rsid w:val="005831F8"/>
    <w:rsid w:val="00583500"/>
    <w:rsid w:val="005838DC"/>
    <w:rsid w:val="00583A57"/>
    <w:rsid w:val="0058481D"/>
    <w:rsid w:val="00584927"/>
    <w:rsid w:val="00584BF1"/>
    <w:rsid w:val="00584F18"/>
    <w:rsid w:val="00585DD9"/>
    <w:rsid w:val="00585F6B"/>
    <w:rsid w:val="0058655C"/>
    <w:rsid w:val="00586D38"/>
    <w:rsid w:val="00586F6C"/>
    <w:rsid w:val="00587069"/>
    <w:rsid w:val="00587E47"/>
    <w:rsid w:val="00587F1E"/>
    <w:rsid w:val="0059097D"/>
    <w:rsid w:val="00590E82"/>
    <w:rsid w:val="00590FF0"/>
    <w:rsid w:val="005915B9"/>
    <w:rsid w:val="0059167E"/>
    <w:rsid w:val="00591691"/>
    <w:rsid w:val="005919F3"/>
    <w:rsid w:val="00591CD6"/>
    <w:rsid w:val="005920C7"/>
    <w:rsid w:val="00592AC3"/>
    <w:rsid w:val="00592BF3"/>
    <w:rsid w:val="00592C82"/>
    <w:rsid w:val="00592CF6"/>
    <w:rsid w:val="005932B7"/>
    <w:rsid w:val="005939DD"/>
    <w:rsid w:val="00593B9C"/>
    <w:rsid w:val="0059430F"/>
    <w:rsid w:val="005943BA"/>
    <w:rsid w:val="005946E1"/>
    <w:rsid w:val="005949C7"/>
    <w:rsid w:val="00594BFA"/>
    <w:rsid w:val="00595646"/>
    <w:rsid w:val="005969AE"/>
    <w:rsid w:val="005969CA"/>
    <w:rsid w:val="00596E8D"/>
    <w:rsid w:val="005976D8"/>
    <w:rsid w:val="00597756"/>
    <w:rsid w:val="00597818"/>
    <w:rsid w:val="00597A2F"/>
    <w:rsid w:val="005A05D8"/>
    <w:rsid w:val="005A0D8B"/>
    <w:rsid w:val="005A12F9"/>
    <w:rsid w:val="005A1571"/>
    <w:rsid w:val="005A18EF"/>
    <w:rsid w:val="005A18F1"/>
    <w:rsid w:val="005A1D0B"/>
    <w:rsid w:val="005A2794"/>
    <w:rsid w:val="005A2A37"/>
    <w:rsid w:val="005A2CD1"/>
    <w:rsid w:val="005A2F07"/>
    <w:rsid w:val="005A32DC"/>
    <w:rsid w:val="005A56E4"/>
    <w:rsid w:val="005A5DD7"/>
    <w:rsid w:val="005A6028"/>
    <w:rsid w:val="005A6818"/>
    <w:rsid w:val="005A6973"/>
    <w:rsid w:val="005A756A"/>
    <w:rsid w:val="005A7D41"/>
    <w:rsid w:val="005A7E1A"/>
    <w:rsid w:val="005B01DB"/>
    <w:rsid w:val="005B1D26"/>
    <w:rsid w:val="005B1EB0"/>
    <w:rsid w:val="005B1EE5"/>
    <w:rsid w:val="005B21CC"/>
    <w:rsid w:val="005B2750"/>
    <w:rsid w:val="005B2A4B"/>
    <w:rsid w:val="005B2C44"/>
    <w:rsid w:val="005B2C8B"/>
    <w:rsid w:val="005B2F21"/>
    <w:rsid w:val="005B2F43"/>
    <w:rsid w:val="005B3393"/>
    <w:rsid w:val="005B343B"/>
    <w:rsid w:val="005B3461"/>
    <w:rsid w:val="005B3675"/>
    <w:rsid w:val="005B3B31"/>
    <w:rsid w:val="005B3CAC"/>
    <w:rsid w:val="005B3CE0"/>
    <w:rsid w:val="005B40AB"/>
    <w:rsid w:val="005B42FC"/>
    <w:rsid w:val="005B4CB7"/>
    <w:rsid w:val="005B4D0A"/>
    <w:rsid w:val="005B4E8F"/>
    <w:rsid w:val="005B4F11"/>
    <w:rsid w:val="005B4F82"/>
    <w:rsid w:val="005B55EE"/>
    <w:rsid w:val="005B591C"/>
    <w:rsid w:val="005B5AFD"/>
    <w:rsid w:val="005B5B2A"/>
    <w:rsid w:val="005B5EF7"/>
    <w:rsid w:val="005B64DE"/>
    <w:rsid w:val="005B6D2F"/>
    <w:rsid w:val="005B6E85"/>
    <w:rsid w:val="005B709A"/>
    <w:rsid w:val="005B732E"/>
    <w:rsid w:val="005C0520"/>
    <w:rsid w:val="005C0F06"/>
    <w:rsid w:val="005C1513"/>
    <w:rsid w:val="005C1574"/>
    <w:rsid w:val="005C216A"/>
    <w:rsid w:val="005C258B"/>
    <w:rsid w:val="005C2752"/>
    <w:rsid w:val="005C2B6A"/>
    <w:rsid w:val="005C2B98"/>
    <w:rsid w:val="005C2D1A"/>
    <w:rsid w:val="005C31BD"/>
    <w:rsid w:val="005C39FE"/>
    <w:rsid w:val="005C3D5C"/>
    <w:rsid w:val="005C401C"/>
    <w:rsid w:val="005C4042"/>
    <w:rsid w:val="005C450E"/>
    <w:rsid w:val="005C464C"/>
    <w:rsid w:val="005C4827"/>
    <w:rsid w:val="005C4879"/>
    <w:rsid w:val="005C4CB8"/>
    <w:rsid w:val="005C51F9"/>
    <w:rsid w:val="005C535A"/>
    <w:rsid w:val="005C5F0B"/>
    <w:rsid w:val="005C604A"/>
    <w:rsid w:val="005C6183"/>
    <w:rsid w:val="005C63CD"/>
    <w:rsid w:val="005C64DE"/>
    <w:rsid w:val="005C68FE"/>
    <w:rsid w:val="005C6D6D"/>
    <w:rsid w:val="005D00AD"/>
    <w:rsid w:val="005D01B9"/>
    <w:rsid w:val="005D02ED"/>
    <w:rsid w:val="005D0663"/>
    <w:rsid w:val="005D07B5"/>
    <w:rsid w:val="005D0D9D"/>
    <w:rsid w:val="005D0E22"/>
    <w:rsid w:val="005D10F7"/>
    <w:rsid w:val="005D14C2"/>
    <w:rsid w:val="005D1524"/>
    <w:rsid w:val="005D152E"/>
    <w:rsid w:val="005D1ABF"/>
    <w:rsid w:val="005D1F68"/>
    <w:rsid w:val="005D224E"/>
    <w:rsid w:val="005D276D"/>
    <w:rsid w:val="005D2B03"/>
    <w:rsid w:val="005D2CB1"/>
    <w:rsid w:val="005D400A"/>
    <w:rsid w:val="005D41D5"/>
    <w:rsid w:val="005D4BAD"/>
    <w:rsid w:val="005D4BC6"/>
    <w:rsid w:val="005D517F"/>
    <w:rsid w:val="005D5DDA"/>
    <w:rsid w:val="005D5DDC"/>
    <w:rsid w:val="005D5E81"/>
    <w:rsid w:val="005D601A"/>
    <w:rsid w:val="005D6270"/>
    <w:rsid w:val="005D6522"/>
    <w:rsid w:val="005D66B6"/>
    <w:rsid w:val="005D686E"/>
    <w:rsid w:val="005D694F"/>
    <w:rsid w:val="005D6952"/>
    <w:rsid w:val="005D6DE0"/>
    <w:rsid w:val="005D7296"/>
    <w:rsid w:val="005D72E0"/>
    <w:rsid w:val="005D7857"/>
    <w:rsid w:val="005D7CF7"/>
    <w:rsid w:val="005E0275"/>
    <w:rsid w:val="005E06E1"/>
    <w:rsid w:val="005E0F79"/>
    <w:rsid w:val="005E0FE5"/>
    <w:rsid w:val="005E1075"/>
    <w:rsid w:val="005E1095"/>
    <w:rsid w:val="005E1276"/>
    <w:rsid w:val="005E18EA"/>
    <w:rsid w:val="005E1A5E"/>
    <w:rsid w:val="005E1A77"/>
    <w:rsid w:val="005E1B2B"/>
    <w:rsid w:val="005E1E07"/>
    <w:rsid w:val="005E1E13"/>
    <w:rsid w:val="005E263A"/>
    <w:rsid w:val="005E3129"/>
    <w:rsid w:val="005E33A3"/>
    <w:rsid w:val="005E34DF"/>
    <w:rsid w:val="005E3AEE"/>
    <w:rsid w:val="005E3D6E"/>
    <w:rsid w:val="005E420C"/>
    <w:rsid w:val="005E495D"/>
    <w:rsid w:val="005E4CF0"/>
    <w:rsid w:val="005E4F43"/>
    <w:rsid w:val="005E544B"/>
    <w:rsid w:val="005E5456"/>
    <w:rsid w:val="005E5DAF"/>
    <w:rsid w:val="005E6096"/>
    <w:rsid w:val="005E6178"/>
    <w:rsid w:val="005E6D66"/>
    <w:rsid w:val="005E6EC9"/>
    <w:rsid w:val="005E7014"/>
    <w:rsid w:val="005E705B"/>
    <w:rsid w:val="005E7266"/>
    <w:rsid w:val="005E7DAB"/>
    <w:rsid w:val="005F0008"/>
    <w:rsid w:val="005F026C"/>
    <w:rsid w:val="005F0387"/>
    <w:rsid w:val="005F0B2A"/>
    <w:rsid w:val="005F0DEC"/>
    <w:rsid w:val="005F0EA6"/>
    <w:rsid w:val="005F1059"/>
    <w:rsid w:val="005F1238"/>
    <w:rsid w:val="005F1AB3"/>
    <w:rsid w:val="005F1E3A"/>
    <w:rsid w:val="005F1F20"/>
    <w:rsid w:val="005F2CFA"/>
    <w:rsid w:val="005F2E98"/>
    <w:rsid w:val="005F3D79"/>
    <w:rsid w:val="005F4FD4"/>
    <w:rsid w:val="005F5273"/>
    <w:rsid w:val="005F56EA"/>
    <w:rsid w:val="005F5C0B"/>
    <w:rsid w:val="005F5CF0"/>
    <w:rsid w:val="005F6475"/>
    <w:rsid w:val="005F6864"/>
    <w:rsid w:val="005F69E9"/>
    <w:rsid w:val="005F6B8C"/>
    <w:rsid w:val="005F6C6D"/>
    <w:rsid w:val="005F7382"/>
    <w:rsid w:val="005F7D5F"/>
    <w:rsid w:val="0060029F"/>
    <w:rsid w:val="006002A0"/>
    <w:rsid w:val="006002FE"/>
    <w:rsid w:val="00600A26"/>
    <w:rsid w:val="00600EC1"/>
    <w:rsid w:val="00601706"/>
    <w:rsid w:val="006019D4"/>
    <w:rsid w:val="00601BA9"/>
    <w:rsid w:val="00601E38"/>
    <w:rsid w:val="0060204C"/>
    <w:rsid w:val="006024D6"/>
    <w:rsid w:val="006024E8"/>
    <w:rsid w:val="00602806"/>
    <w:rsid w:val="0060280C"/>
    <w:rsid w:val="00602AA6"/>
    <w:rsid w:val="006035F3"/>
    <w:rsid w:val="00603DC7"/>
    <w:rsid w:val="00604122"/>
    <w:rsid w:val="006041A8"/>
    <w:rsid w:val="006045EA"/>
    <w:rsid w:val="00604BCE"/>
    <w:rsid w:val="00604C43"/>
    <w:rsid w:val="00604D56"/>
    <w:rsid w:val="00604DEC"/>
    <w:rsid w:val="00605184"/>
    <w:rsid w:val="00605200"/>
    <w:rsid w:val="006052DC"/>
    <w:rsid w:val="00605429"/>
    <w:rsid w:val="00606516"/>
    <w:rsid w:val="0060666D"/>
    <w:rsid w:val="00606ACE"/>
    <w:rsid w:val="00606BCD"/>
    <w:rsid w:val="00606C61"/>
    <w:rsid w:val="00606C7C"/>
    <w:rsid w:val="0060709D"/>
    <w:rsid w:val="00607289"/>
    <w:rsid w:val="0060796E"/>
    <w:rsid w:val="00607AF6"/>
    <w:rsid w:val="00607CF1"/>
    <w:rsid w:val="00607DD8"/>
    <w:rsid w:val="00610AC1"/>
    <w:rsid w:val="00611129"/>
    <w:rsid w:val="0061115B"/>
    <w:rsid w:val="006119BA"/>
    <w:rsid w:val="00611A8B"/>
    <w:rsid w:val="00611FCC"/>
    <w:rsid w:val="006120AE"/>
    <w:rsid w:val="00612374"/>
    <w:rsid w:val="006126C7"/>
    <w:rsid w:val="00612D8C"/>
    <w:rsid w:val="00613011"/>
    <w:rsid w:val="006131F7"/>
    <w:rsid w:val="0061399F"/>
    <w:rsid w:val="00613C70"/>
    <w:rsid w:val="00613EF1"/>
    <w:rsid w:val="006140DD"/>
    <w:rsid w:val="00614845"/>
    <w:rsid w:val="006157C5"/>
    <w:rsid w:val="006159D9"/>
    <w:rsid w:val="00615B41"/>
    <w:rsid w:val="00615D11"/>
    <w:rsid w:val="00615DA3"/>
    <w:rsid w:val="00616014"/>
    <w:rsid w:val="006163FA"/>
    <w:rsid w:val="006169F5"/>
    <w:rsid w:val="00616B50"/>
    <w:rsid w:val="00616E94"/>
    <w:rsid w:val="006176EA"/>
    <w:rsid w:val="0062000A"/>
    <w:rsid w:val="0062049E"/>
    <w:rsid w:val="006204BB"/>
    <w:rsid w:val="006205A8"/>
    <w:rsid w:val="0062098B"/>
    <w:rsid w:val="00620DBF"/>
    <w:rsid w:val="00621D0C"/>
    <w:rsid w:val="006224F2"/>
    <w:rsid w:val="00622547"/>
    <w:rsid w:val="006226C4"/>
    <w:rsid w:val="00622A4F"/>
    <w:rsid w:val="00623025"/>
    <w:rsid w:val="006230D4"/>
    <w:rsid w:val="006233B2"/>
    <w:rsid w:val="00623CAC"/>
    <w:rsid w:val="00623CC1"/>
    <w:rsid w:val="00623DCF"/>
    <w:rsid w:val="0062402A"/>
    <w:rsid w:val="00624C07"/>
    <w:rsid w:val="006250E9"/>
    <w:rsid w:val="0062520D"/>
    <w:rsid w:val="006254AE"/>
    <w:rsid w:val="00625585"/>
    <w:rsid w:val="00625A4C"/>
    <w:rsid w:val="00625D1D"/>
    <w:rsid w:val="00626171"/>
    <w:rsid w:val="0062636C"/>
    <w:rsid w:val="00626378"/>
    <w:rsid w:val="00626384"/>
    <w:rsid w:val="006268DD"/>
    <w:rsid w:val="00626A43"/>
    <w:rsid w:val="00626B44"/>
    <w:rsid w:val="00626FD2"/>
    <w:rsid w:val="00626FDD"/>
    <w:rsid w:val="00630207"/>
    <w:rsid w:val="006304F1"/>
    <w:rsid w:val="00630516"/>
    <w:rsid w:val="00630541"/>
    <w:rsid w:val="0063076F"/>
    <w:rsid w:val="00630EB7"/>
    <w:rsid w:val="0063133A"/>
    <w:rsid w:val="006313E7"/>
    <w:rsid w:val="00631FDA"/>
    <w:rsid w:val="00631FE2"/>
    <w:rsid w:val="00632989"/>
    <w:rsid w:val="00632A82"/>
    <w:rsid w:val="00633066"/>
    <w:rsid w:val="006336CB"/>
    <w:rsid w:val="00633707"/>
    <w:rsid w:val="0063386A"/>
    <w:rsid w:val="00633FFD"/>
    <w:rsid w:val="00634869"/>
    <w:rsid w:val="00634971"/>
    <w:rsid w:val="0063537F"/>
    <w:rsid w:val="00635AC6"/>
    <w:rsid w:val="00635B79"/>
    <w:rsid w:val="00636924"/>
    <w:rsid w:val="006371B8"/>
    <w:rsid w:val="00637274"/>
    <w:rsid w:val="006379D0"/>
    <w:rsid w:val="00637BE4"/>
    <w:rsid w:val="00637C17"/>
    <w:rsid w:val="0064016F"/>
    <w:rsid w:val="00640586"/>
    <w:rsid w:val="006407A8"/>
    <w:rsid w:val="00640805"/>
    <w:rsid w:val="00640B78"/>
    <w:rsid w:val="00640D50"/>
    <w:rsid w:val="0064119D"/>
    <w:rsid w:val="006418F9"/>
    <w:rsid w:val="00642481"/>
    <w:rsid w:val="006428E5"/>
    <w:rsid w:val="00642B46"/>
    <w:rsid w:val="00642C8A"/>
    <w:rsid w:val="00642CE0"/>
    <w:rsid w:val="00642EE3"/>
    <w:rsid w:val="00642FC0"/>
    <w:rsid w:val="00643816"/>
    <w:rsid w:val="00643C04"/>
    <w:rsid w:val="00643D67"/>
    <w:rsid w:val="00644018"/>
    <w:rsid w:val="00644C2E"/>
    <w:rsid w:val="00644DA0"/>
    <w:rsid w:val="006453C8"/>
    <w:rsid w:val="006456E3"/>
    <w:rsid w:val="00645B23"/>
    <w:rsid w:val="00645EF0"/>
    <w:rsid w:val="00645F68"/>
    <w:rsid w:val="00646318"/>
    <w:rsid w:val="0064686B"/>
    <w:rsid w:val="00646DE1"/>
    <w:rsid w:val="0064704E"/>
    <w:rsid w:val="006473BA"/>
    <w:rsid w:val="00647C6E"/>
    <w:rsid w:val="00647DBA"/>
    <w:rsid w:val="00650201"/>
    <w:rsid w:val="00650520"/>
    <w:rsid w:val="00650BB3"/>
    <w:rsid w:val="00651043"/>
    <w:rsid w:val="006510F0"/>
    <w:rsid w:val="00651182"/>
    <w:rsid w:val="006511AE"/>
    <w:rsid w:val="00651D10"/>
    <w:rsid w:val="00651DF6"/>
    <w:rsid w:val="00652096"/>
    <w:rsid w:val="006522F7"/>
    <w:rsid w:val="00652692"/>
    <w:rsid w:val="00652B3C"/>
    <w:rsid w:val="00653009"/>
    <w:rsid w:val="00654496"/>
    <w:rsid w:val="006549CC"/>
    <w:rsid w:val="0065531E"/>
    <w:rsid w:val="006557DF"/>
    <w:rsid w:val="0065594D"/>
    <w:rsid w:val="00656001"/>
    <w:rsid w:val="00657614"/>
    <w:rsid w:val="006578B9"/>
    <w:rsid w:val="00657C8D"/>
    <w:rsid w:val="00660489"/>
    <w:rsid w:val="006606C5"/>
    <w:rsid w:val="00660A89"/>
    <w:rsid w:val="00660F42"/>
    <w:rsid w:val="00660FF6"/>
    <w:rsid w:val="0066100F"/>
    <w:rsid w:val="006611B5"/>
    <w:rsid w:val="0066146F"/>
    <w:rsid w:val="00661C33"/>
    <w:rsid w:val="00661C72"/>
    <w:rsid w:val="0066201A"/>
    <w:rsid w:val="0066226E"/>
    <w:rsid w:val="0066298B"/>
    <w:rsid w:val="00662A3D"/>
    <w:rsid w:val="00662ED6"/>
    <w:rsid w:val="006632F7"/>
    <w:rsid w:val="0066333B"/>
    <w:rsid w:val="00663BA8"/>
    <w:rsid w:val="00663D8C"/>
    <w:rsid w:val="00663FEA"/>
    <w:rsid w:val="0066444E"/>
    <w:rsid w:val="0066468A"/>
    <w:rsid w:val="00664DCA"/>
    <w:rsid w:val="00664E8F"/>
    <w:rsid w:val="006651BF"/>
    <w:rsid w:val="0066526B"/>
    <w:rsid w:val="00665EE0"/>
    <w:rsid w:val="00666198"/>
    <w:rsid w:val="00666D8D"/>
    <w:rsid w:val="00667327"/>
    <w:rsid w:val="006673CD"/>
    <w:rsid w:val="00667652"/>
    <w:rsid w:val="0066795F"/>
    <w:rsid w:val="006679A1"/>
    <w:rsid w:val="00667D69"/>
    <w:rsid w:val="00667FA9"/>
    <w:rsid w:val="0067025E"/>
    <w:rsid w:val="006704BF"/>
    <w:rsid w:val="00671AAB"/>
    <w:rsid w:val="00671F19"/>
    <w:rsid w:val="0067230A"/>
    <w:rsid w:val="00672367"/>
    <w:rsid w:val="006729BD"/>
    <w:rsid w:val="00672CE5"/>
    <w:rsid w:val="00672DD1"/>
    <w:rsid w:val="00672E8C"/>
    <w:rsid w:val="00673072"/>
    <w:rsid w:val="006734C0"/>
    <w:rsid w:val="006739C3"/>
    <w:rsid w:val="00673EE2"/>
    <w:rsid w:val="00673F86"/>
    <w:rsid w:val="00674242"/>
    <w:rsid w:val="0067429F"/>
    <w:rsid w:val="006744A5"/>
    <w:rsid w:val="0067495D"/>
    <w:rsid w:val="00674BDD"/>
    <w:rsid w:val="00674D30"/>
    <w:rsid w:val="006751C6"/>
    <w:rsid w:val="0067531E"/>
    <w:rsid w:val="0067549E"/>
    <w:rsid w:val="00675725"/>
    <w:rsid w:val="006758C4"/>
    <w:rsid w:val="006759B6"/>
    <w:rsid w:val="006759DF"/>
    <w:rsid w:val="00675A0E"/>
    <w:rsid w:val="00675D21"/>
    <w:rsid w:val="006764B1"/>
    <w:rsid w:val="006766DC"/>
    <w:rsid w:val="0067687C"/>
    <w:rsid w:val="00676EBE"/>
    <w:rsid w:val="0067707B"/>
    <w:rsid w:val="006772FA"/>
    <w:rsid w:val="00677468"/>
    <w:rsid w:val="0067750C"/>
    <w:rsid w:val="006778DD"/>
    <w:rsid w:val="00677B33"/>
    <w:rsid w:val="00677D7C"/>
    <w:rsid w:val="00677E1C"/>
    <w:rsid w:val="00677F26"/>
    <w:rsid w:val="00680451"/>
    <w:rsid w:val="006808C1"/>
    <w:rsid w:val="00680A34"/>
    <w:rsid w:val="00680F6E"/>
    <w:rsid w:val="00681C7E"/>
    <w:rsid w:val="00682899"/>
    <w:rsid w:val="006829A0"/>
    <w:rsid w:val="00682D1B"/>
    <w:rsid w:val="00682EC6"/>
    <w:rsid w:val="0068309F"/>
    <w:rsid w:val="006831B7"/>
    <w:rsid w:val="006832AD"/>
    <w:rsid w:val="0068330A"/>
    <w:rsid w:val="00683366"/>
    <w:rsid w:val="00683588"/>
    <w:rsid w:val="00683C95"/>
    <w:rsid w:val="0068484A"/>
    <w:rsid w:val="00684F4A"/>
    <w:rsid w:val="006855B6"/>
    <w:rsid w:val="00685652"/>
    <w:rsid w:val="006856DA"/>
    <w:rsid w:val="00685E34"/>
    <w:rsid w:val="00686213"/>
    <w:rsid w:val="00686433"/>
    <w:rsid w:val="0068669A"/>
    <w:rsid w:val="006866F4"/>
    <w:rsid w:val="00686A2D"/>
    <w:rsid w:val="00686DF7"/>
    <w:rsid w:val="00686ED4"/>
    <w:rsid w:val="00686F56"/>
    <w:rsid w:val="006877BF"/>
    <w:rsid w:val="00687C5D"/>
    <w:rsid w:val="006907D1"/>
    <w:rsid w:val="00690F77"/>
    <w:rsid w:val="00691383"/>
    <w:rsid w:val="00691447"/>
    <w:rsid w:val="00691B1A"/>
    <w:rsid w:val="006923E1"/>
    <w:rsid w:val="00692766"/>
    <w:rsid w:val="00692CB8"/>
    <w:rsid w:val="00693A0D"/>
    <w:rsid w:val="00693FEE"/>
    <w:rsid w:val="00694321"/>
    <w:rsid w:val="0069492B"/>
    <w:rsid w:val="00694E94"/>
    <w:rsid w:val="0069530C"/>
    <w:rsid w:val="00696BFA"/>
    <w:rsid w:val="00696E46"/>
    <w:rsid w:val="00696FDF"/>
    <w:rsid w:val="006971C4"/>
    <w:rsid w:val="0069730E"/>
    <w:rsid w:val="00697369"/>
    <w:rsid w:val="00697B1E"/>
    <w:rsid w:val="006A00AF"/>
    <w:rsid w:val="006A0256"/>
    <w:rsid w:val="006A029D"/>
    <w:rsid w:val="006A0671"/>
    <w:rsid w:val="006A0850"/>
    <w:rsid w:val="006A0DB4"/>
    <w:rsid w:val="006A182A"/>
    <w:rsid w:val="006A19AB"/>
    <w:rsid w:val="006A1C85"/>
    <w:rsid w:val="006A1DB5"/>
    <w:rsid w:val="006A1E64"/>
    <w:rsid w:val="006A2018"/>
    <w:rsid w:val="006A224F"/>
    <w:rsid w:val="006A232A"/>
    <w:rsid w:val="006A2C18"/>
    <w:rsid w:val="006A30CE"/>
    <w:rsid w:val="006A31B3"/>
    <w:rsid w:val="006A3277"/>
    <w:rsid w:val="006A35B1"/>
    <w:rsid w:val="006A423D"/>
    <w:rsid w:val="006A4EBF"/>
    <w:rsid w:val="006A5009"/>
    <w:rsid w:val="006A507E"/>
    <w:rsid w:val="006A5A09"/>
    <w:rsid w:val="006A5CE8"/>
    <w:rsid w:val="006A654D"/>
    <w:rsid w:val="006A6E42"/>
    <w:rsid w:val="006A7628"/>
    <w:rsid w:val="006A789F"/>
    <w:rsid w:val="006A7A7B"/>
    <w:rsid w:val="006B0076"/>
    <w:rsid w:val="006B0134"/>
    <w:rsid w:val="006B03A3"/>
    <w:rsid w:val="006B05C8"/>
    <w:rsid w:val="006B0741"/>
    <w:rsid w:val="006B0A09"/>
    <w:rsid w:val="006B0A56"/>
    <w:rsid w:val="006B0BA8"/>
    <w:rsid w:val="006B0D2B"/>
    <w:rsid w:val="006B0D3C"/>
    <w:rsid w:val="006B0E6F"/>
    <w:rsid w:val="006B10FC"/>
    <w:rsid w:val="006B1DD0"/>
    <w:rsid w:val="006B1DE4"/>
    <w:rsid w:val="006B1EB3"/>
    <w:rsid w:val="006B22F9"/>
    <w:rsid w:val="006B2E92"/>
    <w:rsid w:val="006B382F"/>
    <w:rsid w:val="006B3928"/>
    <w:rsid w:val="006B428F"/>
    <w:rsid w:val="006B5191"/>
    <w:rsid w:val="006B524E"/>
    <w:rsid w:val="006B5358"/>
    <w:rsid w:val="006B54A7"/>
    <w:rsid w:val="006B5655"/>
    <w:rsid w:val="006B61EA"/>
    <w:rsid w:val="006B622A"/>
    <w:rsid w:val="006B65AD"/>
    <w:rsid w:val="006B68DB"/>
    <w:rsid w:val="006B6BDD"/>
    <w:rsid w:val="006B6D2B"/>
    <w:rsid w:val="006B6F10"/>
    <w:rsid w:val="006B7487"/>
    <w:rsid w:val="006B79E9"/>
    <w:rsid w:val="006B7C54"/>
    <w:rsid w:val="006B7F65"/>
    <w:rsid w:val="006C0459"/>
    <w:rsid w:val="006C07F2"/>
    <w:rsid w:val="006C0A52"/>
    <w:rsid w:val="006C0ECB"/>
    <w:rsid w:val="006C1453"/>
    <w:rsid w:val="006C14FF"/>
    <w:rsid w:val="006C17E6"/>
    <w:rsid w:val="006C18A2"/>
    <w:rsid w:val="006C1B0C"/>
    <w:rsid w:val="006C1D5D"/>
    <w:rsid w:val="006C3315"/>
    <w:rsid w:val="006C3409"/>
    <w:rsid w:val="006C35CD"/>
    <w:rsid w:val="006C3618"/>
    <w:rsid w:val="006C410B"/>
    <w:rsid w:val="006C4461"/>
    <w:rsid w:val="006C47FB"/>
    <w:rsid w:val="006C4B26"/>
    <w:rsid w:val="006C52B4"/>
    <w:rsid w:val="006C5714"/>
    <w:rsid w:val="006C5A34"/>
    <w:rsid w:val="006C5D15"/>
    <w:rsid w:val="006C5D38"/>
    <w:rsid w:val="006C7B73"/>
    <w:rsid w:val="006C7C99"/>
    <w:rsid w:val="006C7F39"/>
    <w:rsid w:val="006D0063"/>
    <w:rsid w:val="006D01E8"/>
    <w:rsid w:val="006D04D1"/>
    <w:rsid w:val="006D12BE"/>
    <w:rsid w:val="006D181E"/>
    <w:rsid w:val="006D1AB6"/>
    <w:rsid w:val="006D1F6E"/>
    <w:rsid w:val="006D1FE8"/>
    <w:rsid w:val="006D2441"/>
    <w:rsid w:val="006D2EAF"/>
    <w:rsid w:val="006D33E5"/>
    <w:rsid w:val="006D4228"/>
    <w:rsid w:val="006D4ADE"/>
    <w:rsid w:val="006D4FE5"/>
    <w:rsid w:val="006D5983"/>
    <w:rsid w:val="006D5A42"/>
    <w:rsid w:val="006D5D25"/>
    <w:rsid w:val="006D62D5"/>
    <w:rsid w:val="006D6ABF"/>
    <w:rsid w:val="006D6B50"/>
    <w:rsid w:val="006D6C72"/>
    <w:rsid w:val="006D718F"/>
    <w:rsid w:val="006D7289"/>
    <w:rsid w:val="006D7647"/>
    <w:rsid w:val="006D7B42"/>
    <w:rsid w:val="006D7D4F"/>
    <w:rsid w:val="006E1495"/>
    <w:rsid w:val="006E1561"/>
    <w:rsid w:val="006E197D"/>
    <w:rsid w:val="006E1E0E"/>
    <w:rsid w:val="006E20D8"/>
    <w:rsid w:val="006E2E95"/>
    <w:rsid w:val="006E2F5D"/>
    <w:rsid w:val="006E38F8"/>
    <w:rsid w:val="006E57E8"/>
    <w:rsid w:val="006E59F1"/>
    <w:rsid w:val="006E6738"/>
    <w:rsid w:val="006E6AE6"/>
    <w:rsid w:val="006E7069"/>
    <w:rsid w:val="006E72EB"/>
    <w:rsid w:val="006E73BB"/>
    <w:rsid w:val="006E79CA"/>
    <w:rsid w:val="006E7A86"/>
    <w:rsid w:val="006E7D6D"/>
    <w:rsid w:val="006F043C"/>
    <w:rsid w:val="006F04B4"/>
    <w:rsid w:val="006F0B0B"/>
    <w:rsid w:val="006F12D3"/>
    <w:rsid w:val="006F198C"/>
    <w:rsid w:val="006F1A20"/>
    <w:rsid w:val="006F1E08"/>
    <w:rsid w:val="006F1F34"/>
    <w:rsid w:val="006F26D0"/>
    <w:rsid w:val="006F2DF9"/>
    <w:rsid w:val="006F30E8"/>
    <w:rsid w:val="006F320C"/>
    <w:rsid w:val="006F3944"/>
    <w:rsid w:val="006F3B29"/>
    <w:rsid w:val="006F4086"/>
    <w:rsid w:val="006F41BF"/>
    <w:rsid w:val="006F4410"/>
    <w:rsid w:val="006F4729"/>
    <w:rsid w:val="006F4D1A"/>
    <w:rsid w:val="006F4E55"/>
    <w:rsid w:val="006F5985"/>
    <w:rsid w:val="006F5E0B"/>
    <w:rsid w:val="006F640D"/>
    <w:rsid w:val="006F64B7"/>
    <w:rsid w:val="006F6677"/>
    <w:rsid w:val="006F671D"/>
    <w:rsid w:val="006F6ACD"/>
    <w:rsid w:val="006F7AB5"/>
    <w:rsid w:val="00700028"/>
    <w:rsid w:val="007001F6"/>
    <w:rsid w:val="007002F2"/>
    <w:rsid w:val="00700691"/>
    <w:rsid w:val="00700939"/>
    <w:rsid w:val="00700CA6"/>
    <w:rsid w:val="00700D4A"/>
    <w:rsid w:val="00700E1D"/>
    <w:rsid w:val="00702286"/>
    <w:rsid w:val="0070254D"/>
    <w:rsid w:val="007027E8"/>
    <w:rsid w:val="00702920"/>
    <w:rsid w:val="00702EF4"/>
    <w:rsid w:val="00703656"/>
    <w:rsid w:val="007037A9"/>
    <w:rsid w:val="0070451D"/>
    <w:rsid w:val="00704899"/>
    <w:rsid w:val="007048D8"/>
    <w:rsid w:val="007051E7"/>
    <w:rsid w:val="007053E3"/>
    <w:rsid w:val="0070552A"/>
    <w:rsid w:val="007055FD"/>
    <w:rsid w:val="00705A41"/>
    <w:rsid w:val="00706027"/>
    <w:rsid w:val="00706293"/>
    <w:rsid w:val="007064FF"/>
    <w:rsid w:val="00706C71"/>
    <w:rsid w:val="00707083"/>
    <w:rsid w:val="00707675"/>
    <w:rsid w:val="00707A1F"/>
    <w:rsid w:val="00707F1A"/>
    <w:rsid w:val="00707FA1"/>
    <w:rsid w:val="0071023C"/>
    <w:rsid w:val="00710A0C"/>
    <w:rsid w:val="00710A4E"/>
    <w:rsid w:val="00710E00"/>
    <w:rsid w:val="0071107C"/>
    <w:rsid w:val="00711273"/>
    <w:rsid w:val="0071167D"/>
    <w:rsid w:val="0071192B"/>
    <w:rsid w:val="00711CDB"/>
    <w:rsid w:val="00711FF8"/>
    <w:rsid w:val="00712F10"/>
    <w:rsid w:val="00713192"/>
    <w:rsid w:val="0071320C"/>
    <w:rsid w:val="0071329F"/>
    <w:rsid w:val="0071354B"/>
    <w:rsid w:val="00713554"/>
    <w:rsid w:val="007135A0"/>
    <w:rsid w:val="0071361B"/>
    <w:rsid w:val="00713711"/>
    <w:rsid w:val="00713C42"/>
    <w:rsid w:val="00714002"/>
    <w:rsid w:val="007142A4"/>
    <w:rsid w:val="0071434F"/>
    <w:rsid w:val="00714652"/>
    <w:rsid w:val="00714AF5"/>
    <w:rsid w:val="00714DA0"/>
    <w:rsid w:val="00714E3E"/>
    <w:rsid w:val="007150E4"/>
    <w:rsid w:val="00715535"/>
    <w:rsid w:val="00715815"/>
    <w:rsid w:val="00715B61"/>
    <w:rsid w:val="007162E9"/>
    <w:rsid w:val="00716D65"/>
    <w:rsid w:val="0071755E"/>
    <w:rsid w:val="00717660"/>
    <w:rsid w:val="00717B23"/>
    <w:rsid w:val="00717D14"/>
    <w:rsid w:val="00717EBB"/>
    <w:rsid w:val="00720A6B"/>
    <w:rsid w:val="00720AAF"/>
    <w:rsid w:val="00720D28"/>
    <w:rsid w:val="007214E1"/>
    <w:rsid w:val="0072174A"/>
    <w:rsid w:val="00721DC4"/>
    <w:rsid w:val="00721E3B"/>
    <w:rsid w:val="007222C5"/>
    <w:rsid w:val="00722C14"/>
    <w:rsid w:val="00723071"/>
    <w:rsid w:val="007234EB"/>
    <w:rsid w:val="00723741"/>
    <w:rsid w:val="00723B60"/>
    <w:rsid w:val="00724416"/>
    <w:rsid w:val="007245B9"/>
    <w:rsid w:val="00724825"/>
    <w:rsid w:val="00724C60"/>
    <w:rsid w:val="00724D8F"/>
    <w:rsid w:val="0072575C"/>
    <w:rsid w:val="007258C8"/>
    <w:rsid w:val="00725AE4"/>
    <w:rsid w:val="00726EDC"/>
    <w:rsid w:val="007276C4"/>
    <w:rsid w:val="00727946"/>
    <w:rsid w:val="00727AD1"/>
    <w:rsid w:val="00727BA2"/>
    <w:rsid w:val="007304FC"/>
    <w:rsid w:val="007305FA"/>
    <w:rsid w:val="00730A5A"/>
    <w:rsid w:val="00730D2C"/>
    <w:rsid w:val="00730F04"/>
    <w:rsid w:val="007314E5"/>
    <w:rsid w:val="00731677"/>
    <w:rsid w:val="00731B7D"/>
    <w:rsid w:val="0073313B"/>
    <w:rsid w:val="0073346F"/>
    <w:rsid w:val="00733B12"/>
    <w:rsid w:val="00733F52"/>
    <w:rsid w:val="0073421F"/>
    <w:rsid w:val="007343C9"/>
    <w:rsid w:val="0073448E"/>
    <w:rsid w:val="007346C2"/>
    <w:rsid w:val="0073484E"/>
    <w:rsid w:val="0073523F"/>
    <w:rsid w:val="007353F5"/>
    <w:rsid w:val="00735B69"/>
    <w:rsid w:val="00735B6E"/>
    <w:rsid w:val="007361EA"/>
    <w:rsid w:val="0073623C"/>
    <w:rsid w:val="007362D0"/>
    <w:rsid w:val="0073669E"/>
    <w:rsid w:val="00736DF6"/>
    <w:rsid w:val="00737569"/>
    <w:rsid w:val="007375E2"/>
    <w:rsid w:val="007375F4"/>
    <w:rsid w:val="0073764A"/>
    <w:rsid w:val="00737730"/>
    <w:rsid w:val="0073796D"/>
    <w:rsid w:val="00737B46"/>
    <w:rsid w:val="00737D38"/>
    <w:rsid w:val="00737F6E"/>
    <w:rsid w:val="007408B4"/>
    <w:rsid w:val="00740E3B"/>
    <w:rsid w:val="00740F2A"/>
    <w:rsid w:val="00740F60"/>
    <w:rsid w:val="007412C9"/>
    <w:rsid w:val="0074131E"/>
    <w:rsid w:val="00741B12"/>
    <w:rsid w:val="00741D7B"/>
    <w:rsid w:val="0074213B"/>
    <w:rsid w:val="00742153"/>
    <w:rsid w:val="007421AE"/>
    <w:rsid w:val="007422ED"/>
    <w:rsid w:val="007429D1"/>
    <w:rsid w:val="0074309F"/>
    <w:rsid w:val="007430E5"/>
    <w:rsid w:val="00743203"/>
    <w:rsid w:val="007432C3"/>
    <w:rsid w:val="00743738"/>
    <w:rsid w:val="00743A11"/>
    <w:rsid w:val="007440B8"/>
    <w:rsid w:val="0074437A"/>
    <w:rsid w:val="00744420"/>
    <w:rsid w:val="0074490D"/>
    <w:rsid w:val="00744B3F"/>
    <w:rsid w:val="00745216"/>
    <w:rsid w:val="007454E1"/>
    <w:rsid w:val="00745EF1"/>
    <w:rsid w:val="00746672"/>
    <w:rsid w:val="00746B00"/>
    <w:rsid w:val="00747724"/>
    <w:rsid w:val="00747D9F"/>
    <w:rsid w:val="00750108"/>
    <w:rsid w:val="00751553"/>
    <w:rsid w:val="007515FD"/>
    <w:rsid w:val="00751C03"/>
    <w:rsid w:val="00751EBD"/>
    <w:rsid w:val="0075213E"/>
    <w:rsid w:val="00752820"/>
    <w:rsid w:val="00752D7F"/>
    <w:rsid w:val="00752DBB"/>
    <w:rsid w:val="007530D6"/>
    <w:rsid w:val="007531C8"/>
    <w:rsid w:val="00753508"/>
    <w:rsid w:val="00753936"/>
    <w:rsid w:val="00753F07"/>
    <w:rsid w:val="00753F53"/>
    <w:rsid w:val="0075495D"/>
    <w:rsid w:val="00754C7E"/>
    <w:rsid w:val="00754F88"/>
    <w:rsid w:val="0075522E"/>
    <w:rsid w:val="007555F9"/>
    <w:rsid w:val="00755CEF"/>
    <w:rsid w:val="0075680A"/>
    <w:rsid w:val="00756820"/>
    <w:rsid w:val="00756D11"/>
    <w:rsid w:val="00756E0E"/>
    <w:rsid w:val="007570FF"/>
    <w:rsid w:val="00757177"/>
    <w:rsid w:val="0075750D"/>
    <w:rsid w:val="0075774A"/>
    <w:rsid w:val="00757A67"/>
    <w:rsid w:val="00760776"/>
    <w:rsid w:val="00760C7D"/>
    <w:rsid w:val="00761116"/>
    <w:rsid w:val="00761283"/>
    <w:rsid w:val="00761716"/>
    <w:rsid w:val="007626B7"/>
    <w:rsid w:val="0076319E"/>
    <w:rsid w:val="00763950"/>
    <w:rsid w:val="0076447E"/>
    <w:rsid w:val="00764E44"/>
    <w:rsid w:val="007653CF"/>
    <w:rsid w:val="007657AD"/>
    <w:rsid w:val="00765B2F"/>
    <w:rsid w:val="0076658C"/>
    <w:rsid w:val="00766936"/>
    <w:rsid w:val="007669D2"/>
    <w:rsid w:val="00766A71"/>
    <w:rsid w:val="00766C84"/>
    <w:rsid w:val="00766DBE"/>
    <w:rsid w:val="00766E2F"/>
    <w:rsid w:val="00767582"/>
    <w:rsid w:val="00767627"/>
    <w:rsid w:val="00767C04"/>
    <w:rsid w:val="0077055E"/>
    <w:rsid w:val="00770883"/>
    <w:rsid w:val="00770940"/>
    <w:rsid w:val="00770AF4"/>
    <w:rsid w:val="00770E0C"/>
    <w:rsid w:val="0077162F"/>
    <w:rsid w:val="00771931"/>
    <w:rsid w:val="007732F8"/>
    <w:rsid w:val="00773A33"/>
    <w:rsid w:val="00773B94"/>
    <w:rsid w:val="00773CFC"/>
    <w:rsid w:val="0077414E"/>
    <w:rsid w:val="0077431B"/>
    <w:rsid w:val="007747AC"/>
    <w:rsid w:val="00774BC4"/>
    <w:rsid w:val="0077518C"/>
    <w:rsid w:val="00775226"/>
    <w:rsid w:val="007755C5"/>
    <w:rsid w:val="007755FD"/>
    <w:rsid w:val="00775892"/>
    <w:rsid w:val="007759AA"/>
    <w:rsid w:val="00776043"/>
    <w:rsid w:val="00776296"/>
    <w:rsid w:val="00776561"/>
    <w:rsid w:val="007769E9"/>
    <w:rsid w:val="00776B67"/>
    <w:rsid w:val="00776CEF"/>
    <w:rsid w:val="00776FA1"/>
    <w:rsid w:val="007771E2"/>
    <w:rsid w:val="007777CF"/>
    <w:rsid w:val="00777D04"/>
    <w:rsid w:val="00777D37"/>
    <w:rsid w:val="00777F27"/>
    <w:rsid w:val="007805BD"/>
    <w:rsid w:val="007809C0"/>
    <w:rsid w:val="00781427"/>
    <w:rsid w:val="007817EC"/>
    <w:rsid w:val="00781C94"/>
    <w:rsid w:val="00781DD2"/>
    <w:rsid w:val="00782039"/>
    <w:rsid w:val="0078217F"/>
    <w:rsid w:val="007822CC"/>
    <w:rsid w:val="0078239A"/>
    <w:rsid w:val="0078292A"/>
    <w:rsid w:val="00782AAB"/>
    <w:rsid w:val="00782B99"/>
    <w:rsid w:val="00782D2B"/>
    <w:rsid w:val="0078396A"/>
    <w:rsid w:val="00783CC8"/>
    <w:rsid w:val="00783F0E"/>
    <w:rsid w:val="007841E1"/>
    <w:rsid w:val="00784DE7"/>
    <w:rsid w:val="00785214"/>
    <w:rsid w:val="0078525B"/>
    <w:rsid w:val="007852A6"/>
    <w:rsid w:val="007854F3"/>
    <w:rsid w:val="0078595A"/>
    <w:rsid w:val="00785A2B"/>
    <w:rsid w:val="00785CD4"/>
    <w:rsid w:val="00786218"/>
    <w:rsid w:val="0078633B"/>
    <w:rsid w:val="00786871"/>
    <w:rsid w:val="0078697D"/>
    <w:rsid w:val="007869AF"/>
    <w:rsid w:val="00786AD4"/>
    <w:rsid w:val="00786BE9"/>
    <w:rsid w:val="00787179"/>
    <w:rsid w:val="0078756A"/>
    <w:rsid w:val="0078762E"/>
    <w:rsid w:val="00787F77"/>
    <w:rsid w:val="00787FD2"/>
    <w:rsid w:val="00790767"/>
    <w:rsid w:val="00791154"/>
    <w:rsid w:val="00791F88"/>
    <w:rsid w:val="007929AE"/>
    <w:rsid w:val="00792FDF"/>
    <w:rsid w:val="00793068"/>
    <w:rsid w:val="0079361C"/>
    <w:rsid w:val="00793715"/>
    <w:rsid w:val="007937B6"/>
    <w:rsid w:val="00793AA3"/>
    <w:rsid w:val="00793AB8"/>
    <w:rsid w:val="007940A4"/>
    <w:rsid w:val="0079480A"/>
    <w:rsid w:val="00794A20"/>
    <w:rsid w:val="00794E21"/>
    <w:rsid w:val="00794E65"/>
    <w:rsid w:val="0079513F"/>
    <w:rsid w:val="007953F7"/>
    <w:rsid w:val="00795436"/>
    <w:rsid w:val="00795544"/>
    <w:rsid w:val="0079556A"/>
    <w:rsid w:val="0079589D"/>
    <w:rsid w:val="00796648"/>
    <w:rsid w:val="00796898"/>
    <w:rsid w:val="00797091"/>
    <w:rsid w:val="007971B6"/>
    <w:rsid w:val="00797798"/>
    <w:rsid w:val="0079791C"/>
    <w:rsid w:val="00797C94"/>
    <w:rsid w:val="00797CD5"/>
    <w:rsid w:val="00797F0C"/>
    <w:rsid w:val="00797F4E"/>
    <w:rsid w:val="007A02F8"/>
    <w:rsid w:val="007A0E67"/>
    <w:rsid w:val="007A1537"/>
    <w:rsid w:val="007A166F"/>
    <w:rsid w:val="007A1C6A"/>
    <w:rsid w:val="007A2191"/>
    <w:rsid w:val="007A244A"/>
    <w:rsid w:val="007A26A8"/>
    <w:rsid w:val="007A26E6"/>
    <w:rsid w:val="007A30A5"/>
    <w:rsid w:val="007A30A9"/>
    <w:rsid w:val="007A30EE"/>
    <w:rsid w:val="007A36A5"/>
    <w:rsid w:val="007A383E"/>
    <w:rsid w:val="007A3B7C"/>
    <w:rsid w:val="007A4117"/>
    <w:rsid w:val="007A4360"/>
    <w:rsid w:val="007A4A25"/>
    <w:rsid w:val="007A5287"/>
    <w:rsid w:val="007A562B"/>
    <w:rsid w:val="007A5F6E"/>
    <w:rsid w:val="007A606B"/>
    <w:rsid w:val="007A654A"/>
    <w:rsid w:val="007A654F"/>
    <w:rsid w:val="007A696B"/>
    <w:rsid w:val="007A6C0B"/>
    <w:rsid w:val="007A741B"/>
    <w:rsid w:val="007A7431"/>
    <w:rsid w:val="007A7E14"/>
    <w:rsid w:val="007B0102"/>
    <w:rsid w:val="007B017F"/>
    <w:rsid w:val="007B020E"/>
    <w:rsid w:val="007B036A"/>
    <w:rsid w:val="007B03FD"/>
    <w:rsid w:val="007B05E8"/>
    <w:rsid w:val="007B0684"/>
    <w:rsid w:val="007B0B6A"/>
    <w:rsid w:val="007B0D4B"/>
    <w:rsid w:val="007B0DFA"/>
    <w:rsid w:val="007B0F98"/>
    <w:rsid w:val="007B13D5"/>
    <w:rsid w:val="007B1834"/>
    <w:rsid w:val="007B19DD"/>
    <w:rsid w:val="007B1F0C"/>
    <w:rsid w:val="007B1F73"/>
    <w:rsid w:val="007B23F0"/>
    <w:rsid w:val="007B258A"/>
    <w:rsid w:val="007B2A72"/>
    <w:rsid w:val="007B2F1D"/>
    <w:rsid w:val="007B33C7"/>
    <w:rsid w:val="007B3B18"/>
    <w:rsid w:val="007B3C49"/>
    <w:rsid w:val="007B3DF3"/>
    <w:rsid w:val="007B4295"/>
    <w:rsid w:val="007B48B9"/>
    <w:rsid w:val="007B4E66"/>
    <w:rsid w:val="007B5BA6"/>
    <w:rsid w:val="007B5BBB"/>
    <w:rsid w:val="007B6762"/>
    <w:rsid w:val="007B6BF5"/>
    <w:rsid w:val="007B712F"/>
    <w:rsid w:val="007B72A6"/>
    <w:rsid w:val="007B7408"/>
    <w:rsid w:val="007B77D2"/>
    <w:rsid w:val="007B7A58"/>
    <w:rsid w:val="007B7AD8"/>
    <w:rsid w:val="007C09A6"/>
    <w:rsid w:val="007C0A9D"/>
    <w:rsid w:val="007C1139"/>
    <w:rsid w:val="007C140C"/>
    <w:rsid w:val="007C1AEA"/>
    <w:rsid w:val="007C1BD3"/>
    <w:rsid w:val="007C1FD4"/>
    <w:rsid w:val="007C2055"/>
    <w:rsid w:val="007C2824"/>
    <w:rsid w:val="007C29DC"/>
    <w:rsid w:val="007C2B30"/>
    <w:rsid w:val="007C2CC4"/>
    <w:rsid w:val="007C3396"/>
    <w:rsid w:val="007C344D"/>
    <w:rsid w:val="007C35DF"/>
    <w:rsid w:val="007C385D"/>
    <w:rsid w:val="007C4D69"/>
    <w:rsid w:val="007C51E1"/>
    <w:rsid w:val="007C54D2"/>
    <w:rsid w:val="007C5986"/>
    <w:rsid w:val="007C5A81"/>
    <w:rsid w:val="007C6245"/>
    <w:rsid w:val="007C66CD"/>
    <w:rsid w:val="007C754C"/>
    <w:rsid w:val="007C7666"/>
    <w:rsid w:val="007C7FB3"/>
    <w:rsid w:val="007D0C50"/>
    <w:rsid w:val="007D1BE0"/>
    <w:rsid w:val="007D1EEF"/>
    <w:rsid w:val="007D1FDB"/>
    <w:rsid w:val="007D25AA"/>
    <w:rsid w:val="007D2AE5"/>
    <w:rsid w:val="007D2C72"/>
    <w:rsid w:val="007D2DC6"/>
    <w:rsid w:val="007D2EA3"/>
    <w:rsid w:val="007D31A0"/>
    <w:rsid w:val="007D3834"/>
    <w:rsid w:val="007D396B"/>
    <w:rsid w:val="007D4167"/>
    <w:rsid w:val="007D4264"/>
    <w:rsid w:val="007D49CE"/>
    <w:rsid w:val="007D49EE"/>
    <w:rsid w:val="007D4B78"/>
    <w:rsid w:val="007D4C89"/>
    <w:rsid w:val="007D4E8C"/>
    <w:rsid w:val="007D570E"/>
    <w:rsid w:val="007D5FC6"/>
    <w:rsid w:val="007D65CF"/>
    <w:rsid w:val="007D7302"/>
    <w:rsid w:val="007D7FF9"/>
    <w:rsid w:val="007E00DD"/>
    <w:rsid w:val="007E0965"/>
    <w:rsid w:val="007E0DD4"/>
    <w:rsid w:val="007E0E54"/>
    <w:rsid w:val="007E1084"/>
    <w:rsid w:val="007E166B"/>
    <w:rsid w:val="007E1E51"/>
    <w:rsid w:val="007E2764"/>
    <w:rsid w:val="007E2A9E"/>
    <w:rsid w:val="007E2F15"/>
    <w:rsid w:val="007E2F95"/>
    <w:rsid w:val="007E3552"/>
    <w:rsid w:val="007E36CD"/>
    <w:rsid w:val="007E3BF3"/>
    <w:rsid w:val="007E4280"/>
    <w:rsid w:val="007E43BD"/>
    <w:rsid w:val="007E43F0"/>
    <w:rsid w:val="007E4420"/>
    <w:rsid w:val="007E471D"/>
    <w:rsid w:val="007E4AF7"/>
    <w:rsid w:val="007E5E41"/>
    <w:rsid w:val="007E63FB"/>
    <w:rsid w:val="007E64FA"/>
    <w:rsid w:val="007E65AD"/>
    <w:rsid w:val="007E6714"/>
    <w:rsid w:val="007E6BA0"/>
    <w:rsid w:val="007E6D53"/>
    <w:rsid w:val="007E6E62"/>
    <w:rsid w:val="007E73D5"/>
    <w:rsid w:val="007E7B54"/>
    <w:rsid w:val="007F01AD"/>
    <w:rsid w:val="007F0A21"/>
    <w:rsid w:val="007F0D75"/>
    <w:rsid w:val="007F0DFE"/>
    <w:rsid w:val="007F0E4C"/>
    <w:rsid w:val="007F0F68"/>
    <w:rsid w:val="007F10D2"/>
    <w:rsid w:val="007F11B1"/>
    <w:rsid w:val="007F12BA"/>
    <w:rsid w:val="007F13DF"/>
    <w:rsid w:val="007F156D"/>
    <w:rsid w:val="007F16E8"/>
    <w:rsid w:val="007F1B3C"/>
    <w:rsid w:val="007F22CC"/>
    <w:rsid w:val="007F2557"/>
    <w:rsid w:val="007F29B6"/>
    <w:rsid w:val="007F2EEC"/>
    <w:rsid w:val="007F3119"/>
    <w:rsid w:val="007F394A"/>
    <w:rsid w:val="007F3E0A"/>
    <w:rsid w:val="007F410C"/>
    <w:rsid w:val="007F48C1"/>
    <w:rsid w:val="007F4911"/>
    <w:rsid w:val="007F49A5"/>
    <w:rsid w:val="007F4A62"/>
    <w:rsid w:val="007F5141"/>
    <w:rsid w:val="007F58B4"/>
    <w:rsid w:val="007F5A09"/>
    <w:rsid w:val="007F5B21"/>
    <w:rsid w:val="007F5B6D"/>
    <w:rsid w:val="007F6C47"/>
    <w:rsid w:val="007F7A66"/>
    <w:rsid w:val="008008E3"/>
    <w:rsid w:val="008009BA"/>
    <w:rsid w:val="00800AA3"/>
    <w:rsid w:val="00800EC5"/>
    <w:rsid w:val="008010CE"/>
    <w:rsid w:val="008010DB"/>
    <w:rsid w:val="0080147E"/>
    <w:rsid w:val="00801600"/>
    <w:rsid w:val="008016A3"/>
    <w:rsid w:val="008024FD"/>
    <w:rsid w:val="0080265B"/>
    <w:rsid w:val="0080268A"/>
    <w:rsid w:val="0080285D"/>
    <w:rsid w:val="008029EA"/>
    <w:rsid w:val="008030E2"/>
    <w:rsid w:val="00803D02"/>
    <w:rsid w:val="00803F23"/>
    <w:rsid w:val="008041D3"/>
    <w:rsid w:val="008045C7"/>
    <w:rsid w:val="008049BE"/>
    <w:rsid w:val="00804DA5"/>
    <w:rsid w:val="00804E95"/>
    <w:rsid w:val="00804FA3"/>
    <w:rsid w:val="00805416"/>
    <w:rsid w:val="008054A8"/>
    <w:rsid w:val="0080553D"/>
    <w:rsid w:val="00805707"/>
    <w:rsid w:val="00805A36"/>
    <w:rsid w:val="00805FF5"/>
    <w:rsid w:val="008067A3"/>
    <w:rsid w:val="00806FBA"/>
    <w:rsid w:val="00807184"/>
    <w:rsid w:val="00807683"/>
    <w:rsid w:val="008079BA"/>
    <w:rsid w:val="00810622"/>
    <w:rsid w:val="00810640"/>
    <w:rsid w:val="00810668"/>
    <w:rsid w:val="008106AE"/>
    <w:rsid w:val="0081082E"/>
    <w:rsid w:val="00810CD7"/>
    <w:rsid w:val="0081124B"/>
    <w:rsid w:val="00811CD6"/>
    <w:rsid w:val="008129E7"/>
    <w:rsid w:val="00812CA5"/>
    <w:rsid w:val="00813263"/>
    <w:rsid w:val="008132DC"/>
    <w:rsid w:val="008136A1"/>
    <w:rsid w:val="00813B7E"/>
    <w:rsid w:val="00813EB4"/>
    <w:rsid w:val="0081413C"/>
    <w:rsid w:val="008141FA"/>
    <w:rsid w:val="0081443A"/>
    <w:rsid w:val="00814670"/>
    <w:rsid w:val="00814739"/>
    <w:rsid w:val="0081482F"/>
    <w:rsid w:val="008150A8"/>
    <w:rsid w:val="00815194"/>
    <w:rsid w:val="0081590F"/>
    <w:rsid w:val="00815C6E"/>
    <w:rsid w:val="008160F8"/>
    <w:rsid w:val="00816303"/>
    <w:rsid w:val="00816687"/>
    <w:rsid w:val="008167F9"/>
    <w:rsid w:val="00816E23"/>
    <w:rsid w:val="00816FC2"/>
    <w:rsid w:val="0081708B"/>
    <w:rsid w:val="008171C0"/>
    <w:rsid w:val="0081787B"/>
    <w:rsid w:val="008201C1"/>
    <w:rsid w:val="008215F3"/>
    <w:rsid w:val="00821625"/>
    <w:rsid w:val="00821A0D"/>
    <w:rsid w:val="00821ED6"/>
    <w:rsid w:val="00821FE4"/>
    <w:rsid w:val="0082212A"/>
    <w:rsid w:val="0082231F"/>
    <w:rsid w:val="00822986"/>
    <w:rsid w:val="00822AE6"/>
    <w:rsid w:val="00822B10"/>
    <w:rsid w:val="00822CDA"/>
    <w:rsid w:val="00823045"/>
    <w:rsid w:val="008233B8"/>
    <w:rsid w:val="008238A5"/>
    <w:rsid w:val="0082421F"/>
    <w:rsid w:val="00824540"/>
    <w:rsid w:val="0082473F"/>
    <w:rsid w:val="00824823"/>
    <w:rsid w:val="0082515B"/>
    <w:rsid w:val="0082669B"/>
    <w:rsid w:val="00826EB3"/>
    <w:rsid w:val="00827330"/>
    <w:rsid w:val="0082744A"/>
    <w:rsid w:val="00827B3F"/>
    <w:rsid w:val="00830813"/>
    <w:rsid w:val="008318EB"/>
    <w:rsid w:val="008319ED"/>
    <w:rsid w:val="00831FEA"/>
    <w:rsid w:val="008328DC"/>
    <w:rsid w:val="0083411A"/>
    <w:rsid w:val="0083422C"/>
    <w:rsid w:val="00834367"/>
    <w:rsid w:val="0083452E"/>
    <w:rsid w:val="0083465A"/>
    <w:rsid w:val="00834AB2"/>
    <w:rsid w:val="00834B07"/>
    <w:rsid w:val="00834C41"/>
    <w:rsid w:val="008356CB"/>
    <w:rsid w:val="0083641E"/>
    <w:rsid w:val="0083651B"/>
    <w:rsid w:val="00836593"/>
    <w:rsid w:val="00836A9B"/>
    <w:rsid w:val="00836B0F"/>
    <w:rsid w:val="008370E5"/>
    <w:rsid w:val="00837D5B"/>
    <w:rsid w:val="00840198"/>
    <w:rsid w:val="00840227"/>
    <w:rsid w:val="008402EB"/>
    <w:rsid w:val="008406B6"/>
    <w:rsid w:val="0084098D"/>
    <w:rsid w:val="00840AC2"/>
    <w:rsid w:val="00841EED"/>
    <w:rsid w:val="00842273"/>
    <w:rsid w:val="008429F8"/>
    <w:rsid w:val="00842E07"/>
    <w:rsid w:val="008430D4"/>
    <w:rsid w:val="0084319B"/>
    <w:rsid w:val="008433C6"/>
    <w:rsid w:val="008434B8"/>
    <w:rsid w:val="00843673"/>
    <w:rsid w:val="00843BC7"/>
    <w:rsid w:val="00843C15"/>
    <w:rsid w:val="00843D06"/>
    <w:rsid w:val="00843F7A"/>
    <w:rsid w:val="00844A4E"/>
    <w:rsid w:val="008454B0"/>
    <w:rsid w:val="00845A5B"/>
    <w:rsid w:val="00845B92"/>
    <w:rsid w:val="00845BC6"/>
    <w:rsid w:val="00845D0F"/>
    <w:rsid w:val="0084633E"/>
    <w:rsid w:val="0084664B"/>
    <w:rsid w:val="00846812"/>
    <w:rsid w:val="00847568"/>
    <w:rsid w:val="008476FE"/>
    <w:rsid w:val="008479F4"/>
    <w:rsid w:val="00847B23"/>
    <w:rsid w:val="00847EA2"/>
    <w:rsid w:val="00850D61"/>
    <w:rsid w:val="00850E48"/>
    <w:rsid w:val="00851299"/>
    <w:rsid w:val="00851C4E"/>
    <w:rsid w:val="00852055"/>
    <w:rsid w:val="00852174"/>
    <w:rsid w:val="00852308"/>
    <w:rsid w:val="00852662"/>
    <w:rsid w:val="0085292D"/>
    <w:rsid w:val="00852DC2"/>
    <w:rsid w:val="008530DD"/>
    <w:rsid w:val="008535A0"/>
    <w:rsid w:val="008535CF"/>
    <w:rsid w:val="008537CC"/>
    <w:rsid w:val="008539CC"/>
    <w:rsid w:val="00853D7A"/>
    <w:rsid w:val="00853E6C"/>
    <w:rsid w:val="00854176"/>
    <w:rsid w:val="008542AD"/>
    <w:rsid w:val="0085435D"/>
    <w:rsid w:val="008543E8"/>
    <w:rsid w:val="00854AA3"/>
    <w:rsid w:val="00854F38"/>
    <w:rsid w:val="0085647A"/>
    <w:rsid w:val="008565EF"/>
    <w:rsid w:val="00856ABB"/>
    <w:rsid w:val="008573DB"/>
    <w:rsid w:val="00857467"/>
    <w:rsid w:val="0085785B"/>
    <w:rsid w:val="00857AE5"/>
    <w:rsid w:val="00857F54"/>
    <w:rsid w:val="00860098"/>
    <w:rsid w:val="00860551"/>
    <w:rsid w:val="00860794"/>
    <w:rsid w:val="008609AE"/>
    <w:rsid w:val="00860DE3"/>
    <w:rsid w:val="008618AE"/>
    <w:rsid w:val="008622AC"/>
    <w:rsid w:val="008623AA"/>
    <w:rsid w:val="0086281E"/>
    <w:rsid w:val="00862D00"/>
    <w:rsid w:val="008634D3"/>
    <w:rsid w:val="0086396C"/>
    <w:rsid w:val="00863A78"/>
    <w:rsid w:val="00863F39"/>
    <w:rsid w:val="00864354"/>
    <w:rsid w:val="00864476"/>
    <w:rsid w:val="00864813"/>
    <w:rsid w:val="0086488D"/>
    <w:rsid w:val="0086489A"/>
    <w:rsid w:val="00864CE0"/>
    <w:rsid w:val="00864F3B"/>
    <w:rsid w:val="008654D9"/>
    <w:rsid w:val="00865BD8"/>
    <w:rsid w:val="00865F3A"/>
    <w:rsid w:val="008662FF"/>
    <w:rsid w:val="00866B5F"/>
    <w:rsid w:val="00866D9F"/>
    <w:rsid w:val="00867021"/>
    <w:rsid w:val="008670AD"/>
    <w:rsid w:val="0086790C"/>
    <w:rsid w:val="00867D43"/>
    <w:rsid w:val="00867FE6"/>
    <w:rsid w:val="00870132"/>
    <w:rsid w:val="0087053F"/>
    <w:rsid w:val="0087057F"/>
    <w:rsid w:val="00870660"/>
    <w:rsid w:val="008706F2"/>
    <w:rsid w:val="00870BF0"/>
    <w:rsid w:val="008712F4"/>
    <w:rsid w:val="008713CD"/>
    <w:rsid w:val="0087179B"/>
    <w:rsid w:val="00871C35"/>
    <w:rsid w:val="00871D3C"/>
    <w:rsid w:val="00871E69"/>
    <w:rsid w:val="00871EF9"/>
    <w:rsid w:val="008722D6"/>
    <w:rsid w:val="0087231A"/>
    <w:rsid w:val="00872353"/>
    <w:rsid w:val="008723AB"/>
    <w:rsid w:val="008724C2"/>
    <w:rsid w:val="008724FD"/>
    <w:rsid w:val="008728DC"/>
    <w:rsid w:val="0087296A"/>
    <w:rsid w:val="00873645"/>
    <w:rsid w:val="00874609"/>
    <w:rsid w:val="008747B5"/>
    <w:rsid w:val="00874D1E"/>
    <w:rsid w:val="00875435"/>
    <w:rsid w:val="0087570D"/>
    <w:rsid w:val="008758EC"/>
    <w:rsid w:val="00875A11"/>
    <w:rsid w:val="00875DF7"/>
    <w:rsid w:val="00875FA3"/>
    <w:rsid w:val="00876263"/>
    <w:rsid w:val="008779D1"/>
    <w:rsid w:val="00877D19"/>
    <w:rsid w:val="00881B7E"/>
    <w:rsid w:val="008821B3"/>
    <w:rsid w:val="0088220F"/>
    <w:rsid w:val="008824E7"/>
    <w:rsid w:val="00882870"/>
    <w:rsid w:val="00882D2C"/>
    <w:rsid w:val="008831D4"/>
    <w:rsid w:val="00884283"/>
    <w:rsid w:val="008842FC"/>
    <w:rsid w:val="00884BBF"/>
    <w:rsid w:val="0088509C"/>
    <w:rsid w:val="0088513A"/>
    <w:rsid w:val="0088538F"/>
    <w:rsid w:val="00885B3D"/>
    <w:rsid w:val="00885B74"/>
    <w:rsid w:val="0088613A"/>
    <w:rsid w:val="008863C4"/>
    <w:rsid w:val="0088676B"/>
    <w:rsid w:val="0088698A"/>
    <w:rsid w:val="008873A4"/>
    <w:rsid w:val="00887EEE"/>
    <w:rsid w:val="00887FC8"/>
    <w:rsid w:val="008904AE"/>
    <w:rsid w:val="00890F6A"/>
    <w:rsid w:val="00890FDD"/>
    <w:rsid w:val="00891214"/>
    <w:rsid w:val="00891387"/>
    <w:rsid w:val="00891663"/>
    <w:rsid w:val="008918BF"/>
    <w:rsid w:val="008925F4"/>
    <w:rsid w:val="008928BE"/>
    <w:rsid w:val="00892CC5"/>
    <w:rsid w:val="00892D9C"/>
    <w:rsid w:val="00892ED9"/>
    <w:rsid w:val="008933EE"/>
    <w:rsid w:val="0089341E"/>
    <w:rsid w:val="008943E7"/>
    <w:rsid w:val="0089510D"/>
    <w:rsid w:val="0089523A"/>
    <w:rsid w:val="00895C7A"/>
    <w:rsid w:val="00895E57"/>
    <w:rsid w:val="008960DC"/>
    <w:rsid w:val="00896359"/>
    <w:rsid w:val="008966DF"/>
    <w:rsid w:val="00896B5C"/>
    <w:rsid w:val="00896CFE"/>
    <w:rsid w:val="00896D18"/>
    <w:rsid w:val="00896E71"/>
    <w:rsid w:val="008971ED"/>
    <w:rsid w:val="00897878"/>
    <w:rsid w:val="00897966"/>
    <w:rsid w:val="008A066D"/>
    <w:rsid w:val="008A0B7A"/>
    <w:rsid w:val="008A0BB7"/>
    <w:rsid w:val="008A0FC8"/>
    <w:rsid w:val="008A166D"/>
    <w:rsid w:val="008A1874"/>
    <w:rsid w:val="008A1CF6"/>
    <w:rsid w:val="008A2177"/>
    <w:rsid w:val="008A219A"/>
    <w:rsid w:val="008A2FD9"/>
    <w:rsid w:val="008A3FB8"/>
    <w:rsid w:val="008A403D"/>
    <w:rsid w:val="008A4F6E"/>
    <w:rsid w:val="008A525F"/>
    <w:rsid w:val="008A53A7"/>
    <w:rsid w:val="008A55E6"/>
    <w:rsid w:val="008A6E28"/>
    <w:rsid w:val="008A6EC7"/>
    <w:rsid w:val="008A71F7"/>
    <w:rsid w:val="008A7439"/>
    <w:rsid w:val="008A74E0"/>
    <w:rsid w:val="008A7C18"/>
    <w:rsid w:val="008B0B2C"/>
    <w:rsid w:val="008B1560"/>
    <w:rsid w:val="008B174F"/>
    <w:rsid w:val="008B1951"/>
    <w:rsid w:val="008B2336"/>
    <w:rsid w:val="008B262C"/>
    <w:rsid w:val="008B2ADF"/>
    <w:rsid w:val="008B3C16"/>
    <w:rsid w:val="008B3CE5"/>
    <w:rsid w:val="008B4391"/>
    <w:rsid w:val="008B45E5"/>
    <w:rsid w:val="008B4924"/>
    <w:rsid w:val="008B4F9F"/>
    <w:rsid w:val="008B51AB"/>
    <w:rsid w:val="008B549E"/>
    <w:rsid w:val="008B5DB3"/>
    <w:rsid w:val="008B5F50"/>
    <w:rsid w:val="008B63BD"/>
    <w:rsid w:val="008B7231"/>
    <w:rsid w:val="008B77D0"/>
    <w:rsid w:val="008B7AE7"/>
    <w:rsid w:val="008C01E2"/>
    <w:rsid w:val="008C07F9"/>
    <w:rsid w:val="008C0CFB"/>
    <w:rsid w:val="008C0DD3"/>
    <w:rsid w:val="008C1191"/>
    <w:rsid w:val="008C1A6C"/>
    <w:rsid w:val="008C1C9E"/>
    <w:rsid w:val="008C1E84"/>
    <w:rsid w:val="008C254E"/>
    <w:rsid w:val="008C26B8"/>
    <w:rsid w:val="008C26C1"/>
    <w:rsid w:val="008C279E"/>
    <w:rsid w:val="008C2B78"/>
    <w:rsid w:val="008C2C49"/>
    <w:rsid w:val="008C2D20"/>
    <w:rsid w:val="008C3534"/>
    <w:rsid w:val="008C372B"/>
    <w:rsid w:val="008C3A88"/>
    <w:rsid w:val="008C3C16"/>
    <w:rsid w:val="008C4185"/>
    <w:rsid w:val="008C4EBD"/>
    <w:rsid w:val="008C4F5B"/>
    <w:rsid w:val="008C5160"/>
    <w:rsid w:val="008C65D6"/>
    <w:rsid w:val="008C6648"/>
    <w:rsid w:val="008C6A55"/>
    <w:rsid w:val="008C6BAB"/>
    <w:rsid w:val="008C6C27"/>
    <w:rsid w:val="008C7BEC"/>
    <w:rsid w:val="008D01A1"/>
    <w:rsid w:val="008D04AF"/>
    <w:rsid w:val="008D08EC"/>
    <w:rsid w:val="008D113D"/>
    <w:rsid w:val="008D13BA"/>
    <w:rsid w:val="008D1BCC"/>
    <w:rsid w:val="008D1E39"/>
    <w:rsid w:val="008D2043"/>
    <w:rsid w:val="008D234B"/>
    <w:rsid w:val="008D2397"/>
    <w:rsid w:val="008D2924"/>
    <w:rsid w:val="008D2DBD"/>
    <w:rsid w:val="008D35BB"/>
    <w:rsid w:val="008D3649"/>
    <w:rsid w:val="008D3742"/>
    <w:rsid w:val="008D3ABB"/>
    <w:rsid w:val="008D3FE9"/>
    <w:rsid w:val="008D410A"/>
    <w:rsid w:val="008D4260"/>
    <w:rsid w:val="008D46CD"/>
    <w:rsid w:val="008D4860"/>
    <w:rsid w:val="008D500C"/>
    <w:rsid w:val="008D501E"/>
    <w:rsid w:val="008D55AE"/>
    <w:rsid w:val="008D5E73"/>
    <w:rsid w:val="008D6256"/>
    <w:rsid w:val="008D62D6"/>
    <w:rsid w:val="008D63FB"/>
    <w:rsid w:val="008D6C2A"/>
    <w:rsid w:val="008D6D34"/>
    <w:rsid w:val="008D6D38"/>
    <w:rsid w:val="008D6DB2"/>
    <w:rsid w:val="008D79D4"/>
    <w:rsid w:val="008D7C77"/>
    <w:rsid w:val="008D7D3F"/>
    <w:rsid w:val="008E0255"/>
    <w:rsid w:val="008E0AFB"/>
    <w:rsid w:val="008E0BAA"/>
    <w:rsid w:val="008E1327"/>
    <w:rsid w:val="008E19AB"/>
    <w:rsid w:val="008E1AB2"/>
    <w:rsid w:val="008E1DAC"/>
    <w:rsid w:val="008E25E1"/>
    <w:rsid w:val="008E2B37"/>
    <w:rsid w:val="008E3019"/>
    <w:rsid w:val="008E3AAD"/>
    <w:rsid w:val="008E3D5D"/>
    <w:rsid w:val="008E4061"/>
    <w:rsid w:val="008E453A"/>
    <w:rsid w:val="008E5290"/>
    <w:rsid w:val="008E5913"/>
    <w:rsid w:val="008E5C08"/>
    <w:rsid w:val="008E620D"/>
    <w:rsid w:val="008E66EF"/>
    <w:rsid w:val="008E6F60"/>
    <w:rsid w:val="008E7244"/>
    <w:rsid w:val="008E72D6"/>
    <w:rsid w:val="008E73DC"/>
    <w:rsid w:val="008E7CBF"/>
    <w:rsid w:val="008E7EC3"/>
    <w:rsid w:val="008F05B2"/>
    <w:rsid w:val="008F086E"/>
    <w:rsid w:val="008F1815"/>
    <w:rsid w:val="008F202B"/>
    <w:rsid w:val="008F2920"/>
    <w:rsid w:val="008F2CF7"/>
    <w:rsid w:val="008F2E6B"/>
    <w:rsid w:val="008F3086"/>
    <w:rsid w:val="008F3405"/>
    <w:rsid w:val="008F3C1C"/>
    <w:rsid w:val="008F45C7"/>
    <w:rsid w:val="008F46A1"/>
    <w:rsid w:val="008F47B1"/>
    <w:rsid w:val="008F4C65"/>
    <w:rsid w:val="008F4E88"/>
    <w:rsid w:val="008F4F63"/>
    <w:rsid w:val="008F5332"/>
    <w:rsid w:val="008F534F"/>
    <w:rsid w:val="008F53F3"/>
    <w:rsid w:val="008F5CB2"/>
    <w:rsid w:val="008F5E17"/>
    <w:rsid w:val="008F5EC0"/>
    <w:rsid w:val="008F669E"/>
    <w:rsid w:val="008F6B10"/>
    <w:rsid w:val="008F6BFF"/>
    <w:rsid w:val="008F7222"/>
    <w:rsid w:val="008F7396"/>
    <w:rsid w:val="008F73C9"/>
    <w:rsid w:val="0090004C"/>
    <w:rsid w:val="00900595"/>
    <w:rsid w:val="00900616"/>
    <w:rsid w:val="00900C9D"/>
    <w:rsid w:val="0090153E"/>
    <w:rsid w:val="009016BC"/>
    <w:rsid w:val="00901BF0"/>
    <w:rsid w:val="0090279E"/>
    <w:rsid w:val="0090318C"/>
    <w:rsid w:val="00903378"/>
    <w:rsid w:val="00903CC7"/>
    <w:rsid w:val="00903D5B"/>
    <w:rsid w:val="00904835"/>
    <w:rsid w:val="00904A6E"/>
    <w:rsid w:val="00904B5F"/>
    <w:rsid w:val="009050C6"/>
    <w:rsid w:val="009053A4"/>
    <w:rsid w:val="00905ABB"/>
    <w:rsid w:val="0090650E"/>
    <w:rsid w:val="00906FCC"/>
    <w:rsid w:val="00907538"/>
    <w:rsid w:val="00907AF6"/>
    <w:rsid w:val="00907C5E"/>
    <w:rsid w:val="00907CE4"/>
    <w:rsid w:val="00907E3C"/>
    <w:rsid w:val="009102EB"/>
    <w:rsid w:val="0091036F"/>
    <w:rsid w:val="009109D2"/>
    <w:rsid w:val="00910EB5"/>
    <w:rsid w:val="00911268"/>
    <w:rsid w:val="0091133C"/>
    <w:rsid w:val="00911FA6"/>
    <w:rsid w:val="00912167"/>
    <w:rsid w:val="00912A1D"/>
    <w:rsid w:val="00912A31"/>
    <w:rsid w:val="00912B37"/>
    <w:rsid w:val="00913941"/>
    <w:rsid w:val="00913EF0"/>
    <w:rsid w:val="009145FF"/>
    <w:rsid w:val="00914928"/>
    <w:rsid w:val="00914DEF"/>
    <w:rsid w:val="009163E1"/>
    <w:rsid w:val="0091653E"/>
    <w:rsid w:val="00916617"/>
    <w:rsid w:val="00916665"/>
    <w:rsid w:val="00916793"/>
    <w:rsid w:val="00916A16"/>
    <w:rsid w:val="00916A21"/>
    <w:rsid w:val="00916D48"/>
    <w:rsid w:val="00917355"/>
    <w:rsid w:val="0091748C"/>
    <w:rsid w:val="00917630"/>
    <w:rsid w:val="00917A49"/>
    <w:rsid w:val="00917B51"/>
    <w:rsid w:val="00917FAF"/>
    <w:rsid w:val="0092014B"/>
    <w:rsid w:val="00920377"/>
    <w:rsid w:val="0092043D"/>
    <w:rsid w:val="00920485"/>
    <w:rsid w:val="009205EB"/>
    <w:rsid w:val="009207CB"/>
    <w:rsid w:val="009209A2"/>
    <w:rsid w:val="00920A69"/>
    <w:rsid w:val="00920A9C"/>
    <w:rsid w:val="00920B8E"/>
    <w:rsid w:val="00920CF4"/>
    <w:rsid w:val="0092198D"/>
    <w:rsid w:val="00921995"/>
    <w:rsid w:val="00921BC1"/>
    <w:rsid w:val="00921E9B"/>
    <w:rsid w:val="00922192"/>
    <w:rsid w:val="0092274A"/>
    <w:rsid w:val="009227A5"/>
    <w:rsid w:val="00923822"/>
    <w:rsid w:val="0092407A"/>
    <w:rsid w:val="00925A4E"/>
    <w:rsid w:val="00925D2E"/>
    <w:rsid w:val="00925E1A"/>
    <w:rsid w:val="00926006"/>
    <w:rsid w:val="00926034"/>
    <w:rsid w:val="00926395"/>
    <w:rsid w:val="00926A98"/>
    <w:rsid w:val="00926BE0"/>
    <w:rsid w:val="00927F68"/>
    <w:rsid w:val="00931474"/>
    <w:rsid w:val="00931495"/>
    <w:rsid w:val="00931745"/>
    <w:rsid w:val="0093175F"/>
    <w:rsid w:val="009317D7"/>
    <w:rsid w:val="009319D0"/>
    <w:rsid w:val="00931F4A"/>
    <w:rsid w:val="009320A2"/>
    <w:rsid w:val="009324CD"/>
    <w:rsid w:val="00932686"/>
    <w:rsid w:val="00932C78"/>
    <w:rsid w:val="009332E0"/>
    <w:rsid w:val="00933E08"/>
    <w:rsid w:val="00933E90"/>
    <w:rsid w:val="00933F9E"/>
    <w:rsid w:val="00934107"/>
    <w:rsid w:val="00934577"/>
    <w:rsid w:val="00934C4E"/>
    <w:rsid w:val="00934DCF"/>
    <w:rsid w:val="00934EFD"/>
    <w:rsid w:val="00934FCF"/>
    <w:rsid w:val="009353C4"/>
    <w:rsid w:val="00935A3D"/>
    <w:rsid w:val="00935AC6"/>
    <w:rsid w:val="00935D12"/>
    <w:rsid w:val="00935E7B"/>
    <w:rsid w:val="00936B59"/>
    <w:rsid w:val="0093727B"/>
    <w:rsid w:val="00937431"/>
    <w:rsid w:val="009375F0"/>
    <w:rsid w:val="00937745"/>
    <w:rsid w:val="009377F8"/>
    <w:rsid w:val="009400B0"/>
    <w:rsid w:val="009406D9"/>
    <w:rsid w:val="00940E48"/>
    <w:rsid w:val="00940EF5"/>
    <w:rsid w:val="0094123C"/>
    <w:rsid w:val="009413F7"/>
    <w:rsid w:val="00941633"/>
    <w:rsid w:val="009424B1"/>
    <w:rsid w:val="009429C6"/>
    <w:rsid w:val="00942C08"/>
    <w:rsid w:val="009433C2"/>
    <w:rsid w:val="009439D5"/>
    <w:rsid w:val="00943D5B"/>
    <w:rsid w:val="009441ED"/>
    <w:rsid w:val="00944AD7"/>
    <w:rsid w:val="00944F8C"/>
    <w:rsid w:val="00945365"/>
    <w:rsid w:val="009453E1"/>
    <w:rsid w:val="0094541B"/>
    <w:rsid w:val="00946412"/>
    <w:rsid w:val="0094650B"/>
    <w:rsid w:val="0094681A"/>
    <w:rsid w:val="00946990"/>
    <w:rsid w:val="00946BEA"/>
    <w:rsid w:val="00946FD3"/>
    <w:rsid w:val="009470F9"/>
    <w:rsid w:val="00947163"/>
    <w:rsid w:val="009471C6"/>
    <w:rsid w:val="00947AB4"/>
    <w:rsid w:val="00947C49"/>
    <w:rsid w:val="0095010D"/>
    <w:rsid w:val="00950AEB"/>
    <w:rsid w:val="00950EA2"/>
    <w:rsid w:val="009517ED"/>
    <w:rsid w:val="00951DBF"/>
    <w:rsid w:val="00952642"/>
    <w:rsid w:val="00952C8C"/>
    <w:rsid w:val="00952DAB"/>
    <w:rsid w:val="009534E3"/>
    <w:rsid w:val="00953597"/>
    <w:rsid w:val="00953E60"/>
    <w:rsid w:val="0095400F"/>
    <w:rsid w:val="0095447F"/>
    <w:rsid w:val="009545C1"/>
    <w:rsid w:val="00954B67"/>
    <w:rsid w:val="0095585A"/>
    <w:rsid w:val="00955AE5"/>
    <w:rsid w:val="00956412"/>
    <w:rsid w:val="00956840"/>
    <w:rsid w:val="0095695E"/>
    <w:rsid w:val="00956B2B"/>
    <w:rsid w:val="009571FD"/>
    <w:rsid w:val="00957230"/>
    <w:rsid w:val="00957336"/>
    <w:rsid w:val="009573F5"/>
    <w:rsid w:val="00957539"/>
    <w:rsid w:val="00957B0F"/>
    <w:rsid w:val="0096001A"/>
    <w:rsid w:val="0096004F"/>
    <w:rsid w:val="00960188"/>
    <w:rsid w:val="00960A8A"/>
    <w:rsid w:val="00960AD0"/>
    <w:rsid w:val="009612BD"/>
    <w:rsid w:val="009617BF"/>
    <w:rsid w:val="00961937"/>
    <w:rsid w:val="00961D2F"/>
    <w:rsid w:val="0096322A"/>
    <w:rsid w:val="0096393A"/>
    <w:rsid w:val="00963BDE"/>
    <w:rsid w:val="00964E71"/>
    <w:rsid w:val="00965CA5"/>
    <w:rsid w:val="00966346"/>
    <w:rsid w:val="00966D45"/>
    <w:rsid w:val="0096730A"/>
    <w:rsid w:val="009673B6"/>
    <w:rsid w:val="00970058"/>
    <w:rsid w:val="0097059C"/>
    <w:rsid w:val="009709D7"/>
    <w:rsid w:val="00970B0B"/>
    <w:rsid w:val="00970BB0"/>
    <w:rsid w:val="009716B9"/>
    <w:rsid w:val="009717C7"/>
    <w:rsid w:val="00971862"/>
    <w:rsid w:val="00972104"/>
    <w:rsid w:val="00972915"/>
    <w:rsid w:val="00972BED"/>
    <w:rsid w:val="00972D17"/>
    <w:rsid w:val="009731E3"/>
    <w:rsid w:val="00973675"/>
    <w:rsid w:val="00973880"/>
    <w:rsid w:val="00973D2D"/>
    <w:rsid w:val="00973FAA"/>
    <w:rsid w:val="0097490A"/>
    <w:rsid w:val="00974B45"/>
    <w:rsid w:val="009757E3"/>
    <w:rsid w:val="00975C6D"/>
    <w:rsid w:val="00975D1A"/>
    <w:rsid w:val="0097605D"/>
    <w:rsid w:val="0097611B"/>
    <w:rsid w:val="0097683F"/>
    <w:rsid w:val="00976CA2"/>
    <w:rsid w:val="00977170"/>
    <w:rsid w:val="009772D5"/>
    <w:rsid w:val="00977F40"/>
    <w:rsid w:val="00980333"/>
    <w:rsid w:val="0098062C"/>
    <w:rsid w:val="0098064F"/>
    <w:rsid w:val="00980CC5"/>
    <w:rsid w:val="0098116B"/>
    <w:rsid w:val="00981374"/>
    <w:rsid w:val="0098146C"/>
    <w:rsid w:val="0098149E"/>
    <w:rsid w:val="00981727"/>
    <w:rsid w:val="00981CF2"/>
    <w:rsid w:val="00981E35"/>
    <w:rsid w:val="00982173"/>
    <w:rsid w:val="00982431"/>
    <w:rsid w:val="0098329F"/>
    <w:rsid w:val="009833DD"/>
    <w:rsid w:val="009835E9"/>
    <w:rsid w:val="00983735"/>
    <w:rsid w:val="0098380E"/>
    <w:rsid w:val="00983824"/>
    <w:rsid w:val="00983A58"/>
    <w:rsid w:val="009841A3"/>
    <w:rsid w:val="00984768"/>
    <w:rsid w:val="00984A97"/>
    <w:rsid w:val="00984AEC"/>
    <w:rsid w:val="009852B6"/>
    <w:rsid w:val="0098599D"/>
    <w:rsid w:val="00985AB9"/>
    <w:rsid w:val="009864A1"/>
    <w:rsid w:val="009864AC"/>
    <w:rsid w:val="0098696C"/>
    <w:rsid w:val="00987B03"/>
    <w:rsid w:val="00990A75"/>
    <w:rsid w:val="00990CF4"/>
    <w:rsid w:val="00990E77"/>
    <w:rsid w:val="00990FFE"/>
    <w:rsid w:val="009912CD"/>
    <w:rsid w:val="009913AC"/>
    <w:rsid w:val="00991C68"/>
    <w:rsid w:val="00992306"/>
    <w:rsid w:val="00992327"/>
    <w:rsid w:val="009932C1"/>
    <w:rsid w:val="00994347"/>
    <w:rsid w:val="00994E2B"/>
    <w:rsid w:val="0099536F"/>
    <w:rsid w:val="00995CA6"/>
    <w:rsid w:val="00995DE7"/>
    <w:rsid w:val="00995E05"/>
    <w:rsid w:val="0099666C"/>
    <w:rsid w:val="00996DFB"/>
    <w:rsid w:val="00996E06"/>
    <w:rsid w:val="00996E77"/>
    <w:rsid w:val="00996F67"/>
    <w:rsid w:val="009974C6"/>
    <w:rsid w:val="00997B07"/>
    <w:rsid w:val="009A0458"/>
    <w:rsid w:val="009A062A"/>
    <w:rsid w:val="009A0731"/>
    <w:rsid w:val="009A1EA8"/>
    <w:rsid w:val="009A1F44"/>
    <w:rsid w:val="009A2046"/>
    <w:rsid w:val="009A2372"/>
    <w:rsid w:val="009A28CE"/>
    <w:rsid w:val="009A3403"/>
    <w:rsid w:val="009A3C78"/>
    <w:rsid w:val="009A3DE5"/>
    <w:rsid w:val="009A40F0"/>
    <w:rsid w:val="009A4516"/>
    <w:rsid w:val="009A461B"/>
    <w:rsid w:val="009A4925"/>
    <w:rsid w:val="009A6B0E"/>
    <w:rsid w:val="009A6E94"/>
    <w:rsid w:val="009A74DC"/>
    <w:rsid w:val="009A7F02"/>
    <w:rsid w:val="009B0311"/>
    <w:rsid w:val="009B0755"/>
    <w:rsid w:val="009B079C"/>
    <w:rsid w:val="009B083A"/>
    <w:rsid w:val="009B1468"/>
    <w:rsid w:val="009B239A"/>
    <w:rsid w:val="009B2475"/>
    <w:rsid w:val="009B2483"/>
    <w:rsid w:val="009B28BD"/>
    <w:rsid w:val="009B2A82"/>
    <w:rsid w:val="009B2ADF"/>
    <w:rsid w:val="009B2CAB"/>
    <w:rsid w:val="009B371E"/>
    <w:rsid w:val="009B3977"/>
    <w:rsid w:val="009B3BF8"/>
    <w:rsid w:val="009B3ED3"/>
    <w:rsid w:val="009B3F7B"/>
    <w:rsid w:val="009B4078"/>
    <w:rsid w:val="009B495C"/>
    <w:rsid w:val="009B507F"/>
    <w:rsid w:val="009B50FF"/>
    <w:rsid w:val="009B5148"/>
    <w:rsid w:val="009B5A2B"/>
    <w:rsid w:val="009B5E06"/>
    <w:rsid w:val="009B618C"/>
    <w:rsid w:val="009B6B94"/>
    <w:rsid w:val="009B6E46"/>
    <w:rsid w:val="009B751B"/>
    <w:rsid w:val="009B7AD7"/>
    <w:rsid w:val="009B7DFE"/>
    <w:rsid w:val="009C0249"/>
    <w:rsid w:val="009C04B7"/>
    <w:rsid w:val="009C0AFD"/>
    <w:rsid w:val="009C0E41"/>
    <w:rsid w:val="009C132B"/>
    <w:rsid w:val="009C2687"/>
    <w:rsid w:val="009C2CEE"/>
    <w:rsid w:val="009C2E5B"/>
    <w:rsid w:val="009C3442"/>
    <w:rsid w:val="009C34CE"/>
    <w:rsid w:val="009C3BB3"/>
    <w:rsid w:val="009C40B9"/>
    <w:rsid w:val="009C449E"/>
    <w:rsid w:val="009C45D1"/>
    <w:rsid w:val="009C4C5B"/>
    <w:rsid w:val="009C4CAF"/>
    <w:rsid w:val="009C4F08"/>
    <w:rsid w:val="009C53C9"/>
    <w:rsid w:val="009C56B8"/>
    <w:rsid w:val="009C587D"/>
    <w:rsid w:val="009C600B"/>
    <w:rsid w:val="009C6420"/>
    <w:rsid w:val="009C675E"/>
    <w:rsid w:val="009C690A"/>
    <w:rsid w:val="009C6930"/>
    <w:rsid w:val="009C69C0"/>
    <w:rsid w:val="009C6D04"/>
    <w:rsid w:val="009C7240"/>
    <w:rsid w:val="009C7353"/>
    <w:rsid w:val="009C7727"/>
    <w:rsid w:val="009C785F"/>
    <w:rsid w:val="009D0B68"/>
    <w:rsid w:val="009D0F4C"/>
    <w:rsid w:val="009D18FA"/>
    <w:rsid w:val="009D1A0D"/>
    <w:rsid w:val="009D1EB1"/>
    <w:rsid w:val="009D2ACF"/>
    <w:rsid w:val="009D2D2B"/>
    <w:rsid w:val="009D31F8"/>
    <w:rsid w:val="009D3829"/>
    <w:rsid w:val="009D3B09"/>
    <w:rsid w:val="009D3F2D"/>
    <w:rsid w:val="009D3FA8"/>
    <w:rsid w:val="009D4260"/>
    <w:rsid w:val="009D43FB"/>
    <w:rsid w:val="009D4ACF"/>
    <w:rsid w:val="009D4D8B"/>
    <w:rsid w:val="009D4ECB"/>
    <w:rsid w:val="009D55AE"/>
    <w:rsid w:val="009D56E9"/>
    <w:rsid w:val="009D5D6D"/>
    <w:rsid w:val="009D6FE2"/>
    <w:rsid w:val="009D70C1"/>
    <w:rsid w:val="009D70F4"/>
    <w:rsid w:val="009D790D"/>
    <w:rsid w:val="009E00F4"/>
    <w:rsid w:val="009E00FB"/>
    <w:rsid w:val="009E0236"/>
    <w:rsid w:val="009E04B3"/>
    <w:rsid w:val="009E0925"/>
    <w:rsid w:val="009E1578"/>
    <w:rsid w:val="009E167C"/>
    <w:rsid w:val="009E1F5A"/>
    <w:rsid w:val="009E2B01"/>
    <w:rsid w:val="009E2BC5"/>
    <w:rsid w:val="009E2EED"/>
    <w:rsid w:val="009E32D1"/>
    <w:rsid w:val="009E3429"/>
    <w:rsid w:val="009E3B8E"/>
    <w:rsid w:val="009E3BF9"/>
    <w:rsid w:val="009E3DE0"/>
    <w:rsid w:val="009E40D0"/>
    <w:rsid w:val="009E40E4"/>
    <w:rsid w:val="009E417B"/>
    <w:rsid w:val="009E4478"/>
    <w:rsid w:val="009E4539"/>
    <w:rsid w:val="009E4C56"/>
    <w:rsid w:val="009E5172"/>
    <w:rsid w:val="009E5D7E"/>
    <w:rsid w:val="009E681E"/>
    <w:rsid w:val="009E6841"/>
    <w:rsid w:val="009E6988"/>
    <w:rsid w:val="009E6A68"/>
    <w:rsid w:val="009E6D47"/>
    <w:rsid w:val="009E6E99"/>
    <w:rsid w:val="009E7D28"/>
    <w:rsid w:val="009E7F95"/>
    <w:rsid w:val="009F005B"/>
    <w:rsid w:val="009F017C"/>
    <w:rsid w:val="009F01C7"/>
    <w:rsid w:val="009F04BE"/>
    <w:rsid w:val="009F04CB"/>
    <w:rsid w:val="009F0681"/>
    <w:rsid w:val="009F1289"/>
    <w:rsid w:val="009F1437"/>
    <w:rsid w:val="009F1A17"/>
    <w:rsid w:val="009F1DAD"/>
    <w:rsid w:val="009F200E"/>
    <w:rsid w:val="009F2605"/>
    <w:rsid w:val="009F268B"/>
    <w:rsid w:val="009F284E"/>
    <w:rsid w:val="009F29A5"/>
    <w:rsid w:val="009F2F1F"/>
    <w:rsid w:val="009F31CF"/>
    <w:rsid w:val="009F32D2"/>
    <w:rsid w:val="009F3322"/>
    <w:rsid w:val="009F3741"/>
    <w:rsid w:val="009F3D34"/>
    <w:rsid w:val="009F423C"/>
    <w:rsid w:val="009F425A"/>
    <w:rsid w:val="009F4D64"/>
    <w:rsid w:val="009F4E2E"/>
    <w:rsid w:val="009F50B9"/>
    <w:rsid w:val="009F550A"/>
    <w:rsid w:val="009F5A28"/>
    <w:rsid w:val="009F5ECC"/>
    <w:rsid w:val="009F655E"/>
    <w:rsid w:val="009F669B"/>
    <w:rsid w:val="009F66B9"/>
    <w:rsid w:val="009F7190"/>
    <w:rsid w:val="009F786A"/>
    <w:rsid w:val="00A0029F"/>
    <w:rsid w:val="00A0042E"/>
    <w:rsid w:val="00A00C14"/>
    <w:rsid w:val="00A00D31"/>
    <w:rsid w:val="00A01171"/>
    <w:rsid w:val="00A012F5"/>
    <w:rsid w:val="00A01DCD"/>
    <w:rsid w:val="00A0213D"/>
    <w:rsid w:val="00A0267B"/>
    <w:rsid w:val="00A02BCE"/>
    <w:rsid w:val="00A03125"/>
    <w:rsid w:val="00A033A8"/>
    <w:rsid w:val="00A037F5"/>
    <w:rsid w:val="00A038C6"/>
    <w:rsid w:val="00A03DB9"/>
    <w:rsid w:val="00A03F20"/>
    <w:rsid w:val="00A044E9"/>
    <w:rsid w:val="00A04605"/>
    <w:rsid w:val="00A047A7"/>
    <w:rsid w:val="00A0519B"/>
    <w:rsid w:val="00A053A8"/>
    <w:rsid w:val="00A058E1"/>
    <w:rsid w:val="00A05B0B"/>
    <w:rsid w:val="00A05B5D"/>
    <w:rsid w:val="00A05FAE"/>
    <w:rsid w:val="00A0643A"/>
    <w:rsid w:val="00A068D9"/>
    <w:rsid w:val="00A06C1A"/>
    <w:rsid w:val="00A06C6E"/>
    <w:rsid w:val="00A105B4"/>
    <w:rsid w:val="00A106F9"/>
    <w:rsid w:val="00A107B9"/>
    <w:rsid w:val="00A11256"/>
    <w:rsid w:val="00A1147A"/>
    <w:rsid w:val="00A11DE5"/>
    <w:rsid w:val="00A12D56"/>
    <w:rsid w:val="00A1331E"/>
    <w:rsid w:val="00A134FD"/>
    <w:rsid w:val="00A13F19"/>
    <w:rsid w:val="00A1406F"/>
    <w:rsid w:val="00A14356"/>
    <w:rsid w:val="00A15016"/>
    <w:rsid w:val="00A15E6A"/>
    <w:rsid w:val="00A160AB"/>
    <w:rsid w:val="00A16165"/>
    <w:rsid w:val="00A161CA"/>
    <w:rsid w:val="00A165FA"/>
    <w:rsid w:val="00A16797"/>
    <w:rsid w:val="00A167D6"/>
    <w:rsid w:val="00A16D32"/>
    <w:rsid w:val="00A16D9A"/>
    <w:rsid w:val="00A1734F"/>
    <w:rsid w:val="00A17803"/>
    <w:rsid w:val="00A1782C"/>
    <w:rsid w:val="00A17B12"/>
    <w:rsid w:val="00A20197"/>
    <w:rsid w:val="00A209E5"/>
    <w:rsid w:val="00A20D08"/>
    <w:rsid w:val="00A20D50"/>
    <w:rsid w:val="00A2113D"/>
    <w:rsid w:val="00A2138D"/>
    <w:rsid w:val="00A214E1"/>
    <w:rsid w:val="00A21566"/>
    <w:rsid w:val="00A21787"/>
    <w:rsid w:val="00A21EAC"/>
    <w:rsid w:val="00A2227F"/>
    <w:rsid w:val="00A223D1"/>
    <w:rsid w:val="00A22569"/>
    <w:rsid w:val="00A229DA"/>
    <w:rsid w:val="00A22B6F"/>
    <w:rsid w:val="00A230DA"/>
    <w:rsid w:val="00A231D9"/>
    <w:rsid w:val="00A23AA4"/>
    <w:rsid w:val="00A23B90"/>
    <w:rsid w:val="00A24763"/>
    <w:rsid w:val="00A24866"/>
    <w:rsid w:val="00A25223"/>
    <w:rsid w:val="00A252CC"/>
    <w:rsid w:val="00A25651"/>
    <w:rsid w:val="00A25AB5"/>
    <w:rsid w:val="00A2676C"/>
    <w:rsid w:val="00A2687F"/>
    <w:rsid w:val="00A26BEC"/>
    <w:rsid w:val="00A27494"/>
    <w:rsid w:val="00A30328"/>
    <w:rsid w:val="00A3072C"/>
    <w:rsid w:val="00A308C2"/>
    <w:rsid w:val="00A30A67"/>
    <w:rsid w:val="00A30D3F"/>
    <w:rsid w:val="00A30EAE"/>
    <w:rsid w:val="00A31EB3"/>
    <w:rsid w:val="00A320FC"/>
    <w:rsid w:val="00A32119"/>
    <w:rsid w:val="00A32677"/>
    <w:rsid w:val="00A32DEE"/>
    <w:rsid w:val="00A33215"/>
    <w:rsid w:val="00A334DE"/>
    <w:rsid w:val="00A33775"/>
    <w:rsid w:val="00A339F6"/>
    <w:rsid w:val="00A344C7"/>
    <w:rsid w:val="00A34EFC"/>
    <w:rsid w:val="00A350D9"/>
    <w:rsid w:val="00A35195"/>
    <w:rsid w:val="00A35409"/>
    <w:rsid w:val="00A35423"/>
    <w:rsid w:val="00A361DE"/>
    <w:rsid w:val="00A36424"/>
    <w:rsid w:val="00A3690E"/>
    <w:rsid w:val="00A36CCB"/>
    <w:rsid w:val="00A36E45"/>
    <w:rsid w:val="00A3709D"/>
    <w:rsid w:val="00A40671"/>
    <w:rsid w:val="00A40D3B"/>
    <w:rsid w:val="00A410AF"/>
    <w:rsid w:val="00A41B51"/>
    <w:rsid w:val="00A41D91"/>
    <w:rsid w:val="00A422E1"/>
    <w:rsid w:val="00A42744"/>
    <w:rsid w:val="00A427FA"/>
    <w:rsid w:val="00A42D91"/>
    <w:rsid w:val="00A4323A"/>
    <w:rsid w:val="00A432AB"/>
    <w:rsid w:val="00A43671"/>
    <w:rsid w:val="00A439F5"/>
    <w:rsid w:val="00A43B88"/>
    <w:rsid w:val="00A440DC"/>
    <w:rsid w:val="00A44686"/>
    <w:rsid w:val="00A446AC"/>
    <w:rsid w:val="00A44BEF"/>
    <w:rsid w:val="00A44DA3"/>
    <w:rsid w:val="00A44F7D"/>
    <w:rsid w:val="00A44F85"/>
    <w:rsid w:val="00A450CD"/>
    <w:rsid w:val="00A457D0"/>
    <w:rsid w:val="00A4588B"/>
    <w:rsid w:val="00A45914"/>
    <w:rsid w:val="00A4633A"/>
    <w:rsid w:val="00A46391"/>
    <w:rsid w:val="00A4642E"/>
    <w:rsid w:val="00A464F6"/>
    <w:rsid w:val="00A46B7C"/>
    <w:rsid w:val="00A46F2C"/>
    <w:rsid w:val="00A470DA"/>
    <w:rsid w:val="00A47F36"/>
    <w:rsid w:val="00A47F81"/>
    <w:rsid w:val="00A47F85"/>
    <w:rsid w:val="00A500C7"/>
    <w:rsid w:val="00A5014E"/>
    <w:rsid w:val="00A505A9"/>
    <w:rsid w:val="00A50DF5"/>
    <w:rsid w:val="00A50F95"/>
    <w:rsid w:val="00A5147C"/>
    <w:rsid w:val="00A51922"/>
    <w:rsid w:val="00A51926"/>
    <w:rsid w:val="00A51A03"/>
    <w:rsid w:val="00A51CD1"/>
    <w:rsid w:val="00A51D06"/>
    <w:rsid w:val="00A521C6"/>
    <w:rsid w:val="00A525F2"/>
    <w:rsid w:val="00A53727"/>
    <w:rsid w:val="00A53BF5"/>
    <w:rsid w:val="00A54578"/>
    <w:rsid w:val="00A54B52"/>
    <w:rsid w:val="00A54CAC"/>
    <w:rsid w:val="00A553E7"/>
    <w:rsid w:val="00A5555C"/>
    <w:rsid w:val="00A55C3E"/>
    <w:rsid w:val="00A55CDD"/>
    <w:rsid w:val="00A55D3B"/>
    <w:rsid w:val="00A55F63"/>
    <w:rsid w:val="00A564D6"/>
    <w:rsid w:val="00A5682A"/>
    <w:rsid w:val="00A56BF2"/>
    <w:rsid w:val="00A56F19"/>
    <w:rsid w:val="00A5754D"/>
    <w:rsid w:val="00A578D2"/>
    <w:rsid w:val="00A579A2"/>
    <w:rsid w:val="00A57BBB"/>
    <w:rsid w:val="00A57C98"/>
    <w:rsid w:val="00A57DBC"/>
    <w:rsid w:val="00A608B8"/>
    <w:rsid w:val="00A60B0E"/>
    <w:rsid w:val="00A60C31"/>
    <w:rsid w:val="00A6159E"/>
    <w:rsid w:val="00A616BD"/>
    <w:rsid w:val="00A61735"/>
    <w:rsid w:val="00A61C0A"/>
    <w:rsid w:val="00A62868"/>
    <w:rsid w:val="00A62C6B"/>
    <w:rsid w:val="00A62C92"/>
    <w:rsid w:val="00A62D7F"/>
    <w:rsid w:val="00A62E2C"/>
    <w:rsid w:val="00A63094"/>
    <w:rsid w:val="00A6343B"/>
    <w:rsid w:val="00A63501"/>
    <w:rsid w:val="00A63502"/>
    <w:rsid w:val="00A64232"/>
    <w:rsid w:val="00A642BB"/>
    <w:rsid w:val="00A656F0"/>
    <w:rsid w:val="00A65C09"/>
    <w:rsid w:val="00A65C10"/>
    <w:rsid w:val="00A65E45"/>
    <w:rsid w:val="00A66380"/>
    <w:rsid w:val="00A663A1"/>
    <w:rsid w:val="00A66A48"/>
    <w:rsid w:val="00A67143"/>
    <w:rsid w:val="00A67943"/>
    <w:rsid w:val="00A67C01"/>
    <w:rsid w:val="00A702C5"/>
    <w:rsid w:val="00A707AC"/>
    <w:rsid w:val="00A7112F"/>
    <w:rsid w:val="00A73B87"/>
    <w:rsid w:val="00A741BC"/>
    <w:rsid w:val="00A74253"/>
    <w:rsid w:val="00A74CAF"/>
    <w:rsid w:val="00A74E7F"/>
    <w:rsid w:val="00A756B3"/>
    <w:rsid w:val="00A75C54"/>
    <w:rsid w:val="00A75CF0"/>
    <w:rsid w:val="00A76150"/>
    <w:rsid w:val="00A761BB"/>
    <w:rsid w:val="00A766D8"/>
    <w:rsid w:val="00A769C2"/>
    <w:rsid w:val="00A77358"/>
    <w:rsid w:val="00A77438"/>
    <w:rsid w:val="00A778FD"/>
    <w:rsid w:val="00A77CAC"/>
    <w:rsid w:val="00A802A4"/>
    <w:rsid w:val="00A80AAE"/>
    <w:rsid w:val="00A81710"/>
    <w:rsid w:val="00A81C4C"/>
    <w:rsid w:val="00A81EB5"/>
    <w:rsid w:val="00A821B6"/>
    <w:rsid w:val="00A82374"/>
    <w:rsid w:val="00A8299B"/>
    <w:rsid w:val="00A834C9"/>
    <w:rsid w:val="00A8379C"/>
    <w:rsid w:val="00A83C01"/>
    <w:rsid w:val="00A84215"/>
    <w:rsid w:val="00A84606"/>
    <w:rsid w:val="00A846A1"/>
    <w:rsid w:val="00A846BB"/>
    <w:rsid w:val="00A84CEF"/>
    <w:rsid w:val="00A84EE5"/>
    <w:rsid w:val="00A85EBD"/>
    <w:rsid w:val="00A85F98"/>
    <w:rsid w:val="00A86732"/>
    <w:rsid w:val="00A86DFB"/>
    <w:rsid w:val="00A86F13"/>
    <w:rsid w:val="00A873C4"/>
    <w:rsid w:val="00A877A6"/>
    <w:rsid w:val="00A877E4"/>
    <w:rsid w:val="00A87BA8"/>
    <w:rsid w:val="00A87C84"/>
    <w:rsid w:val="00A87FF8"/>
    <w:rsid w:val="00A907CA"/>
    <w:rsid w:val="00A908A9"/>
    <w:rsid w:val="00A916D0"/>
    <w:rsid w:val="00A9172A"/>
    <w:rsid w:val="00A917CD"/>
    <w:rsid w:val="00A91BA9"/>
    <w:rsid w:val="00A91BAE"/>
    <w:rsid w:val="00A91CE7"/>
    <w:rsid w:val="00A92093"/>
    <w:rsid w:val="00A92124"/>
    <w:rsid w:val="00A9217D"/>
    <w:rsid w:val="00A92459"/>
    <w:rsid w:val="00A92638"/>
    <w:rsid w:val="00A926A5"/>
    <w:rsid w:val="00A926B8"/>
    <w:rsid w:val="00A92EC9"/>
    <w:rsid w:val="00A92FE1"/>
    <w:rsid w:val="00A936CB"/>
    <w:rsid w:val="00A938D4"/>
    <w:rsid w:val="00A9396B"/>
    <w:rsid w:val="00A941C2"/>
    <w:rsid w:val="00A951BE"/>
    <w:rsid w:val="00A95364"/>
    <w:rsid w:val="00A953AF"/>
    <w:rsid w:val="00A9573E"/>
    <w:rsid w:val="00A959B3"/>
    <w:rsid w:val="00A95A69"/>
    <w:rsid w:val="00A95BB7"/>
    <w:rsid w:val="00A9667F"/>
    <w:rsid w:val="00A96CE3"/>
    <w:rsid w:val="00A972E7"/>
    <w:rsid w:val="00A97335"/>
    <w:rsid w:val="00A97435"/>
    <w:rsid w:val="00A97531"/>
    <w:rsid w:val="00A9764B"/>
    <w:rsid w:val="00A979DA"/>
    <w:rsid w:val="00A97C3A"/>
    <w:rsid w:val="00A97FEC"/>
    <w:rsid w:val="00AA0028"/>
    <w:rsid w:val="00AA0103"/>
    <w:rsid w:val="00AA0168"/>
    <w:rsid w:val="00AA0187"/>
    <w:rsid w:val="00AA036C"/>
    <w:rsid w:val="00AA0D50"/>
    <w:rsid w:val="00AA16AA"/>
    <w:rsid w:val="00AA16AD"/>
    <w:rsid w:val="00AA197B"/>
    <w:rsid w:val="00AA197C"/>
    <w:rsid w:val="00AA1E7A"/>
    <w:rsid w:val="00AA1EA3"/>
    <w:rsid w:val="00AA283A"/>
    <w:rsid w:val="00AA2C28"/>
    <w:rsid w:val="00AA307A"/>
    <w:rsid w:val="00AA3630"/>
    <w:rsid w:val="00AA3896"/>
    <w:rsid w:val="00AA3EC9"/>
    <w:rsid w:val="00AA4459"/>
    <w:rsid w:val="00AA451F"/>
    <w:rsid w:val="00AA4590"/>
    <w:rsid w:val="00AA505A"/>
    <w:rsid w:val="00AA6C6F"/>
    <w:rsid w:val="00AA6F1E"/>
    <w:rsid w:val="00AA7204"/>
    <w:rsid w:val="00AA783E"/>
    <w:rsid w:val="00AA7CF1"/>
    <w:rsid w:val="00AB041A"/>
    <w:rsid w:val="00AB0598"/>
    <w:rsid w:val="00AB0FAD"/>
    <w:rsid w:val="00AB1CED"/>
    <w:rsid w:val="00AB1E77"/>
    <w:rsid w:val="00AB3706"/>
    <w:rsid w:val="00AB37CB"/>
    <w:rsid w:val="00AB38D0"/>
    <w:rsid w:val="00AB3D60"/>
    <w:rsid w:val="00AB3F68"/>
    <w:rsid w:val="00AB40A7"/>
    <w:rsid w:val="00AB4107"/>
    <w:rsid w:val="00AB44BC"/>
    <w:rsid w:val="00AB4650"/>
    <w:rsid w:val="00AB47DE"/>
    <w:rsid w:val="00AB4CB8"/>
    <w:rsid w:val="00AB4CBE"/>
    <w:rsid w:val="00AB5852"/>
    <w:rsid w:val="00AB58EA"/>
    <w:rsid w:val="00AB5BF7"/>
    <w:rsid w:val="00AB5E06"/>
    <w:rsid w:val="00AB6313"/>
    <w:rsid w:val="00AB6556"/>
    <w:rsid w:val="00AB659A"/>
    <w:rsid w:val="00AB6B0E"/>
    <w:rsid w:val="00AB71EF"/>
    <w:rsid w:val="00AB74BA"/>
    <w:rsid w:val="00AB7CDF"/>
    <w:rsid w:val="00AB7DC1"/>
    <w:rsid w:val="00AC050A"/>
    <w:rsid w:val="00AC08FC"/>
    <w:rsid w:val="00AC0A5F"/>
    <w:rsid w:val="00AC0C1A"/>
    <w:rsid w:val="00AC1233"/>
    <w:rsid w:val="00AC1DF1"/>
    <w:rsid w:val="00AC22CD"/>
    <w:rsid w:val="00AC2306"/>
    <w:rsid w:val="00AC283B"/>
    <w:rsid w:val="00AC2985"/>
    <w:rsid w:val="00AC29CE"/>
    <w:rsid w:val="00AC2C3F"/>
    <w:rsid w:val="00AC2DE0"/>
    <w:rsid w:val="00AC2E98"/>
    <w:rsid w:val="00AC3230"/>
    <w:rsid w:val="00AC3609"/>
    <w:rsid w:val="00AC37B8"/>
    <w:rsid w:val="00AC38A3"/>
    <w:rsid w:val="00AC48AA"/>
    <w:rsid w:val="00AC4B9F"/>
    <w:rsid w:val="00AC4F86"/>
    <w:rsid w:val="00AC537B"/>
    <w:rsid w:val="00AC540B"/>
    <w:rsid w:val="00AC5CC8"/>
    <w:rsid w:val="00AC5F0D"/>
    <w:rsid w:val="00AC60F6"/>
    <w:rsid w:val="00AC622B"/>
    <w:rsid w:val="00AC6713"/>
    <w:rsid w:val="00AC6D3F"/>
    <w:rsid w:val="00AC6DAF"/>
    <w:rsid w:val="00AC6FDB"/>
    <w:rsid w:val="00AC7326"/>
    <w:rsid w:val="00AC754B"/>
    <w:rsid w:val="00AC7969"/>
    <w:rsid w:val="00AD0321"/>
    <w:rsid w:val="00AD0C22"/>
    <w:rsid w:val="00AD14B5"/>
    <w:rsid w:val="00AD1D79"/>
    <w:rsid w:val="00AD1FD3"/>
    <w:rsid w:val="00AD230E"/>
    <w:rsid w:val="00AD2A95"/>
    <w:rsid w:val="00AD2F27"/>
    <w:rsid w:val="00AD34C9"/>
    <w:rsid w:val="00AD34F9"/>
    <w:rsid w:val="00AD3967"/>
    <w:rsid w:val="00AD398C"/>
    <w:rsid w:val="00AD4130"/>
    <w:rsid w:val="00AD44D6"/>
    <w:rsid w:val="00AD453C"/>
    <w:rsid w:val="00AD46AD"/>
    <w:rsid w:val="00AD50EC"/>
    <w:rsid w:val="00AD5459"/>
    <w:rsid w:val="00AD5761"/>
    <w:rsid w:val="00AD5A9E"/>
    <w:rsid w:val="00AD6124"/>
    <w:rsid w:val="00AD71A2"/>
    <w:rsid w:val="00AD781A"/>
    <w:rsid w:val="00AD7FE6"/>
    <w:rsid w:val="00AE0424"/>
    <w:rsid w:val="00AE05A5"/>
    <w:rsid w:val="00AE06B6"/>
    <w:rsid w:val="00AE0EC6"/>
    <w:rsid w:val="00AE1181"/>
    <w:rsid w:val="00AE11BF"/>
    <w:rsid w:val="00AE15E9"/>
    <w:rsid w:val="00AE1855"/>
    <w:rsid w:val="00AE1A96"/>
    <w:rsid w:val="00AE1F3E"/>
    <w:rsid w:val="00AE20BD"/>
    <w:rsid w:val="00AE340E"/>
    <w:rsid w:val="00AE3488"/>
    <w:rsid w:val="00AE3BB4"/>
    <w:rsid w:val="00AE3EE2"/>
    <w:rsid w:val="00AE3F3B"/>
    <w:rsid w:val="00AE42A9"/>
    <w:rsid w:val="00AE499E"/>
    <w:rsid w:val="00AE49CA"/>
    <w:rsid w:val="00AE4A4A"/>
    <w:rsid w:val="00AE53DC"/>
    <w:rsid w:val="00AE5644"/>
    <w:rsid w:val="00AE568F"/>
    <w:rsid w:val="00AE5C65"/>
    <w:rsid w:val="00AE6278"/>
    <w:rsid w:val="00AE63C2"/>
    <w:rsid w:val="00AE6C07"/>
    <w:rsid w:val="00AE72ED"/>
    <w:rsid w:val="00AE752D"/>
    <w:rsid w:val="00AE79F3"/>
    <w:rsid w:val="00AE7BFB"/>
    <w:rsid w:val="00AE7C5D"/>
    <w:rsid w:val="00AE7D84"/>
    <w:rsid w:val="00AF070A"/>
    <w:rsid w:val="00AF0B40"/>
    <w:rsid w:val="00AF0D00"/>
    <w:rsid w:val="00AF0D77"/>
    <w:rsid w:val="00AF11C3"/>
    <w:rsid w:val="00AF16B1"/>
    <w:rsid w:val="00AF1C4E"/>
    <w:rsid w:val="00AF1EB3"/>
    <w:rsid w:val="00AF1F24"/>
    <w:rsid w:val="00AF20FC"/>
    <w:rsid w:val="00AF2909"/>
    <w:rsid w:val="00AF2994"/>
    <w:rsid w:val="00AF3CA2"/>
    <w:rsid w:val="00AF3D8C"/>
    <w:rsid w:val="00AF4852"/>
    <w:rsid w:val="00AF485E"/>
    <w:rsid w:val="00AF4AD6"/>
    <w:rsid w:val="00AF4CB9"/>
    <w:rsid w:val="00AF5099"/>
    <w:rsid w:val="00AF5A18"/>
    <w:rsid w:val="00AF6816"/>
    <w:rsid w:val="00AF6C73"/>
    <w:rsid w:val="00AF71DF"/>
    <w:rsid w:val="00AF73CD"/>
    <w:rsid w:val="00AF766F"/>
    <w:rsid w:val="00AF77D8"/>
    <w:rsid w:val="00AF7A83"/>
    <w:rsid w:val="00AF7D36"/>
    <w:rsid w:val="00B0038F"/>
    <w:rsid w:val="00B00449"/>
    <w:rsid w:val="00B004B9"/>
    <w:rsid w:val="00B008EE"/>
    <w:rsid w:val="00B008F1"/>
    <w:rsid w:val="00B00C1C"/>
    <w:rsid w:val="00B016C9"/>
    <w:rsid w:val="00B01788"/>
    <w:rsid w:val="00B01989"/>
    <w:rsid w:val="00B01FB1"/>
    <w:rsid w:val="00B0242D"/>
    <w:rsid w:val="00B02714"/>
    <w:rsid w:val="00B031C2"/>
    <w:rsid w:val="00B03256"/>
    <w:rsid w:val="00B03690"/>
    <w:rsid w:val="00B0373F"/>
    <w:rsid w:val="00B037FD"/>
    <w:rsid w:val="00B038E6"/>
    <w:rsid w:val="00B04657"/>
    <w:rsid w:val="00B0491C"/>
    <w:rsid w:val="00B049BD"/>
    <w:rsid w:val="00B04BE0"/>
    <w:rsid w:val="00B04CDB"/>
    <w:rsid w:val="00B04D14"/>
    <w:rsid w:val="00B050D1"/>
    <w:rsid w:val="00B05290"/>
    <w:rsid w:val="00B05ADB"/>
    <w:rsid w:val="00B061C7"/>
    <w:rsid w:val="00B06D59"/>
    <w:rsid w:val="00B06ED0"/>
    <w:rsid w:val="00B06F8B"/>
    <w:rsid w:val="00B074D7"/>
    <w:rsid w:val="00B0775D"/>
    <w:rsid w:val="00B07E75"/>
    <w:rsid w:val="00B10035"/>
    <w:rsid w:val="00B10624"/>
    <w:rsid w:val="00B10890"/>
    <w:rsid w:val="00B10FEC"/>
    <w:rsid w:val="00B1102B"/>
    <w:rsid w:val="00B11A72"/>
    <w:rsid w:val="00B11FD0"/>
    <w:rsid w:val="00B12793"/>
    <w:rsid w:val="00B12B13"/>
    <w:rsid w:val="00B12BF5"/>
    <w:rsid w:val="00B12E96"/>
    <w:rsid w:val="00B12EDE"/>
    <w:rsid w:val="00B12F54"/>
    <w:rsid w:val="00B139ED"/>
    <w:rsid w:val="00B13AB0"/>
    <w:rsid w:val="00B1456C"/>
    <w:rsid w:val="00B14763"/>
    <w:rsid w:val="00B14C5B"/>
    <w:rsid w:val="00B14F54"/>
    <w:rsid w:val="00B15735"/>
    <w:rsid w:val="00B15B61"/>
    <w:rsid w:val="00B15CC7"/>
    <w:rsid w:val="00B15D44"/>
    <w:rsid w:val="00B16118"/>
    <w:rsid w:val="00B161CB"/>
    <w:rsid w:val="00B16859"/>
    <w:rsid w:val="00B20378"/>
    <w:rsid w:val="00B20A83"/>
    <w:rsid w:val="00B20D68"/>
    <w:rsid w:val="00B212A0"/>
    <w:rsid w:val="00B21586"/>
    <w:rsid w:val="00B21BE5"/>
    <w:rsid w:val="00B2283F"/>
    <w:rsid w:val="00B22BE0"/>
    <w:rsid w:val="00B22C49"/>
    <w:rsid w:val="00B2305D"/>
    <w:rsid w:val="00B2327E"/>
    <w:rsid w:val="00B23769"/>
    <w:rsid w:val="00B23A57"/>
    <w:rsid w:val="00B23B64"/>
    <w:rsid w:val="00B24032"/>
    <w:rsid w:val="00B24251"/>
    <w:rsid w:val="00B24265"/>
    <w:rsid w:val="00B2437C"/>
    <w:rsid w:val="00B24514"/>
    <w:rsid w:val="00B24708"/>
    <w:rsid w:val="00B24AFE"/>
    <w:rsid w:val="00B25307"/>
    <w:rsid w:val="00B25BD5"/>
    <w:rsid w:val="00B25EE1"/>
    <w:rsid w:val="00B26A4F"/>
    <w:rsid w:val="00B26A8E"/>
    <w:rsid w:val="00B26D00"/>
    <w:rsid w:val="00B27488"/>
    <w:rsid w:val="00B275DF"/>
    <w:rsid w:val="00B27E1B"/>
    <w:rsid w:val="00B30365"/>
    <w:rsid w:val="00B30972"/>
    <w:rsid w:val="00B30A31"/>
    <w:rsid w:val="00B30D9B"/>
    <w:rsid w:val="00B314A3"/>
    <w:rsid w:val="00B31EEA"/>
    <w:rsid w:val="00B31FDB"/>
    <w:rsid w:val="00B32351"/>
    <w:rsid w:val="00B323EE"/>
    <w:rsid w:val="00B32E55"/>
    <w:rsid w:val="00B33068"/>
    <w:rsid w:val="00B339CD"/>
    <w:rsid w:val="00B3493A"/>
    <w:rsid w:val="00B35069"/>
    <w:rsid w:val="00B35369"/>
    <w:rsid w:val="00B354F7"/>
    <w:rsid w:val="00B3558F"/>
    <w:rsid w:val="00B359B0"/>
    <w:rsid w:val="00B35D10"/>
    <w:rsid w:val="00B361A9"/>
    <w:rsid w:val="00B36796"/>
    <w:rsid w:val="00B369EE"/>
    <w:rsid w:val="00B36EC8"/>
    <w:rsid w:val="00B3720C"/>
    <w:rsid w:val="00B37350"/>
    <w:rsid w:val="00B37E57"/>
    <w:rsid w:val="00B40468"/>
    <w:rsid w:val="00B404FA"/>
    <w:rsid w:val="00B4057A"/>
    <w:rsid w:val="00B40B38"/>
    <w:rsid w:val="00B40C44"/>
    <w:rsid w:val="00B40CAF"/>
    <w:rsid w:val="00B40D1E"/>
    <w:rsid w:val="00B40E9C"/>
    <w:rsid w:val="00B41083"/>
    <w:rsid w:val="00B4130D"/>
    <w:rsid w:val="00B414C2"/>
    <w:rsid w:val="00B41775"/>
    <w:rsid w:val="00B418E4"/>
    <w:rsid w:val="00B41EB1"/>
    <w:rsid w:val="00B41F22"/>
    <w:rsid w:val="00B4222C"/>
    <w:rsid w:val="00B42589"/>
    <w:rsid w:val="00B426C4"/>
    <w:rsid w:val="00B4351A"/>
    <w:rsid w:val="00B4352A"/>
    <w:rsid w:val="00B43716"/>
    <w:rsid w:val="00B43943"/>
    <w:rsid w:val="00B43FA8"/>
    <w:rsid w:val="00B44928"/>
    <w:rsid w:val="00B44ED3"/>
    <w:rsid w:val="00B4531F"/>
    <w:rsid w:val="00B45CA2"/>
    <w:rsid w:val="00B4611D"/>
    <w:rsid w:val="00B461BC"/>
    <w:rsid w:val="00B46274"/>
    <w:rsid w:val="00B46CB8"/>
    <w:rsid w:val="00B4730E"/>
    <w:rsid w:val="00B4739C"/>
    <w:rsid w:val="00B4742F"/>
    <w:rsid w:val="00B478D8"/>
    <w:rsid w:val="00B47911"/>
    <w:rsid w:val="00B47E50"/>
    <w:rsid w:val="00B50125"/>
    <w:rsid w:val="00B50180"/>
    <w:rsid w:val="00B5025B"/>
    <w:rsid w:val="00B502DC"/>
    <w:rsid w:val="00B503ED"/>
    <w:rsid w:val="00B5047E"/>
    <w:rsid w:val="00B50557"/>
    <w:rsid w:val="00B50923"/>
    <w:rsid w:val="00B50A3C"/>
    <w:rsid w:val="00B51F63"/>
    <w:rsid w:val="00B51FA0"/>
    <w:rsid w:val="00B522E5"/>
    <w:rsid w:val="00B526E2"/>
    <w:rsid w:val="00B534E4"/>
    <w:rsid w:val="00B53A05"/>
    <w:rsid w:val="00B53AA0"/>
    <w:rsid w:val="00B54374"/>
    <w:rsid w:val="00B54416"/>
    <w:rsid w:val="00B551AF"/>
    <w:rsid w:val="00B559EB"/>
    <w:rsid w:val="00B55EAD"/>
    <w:rsid w:val="00B56016"/>
    <w:rsid w:val="00B560F3"/>
    <w:rsid w:val="00B562FF"/>
    <w:rsid w:val="00B56496"/>
    <w:rsid w:val="00B564CE"/>
    <w:rsid w:val="00B565C4"/>
    <w:rsid w:val="00B56DDE"/>
    <w:rsid w:val="00B57134"/>
    <w:rsid w:val="00B57211"/>
    <w:rsid w:val="00B5736F"/>
    <w:rsid w:val="00B57515"/>
    <w:rsid w:val="00B5792A"/>
    <w:rsid w:val="00B579F3"/>
    <w:rsid w:val="00B57BA1"/>
    <w:rsid w:val="00B57C69"/>
    <w:rsid w:val="00B57DB4"/>
    <w:rsid w:val="00B60264"/>
    <w:rsid w:val="00B61187"/>
    <w:rsid w:val="00B61196"/>
    <w:rsid w:val="00B6223A"/>
    <w:rsid w:val="00B625CA"/>
    <w:rsid w:val="00B62976"/>
    <w:rsid w:val="00B62AAB"/>
    <w:rsid w:val="00B6365E"/>
    <w:rsid w:val="00B639E4"/>
    <w:rsid w:val="00B6442B"/>
    <w:rsid w:val="00B64467"/>
    <w:rsid w:val="00B644A3"/>
    <w:rsid w:val="00B64592"/>
    <w:rsid w:val="00B64B55"/>
    <w:rsid w:val="00B64F67"/>
    <w:rsid w:val="00B65517"/>
    <w:rsid w:val="00B660B1"/>
    <w:rsid w:val="00B66762"/>
    <w:rsid w:val="00B667FE"/>
    <w:rsid w:val="00B6698D"/>
    <w:rsid w:val="00B66B2A"/>
    <w:rsid w:val="00B66C96"/>
    <w:rsid w:val="00B66FC7"/>
    <w:rsid w:val="00B67756"/>
    <w:rsid w:val="00B67BC9"/>
    <w:rsid w:val="00B67F3F"/>
    <w:rsid w:val="00B708D0"/>
    <w:rsid w:val="00B71409"/>
    <w:rsid w:val="00B71754"/>
    <w:rsid w:val="00B71782"/>
    <w:rsid w:val="00B71BD9"/>
    <w:rsid w:val="00B71E0D"/>
    <w:rsid w:val="00B71FAA"/>
    <w:rsid w:val="00B72325"/>
    <w:rsid w:val="00B729D9"/>
    <w:rsid w:val="00B72CCC"/>
    <w:rsid w:val="00B730BD"/>
    <w:rsid w:val="00B73A84"/>
    <w:rsid w:val="00B741B7"/>
    <w:rsid w:val="00B745AB"/>
    <w:rsid w:val="00B74830"/>
    <w:rsid w:val="00B75321"/>
    <w:rsid w:val="00B75C8B"/>
    <w:rsid w:val="00B75E27"/>
    <w:rsid w:val="00B76222"/>
    <w:rsid w:val="00B76957"/>
    <w:rsid w:val="00B7797A"/>
    <w:rsid w:val="00B77F54"/>
    <w:rsid w:val="00B800B6"/>
    <w:rsid w:val="00B81306"/>
    <w:rsid w:val="00B8159E"/>
    <w:rsid w:val="00B81792"/>
    <w:rsid w:val="00B81FCF"/>
    <w:rsid w:val="00B824AD"/>
    <w:rsid w:val="00B8321C"/>
    <w:rsid w:val="00B835EF"/>
    <w:rsid w:val="00B8385C"/>
    <w:rsid w:val="00B84ECF"/>
    <w:rsid w:val="00B855C1"/>
    <w:rsid w:val="00B85817"/>
    <w:rsid w:val="00B85C76"/>
    <w:rsid w:val="00B864AE"/>
    <w:rsid w:val="00B864D9"/>
    <w:rsid w:val="00B865F4"/>
    <w:rsid w:val="00B86944"/>
    <w:rsid w:val="00B86F24"/>
    <w:rsid w:val="00B872D3"/>
    <w:rsid w:val="00B87620"/>
    <w:rsid w:val="00B87B0B"/>
    <w:rsid w:val="00B87C22"/>
    <w:rsid w:val="00B87CF9"/>
    <w:rsid w:val="00B87DF5"/>
    <w:rsid w:val="00B907C0"/>
    <w:rsid w:val="00B9082A"/>
    <w:rsid w:val="00B9122D"/>
    <w:rsid w:val="00B9154C"/>
    <w:rsid w:val="00B924F6"/>
    <w:rsid w:val="00B92822"/>
    <w:rsid w:val="00B92C5F"/>
    <w:rsid w:val="00B92E17"/>
    <w:rsid w:val="00B932DD"/>
    <w:rsid w:val="00B935E8"/>
    <w:rsid w:val="00B93B16"/>
    <w:rsid w:val="00B94C1E"/>
    <w:rsid w:val="00B94C21"/>
    <w:rsid w:val="00B95334"/>
    <w:rsid w:val="00B9541F"/>
    <w:rsid w:val="00B958CD"/>
    <w:rsid w:val="00B9594A"/>
    <w:rsid w:val="00B95CAE"/>
    <w:rsid w:val="00B95F90"/>
    <w:rsid w:val="00B95FA9"/>
    <w:rsid w:val="00B97352"/>
    <w:rsid w:val="00B97669"/>
    <w:rsid w:val="00B97B76"/>
    <w:rsid w:val="00BA062F"/>
    <w:rsid w:val="00BA12BC"/>
    <w:rsid w:val="00BA2928"/>
    <w:rsid w:val="00BA2A0F"/>
    <w:rsid w:val="00BA2CA3"/>
    <w:rsid w:val="00BA31EB"/>
    <w:rsid w:val="00BA321F"/>
    <w:rsid w:val="00BA3866"/>
    <w:rsid w:val="00BA3B9D"/>
    <w:rsid w:val="00BA455D"/>
    <w:rsid w:val="00BA459B"/>
    <w:rsid w:val="00BA46F4"/>
    <w:rsid w:val="00BA4C73"/>
    <w:rsid w:val="00BA51F2"/>
    <w:rsid w:val="00BA54F7"/>
    <w:rsid w:val="00BA5533"/>
    <w:rsid w:val="00BA5A63"/>
    <w:rsid w:val="00BA60EB"/>
    <w:rsid w:val="00BA6F74"/>
    <w:rsid w:val="00BA70B3"/>
    <w:rsid w:val="00BA751F"/>
    <w:rsid w:val="00BA7713"/>
    <w:rsid w:val="00BA779D"/>
    <w:rsid w:val="00BA7D5C"/>
    <w:rsid w:val="00BB03F3"/>
    <w:rsid w:val="00BB072D"/>
    <w:rsid w:val="00BB0B33"/>
    <w:rsid w:val="00BB0F25"/>
    <w:rsid w:val="00BB10E1"/>
    <w:rsid w:val="00BB1378"/>
    <w:rsid w:val="00BB1DBE"/>
    <w:rsid w:val="00BB1EE3"/>
    <w:rsid w:val="00BB22DB"/>
    <w:rsid w:val="00BB28D2"/>
    <w:rsid w:val="00BB39E5"/>
    <w:rsid w:val="00BB3AB7"/>
    <w:rsid w:val="00BB430A"/>
    <w:rsid w:val="00BB4360"/>
    <w:rsid w:val="00BB43C0"/>
    <w:rsid w:val="00BB57B0"/>
    <w:rsid w:val="00BB696D"/>
    <w:rsid w:val="00BB6992"/>
    <w:rsid w:val="00BB6BBA"/>
    <w:rsid w:val="00BB6C48"/>
    <w:rsid w:val="00BB6EB8"/>
    <w:rsid w:val="00BB7377"/>
    <w:rsid w:val="00BB7C94"/>
    <w:rsid w:val="00BB7EEE"/>
    <w:rsid w:val="00BC0AA1"/>
    <w:rsid w:val="00BC10DC"/>
    <w:rsid w:val="00BC15D0"/>
    <w:rsid w:val="00BC15EF"/>
    <w:rsid w:val="00BC16F1"/>
    <w:rsid w:val="00BC1AC6"/>
    <w:rsid w:val="00BC1C97"/>
    <w:rsid w:val="00BC1CDC"/>
    <w:rsid w:val="00BC2011"/>
    <w:rsid w:val="00BC215F"/>
    <w:rsid w:val="00BC2277"/>
    <w:rsid w:val="00BC2516"/>
    <w:rsid w:val="00BC2685"/>
    <w:rsid w:val="00BC2766"/>
    <w:rsid w:val="00BC2C6D"/>
    <w:rsid w:val="00BC2E0E"/>
    <w:rsid w:val="00BC307B"/>
    <w:rsid w:val="00BC313D"/>
    <w:rsid w:val="00BC351C"/>
    <w:rsid w:val="00BC3DEA"/>
    <w:rsid w:val="00BC3F4E"/>
    <w:rsid w:val="00BC3FFB"/>
    <w:rsid w:val="00BC41A6"/>
    <w:rsid w:val="00BC449C"/>
    <w:rsid w:val="00BC45CF"/>
    <w:rsid w:val="00BC5233"/>
    <w:rsid w:val="00BC5A4E"/>
    <w:rsid w:val="00BC621F"/>
    <w:rsid w:val="00BC66F5"/>
    <w:rsid w:val="00BC6A5D"/>
    <w:rsid w:val="00BC73D2"/>
    <w:rsid w:val="00BC78BF"/>
    <w:rsid w:val="00BC7B32"/>
    <w:rsid w:val="00BD0008"/>
    <w:rsid w:val="00BD214D"/>
    <w:rsid w:val="00BD21D0"/>
    <w:rsid w:val="00BD2364"/>
    <w:rsid w:val="00BD26AC"/>
    <w:rsid w:val="00BD2B98"/>
    <w:rsid w:val="00BD3111"/>
    <w:rsid w:val="00BD34A4"/>
    <w:rsid w:val="00BD3866"/>
    <w:rsid w:val="00BD430E"/>
    <w:rsid w:val="00BD44FA"/>
    <w:rsid w:val="00BD4C65"/>
    <w:rsid w:val="00BD4EBD"/>
    <w:rsid w:val="00BD5500"/>
    <w:rsid w:val="00BD5A11"/>
    <w:rsid w:val="00BD60CA"/>
    <w:rsid w:val="00BD6879"/>
    <w:rsid w:val="00BD6FB2"/>
    <w:rsid w:val="00BD7132"/>
    <w:rsid w:val="00BD7677"/>
    <w:rsid w:val="00BD7913"/>
    <w:rsid w:val="00BE048E"/>
    <w:rsid w:val="00BE0947"/>
    <w:rsid w:val="00BE0B95"/>
    <w:rsid w:val="00BE0BF0"/>
    <w:rsid w:val="00BE0DFF"/>
    <w:rsid w:val="00BE0E28"/>
    <w:rsid w:val="00BE0FDF"/>
    <w:rsid w:val="00BE15F6"/>
    <w:rsid w:val="00BE1768"/>
    <w:rsid w:val="00BE1CD6"/>
    <w:rsid w:val="00BE2494"/>
    <w:rsid w:val="00BE2F5F"/>
    <w:rsid w:val="00BE3237"/>
    <w:rsid w:val="00BE341F"/>
    <w:rsid w:val="00BE394D"/>
    <w:rsid w:val="00BE3B33"/>
    <w:rsid w:val="00BE3CBC"/>
    <w:rsid w:val="00BE44A9"/>
    <w:rsid w:val="00BE4EEE"/>
    <w:rsid w:val="00BE5038"/>
    <w:rsid w:val="00BE5547"/>
    <w:rsid w:val="00BE55D3"/>
    <w:rsid w:val="00BE5712"/>
    <w:rsid w:val="00BE59F5"/>
    <w:rsid w:val="00BE5EDA"/>
    <w:rsid w:val="00BE6226"/>
    <w:rsid w:val="00BE6955"/>
    <w:rsid w:val="00BE6E0A"/>
    <w:rsid w:val="00BE711E"/>
    <w:rsid w:val="00BE731D"/>
    <w:rsid w:val="00BE79A2"/>
    <w:rsid w:val="00BF026A"/>
    <w:rsid w:val="00BF02E6"/>
    <w:rsid w:val="00BF0D4F"/>
    <w:rsid w:val="00BF1043"/>
    <w:rsid w:val="00BF1390"/>
    <w:rsid w:val="00BF22C1"/>
    <w:rsid w:val="00BF2389"/>
    <w:rsid w:val="00BF24BE"/>
    <w:rsid w:val="00BF2789"/>
    <w:rsid w:val="00BF28FC"/>
    <w:rsid w:val="00BF2BDA"/>
    <w:rsid w:val="00BF3385"/>
    <w:rsid w:val="00BF3769"/>
    <w:rsid w:val="00BF38D0"/>
    <w:rsid w:val="00BF40F0"/>
    <w:rsid w:val="00BF4430"/>
    <w:rsid w:val="00BF4610"/>
    <w:rsid w:val="00BF4639"/>
    <w:rsid w:val="00BF49A8"/>
    <w:rsid w:val="00BF4D3E"/>
    <w:rsid w:val="00BF56A6"/>
    <w:rsid w:val="00BF595B"/>
    <w:rsid w:val="00BF5BA5"/>
    <w:rsid w:val="00BF6529"/>
    <w:rsid w:val="00BF6726"/>
    <w:rsid w:val="00BF7066"/>
    <w:rsid w:val="00BF7359"/>
    <w:rsid w:val="00BF7431"/>
    <w:rsid w:val="00BF7BDB"/>
    <w:rsid w:val="00C001B7"/>
    <w:rsid w:val="00C00423"/>
    <w:rsid w:val="00C00527"/>
    <w:rsid w:val="00C007B3"/>
    <w:rsid w:val="00C0084D"/>
    <w:rsid w:val="00C00EB2"/>
    <w:rsid w:val="00C00FE9"/>
    <w:rsid w:val="00C01899"/>
    <w:rsid w:val="00C0197D"/>
    <w:rsid w:val="00C0247F"/>
    <w:rsid w:val="00C02D5F"/>
    <w:rsid w:val="00C02EC7"/>
    <w:rsid w:val="00C02F6D"/>
    <w:rsid w:val="00C0351E"/>
    <w:rsid w:val="00C03654"/>
    <w:rsid w:val="00C03BF7"/>
    <w:rsid w:val="00C04453"/>
    <w:rsid w:val="00C04CFD"/>
    <w:rsid w:val="00C04D39"/>
    <w:rsid w:val="00C04D58"/>
    <w:rsid w:val="00C057F6"/>
    <w:rsid w:val="00C05B72"/>
    <w:rsid w:val="00C0611E"/>
    <w:rsid w:val="00C064CE"/>
    <w:rsid w:val="00C06EF0"/>
    <w:rsid w:val="00C073FE"/>
    <w:rsid w:val="00C07459"/>
    <w:rsid w:val="00C07470"/>
    <w:rsid w:val="00C07999"/>
    <w:rsid w:val="00C1038C"/>
    <w:rsid w:val="00C10E02"/>
    <w:rsid w:val="00C10FFE"/>
    <w:rsid w:val="00C112BA"/>
    <w:rsid w:val="00C113B0"/>
    <w:rsid w:val="00C113F4"/>
    <w:rsid w:val="00C11571"/>
    <w:rsid w:val="00C11AA7"/>
    <w:rsid w:val="00C11DBE"/>
    <w:rsid w:val="00C12258"/>
    <w:rsid w:val="00C128A0"/>
    <w:rsid w:val="00C12D1E"/>
    <w:rsid w:val="00C12D72"/>
    <w:rsid w:val="00C12DFF"/>
    <w:rsid w:val="00C12F1A"/>
    <w:rsid w:val="00C13BA9"/>
    <w:rsid w:val="00C14BE7"/>
    <w:rsid w:val="00C153CA"/>
    <w:rsid w:val="00C15E4D"/>
    <w:rsid w:val="00C16229"/>
    <w:rsid w:val="00C166BD"/>
    <w:rsid w:val="00C167AF"/>
    <w:rsid w:val="00C16D6C"/>
    <w:rsid w:val="00C16E7E"/>
    <w:rsid w:val="00C17216"/>
    <w:rsid w:val="00C17573"/>
    <w:rsid w:val="00C17726"/>
    <w:rsid w:val="00C17804"/>
    <w:rsid w:val="00C20474"/>
    <w:rsid w:val="00C20A1D"/>
    <w:rsid w:val="00C20FC1"/>
    <w:rsid w:val="00C21039"/>
    <w:rsid w:val="00C2103E"/>
    <w:rsid w:val="00C21214"/>
    <w:rsid w:val="00C212BE"/>
    <w:rsid w:val="00C218C4"/>
    <w:rsid w:val="00C21E1D"/>
    <w:rsid w:val="00C21E72"/>
    <w:rsid w:val="00C21E85"/>
    <w:rsid w:val="00C22208"/>
    <w:rsid w:val="00C22670"/>
    <w:rsid w:val="00C22851"/>
    <w:rsid w:val="00C23262"/>
    <w:rsid w:val="00C232B9"/>
    <w:rsid w:val="00C24136"/>
    <w:rsid w:val="00C24382"/>
    <w:rsid w:val="00C244A9"/>
    <w:rsid w:val="00C24C05"/>
    <w:rsid w:val="00C25682"/>
    <w:rsid w:val="00C25B38"/>
    <w:rsid w:val="00C25BC7"/>
    <w:rsid w:val="00C25EB1"/>
    <w:rsid w:val="00C2629F"/>
    <w:rsid w:val="00C266CA"/>
    <w:rsid w:val="00C26B7C"/>
    <w:rsid w:val="00C27277"/>
    <w:rsid w:val="00C274FE"/>
    <w:rsid w:val="00C27A06"/>
    <w:rsid w:val="00C27B56"/>
    <w:rsid w:val="00C27D2C"/>
    <w:rsid w:val="00C27DA7"/>
    <w:rsid w:val="00C30039"/>
    <w:rsid w:val="00C3007D"/>
    <w:rsid w:val="00C304CF"/>
    <w:rsid w:val="00C30D13"/>
    <w:rsid w:val="00C30E11"/>
    <w:rsid w:val="00C31023"/>
    <w:rsid w:val="00C310BA"/>
    <w:rsid w:val="00C313FE"/>
    <w:rsid w:val="00C317A0"/>
    <w:rsid w:val="00C31DAD"/>
    <w:rsid w:val="00C32ADC"/>
    <w:rsid w:val="00C32FA5"/>
    <w:rsid w:val="00C332E9"/>
    <w:rsid w:val="00C334D3"/>
    <w:rsid w:val="00C33721"/>
    <w:rsid w:val="00C339A6"/>
    <w:rsid w:val="00C33AAA"/>
    <w:rsid w:val="00C33BDF"/>
    <w:rsid w:val="00C33CF3"/>
    <w:rsid w:val="00C346F8"/>
    <w:rsid w:val="00C34931"/>
    <w:rsid w:val="00C34C5F"/>
    <w:rsid w:val="00C34F98"/>
    <w:rsid w:val="00C3567D"/>
    <w:rsid w:val="00C358CC"/>
    <w:rsid w:val="00C359DF"/>
    <w:rsid w:val="00C35AD3"/>
    <w:rsid w:val="00C35E42"/>
    <w:rsid w:val="00C35EC7"/>
    <w:rsid w:val="00C36142"/>
    <w:rsid w:val="00C362F8"/>
    <w:rsid w:val="00C3674B"/>
    <w:rsid w:val="00C36FCF"/>
    <w:rsid w:val="00C37072"/>
    <w:rsid w:val="00C3732A"/>
    <w:rsid w:val="00C3755E"/>
    <w:rsid w:val="00C375C2"/>
    <w:rsid w:val="00C3767F"/>
    <w:rsid w:val="00C37BEC"/>
    <w:rsid w:val="00C40161"/>
    <w:rsid w:val="00C4035E"/>
    <w:rsid w:val="00C40591"/>
    <w:rsid w:val="00C40D81"/>
    <w:rsid w:val="00C40E1C"/>
    <w:rsid w:val="00C41590"/>
    <w:rsid w:val="00C41F07"/>
    <w:rsid w:val="00C42478"/>
    <w:rsid w:val="00C42760"/>
    <w:rsid w:val="00C42CF3"/>
    <w:rsid w:val="00C43047"/>
    <w:rsid w:val="00C43075"/>
    <w:rsid w:val="00C43719"/>
    <w:rsid w:val="00C43766"/>
    <w:rsid w:val="00C44300"/>
    <w:rsid w:val="00C4448E"/>
    <w:rsid w:val="00C44B5E"/>
    <w:rsid w:val="00C44E37"/>
    <w:rsid w:val="00C450CB"/>
    <w:rsid w:val="00C45276"/>
    <w:rsid w:val="00C45A95"/>
    <w:rsid w:val="00C45B8D"/>
    <w:rsid w:val="00C45C67"/>
    <w:rsid w:val="00C45FAD"/>
    <w:rsid w:val="00C467D1"/>
    <w:rsid w:val="00C467FB"/>
    <w:rsid w:val="00C46C46"/>
    <w:rsid w:val="00C47132"/>
    <w:rsid w:val="00C473F1"/>
    <w:rsid w:val="00C47818"/>
    <w:rsid w:val="00C478A0"/>
    <w:rsid w:val="00C479D0"/>
    <w:rsid w:val="00C50893"/>
    <w:rsid w:val="00C50E2E"/>
    <w:rsid w:val="00C51022"/>
    <w:rsid w:val="00C5105F"/>
    <w:rsid w:val="00C51DAB"/>
    <w:rsid w:val="00C51EEB"/>
    <w:rsid w:val="00C521E5"/>
    <w:rsid w:val="00C52A1A"/>
    <w:rsid w:val="00C53B4F"/>
    <w:rsid w:val="00C53F15"/>
    <w:rsid w:val="00C54E5A"/>
    <w:rsid w:val="00C54F91"/>
    <w:rsid w:val="00C55309"/>
    <w:rsid w:val="00C55603"/>
    <w:rsid w:val="00C55682"/>
    <w:rsid w:val="00C558AC"/>
    <w:rsid w:val="00C55C3F"/>
    <w:rsid w:val="00C56126"/>
    <w:rsid w:val="00C56D25"/>
    <w:rsid w:val="00C576E6"/>
    <w:rsid w:val="00C57A8B"/>
    <w:rsid w:val="00C60A21"/>
    <w:rsid w:val="00C619F6"/>
    <w:rsid w:val="00C61CBD"/>
    <w:rsid w:val="00C623FE"/>
    <w:rsid w:val="00C626CC"/>
    <w:rsid w:val="00C629D9"/>
    <w:rsid w:val="00C62E76"/>
    <w:rsid w:val="00C6330B"/>
    <w:rsid w:val="00C63878"/>
    <w:rsid w:val="00C63989"/>
    <w:rsid w:val="00C63B97"/>
    <w:rsid w:val="00C63E18"/>
    <w:rsid w:val="00C64871"/>
    <w:rsid w:val="00C64A24"/>
    <w:rsid w:val="00C651A8"/>
    <w:rsid w:val="00C654A7"/>
    <w:rsid w:val="00C656A2"/>
    <w:rsid w:val="00C65775"/>
    <w:rsid w:val="00C65ADA"/>
    <w:rsid w:val="00C65D30"/>
    <w:rsid w:val="00C65E6B"/>
    <w:rsid w:val="00C66858"/>
    <w:rsid w:val="00C66861"/>
    <w:rsid w:val="00C66AEA"/>
    <w:rsid w:val="00C66BEB"/>
    <w:rsid w:val="00C67E2F"/>
    <w:rsid w:val="00C7058E"/>
    <w:rsid w:val="00C718C9"/>
    <w:rsid w:val="00C71DFC"/>
    <w:rsid w:val="00C71F90"/>
    <w:rsid w:val="00C7239E"/>
    <w:rsid w:val="00C72846"/>
    <w:rsid w:val="00C73333"/>
    <w:rsid w:val="00C73BE6"/>
    <w:rsid w:val="00C73D97"/>
    <w:rsid w:val="00C73DDB"/>
    <w:rsid w:val="00C73F61"/>
    <w:rsid w:val="00C73FB6"/>
    <w:rsid w:val="00C740CA"/>
    <w:rsid w:val="00C74206"/>
    <w:rsid w:val="00C746B0"/>
    <w:rsid w:val="00C74756"/>
    <w:rsid w:val="00C7490F"/>
    <w:rsid w:val="00C74A1E"/>
    <w:rsid w:val="00C74D4C"/>
    <w:rsid w:val="00C74DAB"/>
    <w:rsid w:val="00C74EB9"/>
    <w:rsid w:val="00C751DB"/>
    <w:rsid w:val="00C7561A"/>
    <w:rsid w:val="00C75A0C"/>
    <w:rsid w:val="00C76131"/>
    <w:rsid w:val="00C7635F"/>
    <w:rsid w:val="00C7654F"/>
    <w:rsid w:val="00C76987"/>
    <w:rsid w:val="00C76EE2"/>
    <w:rsid w:val="00C771D0"/>
    <w:rsid w:val="00C77279"/>
    <w:rsid w:val="00C77832"/>
    <w:rsid w:val="00C77DE7"/>
    <w:rsid w:val="00C8088A"/>
    <w:rsid w:val="00C80D6F"/>
    <w:rsid w:val="00C81048"/>
    <w:rsid w:val="00C811F5"/>
    <w:rsid w:val="00C812A0"/>
    <w:rsid w:val="00C81932"/>
    <w:rsid w:val="00C81CDE"/>
    <w:rsid w:val="00C81DDB"/>
    <w:rsid w:val="00C81EBC"/>
    <w:rsid w:val="00C821A3"/>
    <w:rsid w:val="00C8247D"/>
    <w:rsid w:val="00C8282A"/>
    <w:rsid w:val="00C82A0F"/>
    <w:rsid w:val="00C82C84"/>
    <w:rsid w:val="00C82CBC"/>
    <w:rsid w:val="00C82FAC"/>
    <w:rsid w:val="00C83274"/>
    <w:rsid w:val="00C8331B"/>
    <w:rsid w:val="00C834FF"/>
    <w:rsid w:val="00C838FA"/>
    <w:rsid w:val="00C83ABA"/>
    <w:rsid w:val="00C83B2C"/>
    <w:rsid w:val="00C83CAB"/>
    <w:rsid w:val="00C842B5"/>
    <w:rsid w:val="00C84DC5"/>
    <w:rsid w:val="00C85BF5"/>
    <w:rsid w:val="00C85E98"/>
    <w:rsid w:val="00C86146"/>
    <w:rsid w:val="00C862A0"/>
    <w:rsid w:val="00C865E2"/>
    <w:rsid w:val="00C86858"/>
    <w:rsid w:val="00C87262"/>
    <w:rsid w:val="00C8732A"/>
    <w:rsid w:val="00C874A6"/>
    <w:rsid w:val="00C87BAA"/>
    <w:rsid w:val="00C87BBE"/>
    <w:rsid w:val="00C87C4D"/>
    <w:rsid w:val="00C9013B"/>
    <w:rsid w:val="00C90491"/>
    <w:rsid w:val="00C90D6F"/>
    <w:rsid w:val="00C90E17"/>
    <w:rsid w:val="00C90F6A"/>
    <w:rsid w:val="00C91139"/>
    <w:rsid w:val="00C91569"/>
    <w:rsid w:val="00C9178E"/>
    <w:rsid w:val="00C91A11"/>
    <w:rsid w:val="00C91B16"/>
    <w:rsid w:val="00C91B4D"/>
    <w:rsid w:val="00C91DF9"/>
    <w:rsid w:val="00C92A9D"/>
    <w:rsid w:val="00C92BED"/>
    <w:rsid w:val="00C92E40"/>
    <w:rsid w:val="00C9312C"/>
    <w:rsid w:val="00C93157"/>
    <w:rsid w:val="00C94588"/>
    <w:rsid w:val="00C9479F"/>
    <w:rsid w:val="00C94BD7"/>
    <w:rsid w:val="00C94E39"/>
    <w:rsid w:val="00C94F54"/>
    <w:rsid w:val="00C94FEC"/>
    <w:rsid w:val="00C9504A"/>
    <w:rsid w:val="00C95BA4"/>
    <w:rsid w:val="00C95BCD"/>
    <w:rsid w:val="00C9607E"/>
    <w:rsid w:val="00C9608A"/>
    <w:rsid w:val="00C964A1"/>
    <w:rsid w:val="00C96A98"/>
    <w:rsid w:val="00C97A28"/>
    <w:rsid w:val="00C97EF7"/>
    <w:rsid w:val="00CA11D3"/>
    <w:rsid w:val="00CA1AA2"/>
    <w:rsid w:val="00CA1CBF"/>
    <w:rsid w:val="00CA1DBC"/>
    <w:rsid w:val="00CA2B89"/>
    <w:rsid w:val="00CA3792"/>
    <w:rsid w:val="00CA39FD"/>
    <w:rsid w:val="00CA3BD3"/>
    <w:rsid w:val="00CA3E17"/>
    <w:rsid w:val="00CA44CA"/>
    <w:rsid w:val="00CA4A5E"/>
    <w:rsid w:val="00CA4BDD"/>
    <w:rsid w:val="00CA50D7"/>
    <w:rsid w:val="00CA52D7"/>
    <w:rsid w:val="00CA536C"/>
    <w:rsid w:val="00CA5390"/>
    <w:rsid w:val="00CA5BC0"/>
    <w:rsid w:val="00CA5F5E"/>
    <w:rsid w:val="00CA60F7"/>
    <w:rsid w:val="00CA6DAA"/>
    <w:rsid w:val="00CA72F0"/>
    <w:rsid w:val="00CA78AE"/>
    <w:rsid w:val="00CA7F2E"/>
    <w:rsid w:val="00CB090D"/>
    <w:rsid w:val="00CB10D2"/>
    <w:rsid w:val="00CB112D"/>
    <w:rsid w:val="00CB11DE"/>
    <w:rsid w:val="00CB1F25"/>
    <w:rsid w:val="00CB2030"/>
    <w:rsid w:val="00CB2253"/>
    <w:rsid w:val="00CB23F7"/>
    <w:rsid w:val="00CB2A7C"/>
    <w:rsid w:val="00CB2B40"/>
    <w:rsid w:val="00CB2C98"/>
    <w:rsid w:val="00CB2DB8"/>
    <w:rsid w:val="00CB3285"/>
    <w:rsid w:val="00CB353F"/>
    <w:rsid w:val="00CB399B"/>
    <w:rsid w:val="00CB43D9"/>
    <w:rsid w:val="00CB44FE"/>
    <w:rsid w:val="00CB467D"/>
    <w:rsid w:val="00CB4B67"/>
    <w:rsid w:val="00CB50A3"/>
    <w:rsid w:val="00CB5163"/>
    <w:rsid w:val="00CB5B1A"/>
    <w:rsid w:val="00CB7421"/>
    <w:rsid w:val="00CB7B06"/>
    <w:rsid w:val="00CC01C3"/>
    <w:rsid w:val="00CC0431"/>
    <w:rsid w:val="00CC0857"/>
    <w:rsid w:val="00CC0960"/>
    <w:rsid w:val="00CC0A8D"/>
    <w:rsid w:val="00CC0C9B"/>
    <w:rsid w:val="00CC0CB8"/>
    <w:rsid w:val="00CC104D"/>
    <w:rsid w:val="00CC15A6"/>
    <w:rsid w:val="00CC187F"/>
    <w:rsid w:val="00CC20A9"/>
    <w:rsid w:val="00CC2477"/>
    <w:rsid w:val="00CC285F"/>
    <w:rsid w:val="00CC297C"/>
    <w:rsid w:val="00CC2CCD"/>
    <w:rsid w:val="00CC356E"/>
    <w:rsid w:val="00CC3629"/>
    <w:rsid w:val="00CC3647"/>
    <w:rsid w:val="00CC398E"/>
    <w:rsid w:val="00CC3F3C"/>
    <w:rsid w:val="00CC43CB"/>
    <w:rsid w:val="00CC44B2"/>
    <w:rsid w:val="00CC4826"/>
    <w:rsid w:val="00CC4A00"/>
    <w:rsid w:val="00CC504B"/>
    <w:rsid w:val="00CC514B"/>
    <w:rsid w:val="00CC5738"/>
    <w:rsid w:val="00CC5FF9"/>
    <w:rsid w:val="00CC609C"/>
    <w:rsid w:val="00CC6117"/>
    <w:rsid w:val="00CC618A"/>
    <w:rsid w:val="00CC645D"/>
    <w:rsid w:val="00CC658D"/>
    <w:rsid w:val="00CC68B6"/>
    <w:rsid w:val="00CC6AA8"/>
    <w:rsid w:val="00CC749F"/>
    <w:rsid w:val="00CD0BEB"/>
    <w:rsid w:val="00CD0C50"/>
    <w:rsid w:val="00CD1AAF"/>
    <w:rsid w:val="00CD1BBC"/>
    <w:rsid w:val="00CD1BF4"/>
    <w:rsid w:val="00CD1D27"/>
    <w:rsid w:val="00CD2383"/>
    <w:rsid w:val="00CD38FF"/>
    <w:rsid w:val="00CD3DA2"/>
    <w:rsid w:val="00CD42B1"/>
    <w:rsid w:val="00CD4357"/>
    <w:rsid w:val="00CD464E"/>
    <w:rsid w:val="00CD4A97"/>
    <w:rsid w:val="00CD506B"/>
    <w:rsid w:val="00CD53D3"/>
    <w:rsid w:val="00CD55D3"/>
    <w:rsid w:val="00CD595C"/>
    <w:rsid w:val="00CD5BCF"/>
    <w:rsid w:val="00CD5C02"/>
    <w:rsid w:val="00CD69F9"/>
    <w:rsid w:val="00CD6E8E"/>
    <w:rsid w:val="00CD6ED2"/>
    <w:rsid w:val="00CD6F72"/>
    <w:rsid w:val="00CD70D2"/>
    <w:rsid w:val="00CD7861"/>
    <w:rsid w:val="00CD79A7"/>
    <w:rsid w:val="00CD7C33"/>
    <w:rsid w:val="00CD7D96"/>
    <w:rsid w:val="00CD7E01"/>
    <w:rsid w:val="00CE05C2"/>
    <w:rsid w:val="00CE0C14"/>
    <w:rsid w:val="00CE0CE3"/>
    <w:rsid w:val="00CE11EB"/>
    <w:rsid w:val="00CE1387"/>
    <w:rsid w:val="00CE166F"/>
    <w:rsid w:val="00CE1DC0"/>
    <w:rsid w:val="00CE1E2E"/>
    <w:rsid w:val="00CE24E5"/>
    <w:rsid w:val="00CE2735"/>
    <w:rsid w:val="00CE29FC"/>
    <w:rsid w:val="00CE2EB2"/>
    <w:rsid w:val="00CE32DA"/>
    <w:rsid w:val="00CE3849"/>
    <w:rsid w:val="00CE38E6"/>
    <w:rsid w:val="00CE3EDA"/>
    <w:rsid w:val="00CE5031"/>
    <w:rsid w:val="00CE50B7"/>
    <w:rsid w:val="00CE56CF"/>
    <w:rsid w:val="00CE636F"/>
    <w:rsid w:val="00CE68C7"/>
    <w:rsid w:val="00CE6DCF"/>
    <w:rsid w:val="00CE753A"/>
    <w:rsid w:val="00CE7D32"/>
    <w:rsid w:val="00CF019B"/>
    <w:rsid w:val="00CF08E6"/>
    <w:rsid w:val="00CF09CA"/>
    <w:rsid w:val="00CF0AEE"/>
    <w:rsid w:val="00CF0F77"/>
    <w:rsid w:val="00CF1071"/>
    <w:rsid w:val="00CF1245"/>
    <w:rsid w:val="00CF1ADA"/>
    <w:rsid w:val="00CF203E"/>
    <w:rsid w:val="00CF2069"/>
    <w:rsid w:val="00CF2A24"/>
    <w:rsid w:val="00CF2BA0"/>
    <w:rsid w:val="00CF3B22"/>
    <w:rsid w:val="00CF3F3F"/>
    <w:rsid w:val="00CF44C1"/>
    <w:rsid w:val="00CF4A92"/>
    <w:rsid w:val="00CF4DF2"/>
    <w:rsid w:val="00CF5360"/>
    <w:rsid w:val="00CF575C"/>
    <w:rsid w:val="00CF595C"/>
    <w:rsid w:val="00CF5D28"/>
    <w:rsid w:val="00CF5DD6"/>
    <w:rsid w:val="00CF6346"/>
    <w:rsid w:val="00CF64D2"/>
    <w:rsid w:val="00CF65D1"/>
    <w:rsid w:val="00CF6AC3"/>
    <w:rsid w:val="00CF6C07"/>
    <w:rsid w:val="00CF6C9B"/>
    <w:rsid w:val="00CF72DE"/>
    <w:rsid w:val="00D001A0"/>
    <w:rsid w:val="00D002A9"/>
    <w:rsid w:val="00D005B2"/>
    <w:rsid w:val="00D0091E"/>
    <w:rsid w:val="00D00B00"/>
    <w:rsid w:val="00D00C21"/>
    <w:rsid w:val="00D013D4"/>
    <w:rsid w:val="00D01BFF"/>
    <w:rsid w:val="00D021AE"/>
    <w:rsid w:val="00D02E14"/>
    <w:rsid w:val="00D0314D"/>
    <w:rsid w:val="00D0342C"/>
    <w:rsid w:val="00D03470"/>
    <w:rsid w:val="00D035C2"/>
    <w:rsid w:val="00D03789"/>
    <w:rsid w:val="00D03A85"/>
    <w:rsid w:val="00D03ABE"/>
    <w:rsid w:val="00D050C6"/>
    <w:rsid w:val="00D0517D"/>
    <w:rsid w:val="00D0568B"/>
    <w:rsid w:val="00D06562"/>
    <w:rsid w:val="00D06B53"/>
    <w:rsid w:val="00D06ED6"/>
    <w:rsid w:val="00D07ADB"/>
    <w:rsid w:val="00D07B23"/>
    <w:rsid w:val="00D07DAA"/>
    <w:rsid w:val="00D1079B"/>
    <w:rsid w:val="00D10902"/>
    <w:rsid w:val="00D10F3E"/>
    <w:rsid w:val="00D11FFD"/>
    <w:rsid w:val="00D12400"/>
    <w:rsid w:val="00D1263A"/>
    <w:rsid w:val="00D12D97"/>
    <w:rsid w:val="00D13856"/>
    <w:rsid w:val="00D1401D"/>
    <w:rsid w:val="00D14064"/>
    <w:rsid w:val="00D1445F"/>
    <w:rsid w:val="00D14A46"/>
    <w:rsid w:val="00D14ACE"/>
    <w:rsid w:val="00D14BA1"/>
    <w:rsid w:val="00D15A7B"/>
    <w:rsid w:val="00D15D17"/>
    <w:rsid w:val="00D16CCB"/>
    <w:rsid w:val="00D16F35"/>
    <w:rsid w:val="00D16FA7"/>
    <w:rsid w:val="00D1725A"/>
    <w:rsid w:val="00D173C7"/>
    <w:rsid w:val="00D1743F"/>
    <w:rsid w:val="00D17533"/>
    <w:rsid w:val="00D1773D"/>
    <w:rsid w:val="00D208C8"/>
    <w:rsid w:val="00D20E63"/>
    <w:rsid w:val="00D21196"/>
    <w:rsid w:val="00D211A4"/>
    <w:rsid w:val="00D211D6"/>
    <w:rsid w:val="00D21E02"/>
    <w:rsid w:val="00D21EAF"/>
    <w:rsid w:val="00D21FDD"/>
    <w:rsid w:val="00D228D7"/>
    <w:rsid w:val="00D22E20"/>
    <w:rsid w:val="00D22FC5"/>
    <w:rsid w:val="00D23091"/>
    <w:rsid w:val="00D233F6"/>
    <w:rsid w:val="00D2352D"/>
    <w:rsid w:val="00D23636"/>
    <w:rsid w:val="00D23922"/>
    <w:rsid w:val="00D239AF"/>
    <w:rsid w:val="00D23B8A"/>
    <w:rsid w:val="00D23C49"/>
    <w:rsid w:val="00D2449C"/>
    <w:rsid w:val="00D24803"/>
    <w:rsid w:val="00D2508C"/>
    <w:rsid w:val="00D25533"/>
    <w:rsid w:val="00D25CAC"/>
    <w:rsid w:val="00D261BA"/>
    <w:rsid w:val="00D26203"/>
    <w:rsid w:val="00D2667B"/>
    <w:rsid w:val="00D266E1"/>
    <w:rsid w:val="00D26ADA"/>
    <w:rsid w:val="00D270D9"/>
    <w:rsid w:val="00D27BFC"/>
    <w:rsid w:val="00D302FE"/>
    <w:rsid w:val="00D30704"/>
    <w:rsid w:val="00D30800"/>
    <w:rsid w:val="00D30BA5"/>
    <w:rsid w:val="00D30F3A"/>
    <w:rsid w:val="00D30FA6"/>
    <w:rsid w:val="00D31154"/>
    <w:rsid w:val="00D31AC8"/>
    <w:rsid w:val="00D31E67"/>
    <w:rsid w:val="00D321D6"/>
    <w:rsid w:val="00D323F1"/>
    <w:rsid w:val="00D328A2"/>
    <w:rsid w:val="00D3292E"/>
    <w:rsid w:val="00D329F9"/>
    <w:rsid w:val="00D32EE1"/>
    <w:rsid w:val="00D33046"/>
    <w:rsid w:val="00D332AE"/>
    <w:rsid w:val="00D3330C"/>
    <w:rsid w:val="00D33688"/>
    <w:rsid w:val="00D338BF"/>
    <w:rsid w:val="00D33BAF"/>
    <w:rsid w:val="00D33E4E"/>
    <w:rsid w:val="00D34B12"/>
    <w:rsid w:val="00D34F35"/>
    <w:rsid w:val="00D35188"/>
    <w:rsid w:val="00D3544D"/>
    <w:rsid w:val="00D35DE1"/>
    <w:rsid w:val="00D35F59"/>
    <w:rsid w:val="00D36106"/>
    <w:rsid w:val="00D367C6"/>
    <w:rsid w:val="00D37222"/>
    <w:rsid w:val="00D374D5"/>
    <w:rsid w:val="00D37925"/>
    <w:rsid w:val="00D402ED"/>
    <w:rsid w:val="00D4064D"/>
    <w:rsid w:val="00D4074B"/>
    <w:rsid w:val="00D40F95"/>
    <w:rsid w:val="00D41136"/>
    <w:rsid w:val="00D41DC4"/>
    <w:rsid w:val="00D420F1"/>
    <w:rsid w:val="00D4246C"/>
    <w:rsid w:val="00D432A4"/>
    <w:rsid w:val="00D4365E"/>
    <w:rsid w:val="00D43B0B"/>
    <w:rsid w:val="00D43C29"/>
    <w:rsid w:val="00D43C88"/>
    <w:rsid w:val="00D44331"/>
    <w:rsid w:val="00D448AF"/>
    <w:rsid w:val="00D44D13"/>
    <w:rsid w:val="00D45040"/>
    <w:rsid w:val="00D45399"/>
    <w:rsid w:val="00D45E1A"/>
    <w:rsid w:val="00D46415"/>
    <w:rsid w:val="00D4676E"/>
    <w:rsid w:val="00D5000B"/>
    <w:rsid w:val="00D503E7"/>
    <w:rsid w:val="00D50526"/>
    <w:rsid w:val="00D511BC"/>
    <w:rsid w:val="00D5122B"/>
    <w:rsid w:val="00D51244"/>
    <w:rsid w:val="00D51741"/>
    <w:rsid w:val="00D51B81"/>
    <w:rsid w:val="00D51FC2"/>
    <w:rsid w:val="00D53B76"/>
    <w:rsid w:val="00D53CB2"/>
    <w:rsid w:val="00D53EA0"/>
    <w:rsid w:val="00D541C6"/>
    <w:rsid w:val="00D54207"/>
    <w:rsid w:val="00D54285"/>
    <w:rsid w:val="00D54396"/>
    <w:rsid w:val="00D54A20"/>
    <w:rsid w:val="00D54B3E"/>
    <w:rsid w:val="00D54BA1"/>
    <w:rsid w:val="00D54BC4"/>
    <w:rsid w:val="00D5501C"/>
    <w:rsid w:val="00D55024"/>
    <w:rsid w:val="00D55267"/>
    <w:rsid w:val="00D552BA"/>
    <w:rsid w:val="00D552E2"/>
    <w:rsid w:val="00D55944"/>
    <w:rsid w:val="00D563E3"/>
    <w:rsid w:val="00D5674B"/>
    <w:rsid w:val="00D57719"/>
    <w:rsid w:val="00D57A6C"/>
    <w:rsid w:val="00D57B87"/>
    <w:rsid w:val="00D57F75"/>
    <w:rsid w:val="00D608B2"/>
    <w:rsid w:val="00D60C77"/>
    <w:rsid w:val="00D60E20"/>
    <w:rsid w:val="00D6127F"/>
    <w:rsid w:val="00D61C20"/>
    <w:rsid w:val="00D62120"/>
    <w:rsid w:val="00D622A0"/>
    <w:rsid w:val="00D62353"/>
    <w:rsid w:val="00D62F90"/>
    <w:rsid w:val="00D63067"/>
    <w:rsid w:val="00D6340F"/>
    <w:rsid w:val="00D63474"/>
    <w:rsid w:val="00D6349D"/>
    <w:rsid w:val="00D63655"/>
    <w:rsid w:val="00D63AB7"/>
    <w:rsid w:val="00D63C45"/>
    <w:rsid w:val="00D63D99"/>
    <w:rsid w:val="00D64592"/>
    <w:rsid w:val="00D6488F"/>
    <w:rsid w:val="00D64EC9"/>
    <w:rsid w:val="00D64F96"/>
    <w:rsid w:val="00D653C1"/>
    <w:rsid w:val="00D65433"/>
    <w:rsid w:val="00D65495"/>
    <w:rsid w:val="00D655DB"/>
    <w:rsid w:val="00D6634B"/>
    <w:rsid w:val="00D664EB"/>
    <w:rsid w:val="00D66C72"/>
    <w:rsid w:val="00D67049"/>
    <w:rsid w:val="00D67A4E"/>
    <w:rsid w:val="00D70129"/>
    <w:rsid w:val="00D702DB"/>
    <w:rsid w:val="00D707D5"/>
    <w:rsid w:val="00D71303"/>
    <w:rsid w:val="00D7192E"/>
    <w:rsid w:val="00D71C77"/>
    <w:rsid w:val="00D71EDF"/>
    <w:rsid w:val="00D72050"/>
    <w:rsid w:val="00D7214B"/>
    <w:rsid w:val="00D72715"/>
    <w:rsid w:val="00D72968"/>
    <w:rsid w:val="00D7298B"/>
    <w:rsid w:val="00D72EC4"/>
    <w:rsid w:val="00D73BEF"/>
    <w:rsid w:val="00D73D87"/>
    <w:rsid w:val="00D73E58"/>
    <w:rsid w:val="00D74AD7"/>
    <w:rsid w:val="00D74B10"/>
    <w:rsid w:val="00D7515D"/>
    <w:rsid w:val="00D759A6"/>
    <w:rsid w:val="00D75F62"/>
    <w:rsid w:val="00D76133"/>
    <w:rsid w:val="00D76634"/>
    <w:rsid w:val="00D77144"/>
    <w:rsid w:val="00D774FB"/>
    <w:rsid w:val="00D7788A"/>
    <w:rsid w:val="00D8001F"/>
    <w:rsid w:val="00D808B5"/>
    <w:rsid w:val="00D809F8"/>
    <w:rsid w:val="00D80ADF"/>
    <w:rsid w:val="00D812DD"/>
    <w:rsid w:val="00D81549"/>
    <w:rsid w:val="00D81572"/>
    <w:rsid w:val="00D81704"/>
    <w:rsid w:val="00D817B6"/>
    <w:rsid w:val="00D81B86"/>
    <w:rsid w:val="00D82203"/>
    <w:rsid w:val="00D82C3A"/>
    <w:rsid w:val="00D82EEE"/>
    <w:rsid w:val="00D830BD"/>
    <w:rsid w:val="00D830D1"/>
    <w:rsid w:val="00D8382E"/>
    <w:rsid w:val="00D83B88"/>
    <w:rsid w:val="00D83BEA"/>
    <w:rsid w:val="00D8482A"/>
    <w:rsid w:val="00D84B43"/>
    <w:rsid w:val="00D85726"/>
    <w:rsid w:val="00D85A5A"/>
    <w:rsid w:val="00D85FA3"/>
    <w:rsid w:val="00D8611E"/>
    <w:rsid w:val="00D863CC"/>
    <w:rsid w:val="00D86D39"/>
    <w:rsid w:val="00D87090"/>
    <w:rsid w:val="00D876E7"/>
    <w:rsid w:val="00D879C4"/>
    <w:rsid w:val="00D879E3"/>
    <w:rsid w:val="00D87A31"/>
    <w:rsid w:val="00D90071"/>
    <w:rsid w:val="00D9032D"/>
    <w:rsid w:val="00D9082C"/>
    <w:rsid w:val="00D90905"/>
    <w:rsid w:val="00D90ABB"/>
    <w:rsid w:val="00D90DBE"/>
    <w:rsid w:val="00D90F30"/>
    <w:rsid w:val="00D9133B"/>
    <w:rsid w:val="00D9153C"/>
    <w:rsid w:val="00D9159D"/>
    <w:rsid w:val="00D91607"/>
    <w:rsid w:val="00D91627"/>
    <w:rsid w:val="00D916FF"/>
    <w:rsid w:val="00D918DE"/>
    <w:rsid w:val="00D92316"/>
    <w:rsid w:val="00D929AA"/>
    <w:rsid w:val="00D92FF1"/>
    <w:rsid w:val="00D9329B"/>
    <w:rsid w:val="00D9394A"/>
    <w:rsid w:val="00D93A3D"/>
    <w:rsid w:val="00D94870"/>
    <w:rsid w:val="00D948E2"/>
    <w:rsid w:val="00D9532D"/>
    <w:rsid w:val="00D95B86"/>
    <w:rsid w:val="00D95F6A"/>
    <w:rsid w:val="00D96549"/>
    <w:rsid w:val="00D9660A"/>
    <w:rsid w:val="00D96DC5"/>
    <w:rsid w:val="00D96E28"/>
    <w:rsid w:val="00D96E4E"/>
    <w:rsid w:val="00D971B8"/>
    <w:rsid w:val="00D976FB"/>
    <w:rsid w:val="00D97E2D"/>
    <w:rsid w:val="00DA0458"/>
    <w:rsid w:val="00DA049C"/>
    <w:rsid w:val="00DA0B4D"/>
    <w:rsid w:val="00DA0C26"/>
    <w:rsid w:val="00DA0C45"/>
    <w:rsid w:val="00DA0C46"/>
    <w:rsid w:val="00DA0C88"/>
    <w:rsid w:val="00DA11A1"/>
    <w:rsid w:val="00DA14E8"/>
    <w:rsid w:val="00DA1823"/>
    <w:rsid w:val="00DA1B36"/>
    <w:rsid w:val="00DA1B43"/>
    <w:rsid w:val="00DA20D7"/>
    <w:rsid w:val="00DA237B"/>
    <w:rsid w:val="00DA2515"/>
    <w:rsid w:val="00DA26C4"/>
    <w:rsid w:val="00DA2BEB"/>
    <w:rsid w:val="00DA2D1A"/>
    <w:rsid w:val="00DA39FD"/>
    <w:rsid w:val="00DA4771"/>
    <w:rsid w:val="00DA4A7C"/>
    <w:rsid w:val="00DA4E98"/>
    <w:rsid w:val="00DA52C4"/>
    <w:rsid w:val="00DA5DAD"/>
    <w:rsid w:val="00DA6098"/>
    <w:rsid w:val="00DA616F"/>
    <w:rsid w:val="00DA653C"/>
    <w:rsid w:val="00DA66F0"/>
    <w:rsid w:val="00DA6B0F"/>
    <w:rsid w:val="00DA6E6B"/>
    <w:rsid w:val="00DA721D"/>
    <w:rsid w:val="00DA7B27"/>
    <w:rsid w:val="00DA7BC8"/>
    <w:rsid w:val="00DA7D98"/>
    <w:rsid w:val="00DB0238"/>
    <w:rsid w:val="00DB066F"/>
    <w:rsid w:val="00DB0AF9"/>
    <w:rsid w:val="00DB1269"/>
    <w:rsid w:val="00DB14F1"/>
    <w:rsid w:val="00DB184E"/>
    <w:rsid w:val="00DB1ACF"/>
    <w:rsid w:val="00DB1B6C"/>
    <w:rsid w:val="00DB1C66"/>
    <w:rsid w:val="00DB1D5C"/>
    <w:rsid w:val="00DB21FC"/>
    <w:rsid w:val="00DB22E3"/>
    <w:rsid w:val="00DB291E"/>
    <w:rsid w:val="00DB29DF"/>
    <w:rsid w:val="00DB2A44"/>
    <w:rsid w:val="00DB2C4C"/>
    <w:rsid w:val="00DB3302"/>
    <w:rsid w:val="00DB3D47"/>
    <w:rsid w:val="00DB40D5"/>
    <w:rsid w:val="00DB4815"/>
    <w:rsid w:val="00DB4905"/>
    <w:rsid w:val="00DB4B38"/>
    <w:rsid w:val="00DB4E70"/>
    <w:rsid w:val="00DB5011"/>
    <w:rsid w:val="00DB578F"/>
    <w:rsid w:val="00DB5CF1"/>
    <w:rsid w:val="00DB5F36"/>
    <w:rsid w:val="00DB6292"/>
    <w:rsid w:val="00DB62F6"/>
    <w:rsid w:val="00DB6681"/>
    <w:rsid w:val="00DB66FA"/>
    <w:rsid w:val="00DB6A8E"/>
    <w:rsid w:val="00DB6A9F"/>
    <w:rsid w:val="00DB6B84"/>
    <w:rsid w:val="00DB6D52"/>
    <w:rsid w:val="00DB7652"/>
    <w:rsid w:val="00DB7843"/>
    <w:rsid w:val="00DB78E5"/>
    <w:rsid w:val="00DB79DE"/>
    <w:rsid w:val="00DB7F71"/>
    <w:rsid w:val="00DC0F62"/>
    <w:rsid w:val="00DC121C"/>
    <w:rsid w:val="00DC1252"/>
    <w:rsid w:val="00DC20AF"/>
    <w:rsid w:val="00DC23BF"/>
    <w:rsid w:val="00DC2907"/>
    <w:rsid w:val="00DC29B3"/>
    <w:rsid w:val="00DC300A"/>
    <w:rsid w:val="00DC36E8"/>
    <w:rsid w:val="00DC3787"/>
    <w:rsid w:val="00DC37D6"/>
    <w:rsid w:val="00DC3AA5"/>
    <w:rsid w:val="00DC4018"/>
    <w:rsid w:val="00DC4322"/>
    <w:rsid w:val="00DC48CE"/>
    <w:rsid w:val="00DC4B44"/>
    <w:rsid w:val="00DC4CEA"/>
    <w:rsid w:val="00DC54F9"/>
    <w:rsid w:val="00DC5ABB"/>
    <w:rsid w:val="00DC5AE4"/>
    <w:rsid w:val="00DC5F4E"/>
    <w:rsid w:val="00DC680F"/>
    <w:rsid w:val="00DC6EE7"/>
    <w:rsid w:val="00DC7308"/>
    <w:rsid w:val="00DC755E"/>
    <w:rsid w:val="00DC7660"/>
    <w:rsid w:val="00DC7785"/>
    <w:rsid w:val="00DC7801"/>
    <w:rsid w:val="00DC7935"/>
    <w:rsid w:val="00DC7B42"/>
    <w:rsid w:val="00DC7BAD"/>
    <w:rsid w:val="00DD015A"/>
    <w:rsid w:val="00DD09ED"/>
    <w:rsid w:val="00DD0F1B"/>
    <w:rsid w:val="00DD164D"/>
    <w:rsid w:val="00DD179A"/>
    <w:rsid w:val="00DD1C76"/>
    <w:rsid w:val="00DD2121"/>
    <w:rsid w:val="00DD22FA"/>
    <w:rsid w:val="00DD2472"/>
    <w:rsid w:val="00DD26AA"/>
    <w:rsid w:val="00DD276F"/>
    <w:rsid w:val="00DD27AD"/>
    <w:rsid w:val="00DD2961"/>
    <w:rsid w:val="00DD2CF2"/>
    <w:rsid w:val="00DD2DD2"/>
    <w:rsid w:val="00DD3072"/>
    <w:rsid w:val="00DD319C"/>
    <w:rsid w:val="00DD333C"/>
    <w:rsid w:val="00DD39F9"/>
    <w:rsid w:val="00DD4078"/>
    <w:rsid w:val="00DD45EE"/>
    <w:rsid w:val="00DD4635"/>
    <w:rsid w:val="00DD47F1"/>
    <w:rsid w:val="00DD4A24"/>
    <w:rsid w:val="00DD541C"/>
    <w:rsid w:val="00DD5838"/>
    <w:rsid w:val="00DD5A1A"/>
    <w:rsid w:val="00DD6BA3"/>
    <w:rsid w:val="00DD6E40"/>
    <w:rsid w:val="00DD6F49"/>
    <w:rsid w:val="00DD7819"/>
    <w:rsid w:val="00DD7E7C"/>
    <w:rsid w:val="00DE020E"/>
    <w:rsid w:val="00DE0563"/>
    <w:rsid w:val="00DE088B"/>
    <w:rsid w:val="00DE0ACC"/>
    <w:rsid w:val="00DE0CB8"/>
    <w:rsid w:val="00DE0DFB"/>
    <w:rsid w:val="00DE104F"/>
    <w:rsid w:val="00DE16A9"/>
    <w:rsid w:val="00DE1B47"/>
    <w:rsid w:val="00DE1B5D"/>
    <w:rsid w:val="00DE1CC3"/>
    <w:rsid w:val="00DE1DD9"/>
    <w:rsid w:val="00DE2865"/>
    <w:rsid w:val="00DE3D7E"/>
    <w:rsid w:val="00DE3EBB"/>
    <w:rsid w:val="00DE3F13"/>
    <w:rsid w:val="00DE4269"/>
    <w:rsid w:val="00DE4306"/>
    <w:rsid w:val="00DE4392"/>
    <w:rsid w:val="00DE4782"/>
    <w:rsid w:val="00DE48F4"/>
    <w:rsid w:val="00DE503D"/>
    <w:rsid w:val="00DE5144"/>
    <w:rsid w:val="00DE5152"/>
    <w:rsid w:val="00DE5611"/>
    <w:rsid w:val="00DE5BA0"/>
    <w:rsid w:val="00DE5BC5"/>
    <w:rsid w:val="00DE6484"/>
    <w:rsid w:val="00DE685B"/>
    <w:rsid w:val="00DE6E44"/>
    <w:rsid w:val="00DE7367"/>
    <w:rsid w:val="00DE748D"/>
    <w:rsid w:val="00DE77BA"/>
    <w:rsid w:val="00DE7A91"/>
    <w:rsid w:val="00DE7C9E"/>
    <w:rsid w:val="00DF076D"/>
    <w:rsid w:val="00DF130B"/>
    <w:rsid w:val="00DF1336"/>
    <w:rsid w:val="00DF16D0"/>
    <w:rsid w:val="00DF1787"/>
    <w:rsid w:val="00DF1BDB"/>
    <w:rsid w:val="00DF2335"/>
    <w:rsid w:val="00DF2AB6"/>
    <w:rsid w:val="00DF2EA5"/>
    <w:rsid w:val="00DF2F65"/>
    <w:rsid w:val="00DF3632"/>
    <w:rsid w:val="00DF3AF4"/>
    <w:rsid w:val="00DF3C65"/>
    <w:rsid w:val="00DF3CF6"/>
    <w:rsid w:val="00DF45D2"/>
    <w:rsid w:val="00DF48CB"/>
    <w:rsid w:val="00DF5057"/>
    <w:rsid w:val="00DF57D5"/>
    <w:rsid w:val="00DF5E16"/>
    <w:rsid w:val="00DF612B"/>
    <w:rsid w:val="00DF6363"/>
    <w:rsid w:val="00DF67A3"/>
    <w:rsid w:val="00DF7D6A"/>
    <w:rsid w:val="00DF7F75"/>
    <w:rsid w:val="00E00071"/>
    <w:rsid w:val="00E00709"/>
    <w:rsid w:val="00E01655"/>
    <w:rsid w:val="00E017FD"/>
    <w:rsid w:val="00E0199B"/>
    <w:rsid w:val="00E01D85"/>
    <w:rsid w:val="00E01EBC"/>
    <w:rsid w:val="00E02215"/>
    <w:rsid w:val="00E02302"/>
    <w:rsid w:val="00E0265A"/>
    <w:rsid w:val="00E028BF"/>
    <w:rsid w:val="00E02F17"/>
    <w:rsid w:val="00E030F8"/>
    <w:rsid w:val="00E03123"/>
    <w:rsid w:val="00E03501"/>
    <w:rsid w:val="00E03B31"/>
    <w:rsid w:val="00E03BFE"/>
    <w:rsid w:val="00E03E39"/>
    <w:rsid w:val="00E044CB"/>
    <w:rsid w:val="00E044E5"/>
    <w:rsid w:val="00E046B2"/>
    <w:rsid w:val="00E0479F"/>
    <w:rsid w:val="00E04DA6"/>
    <w:rsid w:val="00E04EAE"/>
    <w:rsid w:val="00E04FCD"/>
    <w:rsid w:val="00E05523"/>
    <w:rsid w:val="00E058C5"/>
    <w:rsid w:val="00E05A91"/>
    <w:rsid w:val="00E06225"/>
    <w:rsid w:val="00E06381"/>
    <w:rsid w:val="00E0794C"/>
    <w:rsid w:val="00E1023D"/>
    <w:rsid w:val="00E104E0"/>
    <w:rsid w:val="00E1063A"/>
    <w:rsid w:val="00E11DF4"/>
    <w:rsid w:val="00E11FA2"/>
    <w:rsid w:val="00E122C7"/>
    <w:rsid w:val="00E12515"/>
    <w:rsid w:val="00E14C6A"/>
    <w:rsid w:val="00E158E7"/>
    <w:rsid w:val="00E15B22"/>
    <w:rsid w:val="00E15BE2"/>
    <w:rsid w:val="00E16588"/>
    <w:rsid w:val="00E16A2A"/>
    <w:rsid w:val="00E1722F"/>
    <w:rsid w:val="00E17777"/>
    <w:rsid w:val="00E179FE"/>
    <w:rsid w:val="00E17B13"/>
    <w:rsid w:val="00E17BBA"/>
    <w:rsid w:val="00E20C72"/>
    <w:rsid w:val="00E20DE1"/>
    <w:rsid w:val="00E21206"/>
    <w:rsid w:val="00E212D1"/>
    <w:rsid w:val="00E21534"/>
    <w:rsid w:val="00E225E7"/>
    <w:rsid w:val="00E2270B"/>
    <w:rsid w:val="00E229D7"/>
    <w:rsid w:val="00E22B6D"/>
    <w:rsid w:val="00E22BCC"/>
    <w:rsid w:val="00E22EFA"/>
    <w:rsid w:val="00E230A5"/>
    <w:rsid w:val="00E233B3"/>
    <w:rsid w:val="00E23872"/>
    <w:rsid w:val="00E23E19"/>
    <w:rsid w:val="00E24004"/>
    <w:rsid w:val="00E240A7"/>
    <w:rsid w:val="00E241C6"/>
    <w:rsid w:val="00E24C55"/>
    <w:rsid w:val="00E24C64"/>
    <w:rsid w:val="00E24CA8"/>
    <w:rsid w:val="00E24F6E"/>
    <w:rsid w:val="00E259FB"/>
    <w:rsid w:val="00E25B0C"/>
    <w:rsid w:val="00E25BD1"/>
    <w:rsid w:val="00E26EE4"/>
    <w:rsid w:val="00E277BC"/>
    <w:rsid w:val="00E27B98"/>
    <w:rsid w:val="00E27D6D"/>
    <w:rsid w:val="00E30454"/>
    <w:rsid w:val="00E30D3F"/>
    <w:rsid w:val="00E30DB6"/>
    <w:rsid w:val="00E31145"/>
    <w:rsid w:val="00E31449"/>
    <w:rsid w:val="00E317A0"/>
    <w:rsid w:val="00E32810"/>
    <w:rsid w:val="00E32E44"/>
    <w:rsid w:val="00E33D56"/>
    <w:rsid w:val="00E34971"/>
    <w:rsid w:val="00E34F82"/>
    <w:rsid w:val="00E35609"/>
    <w:rsid w:val="00E356A5"/>
    <w:rsid w:val="00E35965"/>
    <w:rsid w:val="00E35DB1"/>
    <w:rsid w:val="00E36427"/>
    <w:rsid w:val="00E367FF"/>
    <w:rsid w:val="00E369E5"/>
    <w:rsid w:val="00E372C0"/>
    <w:rsid w:val="00E4053E"/>
    <w:rsid w:val="00E4152D"/>
    <w:rsid w:val="00E417DB"/>
    <w:rsid w:val="00E41A83"/>
    <w:rsid w:val="00E423CF"/>
    <w:rsid w:val="00E4260A"/>
    <w:rsid w:val="00E4283F"/>
    <w:rsid w:val="00E439C2"/>
    <w:rsid w:val="00E43E9D"/>
    <w:rsid w:val="00E443EC"/>
    <w:rsid w:val="00E447DF"/>
    <w:rsid w:val="00E450F5"/>
    <w:rsid w:val="00E4532D"/>
    <w:rsid w:val="00E45749"/>
    <w:rsid w:val="00E45845"/>
    <w:rsid w:val="00E45F74"/>
    <w:rsid w:val="00E45FC3"/>
    <w:rsid w:val="00E46064"/>
    <w:rsid w:val="00E46841"/>
    <w:rsid w:val="00E469C0"/>
    <w:rsid w:val="00E46CDC"/>
    <w:rsid w:val="00E47204"/>
    <w:rsid w:val="00E474B4"/>
    <w:rsid w:val="00E474D0"/>
    <w:rsid w:val="00E47922"/>
    <w:rsid w:val="00E47A23"/>
    <w:rsid w:val="00E47A3A"/>
    <w:rsid w:val="00E50216"/>
    <w:rsid w:val="00E507F7"/>
    <w:rsid w:val="00E50883"/>
    <w:rsid w:val="00E50E1E"/>
    <w:rsid w:val="00E50EB7"/>
    <w:rsid w:val="00E51952"/>
    <w:rsid w:val="00E51C47"/>
    <w:rsid w:val="00E52164"/>
    <w:rsid w:val="00E5272A"/>
    <w:rsid w:val="00E5326C"/>
    <w:rsid w:val="00E5406F"/>
    <w:rsid w:val="00E54277"/>
    <w:rsid w:val="00E546E3"/>
    <w:rsid w:val="00E5476C"/>
    <w:rsid w:val="00E54D1B"/>
    <w:rsid w:val="00E54DFD"/>
    <w:rsid w:val="00E55651"/>
    <w:rsid w:val="00E55A88"/>
    <w:rsid w:val="00E55AC6"/>
    <w:rsid w:val="00E563B9"/>
    <w:rsid w:val="00E56B70"/>
    <w:rsid w:val="00E57174"/>
    <w:rsid w:val="00E574D9"/>
    <w:rsid w:val="00E57A2C"/>
    <w:rsid w:val="00E57B7B"/>
    <w:rsid w:val="00E57E98"/>
    <w:rsid w:val="00E57EB7"/>
    <w:rsid w:val="00E60F60"/>
    <w:rsid w:val="00E61284"/>
    <w:rsid w:val="00E61B6C"/>
    <w:rsid w:val="00E61BB4"/>
    <w:rsid w:val="00E61CBC"/>
    <w:rsid w:val="00E61E85"/>
    <w:rsid w:val="00E6200D"/>
    <w:rsid w:val="00E62517"/>
    <w:rsid w:val="00E62CDE"/>
    <w:rsid w:val="00E63491"/>
    <w:rsid w:val="00E6377D"/>
    <w:rsid w:val="00E63A16"/>
    <w:rsid w:val="00E63C50"/>
    <w:rsid w:val="00E63FE1"/>
    <w:rsid w:val="00E64074"/>
    <w:rsid w:val="00E64338"/>
    <w:rsid w:val="00E644C6"/>
    <w:rsid w:val="00E6452D"/>
    <w:rsid w:val="00E648B5"/>
    <w:rsid w:val="00E65115"/>
    <w:rsid w:val="00E65232"/>
    <w:rsid w:val="00E65291"/>
    <w:rsid w:val="00E656F4"/>
    <w:rsid w:val="00E66193"/>
    <w:rsid w:val="00E6633B"/>
    <w:rsid w:val="00E66E33"/>
    <w:rsid w:val="00E67412"/>
    <w:rsid w:val="00E678EF"/>
    <w:rsid w:val="00E67B4E"/>
    <w:rsid w:val="00E701B5"/>
    <w:rsid w:val="00E702CA"/>
    <w:rsid w:val="00E709ED"/>
    <w:rsid w:val="00E70AA6"/>
    <w:rsid w:val="00E70DB6"/>
    <w:rsid w:val="00E71DF3"/>
    <w:rsid w:val="00E72E2B"/>
    <w:rsid w:val="00E7397F"/>
    <w:rsid w:val="00E739C7"/>
    <w:rsid w:val="00E739DA"/>
    <w:rsid w:val="00E73B2D"/>
    <w:rsid w:val="00E73D02"/>
    <w:rsid w:val="00E74016"/>
    <w:rsid w:val="00E74048"/>
    <w:rsid w:val="00E74505"/>
    <w:rsid w:val="00E74C9A"/>
    <w:rsid w:val="00E75294"/>
    <w:rsid w:val="00E75708"/>
    <w:rsid w:val="00E75D33"/>
    <w:rsid w:val="00E76BB7"/>
    <w:rsid w:val="00E76D3C"/>
    <w:rsid w:val="00E76E0C"/>
    <w:rsid w:val="00E7709C"/>
    <w:rsid w:val="00E77511"/>
    <w:rsid w:val="00E77815"/>
    <w:rsid w:val="00E77E8E"/>
    <w:rsid w:val="00E81784"/>
    <w:rsid w:val="00E81DF2"/>
    <w:rsid w:val="00E8270C"/>
    <w:rsid w:val="00E828DB"/>
    <w:rsid w:val="00E8298A"/>
    <w:rsid w:val="00E82ADB"/>
    <w:rsid w:val="00E832FC"/>
    <w:rsid w:val="00E83C45"/>
    <w:rsid w:val="00E8426D"/>
    <w:rsid w:val="00E8429E"/>
    <w:rsid w:val="00E842E7"/>
    <w:rsid w:val="00E843D4"/>
    <w:rsid w:val="00E84597"/>
    <w:rsid w:val="00E84ABD"/>
    <w:rsid w:val="00E85086"/>
    <w:rsid w:val="00E853B6"/>
    <w:rsid w:val="00E85A2B"/>
    <w:rsid w:val="00E86461"/>
    <w:rsid w:val="00E86A23"/>
    <w:rsid w:val="00E86A34"/>
    <w:rsid w:val="00E86B54"/>
    <w:rsid w:val="00E86B66"/>
    <w:rsid w:val="00E86EE5"/>
    <w:rsid w:val="00E87F11"/>
    <w:rsid w:val="00E90C9C"/>
    <w:rsid w:val="00E91247"/>
    <w:rsid w:val="00E91337"/>
    <w:rsid w:val="00E914B9"/>
    <w:rsid w:val="00E919F6"/>
    <w:rsid w:val="00E91BC8"/>
    <w:rsid w:val="00E92164"/>
    <w:rsid w:val="00E92313"/>
    <w:rsid w:val="00E93985"/>
    <w:rsid w:val="00E93BF1"/>
    <w:rsid w:val="00E93D00"/>
    <w:rsid w:val="00E93E15"/>
    <w:rsid w:val="00E941A6"/>
    <w:rsid w:val="00E9429B"/>
    <w:rsid w:val="00E94F7C"/>
    <w:rsid w:val="00E957C7"/>
    <w:rsid w:val="00E959AF"/>
    <w:rsid w:val="00E95AFB"/>
    <w:rsid w:val="00E96DFC"/>
    <w:rsid w:val="00E96EC3"/>
    <w:rsid w:val="00E97812"/>
    <w:rsid w:val="00E9788D"/>
    <w:rsid w:val="00E97AD0"/>
    <w:rsid w:val="00EA004F"/>
    <w:rsid w:val="00EA03E5"/>
    <w:rsid w:val="00EA0E28"/>
    <w:rsid w:val="00EA1778"/>
    <w:rsid w:val="00EA1956"/>
    <w:rsid w:val="00EA1E59"/>
    <w:rsid w:val="00EA221F"/>
    <w:rsid w:val="00EA2461"/>
    <w:rsid w:val="00EA2AC6"/>
    <w:rsid w:val="00EA2ACC"/>
    <w:rsid w:val="00EA2CD0"/>
    <w:rsid w:val="00EA3626"/>
    <w:rsid w:val="00EA3854"/>
    <w:rsid w:val="00EA38A4"/>
    <w:rsid w:val="00EA3A72"/>
    <w:rsid w:val="00EA3DB3"/>
    <w:rsid w:val="00EA4263"/>
    <w:rsid w:val="00EA4926"/>
    <w:rsid w:val="00EA595E"/>
    <w:rsid w:val="00EA60BD"/>
    <w:rsid w:val="00EA6A2A"/>
    <w:rsid w:val="00EA75AB"/>
    <w:rsid w:val="00EA7704"/>
    <w:rsid w:val="00EA7982"/>
    <w:rsid w:val="00EA7A0B"/>
    <w:rsid w:val="00EB0583"/>
    <w:rsid w:val="00EB097F"/>
    <w:rsid w:val="00EB0DEE"/>
    <w:rsid w:val="00EB1426"/>
    <w:rsid w:val="00EB1496"/>
    <w:rsid w:val="00EB24AD"/>
    <w:rsid w:val="00EB2868"/>
    <w:rsid w:val="00EB2E21"/>
    <w:rsid w:val="00EB2F30"/>
    <w:rsid w:val="00EB36F8"/>
    <w:rsid w:val="00EB3708"/>
    <w:rsid w:val="00EB45B3"/>
    <w:rsid w:val="00EB476A"/>
    <w:rsid w:val="00EB4F54"/>
    <w:rsid w:val="00EB5132"/>
    <w:rsid w:val="00EB523B"/>
    <w:rsid w:val="00EB58A4"/>
    <w:rsid w:val="00EB59C9"/>
    <w:rsid w:val="00EB5DBE"/>
    <w:rsid w:val="00EB6633"/>
    <w:rsid w:val="00EB6B85"/>
    <w:rsid w:val="00EB6D80"/>
    <w:rsid w:val="00EB6D9D"/>
    <w:rsid w:val="00EB7D9C"/>
    <w:rsid w:val="00EB7FFE"/>
    <w:rsid w:val="00EC0AA0"/>
    <w:rsid w:val="00EC0CC5"/>
    <w:rsid w:val="00EC0F7D"/>
    <w:rsid w:val="00EC1183"/>
    <w:rsid w:val="00EC15DB"/>
    <w:rsid w:val="00EC1D8F"/>
    <w:rsid w:val="00EC1D9F"/>
    <w:rsid w:val="00EC1E89"/>
    <w:rsid w:val="00EC2351"/>
    <w:rsid w:val="00EC3113"/>
    <w:rsid w:val="00EC31BB"/>
    <w:rsid w:val="00EC36D1"/>
    <w:rsid w:val="00EC414F"/>
    <w:rsid w:val="00EC452E"/>
    <w:rsid w:val="00EC4564"/>
    <w:rsid w:val="00EC4E51"/>
    <w:rsid w:val="00EC57F3"/>
    <w:rsid w:val="00EC58A5"/>
    <w:rsid w:val="00EC59D3"/>
    <w:rsid w:val="00EC5A51"/>
    <w:rsid w:val="00EC5CC3"/>
    <w:rsid w:val="00EC63F0"/>
    <w:rsid w:val="00EC6A46"/>
    <w:rsid w:val="00EC6A60"/>
    <w:rsid w:val="00EC6C3D"/>
    <w:rsid w:val="00EC6F29"/>
    <w:rsid w:val="00EC6F43"/>
    <w:rsid w:val="00EC77B1"/>
    <w:rsid w:val="00EC7994"/>
    <w:rsid w:val="00ED048D"/>
    <w:rsid w:val="00ED0675"/>
    <w:rsid w:val="00ED06A0"/>
    <w:rsid w:val="00ED0AEF"/>
    <w:rsid w:val="00ED0BEE"/>
    <w:rsid w:val="00ED0C41"/>
    <w:rsid w:val="00ED147A"/>
    <w:rsid w:val="00ED15D2"/>
    <w:rsid w:val="00ED1A8A"/>
    <w:rsid w:val="00ED2021"/>
    <w:rsid w:val="00ED20C6"/>
    <w:rsid w:val="00ED2489"/>
    <w:rsid w:val="00ED2684"/>
    <w:rsid w:val="00ED2992"/>
    <w:rsid w:val="00ED2A88"/>
    <w:rsid w:val="00ED2D92"/>
    <w:rsid w:val="00ED2DE8"/>
    <w:rsid w:val="00ED2E11"/>
    <w:rsid w:val="00ED3632"/>
    <w:rsid w:val="00ED45B1"/>
    <w:rsid w:val="00ED4874"/>
    <w:rsid w:val="00ED4E3B"/>
    <w:rsid w:val="00ED5000"/>
    <w:rsid w:val="00ED5198"/>
    <w:rsid w:val="00ED52ED"/>
    <w:rsid w:val="00ED596A"/>
    <w:rsid w:val="00ED5E64"/>
    <w:rsid w:val="00ED60E6"/>
    <w:rsid w:val="00ED63DA"/>
    <w:rsid w:val="00ED674D"/>
    <w:rsid w:val="00ED682B"/>
    <w:rsid w:val="00ED697D"/>
    <w:rsid w:val="00ED6E03"/>
    <w:rsid w:val="00ED7697"/>
    <w:rsid w:val="00ED78B1"/>
    <w:rsid w:val="00ED795D"/>
    <w:rsid w:val="00ED7BE2"/>
    <w:rsid w:val="00ED7FCA"/>
    <w:rsid w:val="00EE015E"/>
    <w:rsid w:val="00EE0198"/>
    <w:rsid w:val="00EE01CE"/>
    <w:rsid w:val="00EE0447"/>
    <w:rsid w:val="00EE06ED"/>
    <w:rsid w:val="00EE0C21"/>
    <w:rsid w:val="00EE12AC"/>
    <w:rsid w:val="00EE15FA"/>
    <w:rsid w:val="00EE18BC"/>
    <w:rsid w:val="00EE1E9C"/>
    <w:rsid w:val="00EE2AC7"/>
    <w:rsid w:val="00EE30B3"/>
    <w:rsid w:val="00EE3436"/>
    <w:rsid w:val="00EE351F"/>
    <w:rsid w:val="00EE3B5C"/>
    <w:rsid w:val="00EE3D83"/>
    <w:rsid w:val="00EE4C62"/>
    <w:rsid w:val="00EE4D91"/>
    <w:rsid w:val="00EE4F9F"/>
    <w:rsid w:val="00EE5768"/>
    <w:rsid w:val="00EE610F"/>
    <w:rsid w:val="00EE69CD"/>
    <w:rsid w:val="00EE6CEB"/>
    <w:rsid w:val="00EE7305"/>
    <w:rsid w:val="00EE796E"/>
    <w:rsid w:val="00EE79CC"/>
    <w:rsid w:val="00EF099E"/>
    <w:rsid w:val="00EF0F46"/>
    <w:rsid w:val="00EF1007"/>
    <w:rsid w:val="00EF1140"/>
    <w:rsid w:val="00EF1172"/>
    <w:rsid w:val="00EF18A9"/>
    <w:rsid w:val="00EF1AFA"/>
    <w:rsid w:val="00EF1BCB"/>
    <w:rsid w:val="00EF1C93"/>
    <w:rsid w:val="00EF1F9E"/>
    <w:rsid w:val="00EF20BD"/>
    <w:rsid w:val="00EF2C6A"/>
    <w:rsid w:val="00EF2C95"/>
    <w:rsid w:val="00EF3214"/>
    <w:rsid w:val="00EF348A"/>
    <w:rsid w:val="00EF382B"/>
    <w:rsid w:val="00EF38E4"/>
    <w:rsid w:val="00EF3DCA"/>
    <w:rsid w:val="00EF3F94"/>
    <w:rsid w:val="00EF3FE2"/>
    <w:rsid w:val="00EF406F"/>
    <w:rsid w:val="00EF4DD2"/>
    <w:rsid w:val="00EF4E04"/>
    <w:rsid w:val="00EF4FE4"/>
    <w:rsid w:val="00EF52DA"/>
    <w:rsid w:val="00EF5564"/>
    <w:rsid w:val="00EF5867"/>
    <w:rsid w:val="00EF5AFD"/>
    <w:rsid w:val="00EF5F18"/>
    <w:rsid w:val="00EF5F7E"/>
    <w:rsid w:val="00EF600D"/>
    <w:rsid w:val="00EF651C"/>
    <w:rsid w:val="00EF670E"/>
    <w:rsid w:val="00EF69C3"/>
    <w:rsid w:val="00EF6E9D"/>
    <w:rsid w:val="00EF6F2E"/>
    <w:rsid w:val="00EF73A7"/>
    <w:rsid w:val="00EF7C16"/>
    <w:rsid w:val="00F00380"/>
    <w:rsid w:val="00F01488"/>
    <w:rsid w:val="00F01AF0"/>
    <w:rsid w:val="00F01B94"/>
    <w:rsid w:val="00F01FEE"/>
    <w:rsid w:val="00F0235E"/>
    <w:rsid w:val="00F02938"/>
    <w:rsid w:val="00F03B21"/>
    <w:rsid w:val="00F03CB1"/>
    <w:rsid w:val="00F03F89"/>
    <w:rsid w:val="00F047BE"/>
    <w:rsid w:val="00F04C27"/>
    <w:rsid w:val="00F04E32"/>
    <w:rsid w:val="00F05034"/>
    <w:rsid w:val="00F05BC3"/>
    <w:rsid w:val="00F05FE1"/>
    <w:rsid w:val="00F06447"/>
    <w:rsid w:val="00F06963"/>
    <w:rsid w:val="00F06EE4"/>
    <w:rsid w:val="00F07317"/>
    <w:rsid w:val="00F07A94"/>
    <w:rsid w:val="00F07C3A"/>
    <w:rsid w:val="00F10012"/>
    <w:rsid w:val="00F100CA"/>
    <w:rsid w:val="00F1026F"/>
    <w:rsid w:val="00F1060C"/>
    <w:rsid w:val="00F109C1"/>
    <w:rsid w:val="00F10BAC"/>
    <w:rsid w:val="00F11048"/>
    <w:rsid w:val="00F112E3"/>
    <w:rsid w:val="00F11D72"/>
    <w:rsid w:val="00F1227F"/>
    <w:rsid w:val="00F12C4E"/>
    <w:rsid w:val="00F13441"/>
    <w:rsid w:val="00F13EA2"/>
    <w:rsid w:val="00F140FA"/>
    <w:rsid w:val="00F143AA"/>
    <w:rsid w:val="00F1442F"/>
    <w:rsid w:val="00F14440"/>
    <w:rsid w:val="00F14D82"/>
    <w:rsid w:val="00F152EA"/>
    <w:rsid w:val="00F16344"/>
    <w:rsid w:val="00F16635"/>
    <w:rsid w:val="00F16F85"/>
    <w:rsid w:val="00F170E6"/>
    <w:rsid w:val="00F174E9"/>
    <w:rsid w:val="00F17BE1"/>
    <w:rsid w:val="00F17C41"/>
    <w:rsid w:val="00F17F32"/>
    <w:rsid w:val="00F20162"/>
    <w:rsid w:val="00F2055F"/>
    <w:rsid w:val="00F205DA"/>
    <w:rsid w:val="00F20771"/>
    <w:rsid w:val="00F21222"/>
    <w:rsid w:val="00F214B7"/>
    <w:rsid w:val="00F216DA"/>
    <w:rsid w:val="00F21B07"/>
    <w:rsid w:val="00F22094"/>
    <w:rsid w:val="00F2214A"/>
    <w:rsid w:val="00F22A73"/>
    <w:rsid w:val="00F230F4"/>
    <w:rsid w:val="00F231F9"/>
    <w:rsid w:val="00F23B08"/>
    <w:rsid w:val="00F23CD5"/>
    <w:rsid w:val="00F23DE7"/>
    <w:rsid w:val="00F24BB6"/>
    <w:rsid w:val="00F25286"/>
    <w:rsid w:val="00F25705"/>
    <w:rsid w:val="00F25A18"/>
    <w:rsid w:val="00F25E17"/>
    <w:rsid w:val="00F27264"/>
    <w:rsid w:val="00F27BF3"/>
    <w:rsid w:val="00F27E47"/>
    <w:rsid w:val="00F27F65"/>
    <w:rsid w:val="00F3005A"/>
    <w:rsid w:val="00F3011E"/>
    <w:rsid w:val="00F302D4"/>
    <w:rsid w:val="00F30A29"/>
    <w:rsid w:val="00F30B6C"/>
    <w:rsid w:val="00F319AF"/>
    <w:rsid w:val="00F31D5D"/>
    <w:rsid w:val="00F32199"/>
    <w:rsid w:val="00F322B2"/>
    <w:rsid w:val="00F322CD"/>
    <w:rsid w:val="00F333DA"/>
    <w:rsid w:val="00F33B39"/>
    <w:rsid w:val="00F33C07"/>
    <w:rsid w:val="00F33CC1"/>
    <w:rsid w:val="00F33E5A"/>
    <w:rsid w:val="00F34830"/>
    <w:rsid w:val="00F354FE"/>
    <w:rsid w:val="00F36355"/>
    <w:rsid w:val="00F36937"/>
    <w:rsid w:val="00F37013"/>
    <w:rsid w:val="00F37241"/>
    <w:rsid w:val="00F3729A"/>
    <w:rsid w:val="00F3741A"/>
    <w:rsid w:val="00F37481"/>
    <w:rsid w:val="00F375A0"/>
    <w:rsid w:val="00F37970"/>
    <w:rsid w:val="00F37AE5"/>
    <w:rsid w:val="00F41185"/>
    <w:rsid w:val="00F41371"/>
    <w:rsid w:val="00F414ED"/>
    <w:rsid w:val="00F41798"/>
    <w:rsid w:val="00F4179D"/>
    <w:rsid w:val="00F42094"/>
    <w:rsid w:val="00F422A4"/>
    <w:rsid w:val="00F42452"/>
    <w:rsid w:val="00F427F8"/>
    <w:rsid w:val="00F42C03"/>
    <w:rsid w:val="00F42CB8"/>
    <w:rsid w:val="00F43B2D"/>
    <w:rsid w:val="00F43C39"/>
    <w:rsid w:val="00F43D0F"/>
    <w:rsid w:val="00F43DE7"/>
    <w:rsid w:val="00F441D5"/>
    <w:rsid w:val="00F4451E"/>
    <w:rsid w:val="00F4484E"/>
    <w:rsid w:val="00F44E98"/>
    <w:rsid w:val="00F4503E"/>
    <w:rsid w:val="00F4508C"/>
    <w:rsid w:val="00F4555E"/>
    <w:rsid w:val="00F45D97"/>
    <w:rsid w:val="00F4607B"/>
    <w:rsid w:val="00F46421"/>
    <w:rsid w:val="00F467E7"/>
    <w:rsid w:val="00F47681"/>
    <w:rsid w:val="00F47FAC"/>
    <w:rsid w:val="00F50064"/>
    <w:rsid w:val="00F506C5"/>
    <w:rsid w:val="00F50844"/>
    <w:rsid w:val="00F50A0A"/>
    <w:rsid w:val="00F50A27"/>
    <w:rsid w:val="00F50B1C"/>
    <w:rsid w:val="00F51670"/>
    <w:rsid w:val="00F51D65"/>
    <w:rsid w:val="00F51FB3"/>
    <w:rsid w:val="00F524B8"/>
    <w:rsid w:val="00F52E71"/>
    <w:rsid w:val="00F52FED"/>
    <w:rsid w:val="00F53104"/>
    <w:rsid w:val="00F534AF"/>
    <w:rsid w:val="00F53575"/>
    <w:rsid w:val="00F53837"/>
    <w:rsid w:val="00F53A4C"/>
    <w:rsid w:val="00F53DB0"/>
    <w:rsid w:val="00F5441A"/>
    <w:rsid w:val="00F54978"/>
    <w:rsid w:val="00F55460"/>
    <w:rsid w:val="00F5571B"/>
    <w:rsid w:val="00F55A6B"/>
    <w:rsid w:val="00F55D75"/>
    <w:rsid w:val="00F55E16"/>
    <w:rsid w:val="00F57165"/>
    <w:rsid w:val="00F57178"/>
    <w:rsid w:val="00F57192"/>
    <w:rsid w:val="00F5734E"/>
    <w:rsid w:val="00F5740B"/>
    <w:rsid w:val="00F574C7"/>
    <w:rsid w:val="00F57B76"/>
    <w:rsid w:val="00F60344"/>
    <w:rsid w:val="00F613B0"/>
    <w:rsid w:val="00F61418"/>
    <w:rsid w:val="00F61852"/>
    <w:rsid w:val="00F61C9E"/>
    <w:rsid w:val="00F6239F"/>
    <w:rsid w:val="00F629CE"/>
    <w:rsid w:val="00F62A83"/>
    <w:rsid w:val="00F6382F"/>
    <w:rsid w:val="00F63E31"/>
    <w:rsid w:val="00F6458C"/>
    <w:rsid w:val="00F6470C"/>
    <w:rsid w:val="00F64960"/>
    <w:rsid w:val="00F64A99"/>
    <w:rsid w:val="00F64B57"/>
    <w:rsid w:val="00F64C1A"/>
    <w:rsid w:val="00F64D2A"/>
    <w:rsid w:val="00F6511A"/>
    <w:rsid w:val="00F65FBC"/>
    <w:rsid w:val="00F66350"/>
    <w:rsid w:val="00F66473"/>
    <w:rsid w:val="00F6663C"/>
    <w:rsid w:val="00F66A12"/>
    <w:rsid w:val="00F66FB0"/>
    <w:rsid w:val="00F66FE7"/>
    <w:rsid w:val="00F670DB"/>
    <w:rsid w:val="00F67396"/>
    <w:rsid w:val="00F67554"/>
    <w:rsid w:val="00F67755"/>
    <w:rsid w:val="00F67966"/>
    <w:rsid w:val="00F67B74"/>
    <w:rsid w:val="00F70378"/>
    <w:rsid w:val="00F7048D"/>
    <w:rsid w:val="00F704FC"/>
    <w:rsid w:val="00F705A3"/>
    <w:rsid w:val="00F7095C"/>
    <w:rsid w:val="00F709EE"/>
    <w:rsid w:val="00F70A5C"/>
    <w:rsid w:val="00F70B22"/>
    <w:rsid w:val="00F70BC6"/>
    <w:rsid w:val="00F713C0"/>
    <w:rsid w:val="00F7189C"/>
    <w:rsid w:val="00F71AE6"/>
    <w:rsid w:val="00F72B76"/>
    <w:rsid w:val="00F72BAB"/>
    <w:rsid w:val="00F72EDB"/>
    <w:rsid w:val="00F72F07"/>
    <w:rsid w:val="00F73681"/>
    <w:rsid w:val="00F736A6"/>
    <w:rsid w:val="00F73746"/>
    <w:rsid w:val="00F73B9E"/>
    <w:rsid w:val="00F73CD9"/>
    <w:rsid w:val="00F742FE"/>
    <w:rsid w:val="00F74658"/>
    <w:rsid w:val="00F74995"/>
    <w:rsid w:val="00F7520C"/>
    <w:rsid w:val="00F752B8"/>
    <w:rsid w:val="00F75B85"/>
    <w:rsid w:val="00F76715"/>
    <w:rsid w:val="00F76986"/>
    <w:rsid w:val="00F76B6F"/>
    <w:rsid w:val="00F76D2C"/>
    <w:rsid w:val="00F7702F"/>
    <w:rsid w:val="00F77256"/>
    <w:rsid w:val="00F7772E"/>
    <w:rsid w:val="00F77A1F"/>
    <w:rsid w:val="00F77A46"/>
    <w:rsid w:val="00F77B14"/>
    <w:rsid w:val="00F77BA5"/>
    <w:rsid w:val="00F77FA2"/>
    <w:rsid w:val="00F80093"/>
    <w:rsid w:val="00F80312"/>
    <w:rsid w:val="00F80D08"/>
    <w:rsid w:val="00F817D5"/>
    <w:rsid w:val="00F81BAA"/>
    <w:rsid w:val="00F81CF6"/>
    <w:rsid w:val="00F81D41"/>
    <w:rsid w:val="00F825E8"/>
    <w:rsid w:val="00F831DA"/>
    <w:rsid w:val="00F83268"/>
    <w:rsid w:val="00F83424"/>
    <w:rsid w:val="00F83444"/>
    <w:rsid w:val="00F83574"/>
    <w:rsid w:val="00F83787"/>
    <w:rsid w:val="00F837A4"/>
    <w:rsid w:val="00F838C4"/>
    <w:rsid w:val="00F83BD7"/>
    <w:rsid w:val="00F83C32"/>
    <w:rsid w:val="00F83C5A"/>
    <w:rsid w:val="00F83C96"/>
    <w:rsid w:val="00F83D77"/>
    <w:rsid w:val="00F8415D"/>
    <w:rsid w:val="00F84A8C"/>
    <w:rsid w:val="00F854BD"/>
    <w:rsid w:val="00F856F1"/>
    <w:rsid w:val="00F85B0B"/>
    <w:rsid w:val="00F85BB6"/>
    <w:rsid w:val="00F85FA0"/>
    <w:rsid w:val="00F8647D"/>
    <w:rsid w:val="00F87545"/>
    <w:rsid w:val="00F878A5"/>
    <w:rsid w:val="00F87EE2"/>
    <w:rsid w:val="00F904A7"/>
    <w:rsid w:val="00F90604"/>
    <w:rsid w:val="00F907CE"/>
    <w:rsid w:val="00F90B2E"/>
    <w:rsid w:val="00F90D80"/>
    <w:rsid w:val="00F915FD"/>
    <w:rsid w:val="00F916F0"/>
    <w:rsid w:val="00F9170F"/>
    <w:rsid w:val="00F91FB8"/>
    <w:rsid w:val="00F92531"/>
    <w:rsid w:val="00F9291B"/>
    <w:rsid w:val="00F9329E"/>
    <w:rsid w:val="00F93DA3"/>
    <w:rsid w:val="00F93EC5"/>
    <w:rsid w:val="00F943EF"/>
    <w:rsid w:val="00F94B4B"/>
    <w:rsid w:val="00F94FCB"/>
    <w:rsid w:val="00F950FB"/>
    <w:rsid w:val="00F95892"/>
    <w:rsid w:val="00F960CF"/>
    <w:rsid w:val="00F963C4"/>
    <w:rsid w:val="00F96481"/>
    <w:rsid w:val="00F971CE"/>
    <w:rsid w:val="00F97585"/>
    <w:rsid w:val="00F97A71"/>
    <w:rsid w:val="00F97B8D"/>
    <w:rsid w:val="00FA014D"/>
    <w:rsid w:val="00FA0A20"/>
    <w:rsid w:val="00FA0AAA"/>
    <w:rsid w:val="00FA0C85"/>
    <w:rsid w:val="00FA0DB0"/>
    <w:rsid w:val="00FA1361"/>
    <w:rsid w:val="00FA3013"/>
    <w:rsid w:val="00FA3DF9"/>
    <w:rsid w:val="00FA3FCE"/>
    <w:rsid w:val="00FA404F"/>
    <w:rsid w:val="00FA46C5"/>
    <w:rsid w:val="00FA4F2B"/>
    <w:rsid w:val="00FA5AE8"/>
    <w:rsid w:val="00FA5E36"/>
    <w:rsid w:val="00FA6637"/>
    <w:rsid w:val="00FA66DB"/>
    <w:rsid w:val="00FA6FD2"/>
    <w:rsid w:val="00FA7554"/>
    <w:rsid w:val="00FA7794"/>
    <w:rsid w:val="00FA7975"/>
    <w:rsid w:val="00FA79B9"/>
    <w:rsid w:val="00FA7EB5"/>
    <w:rsid w:val="00FB093B"/>
    <w:rsid w:val="00FB10B5"/>
    <w:rsid w:val="00FB234F"/>
    <w:rsid w:val="00FB2C26"/>
    <w:rsid w:val="00FB3260"/>
    <w:rsid w:val="00FB33F5"/>
    <w:rsid w:val="00FB3828"/>
    <w:rsid w:val="00FB3F47"/>
    <w:rsid w:val="00FB4A5C"/>
    <w:rsid w:val="00FB4A79"/>
    <w:rsid w:val="00FB5121"/>
    <w:rsid w:val="00FB57F1"/>
    <w:rsid w:val="00FB5A9C"/>
    <w:rsid w:val="00FB5FE9"/>
    <w:rsid w:val="00FB6408"/>
    <w:rsid w:val="00FB6936"/>
    <w:rsid w:val="00FB7185"/>
    <w:rsid w:val="00FB732F"/>
    <w:rsid w:val="00FB734E"/>
    <w:rsid w:val="00FB756B"/>
    <w:rsid w:val="00FB7878"/>
    <w:rsid w:val="00FB789F"/>
    <w:rsid w:val="00FB7B37"/>
    <w:rsid w:val="00FB7F52"/>
    <w:rsid w:val="00FC02D9"/>
    <w:rsid w:val="00FC0FA4"/>
    <w:rsid w:val="00FC1156"/>
    <w:rsid w:val="00FC135D"/>
    <w:rsid w:val="00FC1582"/>
    <w:rsid w:val="00FC1EA2"/>
    <w:rsid w:val="00FC31BE"/>
    <w:rsid w:val="00FC32A8"/>
    <w:rsid w:val="00FC332B"/>
    <w:rsid w:val="00FC3549"/>
    <w:rsid w:val="00FC3A6E"/>
    <w:rsid w:val="00FC3B40"/>
    <w:rsid w:val="00FC3E24"/>
    <w:rsid w:val="00FC3EDF"/>
    <w:rsid w:val="00FC4031"/>
    <w:rsid w:val="00FC41BA"/>
    <w:rsid w:val="00FC43BC"/>
    <w:rsid w:val="00FC446E"/>
    <w:rsid w:val="00FC48A9"/>
    <w:rsid w:val="00FC4B4F"/>
    <w:rsid w:val="00FC501C"/>
    <w:rsid w:val="00FC54DA"/>
    <w:rsid w:val="00FC58A6"/>
    <w:rsid w:val="00FC5C80"/>
    <w:rsid w:val="00FC68B1"/>
    <w:rsid w:val="00FC6938"/>
    <w:rsid w:val="00FC6A54"/>
    <w:rsid w:val="00FC6CB6"/>
    <w:rsid w:val="00FC6E55"/>
    <w:rsid w:val="00FC6F77"/>
    <w:rsid w:val="00FC7C79"/>
    <w:rsid w:val="00FC7F02"/>
    <w:rsid w:val="00FC7F8D"/>
    <w:rsid w:val="00FD0633"/>
    <w:rsid w:val="00FD0691"/>
    <w:rsid w:val="00FD0A98"/>
    <w:rsid w:val="00FD0C4E"/>
    <w:rsid w:val="00FD148E"/>
    <w:rsid w:val="00FD1522"/>
    <w:rsid w:val="00FD193B"/>
    <w:rsid w:val="00FD275D"/>
    <w:rsid w:val="00FD2927"/>
    <w:rsid w:val="00FD2928"/>
    <w:rsid w:val="00FD29E5"/>
    <w:rsid w:val="00FD3111"/>
    <w:rsid w:val="00FD324A"/>
    <w:rsid w:val="00FD38A2"/>
    <w:rsid w:val="00FD4026"/>
    <w:rsid w:val="00FD40E2"/>
    <w:rsid w:val="00FD4D5A"/>
    <w:rsid w:val="00FD4FB9"/>
    <w:rsid w:val="00FD50BA"/>
    <w:rsid w:val="00FD5178"/>
    <w:rsid w:val="00FD519B"/>
    <w:rsid w:val="00FD51C1"/>
    <w:rsid w:val="00FD5297"/>
    <w:rsid w:val="00FD55D1"/>
    <w:rsid w:val="00FD5642"/>
    <w:rsid w:val="00FD5AED"/>
    <w:rsid w:val="00FD5B38"/>
    <w:rsid w:val="00FD5B6C"/>
    <w:rsid w:val="00FD5C4B"/>
    <w:rsid w:val="00FD65DE"/>
    <w:rsid w:val="00FD73A3"/>
    <w:rsid w:val="00FD73D0"/>
    <w:rsid w:val="00FD7798"/>
    <w:rsid w:val="00FD7A78"/>
    <w:rsid w:val="00FD7CDF"/>
    <w:rsid w:val="00FE09C0"/>
    <w:rsid w:val="00FE1333"/>
    <w:rsid w:val="00FE17CF"/>
    <w:rsid w:val="00FE1977"/>
    <w:rsid w:val="00FE1C4F"/>
    <w:rsid w:val="00FE20A3"/>
    <w:rsid w:val="00FE2344"/>
    <w:rsid w:val="00FE26D5"/>
    <w:rsid w:val="00FE2B6A"/>
    <w:rsid w:val="00FE30C3"/>
    <w:rsid w:val="00FE3F9D"/>
    <w:rsid w:val="00FE4469"/>
    <w:rsid w:val="00FE498E"/>
    <w:rsid w:val="00FE4A35"/>
    <w:rsid w:val="00FE4EC9"/>
    <w:rsid w:val="00FE5077"/>
    <w:rsid w:val="00FE5246"/>
    <w:rsid w:val="00FE5460"/>
    <w:rsid w:val="00FE56D4"/>
    <w:rsid w:val="00FE5E8B"/>
    <w:rsid w:val="00FE60E9"/>
    <w:rsid w:val="00FE611E"/>
    <w:rsid w:val="00FE643E"/>
    <w:rsid w:val="00FE6C7B"/>
    <w:rsid w:val="00FE6F49"/>
    <w:rsid w:val="00FE73F2"/>
    <w:rsid w:val="00FE7839"/>
    <w:rsid w:val="00FE7AC5"/>
    <w:rsid w:val="00FE7F86"/>
    <w:rsid w:val="00FF014A"/>
    <w:rsid w:val="00FF057D"/>
    <w:rsid w:val="00FF13E9"/>
    <w:rsid w:val="00FF15E9"/>
    <w:rsid w:val="00FF16C6"/>
    <w:rsid w:val="00FF1837"/>
    <w:rsid w:val="00FF1D32"/>
    <w:rsid w:val="00FF1EF6"/>
    <w:rsid w:val="00FF1F78"/>
    <w:rsid w:val="00FF2A25"/>
    <w:rsid w:val="00FF2AC6"/>
    <w:rsid w:val="00FF3489"/>
    <w:rsid w:val="00FF3911"/>
    <w:rsid w:val="00FF3914"/>
    <w:rsid w:val="00FF3A79"/>
    <w:rsid w:val="00FF49B0"/>
    <w:rsid w:val="00FF4BB9"/>
    <w:rsid w:val="00FF5274"/>
    <w:rsid w:val="00FF53A3"/>
    <w:rsid w:val="00FF55CA"/>
    <w:rsid w:val="00FF5A1A"/>
    <w:rsid w:val="00FF667A"/>
    <w:rsid w:val="00FF7326"/>
    <w:rsid w:val="00FF7E7A"/>
    <w:rsid w:val="37187518"/>
    <w:rsid w:val="63817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qFormat/>
    <w:uiPriority w:val="9"/>
    <w:pPr>
      <w:ind w:left="890"/>
      <w:outlineLvl w:val="0"/>
    </w:pPr>
    <w:rPr>
      <w:rFonts w:ascii="微软雅黑" w:hAnsi="微软雅黑" w:eastAsia="微软雅黑" w:cs="微软雅黑"/>
      <w:sz w:val="36"/>
      <w:szCs w:val="36"/>
    </w:rPr>
  </w:style>
  <w:style w:type="paragraph" w:styleId="3">
    <w:name w:val="heading 3"/>
    <w:basedOn w:val="1"/>
    <w:next w:val="1"/>
    <w:link w:val="33"/>
    <w:qFormat/>
    <w:uiPriority w:val="0"/>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Document Map"/>
    <w:basedOn w:val="1"/>
    <w:link w:val="25"/>
    <w:unhideWhenUsed/>
    <w:uiPriority w:val="0"/>
    <w:pPr>
      <w:autoSpaceDE/>
      <w:autoSpaceDN/>
      <w:spacing w:line="360" w:lineRule="auto"/>
      <w:ind w:firstLine="200" w:firstLineChars="200"/>
      <w:jc w:val="both"/>
    </w:pPr>
    <w:rPr>
      <w:rFonts w:cs="Times New Roman"/>
      <w:sz w:val="18"/>
      <w:szCs w:val="18"/>
      <w:lang w:val="zh-CN" w:eastAsia="zh-CN"/>
    </w:rPr>
  </w:style>
  <w:style w:type="paragraph" w:styleId="5">
    <w:name w:val="Body Text"/>
    <w:basedOn w:val="1"/>
    <w:qFormat/>
    <w:uiPriority w:val="1"/>
    <w:rPr>
      <w:rFonts w:ascii="黑体" w:hAnsi="黑体" w:eastAsia="黑体" w:cs="黑体"/>
      <w:sz w:val="30"/>
      <w:szCs w:val="30"/>
    </w:rPr>
  </w:style>
  <w:style w:type="paragraph" w:styleId="6">
    <w:name w:val="Balloon Text"/>
    <w:basedOn w:val="1"/>
    <w:link w:val="26"/>
    <w:semiHidden/>
    <w:unhideWhenUsed/>
    <w:uiPriority w:val="99"/>
    <w:rPr>
      <w:sz w:val="18"/>
      <w:szCs w:val="18"/>
    </w:rPr>
  </w:style>
  <w:style w:type="paragraph" w:styleId="7">
    <w:name w:val="footer"/>
    <w:basedOn w:val="1"/>
    <w:link w:val="20"/>
    <w:unhideWhenUsed/>
    <w:uiPriority w:val="99"/>
    <w:pPr>
      <w:tabs>
        <w:tab w:val="center" w:pos="4153"/>
        <w:tab w:val="right" w:pos="8306"/>
      </w:tabs>
      <w:snapToGrid w:val="0"/>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uiPriority w:val="39"/>
  </w:style>
  <w:style w:type="paragraph" w:styleId="10">
    <w:name w:val="table of figures"/>
    <w:basedOn w:val="1"/>
    <w:next w:val="1"/>
    <w:semiHidden/>
    <w:unhideWhenUsed/>
    <w:uiPriority w:val="99"/>
    <w:pPr>
      <w:ind w:left="200" w:leftChars="200" w:hanging="200" w:hangingChars="200"/>
    </w:p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semiHidden/>
    <w:unhideWhenUsed/>
    <w:uiPriority w:val="99"/>
    <w:rPr>
      <w:color w:val="800080" w:themeColor="followedHyperlink"/>
      <w:u w:val="single"/>
    </w:rPr>
  </w:style>
  <w:style w:type="character" w:styleId="15">
    <w:name w:val="Hyperlink"/>
    <w:basedOn w:val="13"/>
    <w:unhideWhenUsed/>
    <w:uiPriority w:val="99"/>
    <w:rPr>
      <w:color w:val="0000FF" w:themeColor="hyperlink"/>
      <w:u w:val="single"/>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style>
  <w:style w:type="paragraph" w:customStyle="1" w:styleId="18">
    <w:name w:val="Table Paragraph"/>
    <w:basedOn w:val="1"/>
    <w:qFormat/>
    <w:uiPriority w:val="1"/>
  </w:style>
  <w:style w:type="character" w:customStyle="1" w:styleId="19">
    <w:name w:val="页眉 字符"/>
    <w:basedOn w:val="13"/>
    <w:link w:val="8"/>
    <w:qFormat/>
    <w:uiPriority w:val="99"/>
    <w:rPr>
      <w:rFonts w:ascii="宋体" w:hAnsi="宋体" w:eastAsia="宋体" w:cs="宋体"/>
      <w:sz w:val="18"/>
      <w:szCs w:val="18"/>
    </w:rPr>
  </w:style>
  <w:style w:type="character" w:customStyle="1" w:styleId="20">
    <w:name w:val="页脚 字符"/>
    <w:basedOn w:val="13"/>
    <w:link w:val="7"/>
    <w:uiPriority w:val="99"/>
    <w:rPr>
      <w:rFonts w:ascii="宋体" w:hAnsi="宋体" w:eastAsia="宋体" w:cs="宋体"/>
      <w:sz w:val="18"/>
      <w:szCs w:val="18"/>
    </w:rPr>
  </w:style>
  <w:style w:type="paragraph" w:customStyle="1" w:styleId="21">
    <w:name w:val="表格内文字"/>
    <w:basedOn w:val="1"/>
    <w:next w:val="1"/>
    <w:link w:val="22"/>
    <w:qFormat/>
    <w:uiPriority w:val="0"/>
    <w:pPr>
      <w:widowControl/>
      <w:autoSpaceDE/>
      <w:autoSpaceDN/>
      <w:jc w:val="center"/>
    </w:pPr>
    <w:rPr>
      <w:rFonts w:ascii="Times New Roman" w:hAnsi="Times New Roman" w:cs="Times New Roman"/>
      <w:sz w:val="21"/>
      <w:szCs w:val="21"/>
      <w:lang w:val="zh-CN" w:eastAsia="zh-CN"/>
    </w:rPr>
  </w:style>
  <w:style w:type="character" w:customStyle="1" w:styleId="22">
    <w:name w:val="表格内文字 字符"/>
    <w:link w:val="21"/>
    <w:qFormat/>
    <w:uiPriority w:val="0"/>
    <w:rPr>
      <w:rFonts w:ascii="Times New Roman" w:hAnsi="Times New Roman" w:eastAsia="宋体" w:cs="Times New Roman"/>
      <w:sz w:val="21"/>
      <w:szCs w:val="21"/>
      <w:lang w:val="zh-CN" w:eastAsia="zh-CN"/>
    </w:rPr>
  </w:style>
  <w:style w:type="paragraph" w:customStyle="1" w:styleId="23">
    <w:name w:val="小标题"/>
    <w:next w:val="1"/>
    <w:link w:val="24"/>
    <w:qFormat/>
    <w:uiPriority w:val="0"/>
    <w:pPr>
      <w:widowControl/>
      <w:autoSpaceDE/>
      <w:autoSpaceDN/>
      <w:spacing w:line="360" w:lineRule="auto"/>
      <w:ind w:firstLine="200" w:firstLineChars="200"/>
    </w:pPr>
    <w:rPr>
      <w:rFonts w:ascii="Times New Roman" w:hAnsi="Times New Roman" w:eastAsia="宋体" w:cs="Times New Roman"/>
      <w:b/>
      <w:bCs/>
      <w:sz w:val="24"/>
      <w:szCs w:val="32"/>
      <w:lang w:val="en-US" w:eastAsia="zh-CN" w:bidi="ar-SA"/>
    </w:rPr>
  </w:style>
  <w:style w:type="character" w:customStyle="1" w:styleId="24">
    <w:name w:val="小标题 字符"/>
    <w:link w:val="23"/>
    <w:qFormat/>
    <w:uiPriority w:val="0"/>
    <w:rPr>
      <w:rFonts w:ascii="Times New Roman" w:hAnsi="Times New Roman" w:eastAsia="宋体" w:cs="Times New Roman"/>
      <w:b/>
      <w:bCs/>
      <w:sz w:val="24"/>
      <w:szCs w:val="32"/>
      <w:lang w:eastAsia="zh-CN"/>
    </w:rPr>
  </w:style>
  <w:style w:type="character" w:customStyle="1" w:styleId="25">
    <w:name w:val="文档结构图 字符"/>
    <w:basedOn w:val="13"/>
    <w:link w:val="4"/>
    <w:uiPriority w:val="0"/>
    <w:rPr>
      <w:rFonts w:ascii="宋体" w:hAnsi="宋体" w:eastAsia="宋体" w:cs="Times New Roman"/>
      <w:sz w:val="18"/>
      <w:szCs w:val="18"/>
      <w:lang w:val="zh-CN" w:eastAsia="zh-CN"/>
    </w:rPr>
  </w:style>
  <w:style w:type="character" w:customStyle="1" w:styleId="26">
    <w:name w:val="批注框文本 字符"/>
    <w:basedOn w:val="13"/>
    <w:link w:val="6"/>
    <w:semiHidden/>
    <w:uiPriority w:val="99"/>
    <w:rPr>
      <w:rFonts w:ascii="宋体" w:hAnsi="宋体" w:eastAsia="宋体" w:cs="宋体"/>
      <w:sz w:val="18"/>
      <w:szCs w:val="18"/>
    </w:rPr>
  </w:style>
  <w:style w:type="paragraph" w:customStyle="1" w:styleId="27">
    <w:name w:val="Default"/>
    <w:basedOn w:val="1"/>
    <w:next w:val="1"/>
    <w:qFormat/>
    <w:uiPriority w:val="0"/>
    <w:pPr>
      <w:adjustRightInd w:val="0"/>
      <w:jc w:val="center"/>
      <w:textAlignment w:val="baseline"/>
    </w:pPr>
    <w:rPr>
      <w:rFonts w:hAnsi="Calibri"/>
      <w:b/>
      <w:color w:val="000000"/>
      <w:kern w:val="2"/>
      <w:szCs w:val="24"/>
      <w:lang w:eastAsia="zh-CN"/>
    </w:rPr>
  </w:style>
  <w:style w:type="table" w:customStyle="1" w:styleId="28">
    <w:name w:val="Table Normal5"/>
    <w:semiHidden/>
    <w:unhideWhenUsed/>
    <w:qFormat/>
    <w:uiPriority w:val="2"/>
    <w:rPr>
      <w:szCs w:val="20"/>
    </w:rPr>
    <w:tblPr>
      <w:tblCellMar>
        <w:top w:w="0" w:type="dxa"/>
        <w:left w:w="0" w:type="dxa"/>
        <w:bottom w:w="0" w:type="dxa"/>
        <w:right w:w="0" w:type="dxa"/>
      </w:tblCellMar>
    </w:tblPr>
  </w:style>
  <w:style w:type="paragraph" w:customStyle="1" w:styleId="29">
    <w:name w:val="表头"/>
    <w:basedOn w:val="1"/>
    <w:next w:val="1"/>
    <w:qFormat/>
    <w:uiPriority w:val="0"/>
    <w:pPr>
      <w:keepNext/>
      <w:keepLines/>
      <w:tabs>
        <w:tab w:val="left" w:pos="0"/>
      </w:tabs>
      <w:autoSpaceDE/>
      <w:autoSpaceDN/>
      <w:adjustRightInd w:val="0"/>
      <w:snapToGrid w:val="0"/>
      <w:spacing w:before="260" w:after="260"/>
      <w:ind w:firstLine="210"/>
    </w:pPr>
    <w:rPr>
      <w:rFonts w:cs="Times New Roman"/>
      <w:bCs/>
      <w:color w:val="000000"/>
      <w:kern w:val="2"/>
      <w:sz w:val="21"/>
      <w:szCs w:val="28"/>
      <w:lang w:eastAsia="zh-CN"/>
    </w:rPr>
  </w:style>
  <w:style w:type="paragraph" w:customStyle="1" w:styleId="30">
    <w:name w:val="表格文字"/>
    <w:basedOn w:val="1"/>
    <w:next w:val="1"/>
    <w:qFormat/>
    <w:uiPriority w:val="0"/>
    <w:pPr>
      <w:autoSpaceDE/>
      <w:autoSpaceDN/>
      <w:snapToGrid w:val="0"/>
      <w:spacing w:line="360" w:lineRule="exact"/>
      <w:jc w:val="center"/>
    </w:pPr>
    <w:rPr>
      <w:rFonts w:ascii="Times New Roman" w:hAnsi="Times New Roman" w:cs="Times New Roman"/>
      <w:sz w:val="24"/>
      <w:szCs w:val="20"/>
      <w:lang w:eastAsia="zh-CN"/>
    </w:rPr>
  </w:style>
  <w:style w:type="character" w:customStyle="1" w:styleId="31">
    <w:name w:val="表格 Char Char"/>
    <w:link w:val="32"/>
    <w:qFormat/>
    <w:uiPriority w:val="0"/>
    <w:rPr>
      <w:sz w:val="24"/>
      <w:szCs w:val="24"/>
    </w:rPr>
  </w:style>
  <w:style w:type="paragraph" w:customStyle="1" w:styleId="32">
    <w:name w:val="表格"/>
    <w:basedOn w:val="10"/>
    <w:next w:val="1"/>
    <w:link w:val="31"/>
    <w:qFormat/>
    <w:uiPriority w:val="0"/>
    <w:pPr>
      <w:autoSpaceDE/>
      <w:autoSpaceDN/>
      <w:jc w:val="center"/>
    </w:pPr>
    <w:rPr>
      <w:rFonts w:asciiTheme="minorHAnsi" w:hAnsiTheme="minorHAnsi" w:eastAsiaTheme="minorEastAsia" w:cstheme="minorBidi"/>
      <w:sz w:val="24"/>
      <w:szCs w:val="24"/>
    </w:rPr>
  </w:style>
  <w:style w:type="character" w:customStyle="1" w:styleId="33">
    <w:name w:val="标题 3 字符"/>
    <w:basedOn w:val="13"/>
    <w:link w:val="3"/>
    <w:uiPriority w:val="0"/>
    <w:rPr>
      <w:rFonts w:ascii="Times New Roman" w:hAnsi="Times New Roman" w:eastAsia="宋体" w:cs="Times New Roman"/>
      <w:b/>
      <w:bCs/>
      <w:kern w:val="2"/>
      <w:sz w:val="32"/>
      <w:szCs w:val="32"/>
      <w:lang w:eastAsia="zh-CN"/>
    </w:rPr>
  </w:style>
  <w:style w:type="table" w:customStyle="1" w:styleId="34">
    <w:name w:val="Table Normal1"/>
    <w:semiHidden/>
    <w:unhideWhenUsed/>
    <w:qFormat/>
    <w:uiPriority w:val="2"/>
    <w:tblPr>
      <w:tblCellMar>
        <w:top w:w="0" w:type="dxa"/>
        <w:left w:w="0" w:type="dxa"/>
        <w:bottom w:w="0" w:type="dxa"/>
        <w:right w:w="0" w:type="dxa"/>
      </w:tblCellMar>
    </w:tblPr>
  </w:style>
  <w:style w:type="table" w:customStyle="1" w:styleId="35">
    <w:name w:val="网格型1"/>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6">
    <w:name w:val="环评标题"/>
    <w:basedOn w:val="1"/>
    <w:link w:val="37"/>
    <w:qFormat/>
    <w:uiPriority w:val="0"/>
    <w:pPr>
      <w:adjustRightInd w:val="0"/>
      <w:snapToGrid w:val="0"/>
      <w:spacing w:line="360" w:lineRule="auto"/>
      <w:jc w:val="both"/>
    </w:pPr>
    <w:rPr>
      <w:rFonts w:ascii="Times New Roman" w:hAnsi="Times New Roman"/>
      <w:b/>
      <w:sz w:val="24"/>
      <w:szCs w:val="21"/>
      <w:lang w:eastAsia="zh-CN"/>
    </w:rPr>
  </w:style>
  <w:style w:type="character" w:customStyle="1" w:styleId="37">
    <w:name w:val="环评标题 字符"/>
    <w:link w:val="36"/>
    <w:qFormat/>
    <w:uiPriority w:val="0"/>
    <w:rPr>
      <w:rFonts w:ascii="Times New Roman" w:hAnsi="Times New Roman" w:eastAsia="宋体" w:cs="宋体"/>
      <w:b/>
      <w:sz w:val="24"/>
      <w:szCs w:val="21"/>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24.wmf"/><Relationship Id="rId33" Type="http://schemas.openxmlformats.org/officeDocument/2006/relationships/oleObject" Target="embeddings/oleObject1.bin"/><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package" Target="embeddings/Microsoft_Visio___1.vsdx"/><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C722CA-FF48-4BE5-9CF0-90C88E232E9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67429</Words>
  <Characters>79623</Characters>
  <Lines>603</Lines>
  <Paragraphs>170</Paragraphs>
  <TotalTime>22794</TotalTime>
  <ScaleCrop>false</ScaleCrop>
  <LinksUpToDate>false</LinksUpToDate>
  <CharactersWithSpaces>80454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2021-03-16T16:30:00Z</dcterms:created>
  <dc:creator>lhj</dc:creator>
  <cp:lastModifiedBy>小麦啾</cp:lastModifiedBy>
  <cp:lastPrinted>2024-04-30T07:52:00Z</cp:lastPrinted>
  <dcterms:modified xsi:type="dcterms:W3CDTF">2024-09-12T08:23:26Z</dcterms:modified>
  <cp:revision>16573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2021-03-16T00:00:00Z</vt:filetime>
  </property>
  <property fmtid="{D5CDD505-2E9C-101B-9397-08002B2CF9AE}" pid="5" name="KSOProductBuildVer">
    <vt:lpwstr>2052-12.1.0.17857</vt:lpwstr>
  </property>
  <property fmtid="{D5CDD505-2E9C-101B-9397-08002B2CF9AE}" pid="6" name="ICV">
    <vt:lpwstr>E610C4BD6FC54D2A913D3C11769D45CD_12</vt:lpwstr>
  </property>
</Properties>
</file>