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auto"/>
          <w:sz w:val="24"/>
          <w:szCs w:val="20"/>
          <w:highlight w:val="none"/>
          <w:lang w:val="zh-CN"/>
        </w:rPr>
        <w:id w:val="599453903"/>
        <w:docPartObj>
          <w:docPartGallery w:val="Table of Contents"/>
          <w:docPartUnique/>
        </w:docPartObj>
      </w:sdtPr>
      <w:sdtEndPr>
        <w:rPr>
          <w:rFonts w:ascii="Times New Roman" w:hAnsi="Times New Roman" w:eastAsia="宋体" w:cs="Times New Roman"/>
          <w:b/>
          <w:bCs/>
          <w:color w:val="auto"/>
          <w:sz w:val="24"/>
          <w:szCs w:val="20"/>
          <w:highlight w:val="none"/>
          <w:lang w:val="zh-CN"/>
        </w:rPr>
      </w:sdtEndPr>
      <w:sdtContent>
        <w:p w14:paraId="0EB34BB5">
          <w:pPr>
            <w:pStyle w:val="163"/>
            <w:jc w:val="center"/>
            <w:rPr>
              <w:rFonts w:ascii="Times New Roman" w:hAnsi="Times New Roman" w:eastAsia="宋体"/>
              <w:color w:val="auto"/>
              <w:highlight w:val="none"/>
            </w:rPr>
          </w:pPr>
          <w:r>
            <w:rPr>
              <w:rFonts w:ascii="Times New Roman" w:hAnsi="Times New Roman" w:eastAsia="宋体"/>
              <w:color w:val="auto"/>
              <w:highlight w:val="none"/>
              <w:lang w:val="zh-CN"/>
            </w:rPr>
            <w:t>目录</w:t>
          </w:r>
        </w:p>
        <w:p w14:paraId="1BC077E4">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bCs w:val="0"/>
              <w:color w:val="auto"/>
              <w:highlight w:val="none"/>
            </w:rPr>
            <w:fldChar w:fldCharType="begin"/>
          </w:r>
          <w:r>
            <w:rPr>
              <w:rFonts w:ascii="Times New Roman" w:hAnsi="Times New Roman" w:eastAsia="宋体"/>
              <w:color w:val="auto"/>
              <w:highlight w:val="none"/>
            </w:rPr>
            <w:instrText xml:space="preserve"> TOC \o "1-3" \h \z \u </w:instrText>
          </w:r>
          <w:r>
            <w:rPr>
              <w:rFonts w:ascii="Times New Roman" w:hAnsi="Times New Roman" w:eastAsia="宋体"/>
              <w:bCs w:val="0"/>
              <w:color w:val="auto"/>
              <w:highlight w:val="none"/>
            </w:rPr>
            <w:fldChar w:fldCharType="separate"/>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"_Toc106663409"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1、建设项目概况</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_Toc106663409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757DDB7F">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"_Toc106663410"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1.1项目实施背景</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_Toc106663410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57E99596">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"_Toc106663411"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1.2环评工作过程</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_Toc106663411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1C30B5C8">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"_Toc106663412"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1.3分析判定相关情况</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_Toc106663412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4</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1D4F3930">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"_Toc106663418"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1.4关注的主要环境问题</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_Toc106663418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13</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00E911D7">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"_Toc106663419"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1.5环评报告书的主要结论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_Toc106663419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13</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10B3CC86">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"_Toc106663420"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2、总论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_Toc106663420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5B0B885E">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"_Toc106663421"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2.1编制依据</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_Toc106663421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1F6E4CE5">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"_Toc106663429"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2.2评价目的和原则</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_Toc106663429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19</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694AA87C">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"_Toc106663432"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2.3评价内容及评价重点</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_Toc106663432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20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3E140907">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"_Toc106663435"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2.4评价因子识别与筛选</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_Toc106663435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21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73FB504B">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"_Toc106663438"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2.5环境功能区划及评价标准</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_Toc106663438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23</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43D6E30F">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"_Toc106663441"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2.6评价等级及评价范围</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_Toc106663441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28</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39D339D8">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"_Toc106663444"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2.7环境保护目标及敏感点</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_Toc106663444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37</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55BE83FB">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"_Toc106663452"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2.9选址合理性分析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_Toc106663452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38</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29016E69">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"_Toc106663458"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3、工程分析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_Toc106663458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40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2DC42598">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"_Toc106663459"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3.1工程概况</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_Toc106663459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40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4AE1DD62">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"_Toc106663467"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3.2生产工艺流程</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_Toc106663467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47</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59A8A33E">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"_Toc106663470"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3.3污染源源强分析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_Toc106663470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50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26D96328">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"_Toc106663473"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3.4污染物</w:t>
          </w:r>
          <w:r>
            <w:rPr>
              <w:rStyle w:val="38"/>
              <w:rFonts w:hint="eastAsia"/>
              <w:color w:val="auto"/>
              <w:highlight w:val="none"/>
              <w:lang w:eastAsia="zh-CN"/>
            </w:rPr>
            <w:t>”</w:t>
          </w:r>
          <w:r>
            <w:rPr>
              <w:rStyle w:val="38"/>
              <w:rFonts w:ascii="Times New Roman" w:hAnsi="Times New Roman" w:eastAsia="宋体"/>
              <w:color w:val="auto"/>
              <w:highlight w:val="none"/>
            </w:rPr>
            <w:t>三废</w:t>
          </w:r>
          <w:r>
            <w:rPr>
              <w:rStyle w:val="38"/>
              <w:rFonts w:hint="eastAsia"/>
              <w:color w:val="auto"/>
              <w:highlight w:val="none"/>
              <w:lang w:eastAsia="zh-CN"/>
            </w:rPr>
            <w:t>”</w:t>
          </w:r>
          <w:r>
            <w:rPr>
              <w:rStyle w:val="38"/>
              <w:rFonts w:ascii="Times New Roman" w:hAnsi="Times New Roman" w:eastAsia="宋体"/>
              <w:color w:val="auto"/>
              <w:highlight w:val="none"/>
            </w:rPr>
            <w:t>排放</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_Toc106663473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59</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7F31D178">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"_Toc106663474"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3.5总量控制</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_Toc106663474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60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21655DF4">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"_Toc106663475"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3.6清洁生产概述</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_Toc106663475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60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595F31BF">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"_Toc106663478"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4、环境现状调查与评价</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_Toc106663478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65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73D3944D">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"_Toc106663479"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4.1自然环境概况</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_Toc106663479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65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53D99F97">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"_Toc106663485"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4.2环境质量现状调查与评价</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_Toc106663485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70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6DE07CBB">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"_Toc106663492"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5、建设项目环境影响分析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_Toc106663492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84</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39562433">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"_Toc106663493"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5.1施工期环境影响分析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_Toc106663493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84</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1FC8AB24">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"_Toc106663499"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5.2运营期环境影响分析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_Toc106663499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91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3C31C417">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"_Toc106663516"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5.3.9项目风险评价结论与建议</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_Toc106663516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138</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59E38BA4">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"_Toc106663517"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6、污染防治措施和对策建议</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_Toc106663517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140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17C6A327">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"_Toc106663518"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6.1施工期污染防治措施</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_Toc106663518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140</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1A0DFF2B">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"_Toc106663524"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6.2运营期污染防治措施分析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_Toc106663524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146</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22FDCC8E">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"_Toc106663531"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6.3环境风险防范措施</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_Toc106663531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157</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59A77835">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"_Toc106663537"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7、环境影响经济损益分析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_Toc106663537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2DFBA150">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"_Toc106663538"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7.1社会效益分析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_Toc106663538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6BA59202">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"_Toc106663539"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7.2经济效益分析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_Toc106663539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5BC0DF14">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"_Toc106663541"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7.4环境经济效益分析</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_Toc106663541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04E0B7D8">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"_Toc106663544"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7.5小结</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_Toc106663544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164</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3AE017DF">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"_Toc106663545"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8、环境管理与环境监测计划</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_Toc106663545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4167570D">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"_Toc106663546"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8.1环境管理</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_Toc106663546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165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0D9A5E81">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"_Toc106663553"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8.2环境监测计划</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_Toc106663553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4100223E">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"_Toc106663554"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8.3竣工验收管理</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_Toc106663554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4C38027B">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"_Toc106663557"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8.4污染源排放清单</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_Toc106663557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175</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153F005B">
          <w:pPr>
            <w:pStyle w:val="22"/>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"_Toc106663558"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9、结论与建议</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_Toc106663558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177</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0C266084">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"_Toc106663559"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9.1建设项目概况</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_Toc106663559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177</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7B437C4E">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"_Toc106663560"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9.2产业政策及相关规划符合性结论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_Toc106663560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177</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7788EBB0">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"_Toc106663561"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9.3环境质量现状评价结论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_Toc106663561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178</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39C0B700">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"_Toc106663566"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9.4环境影响评价结论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_Toc106663566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178</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35BEB21E">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"_Toc106663571"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9.5污染防治措施</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_Toc106663571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179</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57D98CCA">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"_Toc106663576"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9.6公众意见采纳情况</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_Toc106663576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181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630C85D6">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"_Toc106663577"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9.7环境经济损益分析结论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_Toc106663577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181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524A5AB9">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"_Toc106663578"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9.8环境管理与监测结论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_Toc106663578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181</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1BFCCD94">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"_Toc106663579"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9.9总量控制</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_Toc106663579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182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58346336">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"_Toc106663580"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9.10综合结论</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_Toc106663580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182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3B3193AA">
          <w:pPr>
            <w:pStyle w:val="27"/>
            <w:tabs>
              <w:tab w:val="right" w:leader="dot" w:pos="8296"/>
            </w:tabs>
            <w:ind w:firstLine="480"/>
            <w:outlineLvl w:val="9"/>
            <w:rPr>
              <w:rFonts w:ascii="Times New Roman" w:hAnsi="Times New Roman" w:eastAsia="宋体" w:cstheme="minorBidi"/>
              <w:bCs w:val="0"/>
              <w:color w:val="auto"/>
              <w:kern w:val="2"/>
              <w:sz w:val="21"/>
              <w:szCs w:val="22"/>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"_Toc106663581" </w:instrText>
          </w:r>
          <w:r>
            <w:rPr>
              <w:rFonts w:ascii="Times New Roman" w:hAnsi="Times New Roman" w:eastAsia="宋体"/>
              <w:color w:val="auto"/>
              <w:highlight w:val="none"/>
            </w:rPr>
            <w:fldChar w:fldCharType="separate"/>
          </w:r>
          <w:r>
            <w:rPr>
              <w:rStyle w:val="38"/>
              <w:rFonts w:ascii="Times New Roman" w:hAnsi="Times New Roman" w:eastAsia="宋体"/>
              <w:color w:val="auto"/>
              <w:highlight w:val="none"/>
            </w:rPr>
            <w:t>9.11要求</w:t>
          </w:r>
          <w:r>
            <w:rPr>
              <w:rFonts w:ascii="Times New Roman" w:hAnsi="Times New Roman" w:eastAsia="宋体"/>
              <w:color w:val="auto"/>
              <w:highlight w:val="none"/>
            </w:rPr>
            <w:tab/>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PAGEREF _Toc106663581 \h </w:instrText>
          </w:r>
          <w:r>
            <w:rPr>
              <w:rFonts w:ascii="Times New Roman" w:hAnsi="Times New Roman" w:eastAsia="宋体"/>
              <w:color w:val="auto"/>
              <w:highlight w:val="none"/>
            </w:rPr>
            <w:fldChar w:fldCharType="separate"/>
          </w:r>
          <w:r>
            <w:rPr>
              <w:rFonts w:ascii="Times New Roman" w:hAnsi="Times New Roman" w:eastAsia="宋体"/>
              <w:color w:val="auto"/>
              <w:highlight w:val="none"/>
            </w:rPr>
            <w:t>182</w:t>
          </w:r>
          <w:r>
            <w:rPr>
              <w:rFonts w:ascii="Times New Roman" w:hAnsi="Times New Roman" w:eastAsia="宋体"/>
              <w:color w:val="auto"/>
              <w:highlight w:val="none"/>
            </w:rPr>
            <w:fldChar w:fldCharType="end"/>
          </w:r>
          <w:r>
            <w:rPr>
              <w:rFonts w:ascii="Times New Roman" w:hAnsi="Times New Roman" w:eastAsia="宋体"/>
              <w:color w:val="auto"/>
              <w:highlight w:val="none"/>
            </w:rPr>
            <w:fldChar w:fldCharType="end"/>
          </w:r>
        </w:p>
        <w:p w14:paraId="7E61827F">
          <w:pPr>
            <w:ind w:firstLine="482"/>
            <w:rPr>
              <w:rFonts w:ascii="Times New Roman" w:hAnsi="Times New Roman" w:eastAsia="宋体"/>
              <w:color w:val="auto"/>
              <w:highlight w:val="none"/>
            </w:rPr>
          </w:pPr>
          <w:r>
            <w:rPr>
              <w:rFonts w:ascii="Times New Roman" w:hAnsi="Times New Roman" w:eastAsia="宋体"/>
              <w:b/>
              <w:bCs/>
              <w:color w:val="auto"/>
              <w:highlight w:val="none"/>
              <w:lang w:val="zh-CN"/>
            </w:rPr>
            <w:fldChar w:fldCharType="end"/>
          </w:r>
        </w:p>
      </w:sdtContent>
    </w:sdt>
    <w:p w14:paraId="3CE07984">
      <w:pPr>
        <w:ind w:firstLine="199" w:firstLineChars="83"/>
        <w:rPr>
          <w:rFonts w:ascii="Times New Roman" w:hAnsi="Times New Roman" w:eastAsia="宋体"/>
          <w:color w:val="auto"/>
          <w:highlight w:val="none"/>
        </w:rPr>
      </w:pPr>
    </w:p>
    <w:p w14:paraId="6E82CEF7">
      <w:pPr>
        <w:ind w:firstLine="199" w:firstLineChars="83"/>
        <w:rPr>
          <w:rFonts w:ascii="Times New Roman" w:hAnsi="Times New Roman" w:eastAsia="宋体"/>
          <w:color w:val="auto"/>
          <w:highlight w:val="none"/>
        </w:rPr>
      </w:pPr>
    </w:p>
    <w:p w14:paraId="02B668F2">
      <w:pPr>
        <w:ind w:firstLine="199" w:firstLineChars="83"/>
        <w:rPr>
          <w:rFonts w:ascii="Times New Roman" w:hAnsi="Times New Roman" w:eastAsia="宋体"/>
          <w:color w:val="auto"/>
          <w:highlight w:val="none"/>
        </w:rPr>
      </w:pPr>
    </w:p>
    <w:p w14:paraId="024B51E7">
      <w:pPr>
        <w:bidi w:val="0"/>
        <w:rPr>
          <w:rFonts w:ascii="Times New Roman" w:hAnsi="Times New Roman" w:eastAsia="宋体" w:cs="Times New Roman"/>
          <w:color w:val="auto"/>
          <w:sz w:val="24"/>
          <w:highlight w:val="none"/>
          <w:lang w:val="en-US" w:eastAsia="zh-CN" w:bidi="ar-SA"/>
        </w:rPr>
      </w:pPr>
    </w:p>
    <w:p w14:paraId="53857AE7">
      <w:pPr>
        <w:tabs>
          <w:tab w:val="left" w:pos="6092"/>
        </w:tabs>
        <w:bidi w:val="0"/>
        <w:jc w:val="left"/>
        <w:rPr>
          <w:rFonts w:ascii="Times New Roman" w:hAnsi="Times New Roman" w:eastAsia="宋体"/>
          <w:color w:val="auto"/>
          <w:highlight w:val="none"/>
          <w:lang w:val="en-US" w:eastAsia="zh-CN"/>
        </w:rPr>
        <w:sectPr>
          <w:headerReference r:id="rId7" w:type="first"/>
          <w:footerReference r:id="rId10" w:type="first"/>
          <w:headerReference r:id="rId5" w:type="default"/>
          <w:footerReference r:id="rId8" w:type="default"/>
          <w:headerReference r:id="rId6" w:type="even"/>
          <w:footerReference r:id="rId9" w:type="even"/>
          <w:type w:val="oddPage"/>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titlePg/>
          <w:docGrid w:type="lines" w:linePitch="326" w:charSpace="0"/>
        </w:sectPr>
      </w:pPr>
    </w:p>
    <w:p w14:paraId="52EA63F2">
      <w:pPr>
        <w:pStyle w:val="3"/>
        <w:rPr>
          <w:rFonts w:ascii="Times New Roman" w:hAnsi="Times New Roman" w:eastAsia="宋体"/>
          <w:color w:val="auto"/>
          <w:highlight w:val="none"/>
        </w:rPr>
      </w:pPr>
      <w:bookmarkStart w:id="0" w:name="_Toc89619317"/>
      <w:bookmarkStart w:id="1" w:name="_Toc106663409"/>
      <w:bookmarkStart w:id="2" w:name="_Toc71394699"/>
      <w:r>
        <w:rPr>
          <w:rFonts w:hint="eastAsia" w:ascii="Times New Roman" w:hAnsi="Times New Roman" w:eastAsia="宋体"/>
          <w:color w:val="auto"/>
          <w:highlight w:val="none"/>
        </w:rPr>
        <w:t>1、建设项目概况</w:t>
      </w:r>
      <w:bookmarkEnd w:id="0"/>
      <w:bookmarkEnd w:id="1"/>
      <w:bookmarkEnd w:id="2"/>
    </w:p>
    <w:p w14:paraId="1ED1E83F">
      <w:pPr>
        <w:pStyle w:val="4"/>
        <w:rPr>
          <w:rFonts w:ascii="Times New Roman" w:hAnsi="Times New Roman" w:eastAsia="宋体"/>
          <w:color w:val="auto"/>
          <w:highlight w:val="none"/>
        </w:rPr>
      </w:pPr>
      <w:bookmarkStart w:id="3" w:name="_Toc89619318"/>
      <w:bookmarkStart w:id="4" w:name="_Toc106663410"/>
      <w:bookmarkStart w:id="5" w:name="_Toc71394700"/>
      <w:r>
        <w:rPr>
          <w:rFonts w:hint="eastAsia" w:ascii="Times New Roman" w:hAnsi="Times New Roman" w:eastAsia="宋体"/>
          <w:color w:val="auto"/>
          <w:highlight w:val="none"/>
        </w:rPr>
        <w:t>1.1项目实施背景</w:t>
      </w:r>
      <w:bookmarkEnd w:id="3"/>
      <w:bookmarkEnd w:id="4"/>
      <w:bookmarkEnd w:id="5"/>
    </w:p>
    <w:p w14:paraId="43E2C704">
      <w:pPr>
        <w:ind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2023年1月</w:t>
      </w:r>
      <w:bookmarkStart w:id="380" w:name="_GoBack"/>
      <w:r>
        <w:rPr>
          <w:rFonts w:hint="eastAsia" w:ascii="Times New Roman" w:hAnsi="Times New Roman" w:eastAsia="宋体"/>
          <w:color w:val="auto"/>
          <w:highlight w:val="none"/>
          <w:lang w:val="en-US" w:eastAsia="zh-CN"/>
        </w:rPr>
        <w:t>《中共中央国务院关于做好2023年全面推进乡村振兴重点工作的意见》</w:t>
      </w:r>
      <w:bookmarkEnd w:id="380"/>
      <w:r>
        <w:rPr>
          <w:rFonts w:hint="eastAsia" w:ascii="Times New Roman" w:hAnsi="Times New Roman" w:eastAsia="宋体"/>
          <w:color w:val="auto"/>
          <w:highlight w:val="none"/>
          <w:lang w:val="en-US" w:eastAsia="zh-CN"/>
        </w:rPr>
        <w:t>提出：党的二十大擘画了以中国式现代化全面推进中华民族伟大复兴的宏伟蓝图。全面建设社会主义现代化国家，最艰巨最繁重的任务仍然在农村。世界百年未有之大变局加速演进，我国发展进入战略机遇和风险挑战并存、不确定难预料因素增多的时期，守好</w:t>
      </w:r>
      <w:r>
        <w:rPr>
          <w:rFonts w:hint="eastAsia"/>
          <w:color w:val="auto"/>
          <w:highlight w:val="none"/>
          <w:lang w:val="en-US" w:eastAsia="zh-CN"/>
        </w:rPr>
        <w:t>”</w:t>
      </w:r>
      <w:r>
        <w:rPr>
          <w:rFonts w:hint="eastAsia" w:ascii="Times New Roman" w:hAnsi="Times New Roman" w:eastAsia="宋体"/>
          <w:color w:val="auto"/>
          <w:highlight w:val="none"/>
          <w:lang w:val="en-US" w:eastAsia="zh-CN"/>
        </w:rPr>
        <w:t>三农</w:t>
      </w:r>
      <w:r>
        <w:rPr>
          <w:rFonts w:hint="eastAsia"/>
          <w:color w:val="auto"/>
          <w:highlight w:val="none"/>
          <w:lang w:val="en-US" w:eastAsia="zh-CN"/>
        </w:rPr>
        <w:t>”</w:t>
      </w:r>
      <w:r>
        <w:rPr>
          <w:rFonts w:hint="eastAsia" w:ascii="Times New Roman" w:hAnsi="Times New Roman" w:eastAsia="宋体"/>
          <w:color w:val="auto"/>
          <w:highlight w:val="none"/>
          <w:lang w:val="en-US" w:eastAsia="zh-CN"/>
        </w:rPr>
        <w:t>基本盘至关重要、不容有失。党中央认为，必须坚持不懈把解决好</w:t>
      </w:r>
      <w:r>
        <w:rPr>
          <w:rFonts w:hint="eastAsia"/>
          <w:color w:val="auto"/>
          <w:highlight w:val="none"/>
          <w:lang w:val="en-US" w:eastAsia="zh-CN"/>
        </w:rPr>
        <w:t>”</w:t>
      </w:r>
      <w:r>
        <w:rPr>
          <w:rFonts w:hint="eastAsia" w:ascii="Times New Roman" w:hAnsi="Times New Roman" w:eastAsia="宋体"/>
          <w:color w:val="auto"/>
          <w:highlight w:val="none"/>
          <w:lang w:val="en-US" w:eastAsia="zh-CN"/>
        </w:rPr>
        <w:t>三农</w:t>
      </w:r>
      <w:r>
        <w:rPr>
          <w:rFonts w:hint="eastAsia"/>
          <w:color w:val="auto"/>
          <w:highlight w:val="none"/>
          <w:lang w:val="en-US" w:eastAsia="zh-CN"/>
        </w:rPr>
        <w:t>”</w:t>
      </w:r>
      <w:r>
        <w:rPr>
          <w:rFonts w:hint="eastAsia" w:ascii="Times New Roman" w:hAnsi="Times New Roman" w:eastAsia="宋体"/>
          <w:color w:val="auto"/>
          <w:highlight w:val="none"/>
          <w:lang w:val="en-US" w:eastAsia="zh-CN"/>
        </w:rPr>
        <w:t>问题作为全党工作重中之重，举全党全社会之力全面推进乡村振兴，加快农业农村现代化。强国必先强农，农强方能国强。要立足国情农情，体现中国特色，建设供给保障强、科技装备强、经营体系强、产业韧性强、竞争能力强的农业强国。</w:t>
      </w:r>
    </w:p>
    <w:p w14:paraId="4BB6C087">
      <w:pPr>
        <w:bidi w:val="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2023年2月，新疆维吾尔自治区党委农村工作会议暨推进乡村振兴高质量发展大会强调要坚持以习近平新时代中国特色社会主义思想为指导，全面贯彻党的二十大和中央经济工作会议、中央农村工作会议精神，深入贯彻习近平总书记关于</w:t>
      </w:r>
      <w:r>
        <w:rPr>
          <w:rFonts w:hint="eastAsia"/>
          <w:color w:val="auto"/>
          <w:highlight w:val="none"/>
          <w:lang w:val="en-US" w:eastAsia="zh-CN"/>
        </w:rPr>
        <w:t>”</w:t>
      </w:r>
      <w:r>
        <w:rPr>
          <w:rFonts w:hint="eastAsia" w:ascii="Times New Roman" w:hAnsi="Times New Roman" w:eastAsia="宋体"/>
          <w:color w:val="auto"/>
          <w:highlight w:val="none"/>
          <w:lang w:val="en-US" w:eastAsia="zh-CN"/>
        </w:rPr>
        <w:t>三农</w:t>
      </w:r>
      <w:r>
        <w:rPr>
          <w:rFonts w:hint="eastAsia"/>
          <w:color w:val="auto"/>
          <w:highlight w:val="none"/>
          <w:lang w:val="en-US" w:eastAsia="zh-CN"/>
        </w:rPr>
        <w:t>”</w:t>
      </w:r>
      <w:r>
        <w:rPr>
          <w:rFonts w:hint="eastAsia" w:ascii="Times New Roman" w:hAnsi="Times New Roman" w:eastAsia="宋体"/>
          <w:color w:val="auto"/>
          <w:highlight w:val="none"/>
          <w:lang w:val="en-US" w:eastAsia="zh-CN"/>
        </w:rPr>
        <w:t>工作重要论述，完整准确贯彻新时代党的治疆方略，坚持农业农村优先发展，保障粮食和重要农产品安全稳定供给，扎实做好乡村发展、乡村建设、乡村治理等重点工作，全面推进乡村振兴，加快建设农业强区，为建设农业强国积极贡献新疆力量。</w:t>
      </w:r>
    </w:p>
    <w:p w14:paraId="2AA67A04">
      <w:pPr>
        <w:ind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马兴瑞强调，要围绕今年</w:t>
      </w:r>
      <w:r>
        <w:rPr>
          <w:rFonts w:hint="eastAsia"/>
          <w:color w:val="auto"/>
          <w:highlight w:val="none"/>
          <w:lang w:val="en-US" w:eastAsia="zh-CN"/>
        </w:rPr>
        <w:t>”</w:t>
      </w:r>
      <w:r>
        <w:rPr>
          <w:rFonts w:hint="eastAsia" w:ascii="Times New Roman" w:hAnsi="Times New Roman" w:eastAsia="宋体"/>
          <w:color w:val="auto"/>
          <w:highlight w:val="none"/>
          <w:lang w:val="en-US" w:eastAsia="zh-CN"/>
        </w:rPr>
        <w:t>三农</w:t>
      </w:r>
      <w:r>
        <w:rPr>
          <w:rFonts w:hint="eastAsia"/>
          <w:color w:val="auto"/>
          <w:highlight w:val="none"/>
          <w:lang w:val="en-US" w:eastAsia="zh-CN"/>
        </w:rPr>
        <w:t>”</w:t>
      </w:r>
      <w:r>
        <w:rPr>
          <w:rFonts w:hint="eastAsia" w:ascii="Times New Roman" w:hAnsi="Times New Roman" w:eastAsia="宋体"/>
          <w:color w:val="auto"/>
          <w:highlight w:val="none"/>
          <w:lang w:val="en-US" w:eastAsia="zh-CN"/>
        </w:rPr>
        <w:t>工作总要求和主要预期目标，突出抓好各项重点工作。深入实施畜牧业振兴行动，突出抓好涉农产业集群建设，加快构建具有新疆特色的现代农业产业体系。大力实施粮油、棉花和纺织服装、绿色有机果蔬、优质畜产品产业集群行动计划，培育发展一批优势龙头企业，加快现代农业产业园和农业现代化示范区建设，全面深化农产品市场开拓，培育发展乡村新产业新业态。</w:t>
      </w:r>
    </w:p>
    <w:p w14:paraId="2BE35EDC">
      <w:pPr>
        <w:ind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根据中央、自治区及玛纳斯县相关的的政策要求和产业导向，紧密联系玛纳斯县广东地乡发展实际，立足于当地的资源优势、产业优势，加强蛋鸡产业配套设施的建设，发展带动当地及周边区域农业产业化经营、农民持续增收和当地经济发展，特提出</w:t>
      </w:r>
      <w:r>
        <w:rPr>
          <w:rFonts w:hint="eastAsia"/>
          <w:color w:val="auto"/>
          <w:highlight w:val="none"/>
          <w:lang w:val="en-US" w:eastAsia="zh-CN"/>
        </w:rPr>
        <w:t>”</w:t>
      </w:r>
      <w:r>
        <w:rPr>
          <w:rFonts w:hint="eastAsia" w:ascii="Times New Roman" w:hAnsi="Times New Roman" w:eastAsia="宋体"/>
          <w:color w:val="auto"/>
          <w:highlight w:val="none"/>
          <w:lang w:val="en-US" w:eastAsia="zh-CN"/>
        </w:rPr>
        <w:t>玛纳斯县2023年蛋鸡育成鸡圈舍建设项目</w:t>
      </w:r>
      <w:r>
        <w:rPr>
          <w:rFonts w:hint="eastAsia"/>
          <w:color w:val="auto"/>
          <w:highlight w:val="none"/>
          <w:lang w:val="en-US" w:eastAsia="zh-CN"/>
        </w:rPr>
        <w:t>”</w:t>
      </w:r>
      <w:r>
        <w:rPr>
          <w:rFonts w:hint="eastAsia" w:ascii="Times New Roman" w:hAnsi="Times New Roman" w:eastAsia="宋体"/>
          <w:color w:val="auto"/>
          <w:highlight w:val="none"/>
          <w:lang w:val="en-US" w:eastAsia="zh-CN"/>
        </w:rPr>
        <w:t>的建设。</w:t>
      </w:r>
    </w:p>
    <w:p w14:paraId="4E7D6D45">
      <w:pPr>
        <w:pStyle w:val="4"/>
        <w:rPr>
          <w:rFonts w:ascii="Times New Roman" w:hAnsi="Times New Roman" w:eastAsia="宋体"/>
          <w:color w:val="auto"/>
          <w:highlight w:val="none"/>
        </w:rPr>
      </w:pPr>
      <w:bookmarkStart w:id="6" w:name="_Toc89619319"/>
      <w:bookmarkStart w:id="7" w:name="_Toc71394701"/>
      <w:bookmarkStart w:id="8" w:name="_Toc106663411"/>
      <w:r>
        <w:rPr>
          <w:rFonts w:hint="eastAsia" w:ascii="Times New Roman" w:hAnsi="Times New Roman" w:eastAsia="宋体"/>
          <w:color w:val="auto"/>
          <w:highlight w:val="none"/>
        </w:rPr>
        <w:t>1.2环评工作过程</w:t>
      </w:r>
      <w:bookmarkEnd w:id="6"/>
      <w:bookmarkEnd w:id="7"/>
      <w:bookmarkEnd w:id="8"/>
    </w:p>
    <w:p w14:paraId="19AE458A">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中华人民共和国环境保护法》、《建设项目环境保护管理条例》和《中华人民共和国环境影响评价法》、国务院《关于修改&lt;设项目环境保护管理条例&gt;的决定》（国务院令第682号）中有关规定和要求，该建设项目需进行环境影响评价。</w:t>
      </w:r>
    </w:p>
    <w:p w14:paraId="241D21A2">
      <w:pPr>
        <w:ind w:firstLine="48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本项目为蛋鸡育成鸡圈舍建设项目，共建设育成鸡圈10栋及配套设施，分两期建设，一期</w:t>
      </w:r>
      <w:r>
        <w:rPr>
          <w:rFonts w:hint="eastAsia"/>
          <w:color w:val="auto"/>
          <w:highlight w:val="none"/>
          <w:lang w:val="en-US" w:eastAsia="zh-CN"/>
        </w:rPr>
        <w:t>建设</w:t>
      </w:r>
      <w:r>
        <w:rPr>
          <w:rFonts w:hint="eastAsia" w:ascii="Times New Roman" w:hAnsi="Times New Roman" w:eastAsia="宋体"/>
          <w:color w:val="auto"/>
          <w:highlight w:val="none"/>
          <w:lang w:val="en-US" w:eastAsia="zh-CN"/>
        </w:rPr>
        <w:t>育成鸡圈6栋及配套设施，本次评价仅对一期进行评价，6栋鸡圈每栋鸡舍年出栏蛋鸡12万只，共出栏蛋鸡72万只（折算成生猪24000头）。</w:t>
      </w:r>
      <w:r>
        <w:rPr>
          <w:rFonts w:hint="eastAsia" w:ascii="Times New Roman" w:hAnsi="Times New Roman" w:eastAsia="宋体"/>
          <w:color w:val="auto"/>
          <w:highlight w:val="none"/>
        </w:rPr>
        <w:t>根据《建设项目环境影响评价分类管理名录》（2021年版），本项目属于</w:t>
      </w:r>
      <w:r>
        <w:rPr>
          <w:rFonts w:hint="eastAsia"/>
          <w:color w:val="auto"/>
          <w:highlight w:val="none"/>
          <w:lang w:eastAsia="zh-CN"/>
        </w:rPr>
        <w:t>”</w:t>
      </w:r>
      <w:r>
        <w:rPr>
          <w:rFonts w:hint="eastAsia" w:ascii="Times New Roman" w:hAnsi="Times New Roman" w:eastAsia="宋体"/>
          <w:color w:val="auto"/>
          <w:highlight w:val="none"/>
        </w:rPr>
        <w:t>二、畜牧业03—3、牲畜饲养031；家禽饲养032；其他畜牧业039—年出栏生猪5000头（其他畜禽种类折合猪的养殖量）及以上的规模化畜禽养殖</w:t>
      </w:r>
      <w:r>
        <w:rPr>
          <w:rFonts w:hint="eastAsia"/>
          <w:color w:val="auto"/>
          <w:highlight w:val="none"/>
          <w:lang w:eastAsia="zh-CN"/>
        </w:rPr>
        <w:t>”</w:t>
      </w:r>
      <w:r>
        <w:rPr>
          <w:rFonts w:hint="eastAsia" w:ascii="Times New Roman" w:hAnsi="Times New Roman" w:eastAsia="宋体"/>
          <w:color w:val="auto"/>
          <w:highlight w:val="none"/>
        </w:rPr>
        <w:t>，需编制环境影响报告书。为此，</w:t>
      </w:r>
      <w:r>
        <w:rPr>
          <w:rFonts w:hint="eastAsia" w:ascii="Times New Roman" w:hAnsi="Times New Roman" w:eastAsia="宋体"/>
          <w:color w:val="auto"/>
          <w:highlight w:val="none"/>
          <w:lang w:eastAsia="zh-CN"/>
        </w:rPr>
        <w:t>玛纳斯县广东地乡人民政府</w:t>
      </w:r>
      <w:r>
        <w:rPr>
          <w:rFonts w:hint="eastAsia" w:ascii="Times New Roman" w:hAnsi="Times New Roman" w:eastAsia="宋体"/>
          <w:color w:val="auto"/>
          <w:highlight w:val="none"/>
        </w:rPr>
        <w:t>于202</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年</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月委托</w:t>
      </w:r>
      <w:r>
        <w:rPr>
          <w:rFonts w:hint="eastAsia" w:ascii="Times New Roman" w:hAnsi="Times New Roman" w:eastAsia="宋体"/>
          <w:color w:val="auto"/>
          <w:highlight w:val="none"/>
          <w:lang w:eastAsia="zh-CN"/>
        </w:rPr>
        <w:t>乌鲁木齐云创环安科技有限公司</w:t>
      </w:r>
      <w:r>
        <w:rPr>
          <w:rFonts w:hint="eastAsia" w:ascii="Times New Roman" w:hAnsi="Times New Roman" w:eastAsia="宋体"/>
          <w:color w:val="auto"/>
          <w:highlight w:val="none"/>
        </w:rPr>
        <w:t>进行该项目的环境影响评价工作。接受委托后，我单位立即组织有关环评工作人员赴现场进行了实地踏勘，对评价区范围的自然环境及规划情况进行了调查，收集了当地水文、地质、气象、环境现状等资料，并收集了具有相似生产规模和工艺的企业的实际生产数据。评价单位在此基础上，与建设单位进行多次沟通，查阅行业资料，咨询了行业专家。在这些工作的基础上按照《环境影响评价技术导则》的有关规定，编制完成了《</w:t>
      </w:r>
      <w:r>
        <w:rPr>
          <w:rFonts w:hint="eastAsia" w:ascii="Times New Roman" w:hAnsi="Times New Roman" w:eastAsia="宋体"/>
          <w:color w:val="auto"/>
          <w:highlight w:val="none"/>
          <w:lang w:eastAsia="zh-CN"/>
        </w:rPr>
        <w:t>玛纳斯县蛋鸡育成鸡圈舍建设及设备采购项目</w:t>
      </w:r>
      <w:r>
        <w:rPr>
          <w:rFonts w:hint="eastAsia" w:ascii="Times New Roman" w:hAnsi="Times New Roman" w:eastAsia="宋体"/>
          <w:color w:val="auto"/>
          <w:highlight w:val="none"/>
        </w:rPr>
        <w:t>环境影响报告书》。现报生态环境局审批后作为本项目建设期和运营期环境管理时的依据。</w:t>
      </w:r>
    </w:p>
    <w:p w14:paraId="618AE785">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环境影响评价工作一般分三个阶段，即前期准备、调研和工作方案阶段，分析论证和预测评价阶段、环境影响评价文件编制阶段。本项目环境影响评价工作程序见图1.2-1。</w:t>
      </w:r>
    </w:p>
    <w:p w14:paraId="42C8C542">
      <w:pPr>
        <w:ind w:firstLine="0" w:firstLineChars="0"/>
        <w:jc w:val="center"/>
        <w:rPr>
          <w:rFonts w:ascii="Times New Roman" w:hAnsi="Times New Roman" w:eastAsia="宋体"/>
          <w:color w:val="auto"/>
          <w:highlight w:val="none"/>
        </w:rPr>
      </w:pPr>
      <w:r>
        <w:rPr>
          <w:rFonts w:ascii="Times New Roman" w:hAnsi="Times New Roman" w:eastAsia="宋体"/>
          <w:color w:val="auto"/>
          <w:highlight w:val="none"/>
        </w:rPr>
        <w:object>
          <v:shape id="_x0000_i1025" o:spt="75" type="#_x0000_t75" style="height:571.95pt;width:415.85pt;" o:ole="t" filled="f" o:preferrelative="t" stroked="f" coordsize="21600,21600">
            <v:path/>
            <v:fill on="f" focussize="0,0"/>
            <v:stroke on="f" joinstyle="miter"/>
            <v:imagedata r:id="rId32" o:title=""/>
            <o:lock v:ext="edit" aspectratio="t"/>
            <w10:wrap type="none"/>
            <w10:anchorlock/>
          </v:shape>
          <o:OLEObject Type="Embed" ProgID="Visio.Drawing.11" ShapeID="_x0000_i1025" DrawAspect="Content" ObjectID="_1468075725" r:id="rId31">
            <o:LockedField>false</o:LockedField>
          </o:OLEObject>
        </w:object>
      </w:r>
    </w:p>
    <w:p w14:paraId="560633E4">
      <w:pPr>
        <w:pStyle w:val="10"/>
        <w:rPr>
          <w:rFonts w:ascii="Times New Roman" w:hAnsi="Times New Roman" w:eastAsia="宋体"/>
          <w:color w:val="auto"/>
          <w:highlight w:val="none"/>
        </w:rPr>
      </w:pPr>
      <w:r>
        <w:rPr>
          <w:rFonts w:hint="eastAsia" w:ascii="Times New Roman" w:hAnsi="Times New Roman" w:eastAsia="宋体"/>
          <w:color w:val="auto"/>
          <w:highlight w:val="none"/>
        </w:rPr>
        <w:t>图1.2-1环境影响评价工作程序</w:t>
      </w:r>
    </w:p>
    <w:p w14:paraId="61B434C4">
      <w:pPr>
        <w:pStyle w:val="4"/>
        <w:snapToGrid w:val="0"/>
        <w:spacing w:before="0" w:after="0"/>
        <w:rPr>
          <w:rFonts w:ascii="Times New Roman" w:hAnsi="Times New Roman" w:eastAsia="宋体"/>
          <w:color w:val="auto"/>
          <w:highlight w:val="none"/>
        </w:rPr>
      </w:pPr>
      <w:bookmarkStart w:id="9" w:name="_Toc71394702"/>
      <w:bookmarkStart w:id="10" w:name="_Toc106663412"/>
      <w:bookmarkStart w:id="11" w:name="_Toc89619320"/>
      <w:r>
        <w:rPr>
          <w:rFonts w:hint="eastAsia" w:ascii="Times New Roman" w:hAnsi="Times New Roman" w:eastAsia="宋体"/>
          <w:color w:val="auto"/>
          <w:highlight w:val="none"/>
        </w:rPr>
        <w:t>1.3分析判定相关情况</w:t>
      </w:r>
      <w:bookmarkEnd w:id="9"/>
      <w:bookmarkEnd w:id="10"/>
      <w:bookmarkEnd w:id="11"/>
    </w:p>
    <w:p w14:paraId="290F187B">
      <w:pPr>
        <w:pStyle w:val="5"/>
        <w:snapToGrid w:val="0"/>
        <w:spacing w:before="0" w:after="0"/>
        <w:rPr>
          <w:rFonts w:ascii="Times New Roman" w:hAnsi="Times New Roman" w:eastAsia="宋体"/>
          <w:color w:val="auto"/>
          <w:highlight w:val="none"/>
        </w:rPr>
      </w:pPr>
      <w:bookmarkStart w:id="12" w:name="_Toc106663413"/>
      <w:r>
        <w:rPr>
          <w:rFonts w:hint="eastAsia" w:ascii="Times New Roman" w:hAnsi="Times New Roman" w:eastAsia="宋体"/>
          <w:color w:val="auto"/>
          <w:highlight w:val="none"/>
        </w:rPr>
        <w:t>1.3.1产业政策相符性</w:t>
      </w:r>
      <w:bookmarkEnd w:id="12"/>
    </w:p>
    <w:p w14:paraId="1FA4C9ED">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本项目主要从事</w:t>
      </w:r>
      <w:r>
        <w:rPr>
          <w:rFonts w:hint="eastAsia" w:ascii="Times New Roman" w:hAnsi="Times New Roman" w:eastAsia="宋体"/>
          <w:color w:val="auto"/>
          <w:highlight w:val="none"/>
          <w:lang w:eastAsia="zh-CN"/>
        </w:rPr>
        <w:t>蛋鸡养殖</w:t>
      </w:r>
      <w:r>
        <w:rPr>
          <w:rFonts w:hint="eastAsia" w:ascii="Times New Roman" w:hAnsi="Times New Roman" w:eastAsia="宋体"/>
          <w:color w:val="auto"/>
          <w:highlight w:val="none"/>
        </w:rPr>
        <w:t>生产项目，根据《</w:t>
      </w:r>
      <w:r>
        <w:rPr>
          <w:rFonts w:hint="eastAsia"/>
          <w:color w:val="auto"/>
          <w:highlight w:val="none"/>
          <w:lang w:eastAsia="zh-CN"/>
        </w:rPr>
        <w:t>产业结构调整指导目录（2021年本）</w:t>
      </w:r>
      <w:r>
        <w:rPr>
          <w:rFonts w:hint="eastAsia" w:ascii="Times New Roman" w:hAnsi="Times New Roman" w:eastAsia="宋体"/>
          <w:color w:val="auto"/>
          <w:highlight w:val="none"/>
        </w:rPr>
        <w:t>》，本项目属于</w:t>
      </w:r>
      <w:r>
        <w:rPr>
          <w:rFonts w:hint="eastAsia"/>
          <w:color w:val="auto"/>
          <w:highlight w:val="none"/>
          <w:lang w:eastAsia="zh-CN"/>
        </w:rPr>
        <w:t>”</w:t>
      </w:r>
      <w:r>
        <w:rPr>
          <w:rFonts w:hint="eastAsia" w:ascii="Times New Roman" w:hAnsi="Times New Roman" w:eastAsia="宋体"/>
          <w:color w:val="auto"/>
          <w:highlight w:val="none"/>
        </w:rPr>
        <w:t>第一类鼓励类—一、农林业—4、畜禽标准化规模养殖技术开发与应用</w:t>
      </w:r>
      <w:r>
        <w:rPr>
          <w:rFonts w:hint="eastAsia"/>
          <w:color w:val="auto"/>
          <w:highlight w:val="none"/>
          <w:lang w:eastAsia="zh-CN"/>
        </w:rPr>
        <w:t>”</w:t>
      </w:r>
      <w:r>
        <w:rPr>
          <w:rFonts w:hint="eastAsia" w:ascii="Times New Roman" w:hAnsi="Times New Roman" w:eastAsia="宋体"/>
          <w:color w:val="auto"/>
          <w:highlight w:val="none"/>
        </w:rPr>
        <w:t>，因此，符合国家产业政策。</w:t>
      </w:r>
    </w:p>
    <w:p w14:paraId="507BEB91">
      <w:pPr>
        <w:pStyle w:val="5"/>
        <w:snapToGrid w:val="0"/>
        <w:spacing w:before="0" w:after="0"/>
        <w:rPr>
          <w:rFonts w:ascii="Times New Roman" w:hAnsi="Times New Roman" w:eastAsia="宋体"/>
          <w:color w:val="auto"/>
          <w:highlight w:val="none"/>
        </w:rPr>
      </w:pPr>
      <w:bookmarkStart w:id="13" w:name="_Toc106663414"/>
      <w:r>
        <w:rPr>
          <w:rFonts w:hint="eastAsia" w:ascii="Times New Roman" w:hAnsi="Times New Roman" w:eastAsia="宋体"/>
          <w:color w:val="auto"/>
          <w:highlight w:val="none"/>
        </w:rPr>
        <w:t>1.3.2规划符合性</w:t>
      </w:r>
      <w:bookmarkEnd w:id="13"/>
    </w:p>
    <w:p w14:paraId="1DE0FF9A">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（1）与《新疆维吾尔自治区国民经济和社会发展第十四个五年规划和2035年远景目标纲要》的符合性分析</w:t>
      </w:r>
    </w:p>
    <w:p w14:paraId="12B79A1F">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《新疆维吾尔自治区国民经济和社会发展第十四个五年规划和2035年远景目标纲要》指出，优先发展农业农村，深入推进乡村振兴。建设畜牧强区。实施畜牧业发展五大行动，</w:t>
      </w:r>
      <w:r>
        <w:rPr>
          <w:rFonts w:hint="eastAsia" w:ascii="Times New Roman" w:hAnsi="Times New Roman" w:eastAsia="宋体"/>
          <w:color w:val="auto"/>
          <w:highlight w:val="none"/>
          <w:lang w:val="en-US" w:eastAsia="zh-CN"/>
        </w:rPr>
        <w:t>持续做大肉牛肉羊产业</w:t>
      </w:r>
      <w:r>
        <w:rPr>
          <w:rFonts w:hint="eastAsia" w:ascii="Times New Roman" w:hAnsi="Times New Roman" w:eastAsia="宋体"/>
          <w:color w:val="auto"/>
          <w:highlight w:val="none"/>
        </w:rPr>
        <w:t>，加快推进奶业振兴，做优做强家禽产业，推进生猪产业转型升级，因地制宜发展特色养殖业，构建饲料、种源、扩繁、养殖、屠宰、加工全产业链，推动新疆由畜牧大区向畜牧强区转变。</w:t>
      </w:r>
      <w:r>
        <w:rPr>
          <w:rFonts w:hint="eastAsia"/>
          <w:color w:val="auto"/>
          <w:highlight w:val="none"/>
          <w:lang w:eastAsia="zh-CN"/>
        </w:rPr>
        <w:t>”</w:t>
      </w:r>
      <w:r>
        <w:rPr>
          <w:rFonts w:hint="eastAsia" w:ascii="Times New Roman" w:hAnsi="Times New Roman" w:eastAsia="宋体"/>
          <w:color w:val="auto"/>
          <w:highlight w:val="none"/>
        </w:rPr>
        <w:t>十四五</w:t>
      </w:r>
      <w:r>
        <w:rPr>
          <w:rFonts w:hint="eastAsia"/>
          <w:color w:val="auto"/>
          <w:highlight w:val="none"/>
          <w:lang w:eastAsia="zh-CN"/>
        </w:rPr>
        <w:t>”</w:t>
      </w:r>
      <w:r>
        <w:rPr>
          <w:rFonts w:hint="eastAsia" w:ascii="Times New Roman" w:hAnsi="Times New Roman" w:eastAsia="宋体"/>
          <w:color w:val="auto"/>
          <w:highlight w:val="none"/>
        </w:rPr>
        <w:t>末，全区畜牧业产值超过1100亿元。实施优质生猪增产行动、奶业振兴行动、优质肉羊增产行动、生猪产业转型升级行动、家禽及特色产业发展行动，提升畜牧业生产供给能力。</w:t>
      </w:r>
    </w:p>
    <w:p w14:paraId="1C01CD77">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本项目拟建成</w:t>
      </w:r>
      <w:r>
        <w:rPr>
          <w:rFonts w:hint="eastAsia" w:ascii="Times New Roman" w:hAnsi="Times New Roman" w:eastAsia="宋体"/>
          <w:color w:val="auto"/>
          <w:highlight w:val="none"/>
          <w:lang w:val="en-US" w:eastAsia="zh-CN"/>
        </w:rPr>
        <w:t>蛋鸡</w:t>
      </w:r>
      <w:r>
        <w:rPr>
          <w:rFonts w:hint="eastAsia" w:ascii="Times New Roman" w:hAnsi="Times New Roman" w:eastAsia="宋体"/>
          <w:color w:val="auto"/>
          <w:highlight w:val="none"/>
        </w:rPr>
        <w:t>养殖项目，实现标准化</w:t>
      </w:r>
      <w:r>
        <w:rPr>
          <w:rFonts w:hint="eastAsia" w:ascii="Times New Roman" w:hAnsi="Times New Roman" w:eastAsia="宋体"/>
          <w:color w:val="auto"/>
          <w:highlight w:val="none"/>
          <w:lang w:val="en-US" w:eastAsia="zh-CN"/>
        </w:rPr>
        <w:t>蛋鸡</w:t>
      </w:r>
      <w:r>
        <w:rPr>
          <w:rFonts w:hint="eastAsia" w:ascii="Times New Roman" w:hAnsi="Times New Roman" w:eastAsia="宋体"/>
          <w:color w:val="auto"/>
          <w:highlight w:val="none"/>
        </w:rPr>
        <w:t>养殖，</w:t>
      </w:r>
      <w:r>
        <w:rPr>
          <w:rFonts w:hint="eastAsia" w:ascii="Times New Roman" w:hAnsi="Times New Roman" w:eastAsia="宋体"/>
          <w:color w:val="auto"/>
          <w:highlight w:val="none"/>
          <w:lang w:val="en-US" w:eastAsia="zh-CN"/>
        </w:rPr>
        <w:t>通过合理有效地配置资源进行规模化、现代化养殖，通过构建完善的生产体系进行蛋鸡育成鸡养殖，延长蛋鸡产业链，提升产品附加值，提高农业生产效益。项目的建设有利于促进全县蛋鸡产。</w:t>
      </w:r>
      <w:r>
        <w:rPr>
          <w:rFonts w:hint="eastAsia" w:ascii="Times New Roman" w:hAnsi="Times New Roman" w:eastAsia="宋体"/>
          <w:color w:val="auto"/>
          <w:highlight w:val="none"/>
        </w:rPr>
        <w:t>本项目采取资源化方式利用畜禽养殖废弃物。因此，本项目符合《新疆维吾尔自治区国民经济和社会发展第十四个五年规划和2035年远景目标纲要》相关要求。</w:t>
      </w:r>
    </w:p>
    <w:p w14:paraId="236CA29D">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（2）与《新疆维吾尔自治区畜牧业</w:t>
      </w:r>
      <w:r>
        <w:rPr>
          <w:rFonts w:hint="eastAsia"/>
          <w:color w:val="auto"/>
          <w:highlight w:val="none"/>
          <w:lang w:eastAsia="zh-CN"/>
        </w:rPr>
        <w:t>”</w:t>
      </w:r>
      <w:r>
        <w:rPr>
          <w:rFonts w:hint="eastAsia" w:ascii="Times New Roman" w:hAnsi="Times New Roman" w:eastAsia="宋体"/>
          <w:color w:val="auto"/>
          <w:highlight w:val="none"/>
        </w:rPr>
        <w:t>十四五</w:t>
      </w:r>
      <w:r>
        <w:rPr>
          <w:rFonts w:hint="eastAsia"/>
          <w:color w:val="auto"/>
          <w:highlight w:val="none"/>
          <w:lang w:eastAsia="zh-CN"/>
        </w:rPr>
        <w:t>”</w:t>
      </w:r>
      <w:r>
        <w:rPr>
          <w:rFonts w:hint="eastAsia" w:ascii="Times New Roman" w:hAnsi="Times New Roman" w:eastAsia="宋体"/>
          <w:color w:val="auto"/>
          <w:highlight w:val="none"/>
        </w:rPr>
        <w:t>发展规划》的符合性分析</w:t>
      </w:r>
    </w:p>
    <w:p w14:paraId="1E883751">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《新疆维吾尔自治区畜牧业</w:t>
      </w:r>
      <w:r>
        <w:rPr>
          <w:rFonts w:hint="eastAsia"/>
          <w:color w:val="auto"/>
          <w:highlight w:val="none"/>
          <w:lang w:eastAsia="zh-CN"/>
        </w:rPr>
        <w:t>”</w:t>
      </w:r>
      <w:r>
        <w:rPr>
          <w:rFonts w:hint="eastAsia" w:ascii="Times New Roman" w:hAnsi="Times New Roman" w:eastAsia="宋体"/>
          <w:color w:val="auto"/>
          <w:highlight w:val="none"/>
        </w:rPr>
        <w:t>十四五</w:t>
      </w:r>
      <w:r>
        <w:rPr>
          <w:rFonts w:hint="eastAsia"/>
          <w:color w:val="auto"/>
          <w:highlight w:val="none"/>
          <w:lang w:eastAsia="zh-CN"/>
        </w:rPr>
        <w:t>”</w:t>
      </w:r>
      <w:r>
        <w:rPr>
          <w:rFonts w:hint="eastAsia" w:ascii="Times New Roman" w:hAnsi="Times New Roman" w:eastAsia="宋体"/>
          <w:color w:val="auto"/>
          <w:highlight w:val="none"/>
        </w:rPr>
        <w:t>发展规划》提出，</w:t>
      </w:r>
      <w:r>
        <w:rPr>
          <w:rFonts w:hint="eastAsia"/>
          <w:color w:val="auto"/>
          <w:highlight w:val="none"/>
          <w:lang w:eastAsia="zh-CN"/>
        </w:rPr>
        <w:t>”</w:t>
      </w:r>
      <w:r>
        <w:rPr>
          <w:rFonts w:hint="eastAsia" w:ascii="Times New Roman" w:hAnsi="Times New Roman" w:eastAsia="宋体"/>
          <w:color w:val="auto"/>
          <w:highlight w:val="none"/>
        </w:rPr>
        <w:t>十四五</w:t>
      </w:r>
      <w:r>
        <w:rPr>
          <w:rFonts w:hint="eastAsia"/>
          <w:color w:val="auto"/>
          <w:highlight w:val="none"/>
          <w:lang w:eastAsia="zh-CN"/>
        </w:rPr>
        <w:t>”</w:t>
      </w:r>
      <w:r>
        <w:rPr>
          <w:rFonts w:hint="eastAsia" w:ascii="Times New Roman" w:hAnsi="Times New Roman" w:eastAsia="宋体"/>
          <w:color w:val="auto"/>
          <w:highlight w:val="none"/>
        </w:rPr>
        <w:t>期间，全区畜牧业坚持生态化发展方向，坚持农牧结合、草畜配套，稳定发展牧区畜牧业，突出发展农区畜牧业，坚持走集约化、标准化、规模化的发展道路，着力夯基础、补短板、强弱项、优结构、促融合、壮主体、增动能，强化科技创新和政策支持，做大肉牛肉羊产业、加快奶业振兴、做优做强畜禽产业、因地制宜发展特色产业，构建科学合理、安全高效的畜产品供给保障体系，加快推进现代畜牧业发展。</w:t>
      </w:r>
    </w:p>
    <w:p w14:paraId="3BEF528B">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到2025年，将建立适合区情、支撑有力的畜牧业产业体系、生产体系、经营体系，形成天山北坡奶业、南疆特禽、北疆绿色有机牛羊肉、马产业等4个产值百亿元以上、有国内影响力的产业集群。</w:t>
      </w:r>
    </w:p>
    <w:p w14:paraId="5D9E04E8">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本项目为</w:t>
      </w:r>
      <w:r>
        <w:rPr>
          <w:rFonts w:hint="eastAsia" w:ascii="Times New Roman" w:hAnsi="Times New Roman" w:eastAsia="宋体"/>
          <w:color w:val="auto"/>
          <w:highlight w:val="none"/>
          <w:lang w:eastAsia="zh-CN"/>
        </w:rPr>
        <w:t>玛纳斯县蛋鸡育成鸡圈舍建设及设备采购项目</w:t>
      </w:r>
      <w:r>
        <w:rPr>
          <w:rFonts w:hint="eastAsia" w:ascii="Times New Roman" w:hAnsi="Times New Roman" w:eastAsia="宋体"/>
          <w:color w:val="auto"/>
          <w:highlight w:val="none"/>
        </w:rPr>
        <w:t>，项目建成后可实现标准化、规模化</w:t>
      </w:r>
      <w:r>
        <w:rPr>
          <w:rFonts w:hint="eastAsia" w:ascii="Times New Roman" w:hAnsi="Times New Roman" w:eastAsia="宋体"/>
          <w:color w:val="auto"/>
          <w:highlight w:val="none"/>
          <w:lang w:val="en-US" w:eastAsia="zh-CN"/>
        </w:rPr>
        <w:t>蛋鸡</w:t>
      </w:r>
      <w:r>
        <w:rPr>
          <w:rFonts w:hint="eastAsia" w:ascii="Times New Roman" w:hAnsi="Times New Roman" w:eastAsia="宋体"/>
          <w:color w:val="auto"/>
          <w:highlight w:val="none"/>
        </w:rPr>
        <w:t>养殖，对于提高自治区畜牧业养殖有积极的作用，项目的建设符合《新疆维吾尔自治区畜牧业</w:t>
      </w:r>
      <w:r>
        <w:rPr>
          <w:rFonts w:hint="eastAsia"/>
          <w:color w:val="auto"/>
          <w:highlight w:val="none"/>
          <w:lang w:eastAsia="zh-CN"/>
        </w:rPr>
        <w:t>”</w:t>
      </w:r>
      <w:r>
        <w:rPr>
          <w:rFonts w:hint="eastAsia" w:ascii="Times New Roman" w:hAnsi="Times New Roman" w:eastAsia="宋体"/>
          <w:color w:val="auto"/>
          <w:highlight w:val="none"/>
        </w:rPr>
        <w:t>十四五</w:t>
      </w:r>
      <w:r>
        <w:rPr>
          <w:rFonts w:hint="eastAsia"/>
          <w:color w:val="auto"/>
          <w:highlight w:val="none"/>
          <w:lang w:eastAsia="zh-CN"/>
        </w:rPr>
        <w:t>”</w:t>
      </w:r>
      <w:r>
        <w:rPr>
          <w:rFonts w:hint="eastAsia" w:ascii="Times New Roman" w:hAnsi="Times New Roman" w:eastAsia="宋体"/>
          <w:color w:val="auto"/>
          <w:highlight w:val="none"/>
        </w:rPr>
        <w:t>发展规划》的相关要求。</w:t>
      </w:r>
    </w:p>
    <w:p w14:paraId="0AFDB285">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（3）与《新疆规模化畜禽养殖污染防治</w:t>
      </w:r>
      <w:r>
        <w:rPr>
          <w:rFonts w:hint="eastAsia"/>
          <w:color w:val="auto"/>
          <w:highlight w:val="none"/>
          <w:lang w:eastAsia="zh-CN"/>
        </w:rPr>
        <w:t>”</w:t>
      </w:r>
      <w:r>
        <w:rPr>
          <w:rFonts w:hint="eastAsia" w:ascii="Times New Roman" w:hAnsi="Times New Roman" w:eastAsia="宋体"/>
          <w:color w:val="auto"/>
          <w:highlight w:val="none"/>
        </w:rPr>
        <w:t>十三五</w:t>
      </w:r>
      <w:r>
        <w:rPr>
          <w:rFonts w:hint="eastAsia"/>
          <w:color w:val="auto"/>
          <w:highlight w:val="none"/>
          <w:lang w:eastAsia="zh-CN"/>
        </w:rPr>
        <w:t>”</w:t>
      </w:r>
      <w:r>
        <w:rPr>
          <w:rFonts w:hint="eastAsia" w:ascii="Times New Roman" w:hAnsi="Times New Roman" w:eastAsia="宋体"/>
          <w:color w:val="auto"/>
          <w:highlight w:val="none"/>
        </w:rPr>
        <w:t>规划》符合性分析</w:t>
      </w:r>
    </w:p>
    <w:p w14:paraId="73294055">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《新疆规模化畜禽养殖污染防治</w:t>
      </w:r>
      <w:r>
        <w:rPr>
          <w:rFonts w:hint="eastAsia"/>
          <w:color w:val="auto"/>
          <w:highlight w:val="none"/>
          <w:lang w:eastAsia="zh-CN"/>
        </w:rPr>
        <w:t>”</w:t>
      </w:r>
      <w:r>
        <w:rPr>
          <w:rFonts w:hint="eastAsia" w:ascii="Times New Roman" w:hAnsi="Times New Roman" w:eastAsia="宋体"/>
          <w:color w:val="auto"/>
          <w:highlight w:val="none"/>
        </w:rPr>
        <w:t>十三五</w:t>
      </w:r>
      <w:r>
        <w:rPr>
          <w:rFonts w:hint="eastAsia"/>
          <w:color w:val="auto"/>
          <w:highlight w:val="none"/>
          <w:lang w:eastAsia="zh-CN"/>
        </w:rPr>
        <w:t>”</w:t>
      </w:r>
      <w:r>
        <w:rPr>
          <w:rFonts w:hint="eastAsia" w:ascii="Times New Roman" w:hAnsi="Times New Roman" w:eastAsia="宋体"/>
          <w:color w:val="auto"/>
          <w:highlight w:val="none"/>
        </w:rPr>
        <w:t>规划》指出，各畜禽养殖单位应根据养殖种类、养殖规模、粪污收集方式以及当地的地理环境条件和废水排放去向等因素，因地制宜发展生态养殖模式，优先考虑资源综合利用，合理确定畜禽养殖污染防治措施。鼓励发展专业化集中式畜禽养殖粪污能源化利用和肥料化利用，加大对粪污水处理、有机肥加工和发酵产物综合利用产业政策的扶持和资金补贴力度，支持畜禽养殖粪污的社会化集中处理和规模化利用，加快建立循环经济产业链。</w:t>
      </w:r>
    </w:p>
    <w:p w14:paraId="7408DE6A">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本项目属于规模化养殖项目，粪便经处理后最终还田，能够形成</w:t>
      </w:r>
      <w:r>
        <w:rPr>
          <w:rFonts w:hint="eastAsia"/>
          <w:color w:val="auto"/>
          <w:highlight w:val="none"/>
          <w:lang w:eastAsia="zh-CN"/>
        </w:rPr>
        <w:t>”</w:t>
      </w:r>
      <w:r>
        <w:rPr>
          <w:rFonts w:hint="eastAsia" w:ascii="Times New Roman" w:hAnsi="Times New Roman" w:eastAsia="宋体"/>
          <w:color w:val="auto"/>
          <w:highlight w:val="none"/>
        </w:rPr>
        <w:t>畜禽-粪便-肥料-农田</w:t>
      </w:r>
      <w:r>
        <w:rPr>
          <w:rFonts w:hint="eastAsia"/>
          <w:color w:val="auto"/>
          <w:highlight w:val="none"/>
          <w:lang w:eastAsia="zh-CN"/>
        </w:rPr>
        <w:t>”</w:t>
      </w:r>
      <w:r>
        <w:rPr>
          <w:rFonts w:hint="eastAsia" w:ascii="Times New Roman" w:hAnsi="Times New Roman" w:eastAsia="宋体"/>
          <w:color w:val="auto"/>
          <w:highlight w:val="none"/>
        </w:rPr>
        <w:t>的良性循环，符合《新疆规模化畜禽养殖污染防治</w:t>
      </w:r>
      <w:r>
        <w:rPr>
          <w:rFonts w:hint="eastAsia"/>
          <w:color w:val="auto"/>
          <w:highlight w:val="none"/>
          <w:lang w:eastAsia="zh-CN"/>
        </w:rPr>
        <w:t>”</w:t>
      </w:r>
      <w:r>
        <w:rPr>
          <w:rFonts w:hint="eastAsia" w:ascii="Times New Roman" w:hAnsi="Times New Roman" w:eastAsia="宋体"/>
          <w:color w:val="auto"/>
          <w:highlight w:val="none"/>
        </w:rPr>
        <w:t>十三五</w:t>
      </w:r>
      <w:r>
        <w:rPr>
          <w:rFonts w:hint="eastAsia"/>
          <w:color w:val="auto"/>
          <w:highlight w:val="none"/>
          <w:lang w:eastAsia="zh-CN"/>
        </w:rPr>
        <w:t>”</w:t>
      </w:r>
      <w:r>
        <w:rPr>
          <w:rFonts w:hint="eastAsia" w:ascii="Times New Roman" w:hAnsi="Times New Roman" w:eastAsia="宋体"/>
          <w:color w:val="auto"/>
          <w:highlight w:val="none"/>
        </w:rPr>
        <w:t>规划》的相关要求。</w:t>
      </w:r>
    </w:p>
    <w:p w14:paraId="3A175070">
      <w:pPr>
        <w:pStyle w:val="5"/>
        <w:rPr>
          <w:rFonts w:ascii="Times New Roman" w:hAnsi="Times New Roman" w:eastAsia="宋体"/>
          <w:color w:val="auto"/>
          <w:highlight w:val="none"/>
        </w:rPr>
      </w:pPr>
      <w:bookmarkStart w:id="14" w:name="_Toc106663416"/>
      <w:r>
        <w:rPr>
          <w:rFonts w:hint="eastAsia" w:ascii="Times New Roman" w:hAnsi="Times New Roman" w:eastAsia="宋体"/>
          <w:color w:val="auto"/>
          <w:highlight w:val="none"/>
        </w:rPr>
        <w:t>1.3.</w:t>
      </w:r>
      <w:r>
        <w:rPr>
          <w:rFonts w:hint="eastAsia" w:ascii="Times New Roman" w:hAnsi="Times New Roman" w:eastAsia="宋体"/>
          <w:color w:val="auto"/>
          <w:highlight w:val="none"/>
          <w:lang w:val="en-US" w:eastAsia="zh-CN"/>
        </w:rPr>
        <w:t>3</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符合性</w:t>
      </w:r>
      <w:bookmarkEnd w:id="14"/>
    </w:p>
    <w:p w14:paraId="088D87EC">
      <w:pPr>
        <w:pStyle w:val="6"/>
        <w:ind w:firstLine="482"/>
        <w:rPr>
          <w:rFonts w:ascii="Times New Roman" w:hAnsi="Times New Roman" w:eastAsia="宋体"/>
          <w:color w:val="auto"/>
          <w:highlight w:val="none"/>
        </w:rPr>
      </w:pPr>
      <w:r>
        <w:rPr>
          <w:rFonts w:ascii="Times New Roman" w:hAnsi="Times New Roman" w:eastAsia="宋体"/>
          <w:color w:val="auto"/>
          <w:highlight w:val="none"/>
        </w:rPr>
        <w:t>1.</w:t>
      </w:r>
      <w:r>
        <w:rPr>
          <w:rFonts w:hint="eastAsia" w:ascii="Times New Roman" w:hAnsi="Times New Roman" w:eastAsia="宋体"/>
          <w:color w:val="auto"/>
          <w:highlight w:val="none"/>
        </w:rPr>
        <w:t>3</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.1与《新疆维吾尔自治区</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生态环境分区管控方案》的符合性分析</w:t>
      </w:r>
    </w:p>
    <w:p w14:paraId="72E5D62A">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根据《关于印发&lt;新疆维吾尔自治区</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生态环境分区管控方案&gt;的通知》（新政发[2021]18号），其主要内容如下：</w:t>
      </w:r>
    </w:p>
    <w:p w14:paraId="02E7D10D">
      <w:pPr>
        <w:ind w:firstLine="480"/>
        <w:rPr>
          <w:rFonts w:ascii="Times New Roman" w:hAnsi="Times New Roman" w:eastAsia="宋体"/>
          <w:color w:val="auto"/>
          <w:highlight w:val="none"/>
        </w:rPr>
      </w:pPr>
      <w:r>
        <w:rPr>
          <w:rFonts w:hint="eastAsia" w:ascii="Times New Roman" w:hAnsi="Times New Roman" w:eastAsia="宋体"/>
          <w:color w:val="auto"/>
          <w:highlight w:val="none"/>
        </w:rPr>
        <w:t>主要目标：到2025年，全区生态环境质量总体改善，环境风险得到有效管控。建立较为完善的生态环境分区管控体系与数据信息应用机制和共享系统，生态环境治理体系和治理能力现代化取得显著进展。。</w:t>
      </w:r>
    </w:p>
    <w:p w14:paraId="2E4F3059">
      <w:pPr>
        <w:ind w:firstLine="480"/>
        <w:rPr>
          <w:rFonts w:ascii="Times New Roman" w:hAnsi="Times New Roman" w:eastAsia="宋体"/>
          <w:color w:val="auto"/>
          <w:highlight w:val="none"/>
        </w:rPr>
      </w:pPr>
      <w:r>
        <w:rPr>
          <w:rFonts w:hint="eastAsia" w:ascii="Times New Roman" w:hAnsi="Times New Roman" w:eastAsia="宋体"/>
          <w:color w:val="auto"/>
          <w:highlight w:val="none"/>
        </w:rPr>
        <w:t>1）生态保护红线</w:t>
      </w:r>
    </w:p>
    <w:p w14:paraId="0BAF512C">
      <w:pPr>
        <w:ind w:firstLine="480"/>
        <w:rPr>
          <w:rFonts w:ascii="Times New Roman" w:hAnsi="Times New Roman" w:eastAsia="宋体"/>
          <w:color w:val="auto"/>
          <w:highlight w:val="none"/>
        </w:rPr>
      </w:pPr>
      <w:r>
        <w:rPr>
          <w:rFonts w:hint="eastAsia" w:ascii="Times New Roman" w:hAnsi="Times New Roman" w:eastAsia="宋体"/>
          <w:color w:val="auto"/>
          <w:highlight w:val="none"/>
        </w:rPr>
        <w:t>按照</w:t>
      </w:r>
      <w:r>
        <w:rPr>
          <w:rFonts w:hint="eastAsia"/>
          <w:color w:val="auto"/>
          <w:highlight w:val="none"/>
          <w:lang w:eastAsia="zh-CN"/>
        </w:rPr>
        <w:t>”</w:t>
      </w:r>
      <w:r>
        <w:rPr>
          <w:rFonts w:hint="eastAsia" w:ascii="Times New Roman" w:hAnsi="Times New Roman" w:eastAsia="宋体"/>
          <w:color w:val="auto"/>
          <w:highlight w:val="none"/>
        </w:rPr>
        <w:t>生态功能不降低、面积不减少、性质不改变</w:t>
      </w:r>
      <w:r>
        <w:rPr>
          <w:rFonts w:hint="eastAsia"/>
          <w:color w:val="auto"/>
          <w:highlight w:val="none"/>
          <w:lang w:eastAsia="zh-CN"/>
        </w:rPr>
        <w:t>”</w:t>
      </w:r>
      <w:r>
        <w:rPr>
          <w:rFonts w:hint="eastAsia" w:ascii="Times New Roman" w:hAnsi="Times New Roman" w:eastAsia="宋体"/>
          <w:color w:val="auto"/>
          <w:highlight w:val="none"/>
        </w:rPr>
        <w:t>的基本要求，对划定的生态保护红线实施严格管控，保障和维护兵团生态安全的底线和生命线。</w:t>
      </w:r>
    </w:p>
    <w:p w14:paraId="667387DB">
      <w:pPr>
        <w:ind w:firstLine="480"/>
        <w:rPr>
          <w:rFonts w:ascii="Times New Roman" w:hAnsi="Times New Roman" w:eastAsia="宋体"/>
          <w:color w:val="auto"/>
          <w:highlight w:val="none"/>
        </w:rPr>
      </w:pPr>
      <w:r>
        <w:rPr>
          <w:rFonts w:hint="eastAsia" w:ascii="Times New Roman" w:hAnsi="Times New Roman" w:eastAsia="宋体"/>
          <w:color w:val="auto"/>
          <w:highlight w:val="none"/>
        </w:rPr>
        <w:t>符合性分析：本项目为新建项目，位于</w:t>
      </w:r>
      <w:r>
        <w:rPr>
          <w:rFonts w:hint="eastAsia" w:ascii="Times New Roman" w:hAnsi="Times New Roman" w:eastAsia="宋体"/>
          <w:color w:val="auto"/>
          <w:highlight w:val="none"/>
          <w:lang w:val="en-US" w:eastAsia="zh-CN"/>
        </w:rPr>
        <w:t>玛纳斯县广东地乡广东地村</w:t>
      </w:r>
      <w:r>
        <w:rPr>
          <w:rFonts w:hint="eastAsia" w:ascii="Times New Roman" w:hAnsi="Times New Roman" w:eastAsia="宋体"/>
          <w:color w:val="auto"/>
          <w:highlight w:val="none"/>
        </w:rPr>
        <w:t>，属于</w:t>
      </w:r>
      <w:r>
        <w:rPr>
          <w:rFonts w:hint="eastAsia" w:ascii="Times New Roman" w:hAnsi="Times New Roman" w:eastAsia="宋体"/>
          <w:color w:val="auto"/>
          <w:highlight w:val="none"/>
          <w:lang w:val="en-US" w:eastAsia="zh-CN"/>
        </w:rPr>
        <w:t>玛纳斯县一般管控区</w:t>
      </w:r>
      <w:r>
        <w:rPr>
          <w:rFonts w:hint="eastAsia" w:ascii="Times New Roman" w:hAnsi="Times New Roman" w:eastAsia="宋体"/>
          <w:color w:val="auto"/>
          <w:highlight w:val="none"/>
        </w:rPr>
        <w:t>。本项目所在地不涉及自然保护区、风景名胜区等各类保护地边界、江河、湖库以及海岸等向陆域延伸一定距离的边界、地理国情普查、全国土地调查、森林草原湿地荒漠等，因此判定项目建设不涉及生态红线保护区域，符合生态保护红线要求。</w:t>
      </w:r>
    </w:p>
    <w:p w14:paraId="5CF0DD48">
      <w:pPr>
        <w:ind w:firstLine="480"/>
        <w:rPr>
          <w:rFonts w:ascii="Times New Roman" w:hAnsi="Times New Roman" w:eastAsia="宋体"/>
          <w:color w:val="auto"/>
          <w:highlight w:val="none"/>
        </w:rPr>
      </w:pPr>
      <w:r>
        <w:rPr>
          <w:rFonts w:hint="eastAsia" w:ascii="Times New Roman" w:hAnsi="Times New Roman" w:eastAsia="宋体"/>
          <w:color w:val="auto"/>
          <w:highlight w:val="none"/>
        </w:rPr>
        <w:t>2）环境质量底线</w:t>
      </w:r>
    </w:p>
    <w:p w14:paraId="7EA38BAE">
      <w:pPr>
        <w:ind w:firstLine="480"/>
        <w:rPr>
          <w:rFonts w:ascii="Times New Roman" w:hAnsi="Times New Roman" w:eastAsia="宋体"/>
          <w:color w:val="auto"/>
          <w:highlight w:val="none"/>
        </w:rPr>
      </w:pPr>
      <w:r>
        <w:rPr>
          <w:rFonts w:hint="eastAsia" w:ascii="Times New Roman" w:hAnsi="Times New Roman" w:eastAsia="宋体"/>
          <w:color w:val="auto"/>
          <w:highlight w:val="none"/>
        </w:rPr>
        <w:t>全区水环境质量持续改善，受污染地表水体得到有效治理，河流水质优良断面比例保持稳定，饮用水安全保障水平持续提升，地下水水质保持稳定。环境空气质量稳步提升，重污染天数持续减少，已达标城市环境空气质量保持稳定，未达标城市环境空气质量持续改善，沙尘影响严重地区做好防风固沙、生态环境保护修复等工作；全区土壤环境质量保持稳定，污染地块安全利用水平稳中求进，土壤环境风险得到进一步管控。</w:t>
      </w:r>
    </w:p>
    <w:p w14:paraId="308EC173">
      <w:pPr>
        <w:ind w:firstLine="480"/>
        <w:rPr>
          <w:rFonts w:ascii="Times New Roman" w:hAnsi="Times New Roman" w:eastAsia="宋体"/>
          <w:color w:val="auto"/>
          <w:highlight w:val="none"/>
        </w:rPr>
      </w:pPr>
      <w:r>
        <w:rPr>
          <w:rFonts w:hint="eastAsia" w:ascii="Times New Roman" w:hAnsi="Times New Roman" w:eastAsia="宋体"/>
          <w:color w:val="auto"/>
          <w:highlight w:val="none"/>
        </w:rPr>
        <w:t>符合性分析如下：</w:t>
      </w:r>
    </w:p>
    <w:p w14:paraId="632F6150">
      <w:pPr>
        <w:ind w:firstLine="480"/>
        <w:rPr>
          <w:rFonts w:ascii="Times New Roman" w:hAnsi="Times New Roman" w:eastAsia="宋体"/>
          <w:color w:val="auto"/>
          <w:highlight w:val="none"/>
        </w:rPr>
      </w:pPr>
      <w:r>
        <w:rPr>
          <w:rFonts w:hint="eastAsia" w:ascii="Times New Roman" w:hAnsi="Times New Roman" w:eastAsia="宋体"/>
          <w:color w:val="auto"/>
          <w:highlight w:val="none"/>
        </w:rPr>
        <w:t>①环境空气：项目选址区域为环境空气功能区二类区，执行二级标准。根据环境空气质量现状的监测数据，项目选址区域环境空气质量能够满足《环境空气质量标准》</w:t>
      </w:r>
      <w:r>
        <w:rPr>
          <w:rFonts w:hint="eastAsia"/>
          <w:color w:val="auto"/>
          <w:highlight w:val="none"/>
          <w:lang w:eastAsia="zh-CN"/>
        </w:rPr>
        <w:t>（</w:t>
      </w:r>
      <w:r>
        <w:rPr>
          <w:rFonts w:hint="eastAsia" w:ascii="Times New Roman" w:hAnsi="Times New Roman" w:eastAsia="宋体"/>
          <w:color w:val="auto"/>
          <w:highlight w:val="none"/>
        </w:rPr>
        <w:t>GB3095-2012</w:t>
      </w:r>
      <w:r>
        <w:rPr>
          <w:rFonts w:hint="eastAsia"/>
          <w:color w:val="auto"/>
          <w:highlight w:val="none"/>
          <w:lang w:eastAsia="zh-CN"/>
        </w:rPr>
        <w:t>）</w:t>
      </w:r>
      <w:r>
        <w:rPr>
          <w:rFonts w:hint="eastAsia" w:ascii="Times New Roman" w:hAnsi="Times New Roman" w:eastAsia="宋体"/>
          <w:color w:val="auto"/>
          <w:highlight w:val="none"/>
        </w:rPr>
        <w:t>及修改单中二级标准要求。项目在严格执行环评中所提出的NH</w:t>
      </w:r>
      <w:r>
        <w:rPr>
          <w:rFonts w:hint="eastAsia" w:ascii="Times New Roman" w:hAnsi="Times New Roman" w:eastAsia="宋体"/>
          <w:color w:val="auto"/>
          <w:highlight w:val="none"/>
          <w:vertAlign w:val="subscript"/>
        </w:rPr>
        <w:t>3</w:t>
      </w:r>
      <w:r>
        <w:rPr>
          <w:rFonts w:hint="eastAsia" w:ascii="Times New Roman" w:hAnsi="Times New Roman" w:eastAsia="宋体"/>
          <w:color w:val="auto"/>
          <w:highlight w:val="none"/>
        </w:rPr>
        <w:t>、H</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S等废气治理措施后，满足相应排放标准，排放量较少，对环境空气影响较小，不会降低区域环境空气质量。</w:t>
      </w:r>
    </w:p>
    <w:p w14:paraId="6898E214">
      <w:pPr>
        <w:ind w:firstLine="480"/>
        <w:rPr>
          <w:rFonts w:ascii="Times New Roman" w:hAnsi="Times New Roman" w:eastAsia="宋体"/>
          <w:color w:val="auto"/>
          <w:highlight w:val="none"/>
        </w:rPr>
      </w:pPr>
      <w:r>
        <w:rPr>
          <w:rFonts w:hint="eastAsia" w:ascii="Times New Roman" w:hAnsi="Times New Roman" w:eastAsia="宋体"/>
          <w:color w:val="auto"/>
          <w:highlight w:val="none"/>
        </w:rPr>
        <w:t>②水环境：项目区周边无地表水体，根据区域环境功能区划，地下水环境质量执行《地下水质量标准》</w:t>
      </w:r>
      <w:r>
        <w:rPr>
          <w:rFonts w:hint="eastAsia"/>
          <w:color w:val="auto"/>
          <w:highlight w:val="none"/>
          <w:lang w:eastAsia="zh-CN"/>
        </w:rPr>
        <w:t>（</w:t>
      </w:r>
      <w:r>
        <w:rPr>
          <w:rFonts w:hint="eastAsia" w:ascii="Times New Roman" w:hAnsi="Times New Roman" w:eastAsia="宋体"/>
          <w:color w:val="auto"/>
          <w:highlight w:val="none"/>
        </w:rPr>
        <w:t>GB/T14848-2017</w:t>
      </w:r>
      <w:r>
        <w:rPr>
          <w:rFonts w:hint="eastAsia"/>
          <w:color w:val="auto"/>
          <w:highlight w:val="none"/>
          <w:lang w:eastAsia="zh-CN"/>
        </w:rPr>
        <w:t>）</w:t>
      </w:r>
      <w:r>
        <w:rPr>
          <w:rFonts w:hint="eastAsia" w:ascii="Times New Roman" w:hAnsi="Times New Roman" w:eastAsia="宋体"/>
          <w:color w:val="auto"/>
          <w:highlight w:val="none"/>
        </w:rPr>
        <w:t>中III类标准。本项目养殖</w:t>
      </w:r>
      <w:r>
        <w:rPr>
          <w:rFonts w:hint="eastAsia"/>
          <w:color w:val="auto"/>
          <w:highlight w:val="none"/>
          <w:lang w:val="en-US" w:eastAsia="zh-CN"/>
        </w:rPr>
        <w:t>废水经过污水收集池收集后经过预处理处理后用作农肥</w:t>
      </w:r>
      <w:r>
        <w:rPr>
          <w:rFonts w:hint="eastAsia" w:ascii="Times New Roman" w:hAnsi="Times New Roman" w:eastAsia="宋体"/>
          <w:color w:val="auto"/>
          <w:highlight w:val="none"/>
        </w:rPr>
        <w:t>，可以实现废物综合利用。对周边水环境质量影响较小，不会降低区域水环境质量。</w:t>
      </w:r>
    </w:p>
    <w:p w14:paraId="0B23DCFF">
      <w:pPr>
        <w:ind w:firstLine="480"/>
        <w:rPr>
          <w:rFonts w:ascii="Times New Roman" w:hAnsi="Times New Roman" w:eastAsia="宋体"/>
          <w:color w:val="auto"/>
          <w:highlight w:val="none"/>
        </w:rPr>
      </w:pPr>
      <w:r>
        <w:rPr>
          <w:rFonts w:hint="eastAsia" w:ascii="Times New Roman" w:hAnsi="Times New Roman" w:eastAsia="宋体"/>
          <w:color w:val="auto"/>
          <w:highlight w:val="none"/>
        </w:rPr>
        <w:t>③土壤环境：项目区内土壤环境质量执行《土壤环境质量农业用地土壤污染风险管控标准（试行）》</w:t>
      </w:r>
      <w:r>
        <w:rPr>
          <w:rFonts w:hint="eastAsia"/>
          <w:color w:val="auto"/>
          <w:highlight w:val="none"/>
          <w:lang w:eastAsia="zh-CN"/>
        </w:rPr>
        <w:t>（</w:t>
      </w:r>
      <w:r>
        <w:rPr>
          <w:rFonts w:hint="eastAsia" w:ascii="Times New Roman" w:hAnsi="Times New Roman" w:eastAsia="宋体"/>
          <w:color w:val="auto"/>
          <w:highlight w:val="none"/>
        </w:rPr>
        <w:t>GB15618—2018</w:t>
      </w:r>
      <w:r>
        <w:rPr>
          <w:rFonts w:hint="eastAsia"/>
          <w:color w:val="auto"/>
          <w:highlight w:val="none"/>
          <w:lang w:eastAsia="zh-CN"/>
        </w:rPr>
        <w:t>）</w:t>
      </w:r>
      <w:r>
        <w:rPr>
          <w:rFonts w:hint="eastAsia" w:ascii="Times New Roman" w:hAnsi="Times New Roman" w:eastAsia="宋体"/>
          <w:color w:val="auto"/>
          <w:highlight w:val="none"/>
        </w:rPr>
        <w:t>中的第二类用地筛选值，项目采取防渗措施后对土壤环境影响较小。</w:t>
      </w:r>
    </w:p>
    <w:p w14:paraId="413E5865">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综上，本项目的建设符合环境质量底线要求。</w:t>
      </w:r>
    </w:p>
    <w:p w14:paraId="01C6F8A1">
      <w:pPr>
        <w:ind w:firstLine="480"/>
        <w:rPr>
          <w:rFonts w:ascii="Times New Roman" w:hAnsi="Times New Roman" w:eastAsia="宋体"/>
          <w:color w:val="auto"/>
          <w:highlight w:val="none"/>
        </w:rPr>
      </w:pPr>
      <w:r>
        <w:rPr>
          <w:rFonts w:hint="eastAsia" w:ascii="Times New Roman" w:hAnsi="Times New Roman" w:eastAsia="宋体"/>
          <w:color w:val="auto"/>
          <w:highlight w:val="none"/>
        </w:rPr>
        <w:t>3）资源利用上线</w:t>
      </w:r>
    </w:p>
    <w:p w14:paraId="71E96BEA">
      <w:pPr>
        <w:ind w:firstLine="480"/>
        <w:rPr>
          <w:rFonts w:ascii="Times New Roman" w:hAnsi="Times New Roman" w:eastAsia="宋体"/>
          <w:color w:val="auto"/>
          <w:highlight w:val="none"/>
        </w:rPr>
      </w:pPr>
      <w:r>
        <w:rPr>
          <w:rFonts w:hint="eastAsia" w:ascii="Times New Roman" w:hAnsi="Times New Roman" w:eastAsia="宋体"/>
          <w:color w:val="auto"/>
          <w:highlight w:val="none"/>
        </w:rPr>
        <w:t>强化节约集约利用，持续提升资源能源利用效率，水资源、土地资源、能源消耗达到国家、自治区下达的总量和强度控制目标，地下水超采得到严格控制。加快区域低碳发展，积极推动乌鲁木齐市、昌吉市、伊宁市、和田市等4个国家级低碳试点城市发挥低碳试点示范和引领作用。</w:t>
      </w:r>
    </w:p>
    <w:p w14:paraId="5DCD9DC9">
      <w:pPr>
        <w:ind w:firstLine="480"/>
        <w:rPr>
          <w:rFonts w:ascii="Times New Roman" w:hAnsi="Times New Roman" w:eastAsia="宋体"/>
          <w:color w:val="auto"/>
          <w:highlight w:val="none"/>
        </w:rPr>
      </w:pPr>
      <w:r>
        <w:rPr>
          <w:rFonts w:hint="eastAsia" w:ascii="Times New Roman" w:hAnsi="Times New Roman" w:eastAsia="宋体"/>
          <w:color w:val="auto"/>
          <w:highlight w:val="none"/>
        </w:rPr>
        <w:t>到2035年，生态环境质量实现根本好转，节约资源和保护生态环境的空间格局、产业结构、生产方式、生活方式总体形成，美丽新疆目标基本实现。</w:t>
      </w:r>
    </w:p>
    <w:p w14:paraId="2A224EE1">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本项目属于</w:t>
      </w:r>
      <w:r>
        <w:rPr>
          <w:rFonts w:hint="eastAsia" w:ascii="Times New Roman" w:hAnsi="Times New Roman" w:eastAsia="宋体"/>
          <w:color w:val="auto"/>
          <w:highlight w:val="none"/>
          <w:lang w:val="en-US" w:eastAsia="zh-CN"/>
        </w:rPr>
        <w:t>蛋鸡</w:t>
      </w:r>
      <w:r>
        <w:rPr>
          <w:rFonts w:hint="eastAsia" w:ascii="Times New Roman" w:hAnsi="Times New Roman" w:eastAsia="宋体"/>
          <w:color w:val="auto"/>
          <w:highlight w:val="none"/>
        </w:rPr>
        <w:t>养殖项目，主要利用当地土地资源、电能、水资源，项目区占地类型为设施农业用地，不涉及基本农田等占地，项目用水由农村供水管网供给，用电来自当地供电网，本项目的用水、用电不会对供水和供电单位产生负担。本项目选址位于</w:t>
      </w:r>
      <w:r>
        <w:rPr>
          <w:rFonts w:hint="eastAsia" w:ascii="Times New Roman" w:hAnsi="Times New Roman" w:eastAsia="宋体"/>
          <w:color w:val="auto"/>
          <w:highlight w:val="none"/>
          <w:lang w:val="en-US" w:eastAsia="zh-CN"/>
        </w:rPr>
        <w:t>玛纳斯县广东地乡</w:t>
      </w:r>
      <w:r>
        <w:rPr>
          <w:rFonts w:hint="eastAsia" w:ascii="Times New Roman" w:hAnsi="Times New Roman" w:eastAsia="宋体"/>
          <w:color w:val="auto"/>
          <w:highlight w:val="none"/>
        </w:rPr>
        <w:t>，符合用地规划。因此本项目不会超出资源利用上线，符合资源利用上线要求。</w:t>
      </w:r>
    </w:p>
    <w:p w14:paraId="4845B605">
      <w:pPr>
        <w:ind w:firstLine="480"/>
        <w:rPr>
          <w:rFonts w:ascii="Times New Roman" w:hAnsi="Times New Roman" w:eastAsia="宋体"/>
          <w:color w:val="auto"/>
          <w:highlight w:val="none"/>
        </w:rPr>
      </w:pPr>
      <w:r>
        <w:rPr>
          <w:rFonts w:hint="eastAsia" w:ascii="Times New Roman" w:hAnsi="Times New Roman" w:eastAsia="宋体"/>
          <w:color w:val="auto"/>
          <w:highlight w:val="none"/>
        </w:rPr>
        <w:t>4）生态环境准入清单</w:t>
      </w:r>
    </w:p>
    <w:p w14:paraId="64B65CF7">
      <w:pPr>
        <w:ind w:firstLine="480"/>
        <w:rPr>
          <w:rFonts w:ascii="Times New Roman" w:hAnsi="Times New Roman" w:eastAsia="宋体"/>
          <w:color w:val="auto"/>
          <w:highlight w:val="none"/>
        </w:rPr>
      </w:pPr>
      <w:r>
        <w:rPr>
          <w:rFonts w:hint="eastAsia" w:ascii="Times New Roman" w:hAnsi="Times New Roman" w:eastAsia="宋体"/>
          <w:color w:val="auto"/>
          <w:highlight w:val="none"/>
        </w:rPr>
        <w:t>自治区级管控要求对接自治区总体管控要求；各自治区七大片区管控要求，衔接所在地州市管控要求，结合区域主要生态环境问题和发展需求，细化形成本地区</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总体管控要求和具体环境管控单元的差异化生态环境准入清单。</w:t>
      </w:r>
    </w:p>
    <w:p w14:paraId="1F0213DE">
      <w:pPr>
        <w:pStyle w:val="6"/>
        <w:ind w:firstLine="482"/>
        <w:rPr>
          <w:rFonts w:ascii="Times New Roman" w:hAnsi="Times New Roman" w:eastAsia="宋体"/>
          <w:color w:val="auto"/>
          <w:highlight w:val="none"/>
        </w:rPr>
      </w:pPr>
      <w:r>
        <w:rPr>
          <w:rFonts w:ascii="Times New Roman" w:hAnsi="Times New Roman" w:eastAsia="宋体"/>
          <w:color w:val="auto"/>
          <w:highlight w:val="none"/>
        </w:rPr>
        <w:t>1</w:t>
      </w:r>
      <w:r>
        <w:rPr>
          <w:rFonts w:hint="eastAsia" w:ascii="Times New Roman" w:hAnsi="Times New Roman" w:eastAsia="宋体"/>
          <w:color w:val="auto"/>
          <w:highlight w:val="none"/>
        </w:rPr>
        <w:t>.</w:t>
      </w:r>
      <w:r>
        <w:rPr>
          <w:rFonts w:ascii="Times New Roman" w:hAnsi="Times New Roman" w:eastAsia="宋体"/>
          <w:color w:val="auto"/>
          <w:highlight w:val="none"/>
        </w:rPr>
        <w:t>3</w:t>
      </w:r>
      <w:r>
        <w:rPr>
          <w:rFonts w:hint="eastAsia" w:ascii="Times New Roman" w:hAnsi="Times New Roman" w:eastAsia="宋体"/>
          <w:color w:val="auto"/>
          <w:highlight w:val="none"/>
        </w:rPr>
        <w:t>.</w:t>
      </w:r>
      <w:r>
        <w:rPr>
          <w:rFonts w:ascii="Times New Roman" w:hAnsi="Times New Roman" w:eastAsia="宋体"/>
          <w:color w:val="auto"/>
          <w:highlight w:val="none"/>
        </w:rPr>
        <w:t>4</w:t>
      </w:r>
      <w:r>
        <w:rPr>
          <w:rFonts w:hint="eastAsia" w:ascii="Times New Roman" w:hAnsi="Times New Roman" w:eastAsia="宋体"/>
          <w:color w:val="auto"/>
          <w:highlight w:val="none"/>
        </w:rPr>
        <w:t>.2与《昌吉回族自治州</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生态环境分区管控方案及生态环境准入清单》的符合性分析</w:t>
      </w:r>
    </w:p>
    <w:p w14:paraId="63BC83BA">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根据《关于印发&lt;昌吉回族自治州</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生态环境分区管控方案及生态环境准入清单&gt;的公告》（昌州政办发[2021]41号），其主要内容如下：</w:t>
      </w:r>
    </w:p>
    <w:p w14:paraId="1A0D8D73">
      <w:pPr>
        <w:ind w:firstLine="480"/>
        <w:rPr>
          <w:rFonts w:ascii="Times New Roman" w:hAnsi="Times New Roman" w:eastAsia="宋体"/>
          <w:color w:val="auto"/>
          <w:highlight w:val="none"/>
        </w:rPr>
      </w:pPr>
      <w:r>
        <w:rPr>
          <w:rFonts w:hint="eastAsia" w:ascii="Times New Roman" w:hAnsi="Times New Roman" w:eastAsia="宋体"/>
          <w:color w:val="auto"/>
          <w:highlight w:val="none"/>
        </w:rPr>
        <w:t>——主要目标。到2025年，全州生态环境质量总体改善，环境风险得到有效管控。建立较为完善的生态环境分区管控体系与数据信息应用机制和共享系统，生态环境治理体系和治理能力现代化取得显著进展。</w:t>
      </w:r>
    </w:p>
    <w:p w14:paraId="6297F7EA">
      <w:pPr>
        <w:ind w:firstLine="480"/>
        <w:rPr>
          <w:rFonts w:ascii="Times New Roman" w:hAnsi="Times New Roman" w:eastAsia="宋体"/>
          <w:color w:val="auto"/>
          <w:highlight w:val="none"/>
        </w:rPr>
      </w:pPr>
      <w:r>
        <w:rPr>
          <w:rFonts w:hint="eastAsia" w:ascii="Times New Roman" w:hAnsi="Times New Roman" w:eastAsia="宋体"/>
          <w:color w:val="auto"/>
          <w:highlight w:val="none"/>
        </w:rPr>
        <w:t>——生态保护红线。按照</w:t>
      </w:r>
      <w:r>
        <w:rPr>
          <w:rFonts w:hint="eastAsia"/>
          <w:color w:val="auto"/>
          <w:highlight w:val="none"/>
          <w:lang w:eastAsia="zh-CN"/>
        </w:rPr>
        <w:t>”</w:t>
      </w:r>
      <w:r>
        <w:rPr>
          <w:rFonts w:hint="eastAsia" w:ascii="Times New Roman" w:hAnsi="Times New Roman" w:eastAsia="宋体"/>
          <w:color w:val="auto"/>
          <w:highlight w:val="none"/>
        </w:rPr>
        <w:t>生态功能不降低、面积不减少、性质不改变</w:t>
      </w:r>
      <w:r>
        <w:rPr>
          <w:rFonts w:hint="eastAsia"/>
          <w:color w:val="auto"/>
          <w:highlight w:val="none"/>
          <w:lang w:eastAsia="zh-CN"/>
        </w:rPr>
        <w:t>”</w:t>
      </w:r>
      <w:r>
        <w:rPr>
          <w:rFonts w:hint="eastAsia" w:ascii="Times New Roman" w:hAnsi="Times New Roman" w:eastAsia="宋体"/>
          <w:color w:val="auto"/>
          <w:highlight w:val="none"/>
        </w:rPr>
        <w:t>的基本要求，生态空间得到优化和保护，生态保护红线得到严格管控。生态功能保持稳定，生物多样性水平稳步提升，生态空间保护体系基本建立。</w:t>
      </w:r>
    </w:p>
    <w:p w14:paraId="452431F8">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质量底线。全州环境空气质量有所提升，重污染天数持续减少，已达标城市环境空气质量保持稳定，未达标城市环境空气质量持续改善；全州河流、湖库及城镇集中式饮用水水源地水质稳中向好。地下水质量考核点位水质级别保持稳定，地下水污染风险得到有效控制，地下水超采得到严格控制；全州土壤环境质量保持稳定，污染地块安全利用水平稳中有升，土壤环境风险得到进一步管控。</w:t>
      </w:r>
    </w:p>
    <w:p w14:paraId="1A60781D">
      <w:pPr>
        <w:ind w:firstLine="480"/>
        <w:rPr>
          <w:rFonts w:ascii="Times New Roman" w:hAnsi="Times New Roman" w:eastAsia="宋体"/>
          <w:color w:val="auto"/>
          <w:highlight w:val="none"/>
        </w:rPr>
      </w:pPr>
      <w:r>
        <w:rPr>
          <w:rFonts w:hint="eastAsia" w:ascii="Times New Roman" w:hAnsi="Times New Roman" w:eastAsia="宋体"/>
          <w:color w:val="auto"/>
          <w:highlight w:val="none"/>
        </w:rPr>
        <w:t>——资源利用上线。强化节约集约利用，持续提升资源能源利用效率，水资源、土地资源、能源消耗等达到自治区、自治州下达的总量和强度控制目标。加快区域低碳发展，积极推动昌吉市国家级低碳试点城市发挥低碳试点示范和引领作用。</w:t>
      </w:r>
    </w:p>
    <w:p w14:paraId="70FF8BD1">
      <w:pPr>
        <w:ind w:firstLine="480"/>
        <w:rPr>
          <w:rFonts w:ascii="Times New Roman" w:hAnsi="Times New Roman" w:eastAsia="宋体"/>
          <w:color w:val="auto"/>
          <w:highlight w:val="none"/>
        </w:rPr>
      </w:pPr>
      <w:r>
        <w:rPr>
          <w:rFonts w:hint="eastAsia" w:ascii="Times New Roman" w:hAnsi="Times New Roman" w:eastAsia="宋体"/>
          <w:color w:val="auto"/>
          <w:highlight w:val="none"/>
        </w:rPr>
        <w:t>到2035年，全州生态环境质量实现根本好转，节约资源和保护生态环境的空间格局、产业结构、生产方式、生活方式总体形成，生态系统健康和人群健康得到充分保障，环境经济实现良性循环。</w:t>
      </w:r>
    </w:p>
    <w:p w14:paraId="4DB40C2A">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本项目位于《昌吉回族自治州</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生态环境分区管控方案及生态环境准入清单》中的重点管控单元，与《昌吉回族自治州</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生态环境分区管控方案及生态环境准入清单》中</w:t>
      </w:r>
      <w:r>
        <w:rPr>
          <w:rFonts w:hint="eastAsia" w:ascii="Times New Roman" w:hAnsi="Times New Roman" w:eastAsia="宋体"/>
          <w:color w:val="auto"/>
          <w:highlight w:val="none"/>
          <w:lang w:val="en-US" w:eastAsia="zh-CN"/>
        </w:rPr>
        <w:t>玛纳斯县</w:t>
      </w:r>
      <w:r>
        <w:rPr>
          <w:rFonts w:hint="eastAsia" w:ascii="Times New Roman" w:hAnsi="Times New Roman" w:eastAsia="宋体"/>
          <w:color w:val="auto"/>
          <w:highlight w:val="none"/>
        </w:rPr>
        <w:t>环境管控单元生态环境准入清单（</w:t>
      </w:r>
      <w:r>
        <w:rPr>
          <w:rFonts w:hint="eastAsia" w:ascii="Times New Roman" w:hAnsi="Times New Roman" w:eastAsia="宋体"/>
          <w:color w:val="auto"/>
          <w:highlight w:val="none"/>
          <w:lang w:val="en-US" w:eastAsia="zh-CN"/>
        </w:rPr>
        <w:t>一般管控区</w:t>
      </w:r>
      <w:r>
        <w:rPr>
          <w:rFonts w:hint="eastAsia" w:ascii="Times New Roman" w:hAnsi="Times New Roman" w:eastAsia="宋体"/>
          <w:color w:val="auto"/>
          <w:highlight w:val="none"/>
        </w:rPr>
        <w:t>）符合性分析具体见表</w:t>
      </w:r>
      <w:r>
        <w:rPr>
          <w:rFonts w:ascii="Times New Roman" w:hAnsi="Times New Roman" w:eastAsia="宋体"/>
          <w:color w:val="auto"/>
          <w:highlight w:val="none"/>
        </w:rPr>
        <w:t>1</w:t>
      </w:r>
      <w:r>
        <w:rPr>
          <w:rFonts w:hint="eastAsia" w:ascii="Times New Roman" w:hAnsi="Times New Roman" w:eastAsia="宋体"/>
          <w:color w:val="auto"/>
          <w:highlight w:val="none"/>
        </w:rPr>
        <w:t>.</w:t>
      </w:r>
      <w:r>
        <w:rPr>
          <w:rFonts w:ascii="Times New Roman" w:hAnsi="Times New Roman" w:eastAsia="宋体"/>
          <w:color w:val="auto"/>
          <w:highlight w:val="none"/>
        </w:rPr>
        <w:t>3</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rPr>
        <w:t>。项目在昌吉回族自治州环境管控单元中的位置见附图</w:t>
      </w:r>
      <w:r>
        <w:rPr>
          <w:rFonts w:ascii="Times New Roman" w:hAnsi="Times New Roman" w:eastAsia="宋体"/>
          <w:color w:val="auto"/>
          <w:highlight w:val="none"/>
        </w:rPr>
        <w:t>1</w:t>
      </w:r>
      <w:r>
        <w:rPr>
          <w:rFonts w:hint="eastAsia" w:ascii="Times New Roman" w:hAnsi="Times New Roman" w:eastAsia="宋体"/>
          <w:color w:val="auto"/>
          <w:highlight w:val="none"/>
        </w:rPr>
        <w:t>.</w:t>
      </w:r>
      <w:r>
        <w:rPr>
          <w:rFonts w:ascii="Times New Roman" w:hAnsi="Times New Roman" w:eastAsia="宋体"/>
          <w:color w:val="auto"/>
          <w:highlight w:val="none"/>
        </w:rPr>
        <w:t>3</w:t>
      </w:r>
      <w:r>
        <w:rPr>
          <w:rFonts w:hint="eastAsia" w:ascii="Times New Roman" w:hAnsi="Times New Roman" w:eastAsia="宋体"/>
          <w:color w:val="auto"/>
          <w:highlight w:val="none"/>
        </w:rPr>
        <w:t>-</w:t>
      </w:r>
      <w:r>
        <w:rPr>
          <w:rFonts w:hint="eastAsia"/>
          <w:color w:val="auto"/>
          <w:highlight w:val="none"/>
          <w:lang w:val="en-US" w:eastAsia="zh-CN"/>
        </w:rPr>
        <w:t>2</w:t>
      </w:r>
      <w:r>
        <w:rPr>
          <w:rFonts w:hint="eastAsia" w:ascii="Times New Roman" w:hAnsi="Times New Roman" w:eastAsia="宋体"/>
          <w:color w:val="auto"/>
          <w:highlight w:val="none"/>
        </w:rPr>
        <w:t>。</w:t>
      </w:r>
    </w:p>
    <w:p w14:paraId="774F9D5A">
      <w:pPr>
        <w:ind w:firstLine="480"/>
        <w:rPr>
          <w:rFonts w:ascii="Times New Roman" w:hAnsi="Times New Roman" w:eastAsia="宋体"/>
          <w:color w:val="auto"/>
          <w:highlight w:val="none"/>
        </w:rPr>
      </w:pPr>
      <w:r>
        <w:rPr>
          <w:rFonts w:hint="eastAsia" w:ascii="Times New Roman" w:hAnsi="Times New Roman" w:eastAsia="宋体"/>
          <w:color w:val="auto"/>
          <w:highlight w:val="none"/>
        </w:rPr>
        <w:t>通过表</w:t>
      </w:r>
      <w:r>
        <w:rPr>
          <w:rFonts w:ascii="Times New Roman" w:hAnsi="Times New Roman" w:eastAsia="宋体"/>
          <w:color w:val="auto"/>
          <w:highlight w:val="none"/>
        </w:rPr>
        <w:t>1</w:t>
      </w:r>
      <w:r>
        <w:rPr>
          <w:rFonts w:hint="eastAsia" w:ascii="Times New Roman" w:hAnsi="Times New Roman" w:eastAsia="宋体"/>
          <w:color w:val="auto"/>
          <w:highlight w:val="none"/>
        </w:rPr>
        <w:t>.</w:t>
      </w:r>
      <w:r>
        <w:rPr>
          <w:rFonts w:ascii="Times New Roman" w:hAnsi="Times New Roman" w:eastAsia="宋体"/>
          <w:color w:val="auto"/>
          <w:highlight w:val="none"/>
        </w:rPr>
        <w:t>3</w:t>
      </w:r>
      <w:r>
        <w:rPr>
          <w:rFonts w:hint="eastAsia" w:ascii="Times New Roman" w:hAnsi="Times New Roman" w:eastAsia="宋体"/>
          <w:color w:val="auto"/>
          <w:highlight w:val="none"/>
        </w:rPr>
        <w:t>-</w:t>
      </w:r>
      <w:r>
        <w:rPr>
          <w:rFonts w:ascii="Times New Roman" w:hAnsi="Times New Roman" w:eastAsia="宋体"/>
          <w:color w:val="auto"/>
          <w:highlight w:val="none"/>
        </w:rPr>
        <w:t>2</w:t>
      </w:r>
      <w:r>
        <w:rPr>
          <w:rFonts w:hint="eastAsia" w:ascii="Times New Roman" w:hAnsi="Times New Roman" w:eastAsia="宋体"/>
          <w:color w:val="auto"/>
          <w:highlight w:val="none"/>
        </w:rPr>
        <w:t>分析，本项目符合《昌吉回族自治州</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生态环境分区管控方案及生态环境准入清单》的相关要求。</w:t>
      </w:r>
    </w:p>
    <w:p w14:paraId="37C94462">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综上所述，本项目的建设符合《新疆维吾尔自治区</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生态环境分区管控方案》和《昌吉回族自治州</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生态环境分区管控方案及生态环境准入清单》的相关要求。本项目与</w:t>
      </w:r>
      <w:r>
        <w:rPr>
          <w:rFonts w:hint="eastAsia" w:ascii="Times New Roman" w:hAnsi="Times New Roman" w:eastAsia="宋体"/>
          <w:color w:val="auto"/>
          <w:highlight w:val="none"/>
          <w:lang w:val="en-US" w:eastAsia="zh-CN"/>
        </w:rPr>
        <w:t>玛纳斯县</w:t>
      </w:r>
      <w:r>
        <w:rPr>
          <w:rFonts w:hint="eastAsia" w:ascii="Times New Roman" w:hAnsi="Times New Roman" w:eastAsia="宋体"/>
          <w:color w:val="auto"/>
          <w:highlight w:val="none"/>
        </w:rPr>
        <w:t>环境管控单元生态环境准入清单（</w:t>
      </w:r>
      <w:r>
        <w:rPr>
          <w:rFonts w:hint="eastAsia" w:ascii="Times New Roman" w:hAnsi="Times New Roman" w:eastAsia="宋体"/>
          <w:color w:val="auto"/>
          <w:highlight w:val="none"/>
          <w:lang w:val="en-US" w:eastAsia="zh-CN"/>
        </w:rPr>
        <w:t>一般管控区</w:t>
      </w:r>
      <w:r>
        <w:rPr>
          <w:rFonts w:hint="eastAsia" w:ascii="Times New Roman" w:hAnsi="Times New Roman" w:eastAsia="宋体"/>
          <w:color w:val="auto"/>
          <w:highlight w:val="none"/>
        </w:rPr>
        <w:t>）的符合性分析见表1</w:t>
      </w:r>
      <w:r>
        <w:rPr>
          <w:rFonts w:ascii="Times New Roman" w:hAnsi="Times New Roman" w:eastAsia="宋体"/>
          <w:color w:val="auto"/>
          <w:highlight w:val="none"/>
        </w:rPr>
        <w:t>.3-1</w:t>
      </w:r>
      <w:r>
        <w:rPr>
          <w:rFonts w:hint="eastAsia" w:ascii="Times New Roman" w:hAnsi="Times New Roman" w:eastAsia="宋体"/>
          <w:color w:val="auto"/>
          <w:highlight w:val="none"/>
        </w:rPr>
        <w:t>，项目的建设符合相关规定。本项目在新疆维吾尔自治区环境管控单元图中的位置见附图</w:t>
      </w:r>
      <w:r>
        <w:rPr>
          <w:rFonts w:ascii="Times New Roman" w:hAnsi="Times New Roman" w:eastAsia="宋体"/>
          <w:color w:val="auto"/>
          <w:highlight w:val="none"/>
        </w:rPr>
        <w:t>1</w:t>
      </w:r>
      <w:r>
        <w:rPr>
          <w:rFonts w:hint="eastAsia" w:ascii="Times New Roman" w:hAnsi="Times New Roman" w:eastAsia="宋体"/>
          <w:color w:val="auto"/>
          <w:highlight w:val="none"/>
        </w:rPr>
        <w:t>.</w:t>
      </w:r>
      <w:r>
        <w:rPr>
          <w:rFonts w:ascii="Times New Roman" w:hAnsi="Times New Roman" w:eastAsia="宋体"/>
          <w:color w:val="auto"/>
          <w:highlight w:val="none"/>
        </w:rPr>
        <w:t>3</w:t>
      </w:r>
      <w:r>
        <w:rPr>
          <w:rFonts w:hint="eastAsia" w:ascii="Times New Roman" w:hAnsi="Times New Roman" w:eastAsia="宋体"/>
          <w:color w:val="auto"/>
          <w:highlight w:val="none"/>
        </w:rPr>
        <w:t>-</w:t>
      </w:r>
      <w:r>
        <w:rPr>
          <w:rFonts w:ascii="Times New Roman" w:hAnsi="Times New Roman" w:eastAsia="宋体"/>
          <w:color w:val="auto"/>
          <w:highlight w:val="none"/>
        </w:rPr>
        <w:t>1</w:t>
      </w:r>
      <w:r>
        <w:rPr>
          <w:rFonts w:hint="eastAsia" w:ascii="Times New Roman" w:hAnsi="Times New Roman" w:eastAsia="宋体"/>
          <w:color w:val="auto"/>
          <w:highlight w:val="none"/>
        </w:rPr>
        <w:t>。</w:t>
      </w:r>
    </w:p>
    <w:p w14:paraId="0F2C3F9D">
      <w:pPr>
        <w:ind w:firstLine="480"/>
        <w:rPr>
          <w:rFonts w:ascii="Times New Roman" w:hAnsi="Times New Roman" w:eastAsia="宋体"/>
          <w:color w:val="auto"/>
          <w:highlight w:val="none"/>
        </w:rPr>
        <w:sectPr>
          <w:headerReference r:id="rId13" w:type="first"/>
          <w:footerReference r:id="rId16" w:type="first"/>
          <w:headerReference r:id="rId11" w:type="default"/>
          <w:footerReference r:id="rId14" w:type="default"/>
          <w:headerReference r:id="rId12" w:type="even"/>
          <w:footerReference r:id="rId15" w:type="even"/>
          <w:type w:val="oddPage"/>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26" w:charSpace="0"/>
        </w:sectPr>
      </w:pPr>
    </w:p>
    <w:p w14:paraId="76261BB2">
      <w:pPr>
        <w:ind w:firstLine="482"/>
        <w:jc w:val="center"/>
        <w:outlineLvl w:val="0"/>
        <w:rPr>
          <w:rFonts w:ascii="Times New Roman" w:hAnsi="Times New Roman" w:eastAsia="宋体"/>
          <w:b/>
          <w:color w:val="auto"/>
          <w:szCs w:val="22"/>
          <w:highlight w:val="none"/>
        </w:rPr>
      </w:pPr>
      <w:bookmarkStart w:id="15" w:name="_Toc65241744"/>
      <w:bookmarkStart w:id="16" w:name="_Toc69742108"/>
      <w:r>
        <w:rPr>
          <w:rFonts w:hint="eastAsia" w:ascii="Times New Roman" w:hAnsi="Times New Roman" w:eastAsia="宋体"/>
          <w:b/>
          <w:color w:val="auto"/>
          <w:szCs w:val="22"/>
          <w:highlight w:val="none"/>
        </w:rPr>
        <w:t>表1.3-1与</w:t>
      </w:r>
      <w:r>
        <w:rPr>
          <w:rFonts w:hint="eastAsia" w:ascii="Times New Roman" w:hAnsi="Times New Roman" w:eastAsia="宋体"/>
          <w:b/>
          <w:color w:val="auto"/>
          <w:szCs w:val="22"/>
          <w:highlight w:val="none"/>
          <w:lang w:val="en-US" w:eastAsia="zh-CN"/>
        </w:rPr>
        <w:t>玛纳斯县</w:t>
      </w:r>
      <w:r>
        <w:rPr>
          <w:rFonts w:hint="eastAsia" w:ascii="Times New Roman" w:hAnsi="Times New Roman" w:eastAsia="宋体"/>
          <w:b/>
          <w:color w:val="auto"/>
          <w:szCs w:val="22"/>
          <w:highlight w:val="none"/>
        </w:rPr>
        <w:t>环境管控单元生态环境准入清单（</w:t>
      </w:r>
      <w:bookmarkEnd w:id="15"/>
      <w:bookmarkEnd w:id="16"/>
      <w:r>
        <w:rPr>
          <w:rFonts w:hint="eastAsia" w:ascii="Times New Roman" w:hAnsi="Times New Roman" w:eastAsia="宋体"/>
          <w:b/>
          <w:color w:val="auto"/>
          <w:szCs w:val="22"/>
          <w:highlight w:val="none"/>
          <w:lang w:eastAsia="zh-CN"/>
        </w:rPr>
        <w:t>一般管控单元</w:t>
      </w:r>
      <w:r>
        <w:rPr>
          <w:rFonts w:hint="eastAsia" w:ascii="Times New Roman" w:hAnsi="Times New Roman" w:eastAsia="宋体"/>
          <w:b/>
          <w:color w:val="auto"/>
          <w:szCs w:val="22"/>
          <w:highlight w:val="none"/>
        </w:rPr>
        <w:t>）符合性分析表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032"/>
        <w:gridCol w:w="1007"/>
        <w:gridCol w:w="1151"/>
        <w:gridCol w:w="2893"/>
        <w:gridCol w:w="5320"/>
        <w:gridCol w:w="1069"/>
      </w:tblGrid>
      <w:tr w14:paraId="4123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0" w:type="pct"/>
            <w:tcBorders>
              <w:top w:val="single" w:color="auto" w:sz="4" w:space="0"/>
              <w:left w:val="single" w:color="auto" w:sz="4" w:space="0"/>
              <w:bottom w:val="single" w:color="auto" w:sz="4" w:space="0"/>
              <w:right w:val="single" w:color="auto" w:sz="4" w:space="0"/>
            </w:tcBorders>
            <w:vAlign w:val="center"/>
          </w:tcPr>
          <w:p w14:paraId="6EDA038E">
            <w:pPr>
              <w:spacing w:line="240" w:lineRule="auto"/>
              <w:ind w:firstLine="21" w:firstLineChars="1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环境管控单元编码</w:t>
            </w:r>
          </w:p>
        </w:tc>
        <w:tc>
          <w:tcPr>
            <w:tcW w:w="364" w:type="pct"/>
            <w:tcBorders>
              <w:top w:val="single" w:color="auto" w:sz="4" w:space="0"/>
              <w:left w:val="single" w:color="auto" w:sz="4" w:space="0"/>
              <w:bottom w:val="single" w:color="auto" w:sz="4" w:space="0"/>
              <w:right w:val="single" w:color="auto" w:sz="4" w:space="0"/>
            </w:tcBorders>
            <w:vAlign w:val="center"/>
          </w:tcPr>
          <w:p w14:paraId="218223DC">
            <w:pPr>
              <w:spacing w:line="240" w:lineRule="auto"/>
              <w:ind w:firstLine="21" w:firstLineChars="1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环境管控单元名称</w:t>
            </w:r>
          </w:p>
        </w:tc>
        <w:tc>
          <w:tcPr>
            <w:tcW w:w="355" w:type="pct"/>
            <w:tcBorders>
              <w:top w:val="single" w:color="auto" w:sz="4" w:space="0"/>
              <w:left w:val="single" w:color="auto" w:sz="4" w:space="0"/>
              <w:bottom w:val="single" w:color="auto" w:sz="4" w:space="0"/>
              <w:right w:val="single" w:color="auto" w:sz="4" w:space="0"/>
            </w:tcBorders>
            <w:vAlign w:val="center"/>
          </w:tcPr>
          <w:p w14:paraId="467C2491">
            <w:pPr>
              <w:spacing w:line="240" w:lineRule="auto"/>
              <w:ind w:firstLine="21" w:firstLineChars="10"/>
              <w:jc w:val="center"/>
              <w:rPr>
                <w:rFonts w:ascii="Times New Roman" w:hAnsi="Times New Roman" w:eastAsia="宋体"/>
                <w:color w:val="auto"/>
                <w:sz w:val="21"/>
                <w:szCs w:val="21"/>
                <w:highlight w:val="none"/>
              </w:rPr>
            </w:pPr>
            <w:r>
              <w:rPr>
                <w:rFonts w:ascii="Times New Roman" w:hAnsi="Times New Roman" w:eastAsia="宋体"/>
                <w:b/>
                <w:bCs/>
                <w:color w:val="auto"/>
                <w:sz w:val="21"/>
                <w:szCs w:val="21"/>
                <w:highlight w:val="none"/>
              </w:rPr>
              <w:t>环境管控单元类别</w:t>
            </w:r>
          </w:p>
        </w:tc>
        <w:tc>
          <w:tcPr>
            <w:tcW w:w="1426" w:type="pct"/>
            <w:gridSpan w:val="2"/>
            <w:tcBorders>
              <w:top w:val="single" w:color="auto" w:sz="4" w:space="0"/>
              <w:left w:val="single" w:color="auto" w:sz="4" w:space="0"/>
              <w:bottom w:val="single" w:color="auto" w:sz="4" w:space="0"/>
              <w:right w:val="single" w:color="auto" w:sz="4" w:space="0"/>
            </w:tcBorders>
            <w:vAlign w:val="center"/>
          </w:tcPr>
          <w:p w14:paraId="56E7842C">
            <w:pPr>
              <w:spacing w:line="240" w:lineRule="auto"/>
              <w:ind w:firstLine="21" w:firstLineChars="10"/>
              <w:jc w:val="center"/>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管控要求</w:t>
            </w:r>
          </w:p>
        </w:tc>
        <w:tc>
          <w:tcPr>
            <w:tcW w:w="1876" w:type="pct"/>
            <w:tcBorders>
              <w:top w:val="single" w:color="auto" w:sz="4" w:space="0"/>
              <w:left w:val="single" w:color="auto" w:sz="4" w:space="0"/>
              <w:bottom w:val="single" w:color="auto" w:sz="4" w:space="0"/>
              <w:right w:val="single" w:color="auto" w:sz="4" w:space="0"/>
            </w:tcBorders>
            <w:vAlign w:val="center"/>
          </w:tcPr>
          <w:p w14:paraId="16BD5E9B">
            <w:pPr>
              <w:spacing w:line="240" w:lineRule="auto"/>
              <w:ind w:firstLine="21" w:firstLineChars="1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本项目基本情况</w:t>
            </w:r>
          </w:p>
        </w:tc>
        <w:tc>
          <w:tcPr>
            <w:tcW w:w="377" w:type="pct"/>
            <w:tcBorders>
              <w:top w:val="single" w:color="auto" w:sz="4" w:space="0"/>
              <w:left w:val="single" w:color="auto" w:sz="4" w:space="0"/>
              <w:bottom w:val="single" w:color="auto" w:sz="4" w:space="0"/>
              <w:right w:val="single" w:color="auto" w:sz="4" w:space="0"/>
            </w:tcBorders>
            <w:vAlign w:val="center"/>
          </w:tcPr>
          <w:p w14:paraId="29840B48">
            <w:pPr>
              <w:spacing w:line="240" w:lineRule="auto"/>
              <w:ind w:firstLine="21" w:firstLineChars="10"/>
              <w:jc w:val="center"/>
              <w:rPr>
                <w:rFonts w:ascii="Times New Roman" w:hAnsi="Times New Roman" w:eastAsia="宋体"/>
                <w:b/>
                <w:bCs/>
                <w:color w:val="auto"/>
                <w:sz w:val="21"/>
                <w:szCs w:val="21"/>
                <w:highlight w:val="none"/>
              </w:rPr>
            </w:pPr>
            <w:r>
              <w:rPr>
                <w:rFonts w:hint="eastAsia" w:ascii="Times New Roman" w:hAnsi="Times New Roman" w:eastAsia="宋体"/>
                <w:b/>
                <w:bCs/>
                <w:color w:val="auto"/>
                <w:sz w:val="21"/>
                <w:szCs w:val="21"/>
                <w:highlight w:val="none"/>
              </w:rPr>
              <w:t>符合性分析</w:t>
            </w:r>
          </w:p>
        </w:tc>
      </w:tr>
      <w:tr w14:paraId="4FEF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restart"/>
            <w:tcBorders>
              <w:top w:val="single" w:color="auto" w:sz="4" w:space="0"/>
              <w:left w:val="single" w:color="auto" w:sz="4" w:space="0"/>
              <w:bottom w:val="single" w:color="auto" w:sz="4" w:space="0"/>
              <w:right w:val="single" w:color="auto" w:sz="4" w:space="0"/>
            </w:tcBorders>
            <w:vAlign w:val="center"/>
          </w:tcPr>
          <w:p w14:paraId="25F5C8D5">
            <w:pPr>
              <w:spacing w:line="240" w:lineRule="auto"/>
              <w:ind w:firstLine="21" w:firstLineChars="10"/>
              <w:jc w:val="center"/>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ZH65232430001</w:t>
            </w:r>
          </w:p>
          <w:p w14:paraId="072FA1DA">
            <w:pPr>
              <w:spacing w:line="240" w:lineRule="auto"/>
              <w:ind w:firstLine="21" w:firstLineChars="10"/>
              <w:jc w:val="center"/>
              <w:rPr>
                <w:rFonts w:ascii="Times New Roman" w:hAnsi="Times New Roman" w:eastAsia="宋体"/>
                <w:color w:val="auto"/>
                <w:sz w:val="21"/>
                <w:szCs w:val="21"/>
                <w:highlight w:val="none"/>
              </w:rPr>
            </w:pPr>
          </w:p>
        </w:tc>
        <w:tc>
          <w:tcPr>
            <w:tcW w:w="364" w:type="pct"/>
            <w:vMerge w:val="restart"/>
            <w:tcBorders>
              <w:top w:val="single" w:color="auto" w:sz="4" w:space="0"/>
              <w:left w:val="single" w:color="auto" w:sz="4" w:space="0"/>
              <w:bottom w:val="single" w:color="auto" w:sz="4" w:space="0"/>
              <w:right w:val="single" w:color="auto" w:sz="4" w:space="0"/>
            </w:tcBorders>
            <w:vAlign w:val="center"/>
          </w:tcPr>
          <w:p w14:paraId="456FEEC2">
            <w:pPr>
              <w:spacing w:line="240" w:lineRule="auto"/>
              <w:ind w:firstLine="21" w:firstLineChars="1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玛纳斯县一般管控单元</w:t>
            </w:r>
          </w:p>
        </w:tc>
        <w:tc>
          <w:tcPr>
            <w:tcW w:w="355" w:type="pct"/>
            <w:vMerge w:val="restart"/>
            <w:tcBorders>
              <w:top w:val="single" w:color="auto" w:sz="4" w:space="0"/>
              <w:left w:val="single" w:color="auto" w:sz="4" w:space="0"/>
              <w:bottom w:val="single" w:color="auto" w:sz="4" w:space="0"/>
              <w:right w:val="single" w:color="auto" w:sz="4" w:space="0"/>
            </w:tcBorders>
            <w:vAlign w:val="center"/>
          </w:tcPr>
          <w:p w14:paraId="1F0DA718">
            <w:pPr>
              <w:spacing w:line="240" w:lineRule="auto"/>
              <w:ind w:firstLine="21" w:firstLineChars="1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一般管控单元</w:t>
            </w:r>
          </w:p>
        </w:tc>
        <w:tc>
          <w:tcPr>
            <w:tcW w:w="406" w:type="pct"/>
            <w:tcBorders>
              <w:top w:val="single" w:color="auto" w:sz="4" w:space="0"/>
              <w:left w:val="single" w:color="auto" w:sz="4" w:space="0"/>
              <w:bottom w:val="single" w:color="auto" w:sz="4" w:space="0"/>
              <w:right w:val="single" w:color="auto" w:sz="4" w:space="0"/>
            </w:tcBorders>
            <w:vAlign w:val="center"/>
          </w:tcPr>
          <w:p w14:paraId="0F1B26E7">
            <w:pPr>
              <w:spacing w:line="240" w:lineRule="auto"/>
              <w:ind w:firstLine="21" w:firstLineChars="1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空间布局约束</w:t>
            </w:r>
          </w:p>
        </w:tc>
        <w:tc>
          <w:tcPr>
            <w:tcW w:w="1020" w:type="pct"/>
            <w:tcBorders>
              <w:top w:val="single" w:color="auto" w:sz="4" w:space="0"/>
              <w:left w:val="single" w:color="auto" w:sz="4" w:space="0"/>
              <w:bottom w:val="single" w:color="auto" w:sz="4" w:space="0"/>
              <w:right w:val="single" w:color="auto" w:sz="4" w:space="0"/>
            </w:tcBorders>
            <w:vAlign w:val="center"/>
          </w:tcPr>
          <w:p w14:paraId="099C392A">
            <w:pPr>
              <w:spacing w:line="240" w:lineRule="auto"/>
              <w:ind w:firstLine="420"/>
              <w:jc w:val="left"/>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lang w:val="en-US" w:eastAsia="zh-CN"/>
              </w:rPr>
              <w:t>、执行自治区总体准入要求中关于一般环境管控单元的准入要求（表</w:t>
            </w:r>
            <w:r>
              <w:rPr>
                <w:rFonts w:hint="default" w:ascii="Times New Roman" w:hAnsi="Times New Roman" w:eastAsia="宋体"/>
                <w:color w:val="auto"/>
                <w:sz w:val="21"/>
                <w:szCs w:val="21"/>
                <w:highlight w:val="none"/>
                <w:lang w:val="en-US" w:eastAsia="zh-CN"/>
              </w:rPr>
              <w:t>2-4A7.1</w:t>
            </w:r>
            <w:r>
              <w:rPr>
                <w:rFonts w:hint="eastAsia" w:ascii="Times New Roman" w:hAnsi="Times New Roman" w:eastAsia="宋体"/>
                <w:color w:val="auto"/>
                <w:sz w:val="21"/>
                <w:szCs w:val="21"/>
                <w:highlight w:val="none"/>
                <w:lang w:val="en-US" w:eastAsia="zh-CN"/>
              </w:rPr>
              <w:t>）。</w:t>
            </w:r>
          </w:p>
        </w:tc>
        <w:tc>
          <w:tcPr>
            <w:tcW w:w="1876" w:type="pct"/>
            <w:tcBorders>
              <w:top w:val="single" w:color="auto" w:sz="4" w:space="0"/>
              <w:left w:val="single" w:color="auto" w:sz="4" w:space="0"/>
              <w:bottom w:val="single" w:color="auto" w:sz="4" w:space="0"/>
              <w:right w:val="single" w:color="auto" w:sz="4" w:space="0"/>
            </w:tcBorders>
            <w:vAlign w:val="center"/>
          </w:tcPr>
          <w:p w14:paraId="7962D495">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（1）本项目为</w:t>
            </w:r>
            <w:r>
              <w:rPr>
                <w:rFonts w:hint="eastAsia" w:ascii="Times New Roman" w:hAnsi="Times New Roman" w:eastAsia="宋体"/>
                <w:color w:val="auto"/>
                <w:sz w:val="21"/>
                <w:szCs w:val="21"/>
                <w:highlight w:val="none"/>
                <w:lang w:val="en-US" w:eastAsia="zh-CN"/>
              </w:rPr>
              <w:t>蛋鸡</w:t>
            </w:r>
            <w:r>
              <w:rPr>
                <w:rFonts w:hint="eastAsia" w:ascii="Times New Roman" w:hAnsi="Times New Roman" w:eastAsia="宋体"/>
                <w:color w:val="auto"/>
                <w:sz w:val="21"/>
                <w:szCs w:val="21"/>
                <w:highlight w:val="none"/>
              </w:rPr>
              <w:t>养殖建设项目，位于</w:t>
            </w:r>
            <w:r>
              <w:rPr>
                <w:rFonts w:hint="eastAsia" w:ascii="Times New Roman" w:hAnsi="Times New Roman" w:eastAsia="宋体"/>
                <w:color w:val="auto"/>
                <w:sz w:val="21"/>
                <w:szCs w:val="21"/>
                <w:highlight w:val="none"/>
                <w:lang w:eastAsia="zh-CN"/>
              </w:rPr>
              <w:t>昌吉玛纳斯县广东地乡广东地村区</w:t>
            </w:r>
            <w:r>
              <w:rPr>
                <w:rFonts w:hint="eastAsia" w:ascii="Times New Roman" w:hAnsi="Times New Roman" w:eastAsia="宋体"/>
                <w:color w:val="auto"/>
                <w:sz w:val="21"/>
                <w:szCs w:val="21"/>
                <w:highlight w:val="none"/>
              </w:rPr>
              <w:t>，属于《</w:t>
            </w:r>
            <w:r>
              <w:rPr>
                <w:rFonts w:hint="eastAsia"/>
                <w:color w:val="auto"/>
                <w:sz w:val="21"/>
                <w:szCs w:val="21"/>
                <w:highlight w:val="none"/>
                <w:lang w:eastAsia="zh-CN"/>
              </w:rPr>
              <w:t>产业结构调整指导目录（2021年本）</w:t>
            </w:r>
            <w:r>
              <w:rPr>
                <w:rFonts w:hint="eastAsia" w:ascii="Times New Roman" w:hAnsi="Times New Roman" w:eastAsia="宋体"/>
                <w:color w:val="auto"/>
                <w:sz w:val="21"/>
                <w:szCs w:val="21"/>
                <w:highlight w:val="none"/>
              </w:rPr>
              <w:t>》中第一大类</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第一类鼓励类—一、农林业—4、畜禽标准化规模养殖技术开发与应用</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，因此，符合自治区及乌昌石片区的准入要求。</w:t>
            </w:r>
          </w:p>
          <w:p w14:paraId="0EBEF8A4">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（2）本项目位于城市建成区外，本项目采用电锅炉供暖，不涉及燃煤锅炉。</w:t>
            </w:r>
          </w:p>
          <w:p w14:paraId="0E33FE52">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（3）本项目位于城市建成区外，周边无机关、医院、学校、幼儿园、养老院等其他需要特殊保护的区域。</w:t>
            </w:r>
          </w:p>
          <w:p w14:paraId="157F7ED1">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（4）本项目不在供热管网覆盖区内，本项目不建燃煤供热锅炉。</w:t>
            </w:r>
          </w:p>
        </w:tc>
        <w:tc>
          <w:tcPr>
            <w:tcW w:w="377" w:type="pct"/>
            <w:tcBorders>
              <w:top w:val="single" w:color="auto" w:sz="4" w:space="0"/>
              <w:left w:val="single" w:color="auto" w:sz="4" w:space="0"/>
              <w:bottom w:val="single" w:color="auto" w:sz="4" w:space="0"/>
              <w:right w:val="single" w:color="auto" w:sz="4" w:space="0"/>
            </w:tcBorders>
            <w:vAlign w:val="center"/>
          </w:tcPr>
          <w:p w14:paraId="1D37E855">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w:t>
            </w:r>
          </w:p>
        </w:tc>
      </w:tr>
      <w:tr w14:paraId="50FA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continue"/>
            <w:tcBorders>
              <w:top w:val="single" w:color="auto" w:sz="4" w:space="0"/>
              <w:left w:val="single" w:color="auto" w:sz="4" w:space="0"/>
              <w:bottom w:val="single" w:color="auto" w:sz="4" w:space="0"/>
              <w:right w:val="single" w:color="auto" w:sz="4" w:space="0"/>
            </w:tcBorders>
            <w:vAlign w:val="center"/>
          </w:tcPr>
          <w:p w14:paraId="7377358C">
            <w:pPr>
              <w:widowControl/>
              <w:ind w:firstLine="420"/>
              <w:jc w:val="left"/>
              <w:rPr>
                <w:rFonts w:ascii="Times New Roman" w:hAnsi="Times New Roman" w:eastAsia="宋体"/>
                <w:color w:val="auto"/>
                <w:sz w:val="21"/>
                <w:szCs w:val="21"/>
                <w:highlight w:val="none"/>
              </w:rPr>
            </w:pPr>
          </w:p>
        </w:tc>
        <w:tc>
          <w:tcPr>
            <w:tcW w:w="364" w:type="pct"/>
            <w:vMerge w:val="continue"/>
            <w:tcBorders>
              <w:top w:val="single" w:color="auto" w:sz="4" w:space="0"/>
              <w:left w:val="single" w:color="auto" w:sz="4" w:space="0"/>
              <w:bottom w:val="single" w:color="auto" w:sz="4" w:space="0"/>
              <w:right w:val="single" w:color="auto" w:sz="4" w:space="0"/>
            </w:tcBorders>
            <w:vAlign w:val="center"/>
          </w:tcPr>
          <w:p w14:paraId="5B8B3DA7">
            <w:pPr>
              <w:widowControl/>
              <w:ind w:firstLine="420"/>
              <w:jc w:val="left"/>
              <w:rPr>
                <w:rFonts w:ascii="Times New Roman" w:hAnsi="Times New Roman" w:eastAsia="宋体"/>
                <w:color w:val="auto"/>
                <w:sz w:val="21"/>
                <w:szCs w:val="21"/>
                <w:highlight w:val="none"/>
              </w:rPr>
            </w:pPr>
          </w:p>
        </w:tc>
        <w:tc>
          <w:tcPr>
            <w:tcW w:w="355" w:type="pct"/>
            <w:vMerge w:val="continue"/>
            <w:tcBorders>
              <w:top w:val="single" w:color="auto" w:sz="4" w:space="0"/>
              <w:left w:val="single" w:color="auto" w:sz="4" w:space="0"/>
              <w:bottom w:val="single" w:color="auto" w:sz="4" w:space="0"/>
              <w:right w:val="single" w:color="auto" w:sz="4" w:space="0"/>
            </w:tcBorders>
            <w:vAlign w:val="center"/>
          </w:tcPr>
          <w:p w14:paraId="6CEDE8CC">
            <w:pPr>
              <w:widowControl/>
              <w:ind w:firstLine="420"/>
              <w:jc w:val="left"/>
              <w:rPr>
                <w:rFonts w:ascii="Times New Roman" w:hAnsi="Times New Roman" w:eastAsia="宋体"/>
                <w:color w:val="auto"/>
                <w:sz w:val="21"/>
                <w:szCs w:val="21"/>
                <w:highlight w:val="none"/>
              </w:rPr>
            </w:pPr>
          </w:p>
        </w:tc>
        <w:tc>
          <w:tcPr>
            <w:tcW w:w="406" w:type="pct"/>
            <w:tcBorders>
              <w:top w:val="single" w:color="auto" w:sz="4" w:space="0"/>
              <w:left w:val="single" w:color="auto" w:sz="4" w:space="0"/>
              <w:bottom w:val="single" w:color="auto" w:sz="4" w:space="0"/>
              <w:right w:val="single" w:color="auto" w:sz="4" w:space="0"/>
            </w:tcBorders>
            <w:vAlign w:val="center"/>
          </w:tcPr>
          <w:p w14:paraId="7A226B4D">
            <w:pPr>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污染物排放管控</w:t>
            </w:r>
          </w:p>
        </w:tc>
        <w:tc>
          <w:tcPr>
            <w:tcW w:w="1020" w:type="pct"/>
            <w:tcBorders>
              <w:top w:val="single" w:color="auto" w:sz="4" w:space="0"/>
              <w:left w:val="single" w:color="auto" w:sz="4" w:space="0"/>
              <w:bottom w:val="single" w:color="auto" w:sz="4" w:space="0"/>
              <w:right w:val="single" w:color="auto" w:sz="4" w:space="0"/>
            </w:tcBorders>
            <w:vAlign w:val="center"/>
          </w:tcPr>
          <w:p w14:paraId="0B373760">
            <w:pPr>
              <w:spacing w:line="240" w:lineRule="auto"/>
              <w:ind w:firstLine="420"/>
              <w:jc w:val="left"/>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lang w:val="en-US" w:eastAsia="zh-CN"/>
              </w:rPr>
              <w:t>、执行自治区总体准入要求中关于一般环境管控单元的准入要求（表</w:t>
            </w:r>
            <w:r>
              <w:rPr>
                <w:rFonts w:hint="default" w:ascii="Times New Roman" w:hAnsi="Times New Roman" w:eastAsia="宋体"/>
                <w:color w:val="auto"/>
                <w:sz w:val="21"/>
                <w:szCs w:val="21"/>
                <w:highlight w:val="none"/>
                <w:lang w:val="en-US" w:eastAsia="zh-CN"/>
              </w:rPr>
              <w:t>2-4A7.1</w:t>
            </w:r>
            <w:r>
              <w:rPr>
                <w:rFonts w:hint="eastAsia" w:ascii="Times New Roman" w:hAnsi="Times New Roman" w:eastAsia="宋体"/>
                <w:color w:val="auto"/>
                <w:sz w:val="21"/>
                <w:szCs w:val="21"/>
                <w:highlight w:val="none"/>
                <w:lang w:val="en-US" w:eastAsia="zh-CN"/>
              </w:rPr>
              <w:t>）。</w:t>
            </w:r>
          </w:p>
        </w:tc>
        <w:tc>
          <w:tcPr>
            <w:tcW w:w="1876" w:type="pct"/>
            <w:tcBorders>
              <w:top w:val="single" w:color="auto" w:sz="4" w:space="0"/>
              <w:left w:val="single" w:color="auto" w:sz="4" w:space="0"/>
              <w:bottom w:val="single" w:color="auto" w:sz="4" w:space="0"/>
              <w:right w:val="single" w:color="auto" w:sz="4" w:space="0"/>
            </w:tcBorders>
            <w:vAlign w:val="center"/>
          </w:tcPr>
          <w:p w14:paraId="2E3AE0C4">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（1）本项目采用电锅炉采暖，本项目为养殖类建设项目，不属于工业类项目；本项目产生的少量硫化氢和氨不在区污染物总量控制范围内。</w:t>
            </w:r>
          </w:p>
          <w:p w14:paraId="50669FCD">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本项目场界恶臭污染物排放标准执行《恶臭污染物排放标准》（GB14554-1993）表1恶臭污染物厂界标准二级标准；臭气浓度无组织排放执行《畜禽养殖业污染物排放标准》（GB18596-2001）中集约化畜禽养殖业恶臭污染物排放标准；食堂排放油烟执行《饮食业油烟排放标准（试行）》（GB18483-2001）表2中最高允许排放浓度要求。</w:t>
            </w:r>
          </w:p>
          <w:p w14:paraId="370FE45C">
            <w:pPr>
              <w:spacing w:line="240" w:lineRule="auto"/>
              <w:ind w:firstLine="172" w:firstLineChars="82"/>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本项目不涉及</w:t>
            </w:r>
            <w:r>
              <w:rPr>
                <w:rFonts w:ascii="Times New Roman" w:hAnsi="Times New Roman" w:eastAsia="宋体"/>
                <w:color w:val="auto"/>
                <w:sz w:val="21"/>
                <w:szCs w:val="21"/>
                <w:highlight w:val="none"/>
              </w:rPr>
              <w:t>SO</w:t>
            </w:r>
            <w:r>
              <w:rPr>
                <w:rFonts w:ascii="Times New Roman" w:hAnsi="Times New Roman" w:eastAsia="宋体"/>
                <w:color w:val="auto"/>
                <w:sz w:val="21"/>
                <w:szCs w:val="21"/>
                <w:highlight w:val="none"/>
                <w:vertAlign w:val="subscript"/>
              </w:rPr>
              <w:t>2</w:t>
            </w:r>
            <w:r>
              <w:rPr>
                <w:rFonts w:ascii="Times New Roman" w:hAnsi="Times New Roman" w:eastAsia="宋体"/>
                <w:color w:val="auto"/>
                <w:sz w:val="21"/>
                <w:szCs w:val="21"/>
                <w:highlight w:val="none"/>
              </w:rPr>
              <w:t>、NOx、烟粉尘、挥发性有机物（VOCs）等四项大气污染物</w:t>
            </w:r>
            <w:r>
              <w:rPr>
                <w:rFonts w:hint="eastAsia" w:ascii="Times New Roman" w:hAnsi="Times New Roman" w:eastAsia="宋体"/>
                <w:color w:val="auto"/>
                <w:sz w:val="21"/>
                <w:szCs w:val="21"/>
                <w:highlight w:val="none"/>
              </w:rPr>
              <w:t>的有组织排放，无大气污染物总量指标。</w:t>
            </w:r>
          </w:p>
          <w:p w14:paraId="024B6D4B">
            <w:pPr>
              <w:spacing w:line="240" w:lineRule="auto"/>
              <w:ind w:firstLine="420"/>
              <w:jc w:val="left"/>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本项目</w:t>
            </w:r>
            <w:r>
              <w:rPr>
                <w:rFonts w:ascii="Times New Roman" w:hAnsi="Times New Roman" w:eastAsia="宋体"/>
                <w:color w:val="auto"/>
                <w:sz w:val="21"/>
                <w:szCs w:val="21"/>
                <w:highlight w:val="none"/>
              </w:rPr>
              <w:t>施工工地全面落实</w:t>
            </w:r>
            <w:r>
              <w:rPr>
                <w:rFonts w:hint="eastAsia"/>
                <w:color w:val="auto"/>
                <w:sz w:val="21"/>
                <w:szCs w:val="21"/>
                <w:highlight w:val="none"/>
                <w:lang w:eastAsia="zh-CN"/>
              </w:rPr>
              <w:t>”</w:t>
            </w:r>
            <w:r>
              <w:rPr>
                <w:rFonts w:ascii="Times New Roman" w:hAnsi="Times New Roman" w:eastAsia="宋体"/>
                <w:color w:val="auto"/>
                <w:sz w:val="21"/>
                <w:szCs w:val="21"/>
                <w:highlight w:val="none"/>
              </w:rPr>
              <w:t>六个百分之百</w:t>
            </w:r>
            <w:r>
              <w:rPr>
                <w:rFonts w:hint="eastAsia"/>
                <w:color w:val="auto"/>
                <w:sz w:val="21"/>
                <w:szCs w:val="21"/>
                <w:highlight w:val="none"/>
                <w:lang w:eastAsia="zh-CN"/>
              </w:rPr>
              <w:t>”</w:t>
            </w:r>
            <w:r>
              <w:rPr>
                <w:rFonts w:ascii="Times New Roman" w:hAnsi="Times New Roman" w:eastAsia="宋体"/>
                <w:color w:val="auto"/>
                <w:sz w:val="21"/>
                <w:szCs w:val="21"/>
                <w:highlight w:val="none"/>
              </w:rPr>
              <w:t>（施工工地周边围挡、物料堆放覆盖、出入车辆冲洗、施工现场地面硬化、拆迁工地湿法作业、渣土车辆密闭运输）。</w:t>
            </w:r>
          </w:p>
        </w:tc>
        <w:tc>
          <w:tcPr>
            <w:tcW w:w="377" w:type="pct"/>
            <w:tcBorders>
              <w:top w:val="single" w:color="auto" w:sz="4" w:space="0"/>
              <w:left w:val="single" w:color="auto" w:sz="4" w:space="0"/>
              <w:bottom w:val="single" w:color="auto" w:sz="4" w:space="0"/>
              <w:right w:val="single" w:color="auto" w:sz="4" w:space="0"/>
            </w:tcBorders>
            <w:vAlign w:val="center"/>
          </w:tcPr>
          <w:p w14:paraId="0A32260A">
            <w:pPr>
              <w:spacing w:line="240" w:lineRule="auto"/>
              <w:ind w:firstLine="29" w:firstLineChars="14"/>
              <w:jc w:val="left"/>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w:t>
            </w:r>
          </w:p>
        </w:tc>
      </w:tr>
      <w:tr w14:paraId="3B38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continue"/>
            <w:tcBorders>
              <w:top w:val="single" w:color="auto" w:sz="4" w:space="0"/>
              <w:left w:val="single" w:color="auto" w:sz="4" w:space="0"/>
              <w:bottom w:val="single" w:color="auto" w:sz="4" w:space="0"/>
              <w:right w:val="single" w:color="auto" w:sz="4" w:space="0"/>
            </w:tcBorders>
            <w:vAlign w:val="center"/>
          </w:tcPr>
          <w:p w14:paraId="0C2F5A3D">
            <w:pPr>
              <w:widowControl/>
              <w:ind w:firstLine="420"/>
              <w:jc w:val="left"/>
              <w:rPr>
                <w:rFonts w:ascii="Times New Roman" w:hAnsi="Times New Roman" w:eastAsia="宋体"/>
                <w:color w:val="auto"/>
                <w:sz w:val="21"/>
                <w:szCs w:val="21"/>
                <w:highlight w:val="none"/>
              </w:rPr>
            </w:pPr>
          </w:p>
        </w:tc>
        <w:tc>
          <w:tcPr>
            <w:tcW w:w="364" w:type="pct"/>
            <w:vMerge w:val="continue"/>
            <w:tcBorders>
              <w:top w:val="single" w:color="auto" w:sz="4" w:space="0"/>
              <w:left w:val="single" w:color="auto" w:sz="4" w:space="0"/>
              <w:bottom w:val="single" w:color="auto" w:sz="4" w:space="0"/>
              <w:right w:val="single" w:color="auto" w:sz="4" w:space="0"/>
            </w:tcBorders>
            <w:vAlign w:val="center"/>
          </w:tcPr>
          <w:p w14:paraId="559B1D4C">
            <w:pPr>
              <w:widowControl/>
              <w:ind w:firstLine="420"/>
              <w:jc w:val="left"/>
              <w:rPr>
                <w:rFonts w:ascii="Times New Roman" w:hAnsi="Times New Roman" w:eastAsia="宋体"/>
                <w:color w:val="auto"/>
                <w:sz w:val="21"/>
                <w:szCs w:val="21"/>
                <w:highlight w:val="none"/>
              </w:rPr>
            </w:pPr>
          </w:p>
        </w:tc>
        <w:tc>
          <w:tcPr>
            <w:tcW w:w="355" w:type="pct"/>
            <w:vMerge w:val="continue"/>
            <w:tcBorders>
              <w:top w:val="single" w:color="auto" w:sz="4" w:space="0"/>
              <w:left w:val="single" w:color="auto" w:sz="4" w:space="0"/>
              <w:bottom w:val="single" w:color="auto" w:sz="4" w:space="0"/>
              <w:right w:val="single" w:color="auto" w:sz="4" w:space="0"/>
            </w:tcBorders>
            <w:vAlign w:val="center"/>
          </w:tcPr>
          <w:p w14:paraId="67F5E0F1">
            <w:pPr>
              <w:widowControl/>
              <w:ind w:firstLine="420"/>
              <w:jc w:val="left"/>
              <w:rPr>
                <w:rFonts w:ascii="Times New Roman" w:hAnsi="Times New Roman" w:eastAsia="宋体"/>
                <w:color w:val="auto"/>
                <w:sz w:val="21"/>
                <w:szCs w:val="21"/>
                <w:highlight w:val="none"/>
              </w:rPr>
            </w:pPr>
          </w:p>
        </w:tc>
        <w:tc>
          <w:tcPr>
            <w:tcW w:w="406" w:type="pct"/>
            <w:tcBorders>
              <w:top w:val="single" w:color="auto" w:sz="4" w:space="0"/>
              <w:left w:val="single" w:color="auto" w:sz="4" w:space="0"/>
              <w:bottom w:val="single" w:color="auto" w:sz="4" w:space="0"/>
              <w:right w:val="single" w:color="auto" w:sz="4" w:space="0"/>
            </w:tcBorders>
            <w:vAlign w:val="center"/>
          </w:tcPr>
          <w:p w14:paraId="07896C12">
            <w:pPr>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环境风险防控</w:t>
            </w:r>
          </w:p>
        </w:tc>
        <w:tc>
          <w:tcPr>
            <w:tcW w:w="1020" w:type="pct"/>
            <w:tcBorders>
              <w:top w:val="single" w:color="auto" w:sz="4" w:space="0"/>
              <w:left w:val="single" w:color="auto" w:sz="4" w:space="0"/>
              <w:bottom w:val="single" w:color="auto" w:sz="4" w:space="0"/>
              <w:right w:val="single" w:color="auto" w:sz="4" w:space="0"/>
            </w:tcBorders>
            <w:vAlign w:val="center"/>
          </w:tcPr>
          <w:p w14:paraId="05176F05">
            <w:pPr>
              <w:spacing w:line="240" w:lineRule="auto"/>
              <w:ind w:firstLine="420"/>
              <w:jc w:val="left"/>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lang w:val="en-US" w:eastAsia="zh-CN"/>
              </w:rPr>
              <w:t>、执行自治区总体准入要求中关于一般环境管控单元的准入要求（表</w:t>
            </w:r>
            <w:r>
              <w:rPr>
                <w:rFonts w:hint="default" w:ascii="Times New Roman" w:hAnsi="Times New Roman" w:eastAsia="宋体"/>
                <w:color w:val="auto"/>
                <w:sz w:val="21"/>
                <w:szCs w:val="21"/>
                <w:highlight w:val="none"/>
                <w:lang w:val="en-US" w:eastAsia="zh-CN"/>
              </w:rPr>
              <w:t>2-4A7.1</w:t>
            </w:r>
            <w:r>
              <w:rPr>
                <w:rFonts w:hint="eastAsia" w:ascii="Times New Roman" w:hAnsi="Times New Roman" w:eastAsia="宋体"/>
                <w:color w:val="auto"/>
                <w:sz w:val="21"/>
                <w:szCs w:val="21"/>
                <w:highlight w:val="none"/>
                <w:lang w:val="en-US" w:eastAsia="zh-CN"/>
              </w:rPr>
              <w:t>）。</w:t>
            </w:r>
          </w:p>
          <w:p w14:paraId="3E1D0D45">
            <w:pPr>
              <w:spacing w:line="240" w:lineRule="auto"/>
              <w:ind w:firstLine="420"/>
              <w:jc w:val="left"/>
              <w:rPr>
                <w:rFonts w:ascii="Times New Roman" w:hAnsi="Times New Roman" w:eastAsia="宋体"/>
                <w:color w:val="auto"/>
                <w:sz w:val="21"/>
                <w:szCs w:val="21"/>
                <w:highlight w:val="none"/>
              </w:rPr>
            </w:pPr>
          </w:p>
        </w:tc>
        <w:tc>
          <w:tcPr>
            <w:tcW w:w="1876" w:type="pct"/>
            <w:tcBorders>
              <w:top w:val="single" w:color="auto" w:sz="4" w:space="0"/>
              <w:left w:val="single" w:color="auto" w:sz="4" w:space="0"/>
              <w:bottom w:val="single" w:color="auto" w:sz="4" w:space="0"/>
              <w:right w:val="single" w:color="auto" w:sz="4" w:space="0"/>
            </w:tcBorders>
            <w:vAlign w:val="center"/>
          </w:tcPr>
          <w:p w14:paraId="5F63DE52">
            <w:pPr>
              <w:spacing w:line="240" w:lineRule="auto"/>
              <w:ind w:firstLine="420"/>
              <w:jc w:val="left"/>
              <w:rPr>
                <w:rFonts w:ascii="Times New Roman" w:hAnsi="Times New Roman" w:eastAsia="宋体"/>
                <w:bCs/>
                <w:color w:val="auto"/>
                <w:sz w:val="21"/>
                <w:szCs w:val="21"/>
                <w:highlight w:val="none"/>
              </w:rPr>
            </w:pPr>
            <w:r>
              <w:rPr>
                <w:rFonts w:hint="eastAsia" w:ascii="Times New Roman" w:hAnsi="Times New Roman" w:eastAsia="宋体"/>
                <w:color w:val="auto"/>
                <w:sz w:val="21"/>
                <w:szCs w:val="21"/>
                <w:highlight w:val="none"/>
              </w:rPr>
              <w:t>本项目为</w:t>
            </w:r>
            <w:r>
              <w:rPr>
                <w:rFonts w:hint="eastAsia" w:ascii="Times New Roman" w:hAnsi="Times New Roman" w:eastAsia="宋体"/>
                <w:color w:val="auto"/>
                <w:sz w:val="21"/>
                <w:szCs w:val="21"/>
                <w:highlight w:val="none"/>
                <w:lang w:val="en-US" w:eastAsia="zh-CN"/>
              </w:rPr>
              <w:t>蛋鸡</w:t>
            </w:r>
            <w:r>
              <w:rPr>
                <w:rFonts w:hint="eastAsia" w:ascii="Times New Roman" w:hAnsi="Times New Roman" w:eastAsia="宋体"/>
                <w:color w:val="auto"/>
                <w:sz w:val="21"/>
                <w:szCs w:val="21"/>
                <w:highlight w:val="none"/>
              </w:rPr>
              <w:t>养殖建设项目，不属于工业企业项目，本项目已建立较为完善的应急管理体系，另外可通过及时修订突发环境事件应急预案的方式来提高企业的应急反应机制和能力。</w:t>
            </w:r>
          </w:p>
        </w:tc>
        <w:tc>
          <w:tcPr>
            <w:tcW w:w="377" w:type="pct"/>
            <w:tcBorders>
              <w:top w:val="single" w:color="auto" w:sz="4" w:space="0"/>
              <w:left w:val="single" w:color="auto" w:sz="4" w:space="0"/>
              <w:bottom w:val="single" w:color="auto" w:sz="4" w:space="0"/>
              <w:right w:val="single" w:color="auto" w:sz="4" w:space="0"/>
            </w:tcBorders>
            <w:vAlign w:val="center"/>
          </w:tcPr>
          <w:p w14:paraId="32E391FB">
            <w:pPr>
              <w:ind w:firstLine="170" w:firstLineChars="81"/>
              <w:jc w:val="left"/>
              <w:rPr>
                <w:rFonts w:ascii="Times New Roman" w:hAnsi="Times New Roman" w:eastAsia="宋体"/>
                <w:bCs/>
                <w:color w:val="auto"/>
                <w:sz w:val="21"/>
                <w:szCs w:val="21"/>
                <w:highlight w:val="none"/>
              </w:rPr>
            </w:pPr>
            <w:r>
              <w:rPr>
                <w:rFonts w:hint="eastAsia" w:ascii="Times New Roman" w:hAnsi="Times New Roman" w:eastAsia="宋体"/>
                <w:color w:val="auto"/>
                <w:sz w:val="21"/>
                <w:szCs w:val="21"/>
                <w:highlight w:val="none"/>
              </w:rPr>
              <w:t>符合</w:t>
            </w:r>
          </w:p>
        </w:tc>
      </w:tr>
      <w:tr w14:paraId="30CA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continue"/>
            <w:tcBorders>
              <w:top w:val="single" w:color="auto" w:sz="4" w:space="0"/>
              <w:left w:val="single" w:color="auto" w:sz="4" w:space="0"/>
              <w:bottom w:val="single" w:color="auto" w:sz="4" w:space="0"/>
              <w:right w:val="single" w:color="auto" w:sz="4" w:space="0"/>
            </w:tcBorders>
            <w:vAlign w:val="center"/>
          </w:tcPr>
          <w:p w14:paraId="6E6D3EB2">
            <w:pPr>
              <w:widowControl/>
              <w:ind w:firstLine="420"/>
              <w:jc w:val="left"/>
              <w:rPr>
                <w:rFonts w:ascii="Times New Roman" w:hAnsi="Times New Roman" w:eastAsia="宋体"/>
                <w:color w:val="auto"/>
                <w:sz w:val="21"/>
                <w:szCs w:val="21"/>
                <w:highlight w:val="none"/>
              </w:rPr>
            </w:pPr>
          </w:p>
        </w:tc>
        <w:tc>
          <w:tcPr>
            <w:tcW w:w="364" w:type="pct"/>
            <w:vMerge w:val="continue"/>
            <w:tcBorders>
              <w:top w:val="single" w:color="auto" w:sz="4" w:space="0"/>
              <w:left w:val="single" w:color="auto" w:sz="4" w:space="0"/>
              <w:bottom w:val="single" w:color="auto" w:sz="4" w:space="0"/>
              <w:right w:val="single" w:color="auto" w:sz="4" w:space="0"/>
            </w:tcBorders>
            <w:vAlign w:val="center"/>
          </w:tcPr>
          <w:p w14:paraId="5B58D44B">
            <w:pPr>
              <w:widowControl/>
              <w:ind w:firstLine="420"/>
              <w:jc w:val="left"/>
              <w:rPr>
                <w:rFonts w:ascii="Times New Roman" w:hAnsi="Times New Roman" w:eastAsia="宋体"/>
                <w:color w:val="auto"/>
                <w:sz w:val="21"/>
                <w:szCs w:val="21"/>
                <w:highlight w:val="none"/>
              </w:rPr>
            </w:pPr>
          </w:p>
        </w:tc>
        <w:tc>
          <w:tcPr>
            <w:tcW w:w="355" w:type="pct"/>
            <w:vMerge w:val="continue"/>
            <w:tcBorders>
              <w:top w:val="single" w:color="auto" w:sz="4" w:space="0"/>
              <w:left w:val="single" w:color="auto" w:sz="4" w:space="0"/>
              <w:bottom w:val="single" w:color="auto" w:sz="4" w:space="0"/>
              <w:right w:val="single" w:color="auto" w:sz="4" w:space="0"/>
            </w:tcBorders>
            <w:vAlign w:val="center"/>
          </w:tcPr>
          <w:p w14:paraId="632E8D98">
            <w:pPr>
              <w:widowControl/>
              <w:ind w:firstLine="420"/>
              <w:jc w:val="left"/>
              <w:rPr>
                <w:rFonts w:ascii="Times New Roman" w:hAnsi="Times New Roman" w:eastAsia="宋体"/>
                <w:color w:val="auto"/>
                <w:sz w:val="21"/>
                <w:szCs w:val="21"/>
                <w:highlight w:val="none"/>
              </w:rPr>
            </w:pPr>
          </w:p>
        </w:tc>
        <w:tc>
          <w:tcPr>
            <w:tcW w:w="406" w:type="pct"/>
            <w:tcBorders>
              <w:top w:val="single" w:color="auto" w:sz="4" w:space="0"/>
              <w:left w:val="single" w:color="auto" w:sz="4" w:space="0"/>
              <w:bottom w:val="single" w:color="auto" w:sz="4" w:space="0"/>
              <w:right w:val="single" w:color="auto" w:sz="4" w:space="0"/>
            </w:tcBorders>
            <w:vAlign w:val="center"/>
          </w:tcPr>
          <w:p w14:paraId="4569AA69">
            <w:pPr>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资源利用效率</w:t>
            </w:r>
          </w:p>
        </w:tc>
        <w:tc>
          <w:tcPr>
            <w:tcW w:w="1020" w:type="pct"/>
            <w:tcBorders>
              <w:top w:val="single" w:color="auto" w:sz="4" w:space="0"/>
              <w:left w:val="single" w:color="auto" w:sz="4" w:space="0"/>
              <w:bottom w:val="single" w:color="auto" w:sz="4" w:space="0"/>
              <w:right w:val="single" w:color="auto" w:sz="4" w:space="0"/>
            </w:tcBorders>
            <w:vAlign w:val="center"/>
          </w:tcPr>
          <w:p w14:paraId="2A18107D">
            <w:pPr>
              <w:spacing w:line="240" w:lineRule="auto"/>
              <w:ind w:firstLine="420"/>
              <w:jc w:val="left"/>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1</w:t>
            </w:r>
            <w:r>
              <w:rPr>
                <w:rFonts w:hint="eastAsia" w:ascii="Times New Roman" w:hAnsi="Times New Roman" w:eastAsia="宋体"/>
                <w:color w:val="auto"/>
                <w:sz w:val="21"/>
                <w:szCs w:val="21"/>
                <w:highlight w:val="none"/>
                <w:lang w:val="en-US" w:eastAsia="zh-CN"/>
              </w:rPr>
              <w:t>、执行自治区总体准入要求中关于一般环境管控单元的准入要求（表</w:t>
            </w:r>
            <w:r>
              <w:rPr>
                <w:rFonts w:hint="default" w:ascii="Times New Roman" w:hAnsi="Times New Roman" w:eastAsia="宋体"/>
                <w:color w:val="auto"/>
                <w:sz w:val="21"/>
                <w:szCs w:val="21"/>
                <w:highlight w:val="none"/>
                <w:lang w:val="en-US" w:eastAsia="zh-CN"/>
              </w:rPr>
              <w:t>2-4A7.1</w:t>
            </w:r>
            <w:r>
              <w:rPr>
                <w:rFonts w:hint="eastAsia" w:ascii="Times New Roman" w:hAnsi="Times New Roman" w:eastAsia="宋体"/>
                <w:color w:val="auto"/>
                <w:sz w:val="21"/>
                <w:szCs w:val="21"/>
                <w:highlight w:val="none"/>
                <w:lang w:val="en-US" w:eastAsia="zh-CN"/>
              </w:rPr>
              <w:t>）。</w:t>
            </w:r>
          </w:p>
        </w:tc>
        <w:tc>
          <w:tcPr>
            <w:tcW w:w="1876" w:type="pct"/>
            <w:tcBorders>
              <w:top w:val="single" w:color="auto" w:sz="4" w:space="0"/>
              <w:left w:val="single" w:color="auto" w:sz="4" w:space="0"/>
              <w:bottom w:val="single" w:color="auto" w:sz="4" w:space="0"/>
              <w:right w:val="single" w:color="auto" w:sz="4" w:space="0"/>
            </w:tcBorders>
            <w:vAlign w:val="center"/>
          </w:tcPr>
          <w:p w14:paraId="385F9A0B">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（1）本项目为</w:t>
            </w:r>
            <w:r>
              <w:rPr>
                <w:rFonts w:hint="eastAsia" w:ascii="Times New Roman" w:hAnsi="Times New Roman" w:eastAsia="宋体"/>
                <w:color w:val="auto"/>
                <w:sz w:val="21"/>
                <w:szCs w:val="21"/>
                <w:highlight w:val="none"/>
                <w:lang w:eastAsia="zh-CN"/>
              </w:rPr>
              <w:t>蛋鸡养殖</w:t>
            </w:r>
            <w:r>
              <w:rPr>
                <w:rFonts w:hint="eastAsia" w:ascii="Times New Roman" w:hAnsi="Times New Roman" w:eastAsia="宋体"/>
                <w:color w:val="auto"/>
                <w:sz w:val="21"/>
                <w:szCs w:val="21"/>
                <w:highlight w:val="none"/>
              </w:rPr>
              <w:t>项目，在运行过程中使用的资源主要为水、电和饲料等，不触及昌吉州资源利用上线。</w:t>
            </w:r>
          </w:p>
          <w:p w14:paraId="600F135C">
            <w:pPr>
              <w:spacing w:line="240" w:lineRule="auto"/>
              <w:ind w:firstLine="420"/>
              <w:rPr>
                <w:rFonts w:ascii="Times New Roman" w:hAnsi="Times New Roman" w:eastAsia="宋体"/>
                <w:bCs/>
                <w:color w:val="auto"/>
                <w:sz w:val="21"/>
                <w:szCs w:val="21"/>
                <w:highlight w:val="none"/>
              </w:rPr>
            </w:pPr>
            <w:r>
              <w:rPr>
                <w:rFonts w:hint="eastAsia" w:ascii="Times New Roman" w:hAnsi="Times New Roman" w:eastAsia="宋体"/>
                <w:color w:val="auto"/>
                <w:sz w:val="21"/>
                <w:szCs w:val="21"/>
                <w:highlight w:val="none"/>
              </w:rPr>
              <w:t>（2）本项目不涉及原煤、粉煤等高污染燃料的销售和使用。</w:t>
            </w:r>
          </w:p>
        </w:tc>
        <w:tc>
          <w:tcPr>
            <w:tcW w:w="377" w:type="pct"/>
            <w:tcBorders>
              <w:top w:val="single" w:color="auto" w:sz="4" w:space="0"/>
              <w:left w:val="single" w:color="auto" w:sz="4" w:space="0"/>
              <w:bottom w:val="single" w:color="auto" w:sz="4" w:space="0"/>
              <w:right w:val="single" w:color="auto" w:sz="4" w:space="0"/>
            </w:tcBorders>
            <w:vAlign w:val="center"/>
          </w:tcPr>
          <w:p w14:paraId="6B2D670F">
            <w:pPr>
              <w:ind w:firstLine="29" w:firstLineChars="14"/>
              <w:jc w:val="center"/>
              <w:rPr>
                <w:rFonts w:ascii="Times New Roman" w:hAnsi="Times New Roman" w:eastAsia="宋体"/>
                <w:bCs/>
                <w:color w:val="auto"/>
                <w:sz w:val="21"/>
                <w:szCs w:val="21"/>
                <w:highlight w:val="none"/>
              </w:rPr>
            </w:pPr>
            <w:r>
              <w:rPr>
                <w:rFonts w:hint="eastAsia" w:ascii="Times New Roman" w:hAnsi="Times New Roman" w:eastAsia="宋体"/>
                <w:color w:val="auto"/>
                <w:sz w:val="21"/>
                <w:szCs w:val="21"/>
                <w:highlight w:val="none"/>
              </w:rPr>
              <w:t>符合</w:t>
            </w:r>
          </w:p>
        </w:tc>
      </w:tr>
    </w:tbl>
    <w:p w14:paraId="78D1AE1C">
      <w:pPr>
        <w:ind w:firstLine="480"/>
        <w:rPr>
          <w:rFonts w:ascii="Times New Roman" w:hAnsi="Times New Roman" w:eastAsia="宋体"/>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titlePg/>
          <w:docGrid w:type="lines" w:linePitch="326" w:charSpace="0"/>
        </w:sectPr>
      </w:pPr>
    </w:p>
    <w:p w14:paraId="0C35A25D">
      <w:pPr>
        <w:pStyle w:val="5"/>
        <w:rPr>
          <w:rFonts w:ascii="Times New Roman" w:hAnsi="Times New Roman" w:eastAsia="宋体"/>
          <w:color w:val="auto"/>
          <w:highlight w:val="none"/>
        </w:rPr>
      </w:pPr>
      <w:bookmarkStart w:id="17" w:name="_Toc106663417"/>
      <w:r>
        <w:rPr>
          <w:rFonts w:hint="eastAsia" w:ascii="Times New Roman" w:hAnsi="Times New Roman" w:eastAsia="宋体"/>
          <w:color w:val="auto"/>
          <w:highlight w:val="none"/>
        </w:rPr>
        <w:t>1.3.5选址合理性</w:t>
      </w:r>
      <w:bookmarkEnd w:id="17"/>
    </w:p>
    <w:p w14:paraId="5F50D762">
      <w:pPr>
        <w:ind w:firstLine="0" w:firstLineChars="0"/>
        <w:rPr>
          <w:rFonts w:ascii="Times New Roman" w:hAnsi="Times New Roman" w:eastAsia="宋体"/>
          <w:b/>
          <w:bCs/>
          <w:color w:val="auto"/>
          <w:highlight w:val="none"/>
        </w:rPr>
      </w:pPr>
      <w:r>
        <w:rPr>
          <w:rFonts w:hint="eastAsia" w:ascii="Times New Roman" w:hAnsi="Times New Roman" w:eastAsia="宋体"/>
          <w:b/>
          <w:bCs/>
          <w:color w:val="auto"/>
          <w:highlight w:val="none"/>
        </w:rPr>
        <w:t>1.3.5.1与《畜禽规模养殖污染防治条例》（国务院令第643号）、《畜禽养殖业污染防治技术规范》（HJ/T81-2001）、《畜禽养殖业污染防治技术政策》（环发[2010]151号）的符合性分析</w:t>
      </w:r>
    </w:p>
    <w:p w14:paraId="2ED5ACD1">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本项目与《畜禽规模养殖污染防治条例》（国务院令第643号）、《畜禽养殖业污染防治技术规范》（HJ/T81-2001）、《畜禽养殖业污染防治技术政策》（环发[2010]151号）的符合性分析见表1.3-</w:t>
      </w:r>
      <w:r>
        <w:rPr>
          <w:rFonts w:ascii="Times New Roman" w:hAnsi="Times New Roman" w:eastAsia="宋体"/>
          <w:color w:val="auto"/>
          <w:highlight w:val="none"/>
        </w:rPr>
        <w:t>2</w:t>
      </w:r>
      <w:r>
        <w:rPr>
          <w:rFonts w:hint="eastAsia" w:ascii="Times New Roman" w:hAnsi="Times New Roman" w:eastAsia="宋体"/>
          <w:color w:val="auto"/>
          <w:highlight w:val="none"/>
        </w:rPr>
        <w:t>。</w:t>
      </w:r>
    </w:p>
    <w:p w14:paraId="3153ECB0">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表1.3-</w:t>
      </w:r>
      <w:r>
        <w:rPr>
          <w:rFonts w:ascii="Times New Roman" w:hAnsi="Times New Roman" w:eastAsia="宋体"/>
          <w:color w:val="auto"/>
          <w:sz w:val="24"/>
          <w:szCs w:val="22"/>
          <w:highlight w:val="none"/>
        </w:rPr>
        <w:t>2</w:t>
      </w:r>
      <w:r>
        <w:rPr>
          <w:rFonts w:hint="eastAsia" w:ascii="Times New Roman" w:hAnsi="Times New Roman" w:eastAsia="宋体"/>
          <w:color w:val="auto"/>
          <w:sz w:val="24"/>
          <w:szCs w:val="22"/>
          <w:highlight w:val="none"/>
        </w:rPr>
        <w:t>选址合理性分析</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3344"/>
        <w:gridCol w:w="2597"/>
        <w:gridCol w:w="825"/>
      </w:tblGrid>
      <w:tr w14:paraId="300D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36DDD6D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w:t>
            </w:r>
          </w:p>
        </w:tc>
        <w:tc>
          <w:tcPr>
            <w:tcW w:w="2007" w:type="pct"/>
            <w:vAlign w:val="center"/>
          </w:tcPr>
          <w:p w14:paraId="00BC963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要求</w:t>
            </w:r>
          </w:p>
        </w:tc>
        <w:tc>
          <w:tcPr>
            <w:tcW w:w="1569" w:type="pct"/>
            <w:vAlign w:val="center"/>
          </w:tcPr>
          <w:p w14:paraId="11AF1E3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符合性分析</w:t>
            </w:r>
          </w:p>
        </w:tc>
        <w:tc>
          <w:tcPr>
            <w:tcW w:w="529" w:type="pct"/>
            <w:vAlign w:val="center"/>
          </w:tcPr>
          <w:p w14:paraId="4213B32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符合性</w:t>
            </w:r>
          </w:p>
        </w:tc>
      </w:tr>
      <w:tr w14:paraId="4820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0E27235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《畜禽规模养殖污染防治条例》（国务院令第643号）第二章第十一条</w:t>
            </w:r>
          </w:p>
        </w:tc>
        <w:tc>
          <w:tcPr>
            <w:tcW w:w="2007" w:type="pct"/>
            <w:vAlign w:val="center"/>
          </w:tcPr>
          <w:p w14:paraId="7CB6C310">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禁止在下列区域内建设畜禽养殖场、养殖小区：</w:t>
            </w:r>
          </w:p>
          <w:p w14:paraId="7EF71765">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①饮用水水源保护区，风景名胜区；</w:t>
            </w:r>
          </w:p>
          <w:p w14:paraId="19B10685">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②自然保护区的核心区和缓冲区；</w:t>
            </w:r>
          </w:p>
          <w:p w14:paraId="4C16AA55">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③城镇居民区、文化教育科学研究区等人口集中区域；</w:t>
            </w:r>
          </w:p>
          <w:p w14:paraId="6AEC620A">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④法律、法规规定的其他禁止养殖区域。</w:t>
            </w:r>
          </w:p>
        </w:tc>
        <w:tc>
          <w:tcPr>
            <w:tcW w:w="1569" w:type="pct"/>
            <w:vAlign w:val="center"/>
          </w:tcPr>
          <w:p w14:paraId="161A4710">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本项目的选址不属于当地政府划定的</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敏感区</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和</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禁养区</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，不涉及自然保护区、风景名胜区等环境敏感区域。拟建本项目建设布局在设计阶段进行了合理规划，项目的建设符合《畜禽规模养殖污染防治条例》的相关规定。</w:t>
            </w:r>
          </w:p>
        </w:tc>
        <w:tc>
          <w:tcPr>
            <w:tcW w:w="529" w:type="pct"/>
            <w:vAlign w:val="center"/>
          </w:tcPr>
          <w:p w14:paraId="5A495C5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w:t>
            </w:r>
          </w:p>
        </w:tc>
      </w:tr>
      <w:tr w14:paraId="7419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7B0D80A0">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《畜禽养殖业污染防治技术规范》</w:t>
            </w:r>
            <w:r>
              <w:rPr>
                <w:rFonts w:hint="eastAsia"/>
                <w:color w:val="auto"/>
                <w:sz w:val="21"/>
                <w:szCs w:val="21"/>
                <w:highlight w:val="none"/>
                <w:lang w:eastAsia="zh-CN"/>
              </w:rPr>
              <w:t>（</w:t>
            </w:r>
            <w:r>
              <w:rPr>
                <w:rFonts w:ascii="Times New Roman" w:hAnsi="Times New Roman" w:eastAsia="宋体"/>
                <w:color w:val="auto"/>
                <w:sz w:val="21"/>
                <w:szCs w:val="21"/>
                <w:highlight w:val="none"/>
              </w:rPr>
              <w:t>HJ/T81-2001</w:t>
            </w:r>
            <w:r>
              <w:rPr>
                <w:rFonts w:hint="eastAsia"/>
                <w:color w:val="auto"/>
                <w:sz w:val="21"/>
                <w:szCs w:val="21"/>
                <w:highlight w:val="none"/>
                <w:lang w:eastAsia="zh-CN"/>
              </w:rPr>
              <w:t>）</w:t>
            </w:r>
          </w:p>
        </w:tc>
        <w:tc>
          <w:tcPr>
            <w:tcW w:w="2007" w:type="pct"/>
            <w:vAlign w:val="center"/>
          </w:tcPr>
          <w:p w14:paraId="0D785E44">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禁止在下列区域内建设畜禽养殖场：a.生活饮用水水源保护区，风景名胜区、自然保护区的核心区和缓冲区；b.城市和城镇居民区，包括文教科研区、医疗区、商业区、工业区、游览区等人口集中地区；c.县级人民政府依法划定的禁养区域；d.国家或地方法律、法规规定需特殊保护的其他区域。</w:t>
            </w:r>
          </w:p>
          <w:p w14:paraId="6CAB0F0B">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新建改建、扩建的畜禽养殖场选址应避开以上禁建区域。在禁建区域附近建设的，应设在禁建区域常年主导风向的下风向或侧风向处，场界与禁建区域边界的最小距离不得小于500m。</w:t>
            </w:r>
          </w:p>
        </w:tc>
        <w:tc>
          <w:tcPr>
            <w:tcW w:w="1569" w:type="pct"/>
            <w:vAlign w:val="center"/>
          </w:tcPr>
          <w:p w14:paraId="30C979C7">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项目位于</w:t>
            </w:r>
            <w:r>
              <w:rPr>
                <w:rFonts w:hint="eastAsia" w:ascii="Times New Roman" w:hAnsi="Times New Roman" w:eastAsia="宋体"/>
                <w:color w:val="auto"/>
                <w:sz w:val="21"/>
                <w:szCs w:val="21"/>
                <w:highlight w:val="none"/>
                <w:lang w:eastAsia="zh-CN"/>
              </w:rPr>
              <w:t>昌吉玛纳斯县广东地乡广东地村区</w:t>
            </w:r>
            <w:r>
              <w:rPr>
                <w:rFonts w:hint="eastAsia" w:ascii="Times New Roman" w:hAnsi="Times New Roman" w:eastAsia="宋体"/>
                <w:color w:val="auto"/>
                <w:sz w:val="21"/>
                <w:szCs w:val="21"/>
                <w:highlight w:val="none"/>
              </w:rPr>
              <w:t>，项目区四周均为农田（种植经济作物）。项目远离居民区，远离人员流动较大的道路和村庄；项目周边有足够田地，便于养殖废水处理后就近施肥，粪便</w:t>
            </w:r>
            <w:r>
              <w:rPr>
                <w:rFonts w:hint="eastAsia"/>
                <w:color w:val="auto"/>
                <w:sz w:val="21"/>
                <w:szCs w:val="21"/>
                <w:highlight w:val="none"/>
                <w:lang w:val="en-US" w:eastAsia="zh-CN"/>
              </w:rPr>
              <w:t>外售化肥厂</w:t>
            </w:r>
            <w:r>
              <w:rPr>
                <w:rFonts w:hint="eastAsia" w:ascii="Times New Roman" w:hAnsi="Times New Roman" w:eastAsia="宋体"/>
                <w:color w:val="auto"/>
                <w:sz w:val="21"/>
                <w:szCs w:val="21"/>
                <w:highlight w:val="none"/>
              </w:rPr>
              <w:t>，有利于该项目污水资源化利用，实现种养结合，发展生态农业。</w:t>
            </w:r>
          </w:p>
        </w:tc>
        <w:tc>
          <w:tcPr>
            <w:tcW w:w="529" w:type="pct"/>
            <w:vAlign w:val="center"/>
          </w:tcPr>
          <w:p w14:paraId="40552AD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w:t>
            </w:r>
          </w:p>
        </w:tc>
      </w:tr>
      <w:tr w14:paraId="548D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pct"/>
            <w:vAlign w:val="center"/>
          </w:tcPr>
          <w:p w14:paraId="30F8394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《畜禽养殖业污染防治技术政策》（环发[2010]151号）</w:t>
            </w:r>
          </w:p>
        </w:tc>
        <w:tc>
          <w:tcPr>
            <w:tcW w:w="2007" w:type="pct"/>
            <w:vAlign w:val="center"/>
          </w:tcPr>
          <w:p w14:paraId="76CA6798">
            <w:pPr>
              <w:spacing w:line="240" w:lineRule="auto"/>
              <w:ind w:firstLine="0" w:firstLineChars="0"/>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畜禽养殖污染防治应遵循以下技术原则：</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全面规划、合理布局，贯彻执行当地人民政府颁布的畜禽养殖区划，严格遵守</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禁养区</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和</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限养区</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的规定，已有的畜禽养殖场（小区）应限期搬迁；结合当地城乡总体规划、环境保护规划和畜牧业发展规划，做好畜禽养殖污染防治规划，优化规模化畜禽养殖场（小区）及其污染防治设施的布局，避开饮用水水源地等环境敏感区域</w:t>
            </w:r>
            <w:r>
              <w:rPr>
                <w:rFonts w:hint="eastAsia"/>
                <w:color w:val="auto"/>
                <w:sz w:val="21"/>
                <w:szCs w:val="21"/>
                <w:highlight w:val="none"/>
                <w:lang w:eastAsia="zh-CN"/>
              </w:rPr>
              <w:t>”</w:t>
            </w:r>
          </w:p>
        </w:tc>
        <w:tc>
          <w:tcPr>
            <w:tcW w:w="1569" w:type="pct"/>
            <w:vAlign w:val="center"/>
          </w:tcPr>
          <w:p w14:paraId="6D55757A">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本项目的建设布局在设计阶段进行了合理规划和布局，处于最近的保护目标常年主导风向的侧风向，不涉及饮用水水源保护区等环境敏感区域；本项目不属于当地政府所划定的</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禁养区</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范围。</w:t>
            </w:r>
          </w:p>
        </w:tc>
        <w:tc>
          <w:tcPr>
            <w:tcW w:w="529" w:type="pct"/>
            <w:vAlign w:val="center"/>
          </w:tcPr>
          <w:p w14:paraId="5567B86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符合</w:t>
            </w:r>
          </w:p>
        </w:tc>
      </w:tr>
    </w:tbl>
    <w:p w14:paraId="6471D950">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1.3.5.2与《</w:t>
      </w:r>
      <w:r>
        <w:rPr>
          <w:rFonts w:hint="eastAsia" w:ascii="Times New Roman" w:hAnsi="Times New Roman" w:eastAsia="宋体"/>
          <w:color w:val="auto"/>
          <w:highlight w:val="none"/>
          <w:lang w:val="en-US" w:eastAsia="zh-CN"/>
        </w:rPr>
        <w:t>玛纳斯县修订完善畜禽养殖禁养区划定工作方案</w:t>
      </w:r>
      <w:r>
        <w:rPr>
          <w:rFonts w:hint="eastAsia" w:ascii="Times New Roman" w:hAnsi="Times New Roman" w:eastAsia="宋体"/>
          <w:color w:val="auto"/>
          <w:highlight w:val="none"/>
        </w:rPr>
        <w:t>》的符合性分析</w:t>
      </w:r>
    </w:p>
    <w:p w14:paraId="43E3CD88">
      <w:pPr>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ascii="Times New Roman" w:hAnsi="Times New Roman" w:eastAsia="宋体"/>
          <w:color w:val="auto"/>
          <w:highlight w:val="none"/>
          <w:lang w:eastAsia="zh-CN"/>
        </w:rPr>
        <w:t>玛纳斯县修订完善畜禽养殖禁养区划定工作方案</w:t>
      </w:r>
      <w:r>
        <w:rPr>
          <w:rFonts w:hint="eastAsia" w:ascii="Times New Roman" w:hAnsi="Times New Roman" w:eastAsia="宋体"/>
          <w:color w:val="auto"/>
          <w:highlight w:val="none"/>
        </w:rPr>
        <w:t>》将以下区域划定为畜禽养殖禁养区：</w:t>
      </w:r>
    </w:p>
    <w:p w14:paraId="1657B353">
      <w:pPr>
        <w:ind w:firstLine="480"/>
        <w:rPr>
          <w:rFonts w:ascii="Times New Roman" w:hAnsi="Times New Roman" w:eastAsia="宋体"/>
          <w:color w:val="auto"/>
          <w:highlight w:val="none"/>
        </w:rPr>
      </w:pPr>
      <w:r>
        <w:rPr>
          <w:rFonts w:hint="eastAsia" w:ascii="Times New Roman" w:hAnsi="Times New Roman" w:eastAsia="宋体"/>
          <w:color w:val="auto"/>
          <w:highlight w:val="none"/>
        </w:rPr>
        <w:t>（1）禁养区范围</w:t>
      </w:r>
    </w:p>
    <w:p w14:paraId="4CA2A4FC">
      <w:pPr>
        <w:ind w:firstLine="480"/>
        <w:rPr>
          <w:rFonts w:ascii="Times New Roman" w:hAnsi="Times New Roman" w:eastAsia="宋体"/>
          <w:color w:val="auto"/>
          <w:highlight w:val="none"/>
        </w:rPr>
      </w:pPr>
      <w:r>
        <w:rPr>
          <w:rFonts w:ascii="Times New Roman" w:hAnsi="Times New Roman" w:eastAsia="宋体"/>
          <w:color w:val="auto"/>
          <w:highlight w:val="none"/>
          <w:lang w:val="en-US" w:eastAsia="zh-CN"/>
        </w:rPr>
        <w:t>畜禽养殖禁养区是指按照法律、法规、行政规章等规定，在指定范围内禁止任何单位和个人养殖畜禽，禁养区范围内的已建成的畜禽规模化养殖场、养殖小区，由县人民政府依法责令进行搬迁或关闭。</w:t>
      </w:r>
    </w:p>
    <w:p w14:paraId="2EB27663">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1.依法保护的水源地、自然保护区、风景名胜区等区域；</w:t>
      </w:r>
    </w:p>
    <w:p w14:paraId="018DC61E">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2.有效保护县城、城镇人口密集区、工业开发区群众正常生产、生活环境；</w:t>
      </w:r>
    </w:p>
    <w:p w14:paraId="3606538B">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3.着力预防重点主要流域一定范围内畜禽养殖污染；</w:t>
      </w:r>
    </w:p>
    <w:p w14:paraId="7E70676F">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4.保护公路、铁路、高速公路等两侧一定范围内景观资源；</w:t>
      </w:r>
    </w:p>
    <w:p w14:paraId="7256E259">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5.森林公园中的生态保育区，核心景观区等禁止开发区域，沙化土地的封禁保护区；</w:t>
      </w:r>
    </w:p>
    <w:p w14:paraId="403A3778">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6.法律、法规、规章规定需要特殊保护的其他区域。</w:t>
      </w:r>
    </w:p>
    <w:p w14:paraId="0A86B7E5">
      <w:pPr>
        <w:ind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（2）</w:t>
      </w:r>
      <w:r>
        <w:rPr>
          <w:rFonts w:hint="eastAsia" w:ascii="Times New Roman" w:hAnsi="Times New Roman" w:eastAsia="宋体"/>
          <w:color w:val="auto"/>
          <w:highlight w:val="none"/>
          <w:lang w:val="en-US" w:eastAsia="zh-CN"/>
        </w:rPr>
        <w:t>禁养区范围的界定</w:t>
      </w:r>
    </w:p>
    <w:p w14:paraId="6367A7FB">
      <w:pPr>
        <w:ind w:firstLine="480"/>
        <w:rPr>
          <w:rFonts w:ascii="Times New Roman" w:hAnsi="Times New Roman" w:eastAsia="宋体"/>
          <w:color w:val="auto"/>
          <w:highlight w:val="none"/>
        </w:rPr>
      </w:pPr>
      <w:r>
        <w:rPr>
          <w:rFonts w:ascii="Times New Roman" w:hAnsi="Times New Roman" w:eastAsia="宋体"/>
          <w:color w:val="auto"/>
          <w:highlight w:val="none"/>
          <w:lang w:val="en-US" w:eastAsia="zh-CN"/>
        </w:rPr>
        <w:t>1.玛纳斯县城镇建成区及城镇规划区、人口聚集区及规划区500米以内区域</w:t>
      </w:r>
      <w:r>
        <w:rPr>
          <w:rFonts w:hint="default" w:ascii="Times New Roman" w:hAnsi="Times New Roman" w:eastAsia="宋体"/>
          <w:color w:val="auto"/>
          <w:highlight w:val="none"/>
          <w:lang w:val="en-US" w:eastAsia="zh-CN"/>
        </w:rPr>
        <w:t>；</w:t>
      </w:r>
    </w:p>
    <w:p w14:paraId="62247ABC">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2.各乡镇建成区及规划区、学校、医院、商业区等公共场所500米以内区域；</w:t>
      </w:r>
    </w:p>
    <w:p w14:paraId="0A39D5E1">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3.玛纳斯县饮用水水源保护区、玛纳斯国家湿地公园、森林公园等生态敏感区、旅游景区和文物历史遗迹保护区500米以内区域；</w:t>
      </w:r>
    </w:p>
    <w:p w14:paraId="158136DE">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4.北疆铁路、S115省道、G30乌奎高速公路两侧500米范围内的区域；</w:t>
      </w:r>
    </w:p>
    <w:p w14:paraId="58F5F402">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5.县域内已划定水源地保护区，河流、水库、水利工程管理和保护区范围内；</w:t>
      </w:r>
    </w:p>
    <w:p w14:paraId="17DFD6EF">
      <w:pPr>
        <w:ind w:firstLine="480"/>
        <w:rPr>
          <w:rFonts w:hint="eastAsia" w:ascii="Times New Roman" w:hAnsi="Times New Roman" w:eastAsia="宋体"/>
          <w:color w:val="auto"/>
          <w:highlight w:val="none"/>
        </w:rPr>
      </w:pPr>
      <w:r>
        <w:rPr>
          <w:rFonts w:hint="default" w:ascii="Times New Roman" w:hAnsi="Times New Roman" w:eastAsia="宋体"/>
          <w:color w:val="auto"/>
          <w:highlight w:val="none"/>
          <w:lang w:val="en-US" w:eastAsia="zh-CN"/>
        </w:rPr>
        <w:t>6.乡村居民集中居住区禁养范围和禁养对象，由《村规民约》规范管理本村居民居住区内的庭院养殖范围；</w:t>
      </w:r>
    </w:p>
    <w:p w14:paraId="5FD36069">
      <w:pPr>
        <w:ind w:firstLine="480"/>
        <w:rPr>
          <w:rFonts w:ascii="Times New Roman" w:hAnsi="Times New Roman" w:eastAsia="宋体"/>
          <w:color w:val="auto"/>
          <w:highlight w:val="none"/>
        </w:rPr>
      </w:pPr>
      <w:r>
        <w:rPr>
          <w:rFonts w:hint="default" w:ascii="Times New Roman" w:hAnsi="Times New Roman" w:eastAsia="宋体"/>
          <w:color w:val="auto"/>
          <w:highlight w:val="none"/>
          <w:lang w:val="en-US" w:eastAsia="zh-CN"/>
        </w:rPr>
        <w:t>7.法律、法规规定需特殊保护的其他区域。</w:t>
      </w:r>
    </w:p>
    <w:p w14:paraId="4F38CE9C">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本项目位于玛纳斯县广东地乡苇坝村东侧1.6km处，项目中心地理坐标为：</w:t>
      </w:r>
      <w:r>
        <w:rPr>
          <w:rFonts w:hint="eastAsia" w:ascii="Times New Roman" w:hAnsi="Times New Roman" w:eastAsia="宋体"/>
          <w:color w:val="auto"/>
          <w:highlight w:val="none"/>
          <w:lang w:eastAsia="zh-CN"/>
        </w:rPr>
        <w:t>86°19′49″</w:t>
      </w:r>
      <w:r>
        <w:rPr>
          <w:rFonts w:ascii="Times New Roman" w:hAnsi="Times New Roman" w:eastAsia="宋体"/>
          <w:color w:val="auto"/>
          <w:highlight w:val="none"/>
        </w:rPr>
        <w:t>E、</w:t>
      </w:r>
      <w:r>
        <w:rPr>
          <w:rFonts w:hint="eastAsia" w:ascii="Times New Roman" w:hAnsi="Times New Roman" w:eastAsia="宋体"/>
          <w:color w:val="auto"/>
          <w:highlight w:val="none"/>
          <w:lang w:eastAsia="zh-CN"/>
        </w:rPr>
        <w:t>44°20′45″</w:t>
      </w:r>
      <w:r>
        <w:rPr>
          <w:rFonts w:ascii="Times New Roman" w:hAnsi="Times New Roman" w:eastAsia="宋体"/>
          <w:color w:val="auto"/>
          <w:highlight w:val="none"/>
        </w:rPr>
        <w:t>N</w:t>
      </w:r>
      <w:r>
        <w:rPr>
          <w:rFonts w:hint="eastAsia" w:ascii="Times New Roman" w:hAnsi="Times New Roman" w:eastAsia="宋体"/>
          <w:color w:val="auto"/>
          <w:highlight w:val="none"/>
        </w:rPr>
        <w:t>，项目区</w:t>
      </w:r>
      <w:r>
        <w:rPr>
          <w:rFonts w:hint="eastAsia" w:ascii="Times New Roman" w:hAnsi="Times New Roman" w:eastAsia="宋体"/>
          <w:color w:val="auto"/>
          <w:highlight w:val="none"/>
          <w:lang w:val="en-US" w:eastAsia="zh-CN"/>
        </w:rPr>
        <w:t>北侧、西侧为空地，东侧、南侧为农田</w:t>
      </w:r>
      <w:r>
        <w:rPr>
          <w:rFonts w:hint="eastAsia" w:ascii="Times New Roman" w:hAnsi="Times New Roman" w:eastAsia="宋体"/>
          <w:color w:val="auto"/>
          <w:highlight w:val="none"/>
        </w:rPr>
        <w:t>（种植经济作物），</w:t>
      </w:r>
      <w:r>
        <w:rPr>
          <w:rFonts w:hint="eastAsia"/>
          <w:color w:val="auto"/>
          <w:highlight w:val="none"/>
          <w:lang w:val="en-US" w:eastAsia="zh-CN"/>
        </w:rPr>
        <w:t>位于禁养区东侧1km，具体禁养区见图1.3-3。</w:t>
      </w:r>
      <w:r>
        <w:rPr>
          <w:rFonts w:hint="eastAsia" w:ascii="Times New Roman" w:hAnsi="Times New Roman" w:eastAsia="宋体"/>
          <w:color w:val="auto"/>
          <w:highlight w:val="none"/>
        </w:rPr>
        <w:t>周边1km范围内无饮用水源地保护区、自然保护区、风景名胜区和自然遗产地等需要特殊保护的区域，本项目位于</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划定的禁养区范围外，项目选址合理。综上所述，本项目的选址合理。</w:t>
      </w:r>
    </w:p>
    <w:p w14:paraId="55857A49">
      <w:pPr>
        <w:pStyle w:val="4"/>
        <w:rPr>
          <w:rFonts w:ascii="Times New Roman" w:hAnsi="Times New Roman" w:eastAsia="宋体"/>
          <w:color w:val="auto"/>
          <w:highlight w:val="none"/>
        </w:rPr>
      </w:pPr>
      <w:bookmarkStart w:id="18" w:name="_Toc106663418"/>
      <w:bookmarkStart w:id="19" w:name="_Toc89619321"/>
      <w:r>
        <w:rPr>
          <w:rFonts w:hint="eastAsia" w:ascii="Times New Roman" w:hAnsi="Times New Roman" w:eastAsia="宋体"/>
          <w:color w:val="auto"/>
          <w:highlight w:val="none"/>
        </w:rPr>
        <w:t>1.4关注的主要环境问题</w:t>
      </w:r>
      <w:bookmarkEnd w:id="18"/>
      <w:bookmarkEnd w:id="19"/>
    </w:p>
    <w:p w14:paraId="1C2E1EA1">
      <w:pPr>
        <w:ind w:firstLine="480"/>
        <w:rPr>
          <w:rFonts w:ascii="Times New Roman" w:hAnsi="Times New Roman" w:eastAsia="宋体"/>
          <w:color w:val="auto"/>
          <w:highlight w:val="none"/>
        </w:rPr>
      </w:pPr>
      <w:r>
        <w:rPr>
          <w:rFonts w:ascii="Times New Roman" w:hAnsi="Times New Roman" w:eastAsia="宋体"/>
          <w:color w:val="auto"/>
          <w:highlight w:val="none"/>
        </w:rPr>
        <w:t>本项目为养殖类项目，本次评价主要关注的环境问题是建设项目投入营运后主要污染物的产生、控制和对周边环境的影响。本项目关注的环境问题是：</w:t>
      </w:r>
    </w:p>
    <w:p w14:paraId="157CC760">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大气：本项目运营期大气环境影响主要为圈舍产生的臭气对周围环境的影响，主要特征污染物有NH</w:t>
      </w:r>
      <w:r>
        <w:rPr>
          <w:rFonts w:ascii="Times New Roman" w:hAnsi="Times New Roman" w:eastAsia="宋体"/>
          <w:color w:val="auto"/>
          <w:highlight w:val="none"/>
          <w:vertAlign w:val="subscript"/>
        </w:rPr>
        <w:t>3</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S，环评中重点关注运营期养殖圈舍产生的NH</w:t>
      </w:r>
      <w:r>
        <w:rPr>
          <w:rFonts w:ascii="Times New Roman" w:hAnsi="Times New Roman" w:eastAsia="宋体"/>
          <w:color w:val="auto"/>
          <w:highlight w:val="none"/>
          <w:vertAlign w:val="subscript"/>
        </w:rPr>
        <w:t>3</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S的排放情况，分析本项目建成后，运营期对项目区的影响程度。</w:t>
      </w:r>
    </w:p>
    <w:p w14:paraId="6D633B0B">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水环境：运营期污水排放去向及对周边水环境的影响；</w:t>
      </w:r>
    </w:p>
    <w:p w14:paraId="1C4563F2">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固体废物：运营期粪污、病死鸡只、医疗废物等固体废弃物的处置合理性及其对周边环境的影响。</w:t>
      </w:r>
    </w:p>
    <w:p w14:paraId="1B50F7F9">
      <w:pPr>
        <w:pStyle w:val="4"/>
        <w:rPr>
          <w:rFonts w:ascii="Times New Roman" w:hAnsi="Times New Roman" w:eastAsia="宋体"/>
          <w:color w:val="auto"/>
          <w:highlight w:val="none"/>
        </w:rPr>
      </w:pPr>
      <w:bookmarkStart w:id="20" w:name="_Toc106663419"/>
      <w:bookmarkStart w:id="21" w:name="_Toc89619322"/>
      <w:r>
        <w:rPr>
          <w:rFonts w:hint="eastAsia" w:ascii="Times New Roman" w:hAnsi="Times New Roman" w:eastAsia="宋体"/>
          <w:color w:val="auto"/>
          <w:highlight w:val="none"/>
        </w:rPr>
        <w:t>1.5环评报告书的主要结论</w:t>
      </w:r>
      <w:bookmarkEnd w:id="20"/>
      <w:bookmarkEnd w:id="21"/>
    </w:p>
    <w:p w14:paraId="5B0B0948">
      <w:pPr>
        <w:ind w:firstLine="480"/>
        <w:rPr>
          <w:rFonts w:ascii="Times New Roman" w:hAnsi="Times New Roman" w:eastAsia="宋体"/>
          <w:color w:val="auto"/>
          <w:highlight w:val="none"/>
        </w:rPr>
      </w:pPr>
      <w:r>
        <w:rPr>
          <w:rFonts w:ascii="Times New Roman" w:hAnsi="Times New Roman" w:eastAsia="宋体"/>
          <w:color w:val="auto"/>
          <w:highlight w:val="none"/>
        </w:rPr>
        <w:t>本项目为养殖类项目，属于《</w:t>
      </w:r>
      <w:r>
        <w:rPr>
          <w:rFonts w:hint="eastAsia"/>
          <w:color w:val="auto"/>
          <w:highlight w:val="none"/>
          <w:lang w:eastAsia="zh-CN"/>
        </w:rPr>
        <w:t>产业结构调整指导目录（2021年本）</w:t>
      </w:r>
      <w:r>
        <w:rPr>
          <w:rFonts w:ascii="Times New Roman" w:hAnsi="Times New Roman" w:eastAsia="宋体"/>
          <w:color w:val="auto"/>
          <w:highlight w:val="none"/>
        </w:rPr>
        <w:t>》中的鼓励类项目，符合国家产业政策要求。本工程建成投产后，废水不乱排、固废合理处置，粪污收集外售生产有机肥，把污染物转变为经济优势和产品优势，有利于玛纳斯县发展经济的同时，还促进了地方养殖业的蓬勃发展，为社会稳定和解决</w:t>
      </w:r>
      <w:r>
        <w:rPr>
          <w:rFonts w:hint="eastAsia"/>
          <w:color w:val="auto"/>
          <w:highlight w:val="none"/>
          <w:lang w:eastAsia="zh-CN"/>
        </w:rPr>
        <w:t>”</w:t>
      </w:r>
      <w:r>
        <w:rPr>
          <w:rFonts w:ascii="Times New Roman" w:hAnsi="Times New Roman" w:eastAsia="宋体"/>
          <w:color w:val="auto"/>
          <w:highlight w:val="none"/>
        </w:rPr>
        <w:t>三农</w:t>
      </w:r>
      <w:r>
        <w:rPr>
          <w:rFonts w:hint="eastAsia"/>
          <w:color w:val="auto"/>
          <w:highlight w:val="none"/>
          <w:lang w:eastAsia="zh-CN"/>
        </w:rPr>
        <w:t>”</w:t>
      </w:r>
      <w:r>
        <w:rPr>
          <w:rFonts w:ascii="Times New Roman" w:hAnsi="Times New Roman" w:eastAsia="宋体"/>
          <w:color w:val="auto"/>
          <w:highlight w:val="none"/>
        </w:rPr>
        <w:t>问题做出良好贡献。本工程具有很好的环境效益和社会效益，场区布置合理，工程主要采取的环境保护措施较为可行，污染物能够实现达标排放，饲养工艺先进，总体清洁水平良好，通过采取报告书中提出的各项环境保护措施，项目对环境的影响可降低到当地环境能够容许的程度，不会对周围环境产生明显影响和环境质量功能的改变。</w:t>
      </w:r>
    </w:p>
    <w:p w14:paraId="6A10B519">
      <w:pPr>
        <w:ind w:firstLine="480"/>
        <w:rPr>
          <w:rFonts w:ascii="Times New Roman" w:hAnsi="Times New Roman" w:eastAsia="宋体"/>
          <w:color w:val="auto"/>
          <w:highlight w:val="none"/>
        </w:rPr>
      </w:pPr>
      <w:r>
        <w:rPr>
          <w:rFonts w:ascii="Times New Roman" w:hAnsi="Times New Roman" w:eastAsia="宋体"/>
          <w:color w:val="auto"/>
          <w:highlight w:val="none"/>
        </w:rPr>
        <w:t>综上所述，本项目符合国家的产业政策导向，选址合理。只要有效实施本环评报告所提出的有关防治措施，保证废弃物资源化利用，对周围环境影响较小。因此，从环保角度来讲，本建设项目实施是可行的。</w:t>
      </w:r>
    </w:p>
    <w:p w14:paraId="3F76DA22">
      <w:pPr>
        <w:ind w:firstLine="480"/>
        <w:rPr>
          <w:rFonts w:ascii="Times New Roman" w:hAnsi="Times New Roman" w:eastAsia="宋体"/>
          <w:color w:val="auto"/>
          <w:highlight w:val="none"/>
        </w:rPr>
      </w:pPr>
    </w:p>
    <w:p w14:paraId="6167D5DB">
      <w:pPr>
        <w:ind w:firstLine="480"/>
        <w:rPr>
          <w:rFonts w:ascii="Times New Roman" w:hAnsi="Times New Roman" w:eastAsia="宋体"/>
          <w:color w:val="auto"/>
          <w:highlight w:val="none"/>
        </w:rPr>
        <w:sectPr>
          <w:headerReference r:id="rId17" w:type="default"/>
          <w:footerReference r:id="rId1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titlePg/>
          <w:docGrid w:type="lines" w:linePitch="326" w:charSpace="0"/>
        </w:sectPr>
      </w:pPr>
    </w:p>
    <w:p w14:paraId="777F8A0B">
      <w:pPr>
        <w:pStyle w:val="3"/>
        <w:rPr>
          <w:rFonts w:ascii="Times New Roman" w:hAnsi="Times New Roman" w:eastAsia="宋体"/>
          <w:color w:val="auto"/>
          <w:highlight w:val="none"/>
        </w:rPr>
      </w:pPr>
      <w:bookmarkStart w:id="22" w:name="_Toc106663420"/>
      <w:bookmarkStart w:id="23" w:name="_Toc71394703"/>
      <w:bookmarkStart w:id="24" w:name="_Toc89619323"/>
      <w:r>
        <w:rPr>
          <w:rFonts w:hint="eastAsia" w:ascii="Times New Roman" w:hAnsi="Times New Roman" w:eastAsia="宋体"/>
          <w:color w:val="auto"/>
          <w:highlight w:val="none"/>
        </w:rPr>
        <w:t>2、总论</w:t>
      </w:r>
      <w:bookmarkEnd w:id="22"/>
      <w:bookmarkEnd w:id="23"/>
      <w:bookmarkEnd w:id="24"/>
    </w:p>
    <w:p w14:paraId="4D5E7B35">
      <w:pPr>
        <w:pStyle w:val="4"/>
        <w:rPr>
          <w:rFonts w:ascii="Times New Roman" w:hAnsi="Times New Roman" w:eastAsia="宋体"/>
          <w:color w:val="auto"/>
          <w:highlight w:val="none"/>
        </w:rPr>
      </w:pPr>
      <w:bookmarkStart w:id="25" w:name="_Toc106663421"/>
      <w:bookmarkStart w:id="26" w:name="_Toc71394704"/>
      <w:bookmarkStart w:id="27" w:name="_Toc89619324"/>
      <w:r>
        <w:rPr>
          <w:rFonts w:hint="eastAsia" w:ascii="Times New Roman" w:hAnsi="Times New Roman" w:eastAsia="宋体"/>
          <w:color w:val="auto"/>
          <w:highlight w:val="none"/>
        </w:rPr>
        <w:t>2.1编制依据</w:t>
      </w:r>
      <w:bookmarkEnd w:id="25"/>
      <w:bookmarkEnd w:id="26"/>
      <w:bookmarkEnd w:id="27"/>
    </w:p>
    <w:p w14:paraId="78D34233">
      <w:pPr>
        <w:pStyle w:val="5"/>
        <w:rPr>
          <w:rFonts w:ascii="Times New Roman" w:hAnsi="Times New Roman" w:eastAsia="宋体"/>
          <w:color w:val="auto"/>
          <w:highlight w:val="none"/>
        </w:rPr>
      </w:pPr>
      <w:bookmarkStart w:id="28" w:name="_Toc106663422"/>
      <w:r>
        <w:rPr>
          <w:rFonts w:hint="eastAsia" w:ascii="Times New Roman" w:hAnsi="Times New Roman" w:eastAsia="宋体"/>
          <w:color w:val="auto"/>
          <w:highlight w:val="none"/>
        </w:rPr>
        <w:t>2.1.1国家法律、法规</w:t>
      </w:r>
      <w:bookmarkEnd w:id="28"/>
    </w:p>
    <w:p w14:paraId="2E22C20D">
      <w:pPr>
        <w:ind w:firstLine="480"/>
        <w:rPr>
          <w:rFonts w:ascii="Times New Roman" w:hAnsi="Times New Roman" w:eastAsia="宋体"/>
          <w:color w:val="auto"/>
          <w:highlight w:val="none"/>
        </w:rPr>
      </w:pPr>
      <w:r>
        <w:rPr>
          <w:rFonts w:hint="eastAsia" w:ascii="Times New Roman" w:hAnsi="Times New Roman" w:eastAsia="宋体"/>
          <w:color w:val="auto"/>
          <w:highlight w:val="none"/>
        </w:rPr>
        <w:t>（1）《中华人民共和国环境保护法》（2015.01.01）；</w:t>
      </w:r>
    </w:p>
    <w:p w14:paraId="1567B60F">
      <w:pPr>
        <w:ind w:firstLine="480"/>
        <w:rPr>
          <w:rFonts w:ascii="Times New Roman" w:hAnsi="Times New Roman" w:eastAsia="宋体"/>
          <w:color w:val="auto"/>
          <w:highlight w:val="none"/>
        </w:rPr>
      </w:pPr>
      <w:r>
        <w:rPr>
          <w:rFonts w:hint="eastAsia" w:ascii="Times New Roman" w:hAnsi="Times New Roman" w:eastAsia="宋体"/>
          <w:color w:val="auto"/>
          <w:highlight w:val="none"/>
        </w:rPr>
        <w:t>（2）《中华人民共和国环境影响评价法》（2018.12.29）；</w:t>
      </w:r>
    </w:p>
    <w:p w14:paraId="6BB10306">
      <w:pPr>
        <w:ind w:firstLine="480"/>
        <w:rPr>
          <w:rFonts w:ascii="Times New Roman" w:hAnsi="Times New Roman" w:eastAsia="宋体"/>
          <w:color w:val="auto"/>
          <w:highlight w:val="none"/>
        </w:rPr>
      </w:pPr>
      <w:r>
        <w:rPr>
          <w:rFonts w:hint="eastAsia" w:ascii="Times New Roman" w:hAnsi="Times New Roman" w:eastAsia="宋体"/>
          <w:color w:val="auto"/>
          <w:highlight w:val="none"/>
        </w:rPr>
        <w:t>（3）《中华人民共和国大气污染防治法》（2018.12.29修正）；</w:t>
      </w:r>
    </w:p>
    <w:p w14:paraId="39696796">
      <w:pPr>
        <w:ind w:firstLine="480"/>
        <w:rPr>
          <w:rFonts w:ascii="Times New Roman" w:hAnsi="Times New Roman" w:eastAsia="宋体"/>
          <w:color w:val="auto"/>
          <w:highlight w:val="none"/>
        </w:rPr>
      </w:pPr>
      <w:r>
        <w:rPr>
          <w:rFonts w:hint="eastAsia" w:ascii="Times New Roman" w:hAnsi="Times New Roman" w:eastAsia="宋体"/>
          <w:color w:val="auto"/>
          <w:highlight w:val="none"/>
        </w:rPr>
        <w:t>（4）《中华人民共和国水污染防治法》（2018.01.01）；</w:t>
      </w:r>
    </w:p>
    <w:p w14:paraId="2DD153E0">
      <w:pPr>
        <w:ind w:firstLine="480"/>
        <w:rPr>
          <w:rFonts w:ascii="Times New Roman" w:hAnsi="Times New Roman" w:eastAsia="宋体"/>
          <w:color w:val="auto"/>
          <w:highlight w:val="none"/>
        </w:rPr>
      </w:pPr>
      <w:r>
        <w:rPr>
          <w:rFonts w:hint="eastAsia" w:ascii="Times New Roman" w:hAnsi="Times New Roman" w:eastAsia="宋体"/>
          <w:color w:val="auto"/>
          <w:highlight w:val="none"/>
        </w:rPr>
        <w:t>（5）《中华人民共和国环境噪声污染防治法》（2021.12.24）；</w:t>
      </w:r>
    </w:p>
    <w:p w14:paraId="6A5CBAED">
      <w:pPr>
        <w:ind w:firstLine="480"/>
        <w:rPr>
          <w:rFonts w:ascii="Times New Roman" w:hAnsi="Times New Roman" w:eastAsia="宋体"/>
          <w:color w:val="auto"/>
          <w:highlight w:val="none"/>
        </w:rPr>
      </w:pPr>
      <w:r>
        <w:rPr>
          <w:rFonts w:hint="eastAsia" w:ascii="Times New Roman" w:hAnsi="Times New Roman" w:eastAsia="宋体"/>
          <w:color w:val="auto"/>
          <w:highlight w:val="none"/>
        </w:rPr>
        <w:t>（6）《中华人民共和国固体废物污染环境防治法》（2020.4.29）；</w:t>
      </w:r>
    </w:p>
    <w:p w14:paraId="24AF62C8">
      <w:pPr>
        <w:ind w:firstLine="480"/>
        <w:rPr>
          <w:rFonts w:ascii="Times New Roman" w:hAnsi="Times New Roman" w:eastAsia="宋体"/>
          <w:color w:val="auto"/>
          <w:highlight w:val="none"/>
        </w:rPr>
      </w:pPr>
      <w:r>
        <w:rPr>
          <w:rFonts w:hint="eastAsia" w:ascii="Times New Roman" w:hAnsi="Times New Roman" w:eastAsia="宋体"/>
          <w:color w:val="auto"/>
          <w:highlight w:val="none"/>
        </w:rPr>
        <w:t>（7）《中华人民共和国土壤污染防治法》（2019.01.01）；</w:t>
      </w:r>
    </w:p>
    <w:p w14:paraId="20CBA337">
      <w:pPr>
        <w:ind w:firstLine="480"/>
        <w:rPr>
          <w:rFonts w:ascii="Times New Roman" w:hAnsi="Times New Roman" w:eastAsia="宋体"/>
          <w:color w:val="auto"/>
          <w:highlight w:val="none"/>
        </w:rPr>
      </w:pPr>
      <w:r>
        <w:rPr>
          <w:rFonts w:hint="eastAsia" w:ascii="Times New Roman" w:hAnsi="Times New Roman" w:eastAsia="宋体"/>
          <w:color w:val="auto"/>
          <w:highlight w:val="none"/>
        </w:rPr>
        <w:t>（8）《中华人民共和国水法（2016年修订）》（2016.09.01）；</w:t>
      </w:r>
    </w:p>
    <w:p w14:paraId="230E969E">
      <w:pPr>
        <w:ind w:firstLine="480"/>
        <w:rPr>
          <w:rFonts w:ascii="Times New Roman" w:hAnsi="Times New Roman" w:eastAsia="宋体"/>
          <w:color w:val="auto"/>
          <w:highlight w:val="none"/>
        </w:rPr>
      </w:pPr>
      <w:r>
        <w:rPr>
          <w:rFonts w:hint="eastAsia" w:ascii="Times New Roman" w:hAnsi="Times New Roman" w:eastAsia="宋体"/>
          <w:color w:val="auto"/>
          <w:highlight w:val="none"/>
        </w:rPr>
        <w:t>（9）《中华人民共和国水土保持法（2010年修订）》（2011.03.01）；</w:t>
      </w:r>
    </w:p>
    <w:p w14:paraId="11F8730F">
      <w:pPr>
        <w:ind w:firstLine="480"/>
        <w:rPr>
          <w:rFonts w:ascii="Times New Roman" w:hAnsi="Times New Roman" w:eastAsia="宋体"/>
          <w:color w:val="auto"/>
          <w:highlight w:val="none"/>
        </w:rPr>
      </w:pPr>
      <w:r>
        <w:rPr>
          <w:rFonts w:hint="eastAsia" w:ascii="Times New Roman" w:hAnsi="Times New Roman" w:eastAsia="宋体"/>
          <w:color w:val="auto"/>
          <w:highlight w:val="none"/>
        </w:rPr>
        <w:t>（10）《中华人民共和国清洁生产促进法》（2012.07.01）；</w:t>
      </w:r>
    </w:p>
    <w:p w14:paraId="3BC6C841">
      <w:pPr>
        <w:ind w:firstLine="480"/>
        <w:rPr>
          <w:rFonts w:ascii="Times New Roman" w:hAnsi="Times New Roman" w:eastAsia="宋体"/>
          <w:color w:val="auto"/>
          <w:highlight w:val="none"/>
        </w:rPr>
      </w:pPr>
      <w:r>
        <w:rPr>
          <w:rFonts w:hint="eastAsia" w:ascii="Times New Roman" w:hAnsi="Times New Roman" w:eastAsia="宋体"/>
          <w:color w:val="auto"/>
          <w:highlight w:val="none"/>
        </w:rPr>
        <w:t>（11）《中华人民共和国节约能源法》（2018年10月修订）；</w:t>
      </w:r>
    </w:p>
    <w:p w14:paraId="45B9A6E4">
      <w:pPr>
        <w:ind w:firstLine="480"/>
        <w:rPr>
          <w:rFonts w:ascii="Times New Roman" w:hAnsi="Times New Roman" w:eastAsia="宋体"/>
          <w:color w:val="auto"/>
          <w:highlight w:val="none"/>
        </w:rPr>
      </w:pPr>
      <w:r>
        <w:rPr>
          <w:rFonts w:hint="eastAsia" w:ascii="Times New Roman" w:hAnsi="Times New Roman" w:eastAsia="宋体"/>
          <w:color w:val="auto"/>
          <w:highlight w:val="none"/>
        </w:rPr>
        <w:t>（12）《中华人民共和国循环经济促进法》（2018年10月修订）；</w:t>
      </w:r>
    </w:p>
    <w:p w14:paraId="575B2B1E">
      <w:pPr>
        <w:ind w:firstLine="480"/>
        <w:rPr>
          <w:rFonts w:ascii="Times New Roman" w:hAnsi="Times New Roman" w:eastAsia="宋体"/>
          <w:color w:val="auto"/>
          <w:highlight w:val="none"/>
        </w:rPr>
      </w:pPr>
      <w:r>
        <w:rPr>
          <w:rFonts w:hint="eastAsia" w:ascii="Times New Roman" w:hAnsi="Times New Roman" w:eastAsia="宋体"/>
          <w:color w:val="auto"/>
          <w:highlight w:val="none"/>
        </w:rPr>
        <w:t>（13）《建设项目环境保护管理条例》（国务院令第682号，2017.10.1）；</w:t>
      </w:r>
    </w:p>
    <w:p w14:paraId="617614EA">
      <w:pPr>
        <w:ind w:firstLine="480"/>
        <w:rPr>
          <w:rFonts w:ascii="Times New Roman" w:hAnsi="Times New Roman" w:eastAsia="宋体"/>
          <w:color w:val="auto"/>
          <w:highlight w:val="none"/>
        </w:rPr>
      </w:pPr>
      <w:r>
        <w:rPr>
          <w:rFonts w:hint="eastAsia" w:ascii="Times New Roman" w:hAnsi="Times New Roman" w:eastAsia="宋体"/>
          <w:color w:val="auto"/>
          <w:highlight w:val="none"/>
        </w:rPr>
        <w:t>（14）《中华人民共和国畜牧法（修订）》（2015年4月24日）；</w:t>
      </w:r>
    </w:p>
    <w:p w14:paraId="2C3BFDC7">
      <w:pPr>
        <w:ind w:firstLine="480"/>
        <w:rPr>
          <w:rFonts w:ascii="Times New Roman" w:hAnsi="Times New Roman" w:eastAsia="宋体"/>
          <w:color w:val="auto"/>
          <w:highlight w:val="none"/>
        </w:rPr>
      </w:pPr>
      <w:r>
        <w:rPr>
          <w:rFonts w:hint="eastAsia" w:ascii="Times New Roman" w:hAnsi="Times New Roman" w:eastAsia="宋体"/>
          <w:color w:val="auto"/>
          <w:highlight w:val="none"/>
        </w:rPr>
        <w:t>（15）《中华人民共和国动物防疫法（修订）》（2013年6月29日）；</w:t>
      </w:r>
    </w:p>
    <w:p w14:paraId="1140D69F">
      <w:pPr>
        <w:ind w:firstLine="480"/>
        <w:rPr>
          <w:rFonts w:ascii="Times New Roman" w:hAnsi="Times New Roman" w:eastAsia="宋体"/>
          <w:color w:val="auto"/>
          <w:highlight w:val="none"/>
        </w:rPr>
      </w:pPr>
      <w:r>
        <w:rPr>
          <w:rFonts w:hint="eastAsia" w:ascii="Times New Roman" w:hAnsi="Times New Roman" w:eastAsia="宋体"/>
          <w:color w:val="auto"/>
          <w:highlight w:val="none"/>
        </w:rPr>
        <w:t>（16）《畜禽规模养殖污染防治条例》（2018年8月23日修订）。</w:t>
      </w:r>
    </w:p>
    <w:p w14:paraId="365AAD3E">
      <w:pPr>
        <w:pStyle w:val="5"/>
        <w:rPr>
          <w:rFonts w:ascii="Times New Roman" w:hAnsi="Times New Roman" w:eastAsia="宋体"/>
          <w:color w:val="auto"/>
          <w:highlight w:val="none"/>
        </w:rPr>
      </w:pPr>
      <w:bookmarkStart w:id="29" w:name="_Toc106663423"/>
      <w:r>
        <w:rPr>
          <w:rFonts w:hint="eastAsia" w:ascii="Times New Roman" w:hAnsi="Times New Roman" w:eastAsia="宋体"/>
          <w:color w:val="auto"/>
          <w:highlight w:val="none"/>
        </w:rPr>
        <w:t>2.1.2部门规章</w:t>
      </w:r>
      <w:bookmarkEnd w:id="29"/>
    </w:p>
    <w:p w14:paraId="193B2522">
      <w:pPr>
        <w:ind w:firstLine="480"/>
        <w:rPr>
          <w:rFonts w:ascii="Times New Roman" w:hAnsi="Times New Roman" w:eastAsia="宋体"/>
          <w:color w:val="auto"/>
          <w:highlight w:val="none"/>
        </w:rPr>
      </w:pPr>
      <w:r>
        <w:rPr>
          <w:rFonts w:hint="eastAsia" w:ascii="Times New Roman" w:hAnsi="Times New Roman" w:eastAsia="宋体"/>
          <w:color w:val="auto"/>
          <w:highlight w:val="none"/>
        </w:rPr>
        <w:t>（1）《建设项目环境影响评价分类管理名录》（2021年版）；</w:t>
      </w:r>
    </w:p>
    <w:p w14:paraId="14C3C177">
      <w:pPr>
        <w:ind w:firstLine="480"/>
        <w:rPr>
          <w:rFonts w:ascii="Times New Roman" w:hAnsi="Times New Roman" w:eastAsia="宋体"/>
          <w:color w:val="auto"/>
          <w:highlight w:val="none"/>
        </w:rPr>
      </w:pPr>
      <w:r>
        <w:rPr>
          <w:rFonts w:hint="eastAsia" w:ascii="Times New Roman" w:hAnsi="Times New Roman" w:eastAsia="宋体"/>
          <w:color w:val="auto"/>
          <w:highlight w:val="none"/>
        </w:rPr>
        <w:t>（2）《关于进一步明确畜禽粪污还田利用要求强化养殖污染监管的通知》农办牧〔2020〕23号农业农村部办公厅生态环境部办公厅；</w:t>
      </w:r>
    </w:p>
    <w:p w14:paraId="080FC127">
      <w:pPr>
        <w:ind w:firstLine="480"/>
        <w:rPr>
          <w:rFonts w:ascii="Times New Roman" w:hAnsi="Times New Roman" w:eastAsia="宋体"/>
          <w:color w:val="auto"/>
          <w:highlight w:val="none"/>
        </w:rPr>
      </w:pPr>
      <w:r>
        <w:rPr>
          <w:rFonts w:hint="eastAsia" w:ascii="Times New Roman" w:hAnsi="Times New Roman" w:eastAsia="宋体"/>
          <w:color w:val="auto"/>
          <w:highlight w:val="none"/>
        </w:rPr>
        <w:t>（3）关于印发《企业事业单位突发环境事件应急预案备案管理办法（试行）》的通知（环发〔2015〕4号，2015.1.8）；</w:t>
      </w:r>
    </w:p>
    <w:p w14:paraId="361E4874">
      <w:pPr>
        <w:ind w:firstLine="480"/>
        <w:rPr>
          <w:rFonts w:ascii="Times New Roman" w:hAnsi="Times New Roman" w:eastAsia="宋体"/>
          <w:color w:val="auto"/>
          <w:highlight w:val="none"/>
        </w:rPr>
      </w:pPr>
      <w:r>
        <w:rPr>
          <w:rFonts w:hint="eastAsia" w:ascii="Times New Roman" w:hAnsi="Times New Roman" w:eastAsia="宋体"/>
          <w:color w:val="auto"/>
          <w:highlight w:val="none"/>
        </w:rPr>
        <w:t>（4）《资源综合利用目录（2003年修订）》（发改环资〔2004〕73号，2004.01.12）；</w:t>
      </w:r>
    </w:p>
    <w:p w14:paraId="64EB9EC4">
      <w:pPr>
        <w:ind w:firstLine="480"/>
        <w:rPr>
          <w:rFonts w:ascii="Times New Roman" w:hAnsi="Times New Roman" w:eastAsia="宋体"/>
          <w:color w:val="auto"/>
          <w:highlight w:val="none"/>
        </w:rPr>
      </w:pPr>
      <w:r>
        <w:rPr>
          <w:rFonts w:hint="eastAsia" w:ascii="Times New Roman" w:hAnsi="Times New Roman" w:eastAsia="宋体"/>
          <w:color w:val="auto"/>
          <w:highlight w:val="none"/>
        </w:rPr>
        <w:t>（5）《</w:t>
      </w:r>
      <w:r>
        <w:rPr>
          <w:rFonts w:hint="eastAsia"/>
          <w:color w:val="auto"/>
          <w:highlight w:val="none"/>
          <w:lang w:eastAsia="zh-CN"/>
        </w:rPr>
        <w:t>产业结构调整指导目录（2021年本）</w:t>
      </w:r>
      <w:r>
        <w:rPr>
          <w:rFonts w:hint="eastAsia" w:ascii="Times New Roman" w:hAnsi="Times New Roman" w:eastAsia="宋体"/>
          <w:color w:val="auto"/>
          <w:highlight w:val="none"/>
        </w:rPr>
        <w:t>》；</w:t>
      </w:r>
    </w:p>
    <w:p w14:paraId="142844CE">
      <w:pPr>
        <w:ind w:firstLine="480"/>
        <w:rPr>
          <w:rFonts w:ascii="Times New Roman" w:hAnsi="Times New Roman" w:eastAsia="宋体"/>
          <w:color w:val="auto"/>
          <w:highlight w:val="none"/>
        </w:rPr>
      </w:pPr>
      <w:r>
        <w:rPr>
          <w:rFonts w:hint="eastAsia" w:ascii="Times New Roman" w:hAnsi="Times New Roman" w:eastAsia="宋体"/>
          <w:color w:val="auto"/>
          <w:highlight w:val="none"/>
        </w:rPr>
        <w:t>（6）关于发布实施《限制用地项目目录（2012年本）》和《禁止用地项目目录（2012年本）》的通知（国土资源部与国家发改委联合发布，2012.02.23）；</w:t>
      </w:r>
    </w:p>
    <w:p w14:paraId="09E7C388">
      <w:pPr>
        <w:ind w:firstLine="480"/>
        <w:rPr>
          <w:rFonts w:ascii="Times New Roman" w:hAnsi="Times New Roman" w:eastAsia="宋体"/>
          <w:color w:val="auto"/>
          <w:highlight w:val="none"/>
        </w:rPr>
      </w:pPr>
      <w:r>
        <w:rPr>
          <w:rFonts w:hint="eastAsia" w:ascii="Times New Roman" w:hAnsi="Times New Roman" w:eastAsia="宋体"/>
          <w:color w:val="auto"/>
          <w:highlight w:val="none"/>
        </w:rPr>
        <w:t>（7）《关于进一步加强环境影响评价管理防范环境风险的通知》（环发〔2012〕77号，2012.07.03）；</w:t>
      </w:r>
    </w:p>
    <w:p w14:paraId="51B245C3">
      <w:pPr>
        <w:ind w:firstLine="480"/>
        <w:rPr>
          <w:rFonts w:ascii="Times New Roman" w:hAnsi="Times New Roman" w:eastAsia="宋体"/>
          <w:color w:val="auto"/>
          <w:highlight w:val="none"/>
        </w:rPr>
      </w:pPr>
      <w:r>
        <w:rPr>
          <w:rFonts w:hint="eastAsia" w:ascii="Times New Roman" w:hAnsi="Times New Roman" w:eastAsia="宋体"/>
          <w:color w:val="auto"/>
          <w:highlight w:val="none"/>
        </w:rPr>
        <w:t>（8）《关于切实加强风险防范严格环境影响评价管理的通知》（环发〔2012〕98号，2012.08.07）；</w:t>
      </w:r>
    </w:p>
    <w:p w14:paraId="495C9088">
      <w:pPr>
        <w:ind w:firstLine="480"/>
        <w:rPr>
          <w:rFonts w:ascii="Times New Roman" w:hAnsi="Times New Roman" w:eastAsia="宋体"/>
          <w:color w:val="auto"/>
          <w:highlight w:val="none"/>
        </w:rPr>
      </w:pPr>
      <w:r>
        <w:rPr>
          <w:rFonts w:hint="eastAsia" w:ascii="Times New Roman" w:hAnsi="Times New Roman" w:eastAsia="宋体"/>
          <w:color w:val="auto"/>
          <w:highlight w:val="none"/>
        </w:rPr>
        <w:t>（9）《国务院关于印发大气污染防治行动计划的通知》（国发〔2013〕37号，2013.09.10）；</w:t>
      </w:r>
    </w:p>
    <w:p w14:paraId="2AF99BC8">
      <w:pPr>
        <w:ind w:firstLine="480"/>
        <w:rPr>
          <w:rFonts w:ascii="Times New Roman" w:hAnsi="Times New Roman" w:eastAsia="宋体"/>
          <w:color w:val="auto"/>
          <w:highlight w:val="none"/>
        </w:rPr>
      </w:pPr>
      <w:r>
        <w:rPr>
          <w:rFonts w:hint="eastAsia" w:ascii="Times New Roman" w:hAnsi="Times New Roman" w:eastAsia="宋体"/>
          <w:color w:val="auto"/>
          <w:highlight w:val="none"/>
        </w:rPr>
        <w:t>（10）《环境保护公众参与办法》（环境保护部第35号令，2015.09.01）；</w:t>
      </w:r>
    </w:p>
    <w:p w14:paraId="771B2A42">
      <w:pPr>
        <w:ind w:firstLine="480"/>
        <w:rPr>
          <w:rFonts w:ascii="Times New Roman" w:hAnsi="Times New Roman" w:eastAsia="宋体"/>
          <w:color w:val="auto"/>
          <w:highlight w:val="none"/>
        </w:rPr>
      </w:pPr>
      <w:r>
        <w:rPr>
          <w:rFonts w:hint="eastAsia" w:ascii="Times New Roman" w:hAnsi="Times New Roman" w:eastAsia="宋体"/>
          <w:color w:val="auto"/>
          <w:highlight w:val="none"/>
        </w:rPr>
        <w:t>（11）《关于加强西部地区环境影响评价工作的通知》（环发〔2011〕150号，2011.12.29）；</w:t>
      </w:r>
    </w:p>
    <w:p w14:paraId="0F45DC9C">
      <w:pPr>
        <w:ind w:firstLine="480"/>
        <w:rPr>
          <w:rFonts w:ascii="Times New Roman" w:hAnsi="Times New Roman" w:eastAsia="宋体"/>
          <w:color w:val="auto"/>
          <w:highlight w:val="none"/>
        </w:rPr>
      </w:pPr>
      <w:r>
        <w:rPr>
          <w:rFonts w:hint="eastAsia" w:ascii="Times New Roman" w:hAnsi="Times New Roman" w:eastAsia="宋体"/>
          <w:color w:val="auto"/>
          <w:highlight w:val="none"/>
        </w:rPr>
        <w:t>（12）《国务院关于印发水污染防治行动计划的通知》（国发〔2015〕17号，2015.04.02）；</w:t>
      </w:r>
    </w:p>
    <w:p w14:paraId="5F64A6CE">
      <w:pPr>
        <w:ind w:firstLine="480"/>
        <w:rPr>
          <w:rFonts w:ascii="Times New Roman" w:hAnsi="Times New Roman" w:eastAsia="宋体"/>
          <w:color w:val="auto"/>
          <w:highlight w:val="none"/>
        </w:rPr>
      </w:pPr>
      <w:r>
        <w:rPr>
          <w:rFonts w:hint="eastAsia" w:ascii="Times New Roman" w:hAnsi="Times New Roman" w:eastAsia="宋体"/>
          <w:color w:val="auto"/>
          <w:highlight w:val="none"/>
        </w:rPr>
        <w:t>（13）《国务院办公厅关于加快推进畜禽养殖废弃物资源化利用的意见》（2017年6月）；</w:t>
      </w:r>
    </w:p>
    <w:p w14:paraId="7F03B8C7">
      <w:pPr>
        <w:ind w:firstLine="480"/>
        <w:rPr>
          <w:rFonts w:ascii="Times New Roman" w:hAnsi="Times New Roman" w:eastAsia="宋体"/>
          <w:color w:val="auto"/>
          <w:highlight w:val="none"/>
        </w:rPr>
      </w:pPr>
      <w:r>
        <w:rPr>
          <w:rFonts w:hint="eastAsia" w:ascii="Times New Roman" w:hAnsi="Times New Roman" w:eastAsia="宋体"/>
          <w:color w:val="auto"/>
          <w:highlight w:val="none"/>
        </w:rPr>
        <w:t>（14）《关于在畜禽养殖废弃物资源化利用过程中加强环境监管的通知》（2017年9月6日）；</w:t>
      </w:r>
    </w:p>
    <w:p w14:paraId="70E81A04">
      <w:pPr>
        <w:ind w:firstLine="480"/>
        <w:rPr>
          <w:rFonts w:ascii="Times New Roman" w:hAnsi="Times New Roman" w:eastAsia="宋体"/>
          <w:color w:val="auto"/>
          <w:highlight w:val="none"/>
        </w:rPr>
      </w:pPr>
      <w:r>
        <w:rPr>
          <w:rFonts w:hint="eastAsia" w:ascii="Times New Roman" w:hAnsi="Times New Roman" w:eastAsia="宋体"/>
          <w:color w:val="auto"/>
          <w:highlight w:val="none"/>
        </w:rPr>
        <w:t>（15）《畜禽养殖禁养区划定技术指南》（2016年10月）；</w:t>
      </w:r>
    </w:p>
    <w:p w14:paraId="012EAFFA">
      <w:pPr>
        <w:ind w:firstLine="480"/>
        <w:rPr>
          <w:rFonts w:ascii="Times New Roman" w:hAnsi="Times New Roman" w:eastAsia="宋体"/>
          <w:color w:val="auto"/>
          <w:highlight w:val="none"/>
        </w:rPr>
      </w:pPr>
      <w:r>
        <w:rPr>
          <w:rFonts w:hint="eastAsia" w:ascii="Times New Roman" w:hAnsi="Times New Roman" w:eastAsia="宋体"/>
          <w:color w:val="auto"/>
          <w:highlight w:val="none"/>
        </w:rPr>
        <w:t>（16）《关于落实大气污染防治行动计划严格环境影响评价准入的通知》（环办〔2014〕30号，2014.03.25）；</w:t>
      </w:r>
    </w:p>
    <w:p w14:paraId="20C1328A">
      <w:pPr>
        <w:ind w:firstLine="480"/>
        <w:rPr>
          <w:rFonts w:ascii="Times New Roman" w:hAnsi="Times New Roman" w:eastAsia="宋体"/>
          <w:color w:val="auto"/>
          <w:highlight w:val="none"/>
        </w:rPr>
      </w:pPr>
      <w:r>
        <w:rPr>
          <w:rFonts w:hint="eastAsia" w:ascii="Times New Roman" w:hAnsi="Times New Roman" w:eastAsia="宋体"/>
          <w:color w:val="auto"/>
          <w:highlight w:val="none"/>
        </w:rPr>
        <w:t>（17）《国务院关于印发土壤污染防治行动计划的通知》（国发〔2016〕31号，2016.5.28）；</w:t>
      </w:r>
    </w:p>
    <w:p w14:paraId="6616CAE1">
      <w:pPr>
        <w:ind w:firstLine="480"/>
        <w:rPr>
          <w:rFonts w:ascii="Times New Roman" w:hAnsi="Times New Roman" w:eastAsia="宋体"/>
          <w:color w:val="auto"/>
          <w:highlight w:val="none"/>
        </w:rPr>
      </w:pPr>
      <w:r>
        <w:rPr>
          <w:rFonts w:hint="eastAsia" w:ascii="Times New Roman" w:hAnsi="Times New Roman" w:eastAsia="宋体"/>
          <w:color w:val="auto"/>
          <w:highlight w:val="none"/>
        </w:rPr>
        <w:t>（18）《关于做好畜禽规模养殖项目环境影响评价管理工作的通知》（环办环评[2018]31号）（2018年10月12日）；</w:t>
      </w:r>
    </w:p>
    <w:p w14:paraId="446CA58C">
      <w:pPr>
        <w:ind w:firstLine="480"/>
        <w:rPr>
          <w:rFonts w:ascii="Times New Roman" w:hAnsi="Times New Roman" w:eastAsia="宋体"/>
          <w:color w:val="auto"/>
          <w:highlight w:val="none"/>
        </w:rPr>
      </w:pPr>
      <w:r>
        <w:rPr>
          <w:rFonts w:hint="eastAsia" w:ascii="Times New Roman" w:hAnsi="Times New Roman" w:eastAsia="宋体"/>
          <w:color w:val="auto"/>
          <w:highlight w:val="none"/>
        </w:rPr>
        <w:t>（19）《国家突发公共事件总体应急预案》（2006.01）；</w:t>
      </w:r>
    </w:p>
    <w:p w14:paraId="1514D100">
      <w:pPr>
        <w:ind w:firstLine="480"/>
        <w:rPr>
          <w:rFonts w:ascii="Times New Roman" w:hAnsi="Times New Roman" w:eastAsia="宋体"/>
          <w:color w:val="auto"/>
          <w:highlight w:val="none"/>
        </w:rPr>
      </w:pPr>
      <w:r>
        <w:rPr>
          <w:rFonts w:hint="eastAsia" w:ascii="Times New Roman" w:hAnsi="Times New Roman" w:eastAsia="宋体"/>
          <w:color w:val="auto"/>
          <w:highlight w:val="none"/>
        </w:rPr>
        <w:t>（20）《关于病害动物无害化处理有关意见的复函》（环办函［2014］789</w:t>
      </w:r>
    </w:p>
    <w:p w14:paraId="1416E9C4">
      <w:pPr>
        <w:ind w:firstLine="480"/>
        <w:rPr>
          <w:rFonts w:ascii="Times New Roman" w:hAnsi="Times New Roman" w:eastAsia="宋体"/>
          <w:color w:val="auto"/>
          <w:highlight w:val="none"/>
        </w:rPr>
      </w:pPr>
      <w:r>
        <w:rPr>
          <w:rFonts w:hint="eastAsia" w:ascii="Times New Roman" w:hAnsi="Times New Roman" w:eastAsia="宋体"/>
          <w:color w:val="auto"/>
          <w:highlight w:val="none"/>
        </w:rPr>
        <w:t>号）（2014年6月）；</w:t>
      </w:r>
    </w:p>
    <w:p w14:paraId="3E8A48A7">
      <w:pPr>
        <w:ind w:firstLine="480"/>
        <w:rPr>
          <w:rFonts w:ascii="Times New Roman" w:hAnsi="Times New Roman" w:eastAsia="宋体"/>
          <w:color w:val="auto"/>
          <w:highlight w:val="none"/>
        </w:rPr>
      </w:pPr>
      <w:r>
        <w:rPr>
          <w:rFonts w:hint="eastAsia" w:ascii="Times New Roman" w:hAnsi="Times New Roman" w:eastAsia="宋体"/>
          <w:color w:val="auto"/>
          <w:highlight w:val="none"/>
        </w:rPr>
        <w:t>（21）《关于病死及病害动物无害化处理技术规范》（农医发［2017］25</w:t>
      </w:r>
    </w:p>
    <w:p w14:paraId="11FF3084">
      <w:pPr>
        <w:ind w:firstLine="480"/>
        <w:rPr>
          <w:rFonts w:ascii="Times New Roman" w:hAnsi="Times New Roman" w:eastAsia="宋体"/>
          <w:color w:val="auto"/>
          <w:highlight w:val="none"/>
        </w:rPr>
      </w:pPr>
      <w:r>
        <w:rPr>
          <w:rFonts w:hint="eastAsia" w:ascii="Times New Roman" w:hAnsi="Times New Roman" w:eastAsia="宋体"/>
          <w:color w:val="auto"/>
          <w:highlight w:val="none"/>
        </w:rPr>
        <w:t>号）（2017年7月3日）；</w:t>
      </w:r>
    </w:p>
    <w:p w14:paraId="717D15DA">
      <w:pPr>
        <w:ind w:firstLine="480"/>
        <w:rPr>
          <w:rFonts w:ascii="Times New Roman" w:hAnsi="Times New Roman" w:eastAsia="宋体"/>
          <w:color w:val="auto"/>
          <w:highlight w:val="none"/>
        </w:rPr>
      </w:pPr>
      <w:r>
        <w:rPr>
          <w:rFonts w:hint="eastAsia" w:ascii="Times New Roman" w:hAnsi="Times New Roman" w:eastAsia="宋体"/>
          <w:color w:val="auto"/>
          <w:highlight w:val="none"/>
        </w:rPr>
        <w:t>（22）《国家危险废物名录》（2021年版）；</w:t>
      </w:r>
    </w:p>
    <w:p w14:paraId="7ECD1423">
      <w:pPr>
        <w:ind w:firstLine="480"/>
        <w:rPr>
          <w:rFonts w:ascii="Times New Roman" w:hAnsi="Times New Roman" w:eastAsia="宋体"/>
          <w:color w:val="auto"/>
          <w:highlight w:val="none"/>
        </w:rPr>
      </w:pPr>
      <w:r>
        <w:rPr>
          <w:rFonts w:hint="eastAsia" w:ascii="Times New Roman" w:hAnsi="Times New Roman" w:eastAsia="宋体"/>
          <w:color w:val="auto"/>
          <w:highlight w:val="none"/>
        </w:rPr>
        <w:t>（23）《关于印发&lt;关于强化畜禽养殖废弃物综合治理的指导意见&gt;的通知》，（新畜牧字［2016］50号）；</w:t>
      </w:r>
    </w:p>
    <w:p w14:paraId="1FA5FD75">
      <w:pPr>
        <w:ind w:firstLine="480"/>
        <w:rPr>
          <w:rFonts w:ascii="Times New Roman" w:hAnsi="Times New Roman" w:eastAsia="宋体"/>
          <w:color w:val="auto"/>
          <w:highlight w:val="none"/>
        </w:rPr>
      </w:pPr>
      <w:r>
        <w:rPr>
          <w:rFonts w:hint="eastAsia" w:ascii="Times New Roman" w:hAnsi="Times New Roman" w:eastAsia="宋体"/>
          <w:color w:val="auto"/>
          <w:highlight w:val="none"/>
        </w:rPr>
        <w:t>（24）《建设项目环境影响评价信息公开机制方案》（环发〔2015〕162号）；</w:t>
      </w:r>
    </w:p>
    <w:p w14:paraId="68F2F835">
      <w:pPr>
        <w:ind w:firstLine="480"/>
        <w:rPr>
          <w:rFonts w:ascii="Times New Roman" w:hAnsi="Times New Roman" w:eastAsia="宋体"/>
          <w:color w:val="auto"/>
          <w:highlight w:val="none"/>
        </w:rPr>
      </w:pPr>
      <w:r>
        <w:rPr>
          <w:rFonts w:hint="eastAsia" w:ascii="Times New Roman" w:hAnsi="Times New Roman" w:eastAsia="宋体"/>
          <w:color w:val="auto"/>
          <w:highlight w:val="none"/>
        </w:rPr>
        <w:t>（25）《控制污染物排放许可制实施方案》（国办发〔2016〕81号，2016.11.10）；</w:t>
      </w:r>
    </w:p>
    <w:p w14:paraId="595B49BE">
      <w:pPr>
        <w:ind w:firstLine="480"/>
        <w:rPr>
          <w:rFonts w:ascii="Times New Roman" w:hAnsi="Times New Roman" w:eastAsia="宋体"/>
          <w:color w:val="auto"/>
          <w:highlight w:val="none"/>
        </w:rPr>
      </w:pPr>
      <w:r>
        <w:rPr>
          <w:rFonts w:hint="eastAsia" w:ascii="Times New Roman" w:hAnsi="Times New Roman" w:eastAsia="宋体"/>
          <w:color w:val="auto"/>
          <w:highlight w:val="none"/>
        </w:rPr>
        <w:t>（26）《排污许可证管理暂行规定》（环水体〔2016〕186号，2016.12.23）；</w:t>
      </w:r>
    </w:p>
    <w:p w14:paraId="3F950C7A">
      <w:pPr>
        <w:ind w:firstLine="480"/>
        <w:rPr>
          <w:rFonts w:ascii="Times New Roman" w:hAnsi="Times New Roman" w:eastAsia="宋体"/>
          <w:color w:val="auto"/>
          <w:highlight w:val="none"/>
        </w:rPr>
      </w:pPr>
      <w:r>
        <w:rPr>
          <w:rFonts w:hint="eastAsia" w:ascii="Times New Roman" w:hAnsi="Times New Roman" w:eastAsia="宋体"/>
          <w:color w:val="auto"/>
          <w:highlight w:val="none"/>
        </w:rPr>
        <w:t>（27）原国家环境保护总局第5号文《危险废物转移联单管理办法》（1999.6）。</w:t>
      </w:r>
    </w:p>
    <w:p w14:paraId="6526CFFC">
      <w:pPr>
        <w:pStyle w:val="5"/>
        <w:rPr>
          <w:rFonts w:ascii="Times New Roman" w:hAnsi="Times New Roman" w:eastAsia="宋体"/>
          <w:color w:val="auto"/>
          <w:highlight w:val="none"/>
        </w:rPr>
      </w:pPr>
      <w:bookmarkStart w:id="30" w:name="_Toc106663424"/>
      <w:r>
        <w:rPr>
          <w:rFonts w:hint="eastAsia" w:ascii="Times New Roman" w:hAnsi="Times New Roman" w:eastAsia="宋体"/>
          <w:color w:val="auto"/>
          <w:highlight w:val="none"/>
        </w:rPr>
        <w:t>2.1.3地方法规及政策</w:t>
      </w:r>
      <w:bookmarkEnd w:id="30"/>
    </w:p>
    <w:p w14:paraId="4F52EE54">
      <w:pPr>
        <w:ind w:firstLine="480"/>
        <w:rPr>
          <w:rFonts w:ascii="Times New Roman" w:hAnsi="Times New Roman" w:eastAsia="宋体"/>
          <w:color w:val="auto"/>
          <w:highlight w:val="none"/>
        </w:rPr>
      </w:pPr>
      <w:r>
        <w:rPr>
          <w:rFonts w:hint="eastAsia" w:ascii="Times New Roman" w:hAnsi="Times New Roman" w:eastAsia="宋体"/>
          <w:color w:val="auto"/>
          <w:highlight w:val="none"/>
        </w:rPr>
        <w:t>（1）《新疆维吾尔自治区环境保护条例》（2019.01.01）；</w:t>
      </w:r>
    </w:p>
    <w:p w14:paraId="7053C32B">
      <w:pPr>
        <w:ind w:firstLine="480"/>
        <w:rPr>
          <w:rFonts w:ascii="Times New Roman" w:hAnsi="Times New Roman" w:eastAsia="宋体"/>
          <w:color w:val="auto"/>
          <w:highlight w:val="none"/>
        </w:rPr>
      </w:pPr>
      <w:r>
        <w:rPr>
          <w:rFonts w:hint="eastAsia" w:ascii="Times New Roman" w:hAnsi="Times New Roman" w:eastAsia="宋体"/>
          <w:color w:val="auto"/>
          <w:highlight w:val="none"/>
        </w:rPr>
        <w:t>（2）《新疆维吾尔自治区危险废物污染环境防治办法》（第11届人大第9次会议，2010.05.01）；</w:t>
      </w:r>
    </w:p>
    <w:p w14:paraId="3C9C55D1">
      <w:pPr>
        <w:ind w:firstLine="480"/>
        <w:rPr>
          <w:rFonts w:ascii="Times New Roman" w:hAnsi="Times New Roman" w:eastAsia="宋体"/>
          <w:color w:val="auto"/>
          <w:highlight w:val="none"/>
        </w:rPr>
      </w:pPr>
      <w:r>
        <w:rPr>
          <w:rFonts w:hint="eastAsia" w:ascii="Times New Roman" w:hAnsi="Times New Roman" w:eastAsia="宋体"/>
          <w:color w:val="auto"/>
          <w:highlight w:val="none"/>
        </w:rPr>
        <w:t>（3）《认真贯彻落实国务院关于做好建设节约型社会近期重点工作通知的实施意见》（新政发〔2005〕87号，2005.10.20）；</w:t>
      </w:r>
    </w:p>
    <w:p w14:paraId="51A79228">
      <w:pPr>
        <w:ind w:firstLine="480"/>
        <w:rPr>
          <w:rFonts w:ascii="Times New Roman" w:hAnsi="Times New Roman" w:eastAsia="宋体"/>
          <w:color w:val="auto"/>
          <w:highlight w:val="none"/>
        </w:rPr>
      </w:pPr>
      <w:r>
        <w:rPr>
          <w:rFonts w:hint="eastAsia" w:ascii="Times New Roman" w:hAnsi="Times New Roman" w:eastAsia="宋体"/>
          <w:color w:val="auto"/>
          <w:highlight w:val="none"/>
        </w:rPr>
        <w:t>（4）转发贯彻落实《全国生态环境保护纲要》实施意见的通知（自治区人民政府办公厅，2009.09.30）；</w:t>
      </w:r>
    </w:p>
    <w:p w14:paraId="0CEA74BF">
      <w:pPr>
        <w:ind w:firstLine="480"/>
        <w:rPr>
          <w:rFonts w:ascii="Times New Roman" w:hAnsi="Times New Roman" w:eastAsia="宋体"/>
          <w:color w:val="auto"/>
          <w:highlight w:val="none"/>
        </w:rPr>
      </w:pPr>
      <w:r>
        <w:rPr>
          <w:rFonts w:hint="eastAsia" w:ascii="Times New Roman" w:hAnsi="Times New Roman" w:eastAsia="宋体"/>
          <w:color w:val="auto"/>
          <w:highlight w:val="none"/>
        </w:rPr>
        <w:t>（5）《关于印发新疆维吾尔自治区工业和生活用水定额的通知》（新政办发〔2007〕105号，2007.06.06）；</w:t>
      </w:r>
    </w:p>
    <w:p w14:paraId="0A2C7093">
      <w:pPr>
        <w:ind w:firstLine="480"/>
        <w:rPr>
          <w:rFonts w:ascii="Times New Roman" w:hAnsi="Times New Roman" w:eastAsia="宋体"/>
          <w:color w:val="auto"/>
          <w:highlight w:val="none"/>
        </w:rPr>
      </w:pPr>
      <w:r>
        <w:rPr>
          <w:rFonts w:hint="eastAsia" w:ascii="Times New Roman" w:hAnsi="Times New Roman" w:eastAsia="宋体"/>
          <w:color w:val="auto"/>
          <w:highlight w:val="none"/>
        </w:rPr>
        <w:t>（6）《新疆维吾尔自治区畜禽养殖场、养殖小区备案管理办法》，新政办发〔2011〕55号，2011年4月29日；</w:t>
      </w:r>
    </w:p>
    <w:p w14:paraId="435664E9">
      <w:pPr>
        <w:ind w:firstLine="480"/>
        <w:rPr>
          <w:rFonts w:ascii="Times New Roman" w:hAnsi="Times New Roman" w:eastAsia="宋体"/>
          <w:color w:val="auto"/>
          <w:highlight w:val="none"/>
        </w:rPr>
      </w:pPr>
      <w:r>
        <w:rPr>
          <w:rFonts w:hint="eastAsia" w:ascii="Times New Roman" w:hAnsi="Times New Roman" w:eastAsia="宋体"/>
          <w:color w:val="auto"/>
          <w:highlight w:val="none"/>
        </w:rPr>
        <w:t>（7）《关于印发新疆维吾尔自治区水污染防治工作方案的通知》（新政发〔2016〕21号，2016.2.4）；</w:t>
      </w:r>
    </w:p>
    <w:p w14:paraId="2A50935B">
      <w:pPr>
        <w:ind w:firstLine="480"/>
        <w:rPr>
          <w:rFonts w:ascii="Times New Roman" w:hAnsi="Times New Roman" w:eastAsia="宋体"/>
          <w:color w:val="auto"/>
          <w:highlight w:val="none"/>
        </w:rPr>
      </w:pPr>
      <w:r>
        <w:rPr>
          <w:rFonts w:hint="eastAsia" w:ascii="Times New Roman" w:hAnsi="Times New Roman" w:eastAsia="宋体"/>
          <w:color w:val="auto"/>
          <w:highlight w:val="none"/>
        </w:rPr>
        <w:t>（8）《关于印发新疆维吾尔自治区土壤污染防治工作方案的通知》（新政发〔2017〕25号，2017.3.1）；</w:t>
      </w:r>
    </w:p>
    <w:p w14:paraId="2090854A">
      <w:pPr>
        <w:ind w:firstLine="480"/>
        <w:rPr>
          <w:rFonts w:ascii="Times New Roman" w:hAnsi="Times New Roman" w:eastAsia="宋体"/>
          <w:color w:val="auto"/>
          <w:highlight w:val="none"/>
        </w:rPr>
      </w:pPr>
      <w:r>
        <w:rPr>
          <w:rFonts w:hint="eastAsia" w:ascii="Times New Roman" w:hAnsi="Times New Roman" w:eastAsia="宋体"/>
          <w:color w:val="auto"/>
          <w:highlight w:val="none"/>
        </w:rPr>
        <w:t>（9）《新疆维吾尔自治区人民政府关于全疆水土流失重点预防保护区、重点监督区、重点治理区划分的公告》（2000年10月31）；</w:t>
      </w:r>
    </w:p>
    <w:p w14:paraId="57E1C7B2">
      <w:pPr>
        <w:ind w:firstLine="480"/>
        <w:rPr>
          <w:rFonts w:ascii="Times New Roman" w:hAnsi="Times New Roman" w:eastAsia="宋体"/>
          <w:color w:val="auto"/>
          <w:highlight w:val="none"/>
        </w:rPr>
      </w:pPr>
      <w:r>
        <w:rPr>
          <w:rFonts w:hint="eastAsia" w:ascii="Times New Roman" w:hAnsi="Times New Roman" w:eastAsia="宋体"/>
          <w:color w:val="auto"/>
          <w:highlight w:val="none"/>
        </w:rPr>
        <w:t>（10）《新疆维吾尔自治区重点行业环境准入条件（修订）》（2017.1）；</w:t>
      </w:r>
    </w:p>
    <w:p w14:paraId="5251380D">
      <w:pPr>
        <w:ind w:firstLine="480"/>
        <w:rPr>
          <w:rFonts w:ascii="Times New Roman" w:hAnsi="Times New Roman" w:eastAsia="宋体"/>
          <w:color w:val="auto"/>
          <w:highlight w:val="none"/>
        </w:rPr>
      </w:pPr>
      <w:r>
        <w:rPr>
          <w:rFonts w:hint="eastAsia" w:ascii="Times New Roman" w:hAnsi="Times New Roman" w:eastAsia="宋体"/>
          <w:color w:val="auto"/>
          <w:highlight w:val="none"/>
        </w:rPr>
        <w:t>（11）《关于重点区域执行大气污染物特别排放限值的公告》（新疆环保厅公告2016年第45号）。</w:t>
      </w:r>
    </w:p>
    <w:p w14:paraId="424DAE93">
      <w:pPr>
        <w:ind w:firstLine="480"/>
        <w:rPr>
          <w:rFonts w:ascii="Times New Roman" w:hAnsi="Times New Roman" w:eastAsia="宋体"/>
          <w:color w:val="auto"/>
          <w:highlight w:val="none"/>
        </w:rPr>
      </w:pPr>
      <w:r>
        <w:rPr>
          <w:rFonts w:hint="eastAsia" w:ascii="Times New Roman" w:hAnsi="Times New Roman" w:eastAsia="宋体"/>
          <w:color w:val="auto"/>
          <w:highlight w:val="none"/>
        </w:rPr>
        <w:t>（12）《新疆维吾尔自治区突发环境事件应急预案编制导则（试行）》（新环发〔2014〕234号，2014.6.12）；</w:t>
      </w:r>
    </w:p>
    <w:p w14:paraId="2FF933E3">
      <w:pPr>
        <w:ind w:firstLine="480"/>
        <w:rPr>
          <w:rFonts w:ascii="Times New Roman" w:hAnsi="Times New Roman" w:eastAsia="宋体"/>
          <w:color w:val="auto"/>
          <w:highlight w:val="none"/>
        </w:rPr>
      </w:pPr>
      <w:r>
        <w:rPr>
          <w:rFonts w:hint="eastAsia" w:ascii="Times New Roman" w:hAnsi="Times New Roman" w:eastAsia="宋体"/>
          <w:color w:val="auto"/>
          <w:highlight w:val="none"/>
        </w:rPr>
        <w:t>（13）《关于印发自治区&lt;建设项目主要污染物总量指标确认办法（试行）&gt;的通知》（新疆环保厅，新环总量发〔2011〕86号，2011.3.8）；</w:t>
      </w:r>
    </w:p>
    <w:p w14:paraId="64D42442">
      <w:pPr>
        <w:pStyle w:val="5"/>
        <w:rPr>
          <w:rFonts w:ascii="Times New Roman" w:hAnsi="Times New Roman" w:eastAsia="宋体"/>
          <w:color w:val="auto"/>
          <w:highlight w:val="none"/>
        </w:rPr>
      </w:pPr>
      <w:bookmarkStart w:id="31" w:name="_Toc106663425"/>
      <w:r>
        <w:rPr>
          <w:rFonts w:hint="eastAsia" w:ascii="Times New Roman" w:hAnsi="Times New Roman" w:eastAsia="宋体"/>
          <w:color w:val="auto"/>
          <w:highlight w:val="none"/>
        </w:rPr>
        <w:t>2.1.4相关规划</w:t>
      </w:r>
      <w:bookmarkEnd w:id="31"/>
    </w:p>
    <w:p w14:paraId="7DA12311">
      <w:pPr>
        <w:ind w:firstLine="480"/>
        <w:rPr>
          <w:rFonts w:ascii="Times New Roman" w:hAnsi="Times New Roman" w:eastAsia="宋体"/>
          <w:color w:val="auto"/>
          <w:highlight w:val="none"/>
        </w:rPr>
      </w:pPr>
      <w:r>
        <w:rPr>
          <w:rFonts w:hint="eastAsia" w:ascii="Times New Roman" w:hAnsi="Times New Roman" w:eastAsia="宋体"/>
          <w:color w:val="auto"/>
          <w:highlight w:val="none"/>
        </w:rPr>
        <w:t>（1）《全国地下水污染防治规划（2011-2020）》；</w:t>
      </w:r>
    </w:p>
    <w:p w14:paraId="121D40AB">
      <w:pPr>
        <w:ind w:firstLine="480"/>
        <w:rPr>
          <w:rFonts w:ascii="Times New Roman" w:hAnsi="Times New Roman" w:eastAsia="宋体"/>
          <w:color w:val="auto"/>
          <w:highlight w:val="none"/>
        </w:rPr>
      </w:pPr>
      <w:r>
        <w:rPr>
          <w:rFonts w:hint="eastAsia" w:ascii="Times New Roman" w:hAnsi="Times New Roman" w:eastAsia="宋体"/>
          <w:color w:val="auto"/>
          <w:highlight w:val="none"/>
        </w:rPr>
        <w:t>（2）《新疆环境功能区划》；</w:t>
      </w:r>
    </w:p>
    <w:p w14:paraId="429D6611">
      <w:pPr>
        <w:ind w:firstLine="480"/>
        <w:rPr>
          <w:rFonts w:ascii="Times New Roman" w:hAnsi="Times New Roman" w:eastAsia="宋体"/>
          <w:color w:val="auto"/>
          <w:highlight w:val="none"/>
        </w:rPr>
      </w:pPr>
      <w:r>
        <w:rPr>
          <w:rFonts w:hint="eastAsia" w:ascii="Times New Roman" w:hAnsi="Times New Roman" w:eastAsia="宋体"/>
          <w:color w:val="auto"/>
          <w:highlight w:val="none"/>
        </w:rPr>
        <w:t>（3）《新疆生态功能区划》；</w:t>
      </w:r>
    </w:p>
    <w:p w14:paraId="2E81E8B1">
      <w:pPr>
        <w:ind w:firstLine="480"/>
        <w:rPr>
          <w:rFonts w:ascii="Times New Roman" w:hAnsi="Times New Roman" w:eastAsia="宋体"/>
          <w:color w:val="auto"/>
          <w:highlight w:val="none"/>
        </w:rPr>
      </w:pPr>
      <w:r>
        <w:rPr>
          <w:rFonts w:hint="eastAsia" w:ascii="Times New Roman" w:hAnsi="Times New Roman" w:eastAsia="宋体"/>
          <w:color w:val="auto"/>
          <w:highlight w:val="none"/>
        </w:rPr>
        <w:t>（4）《新疆水环境功能区划》；</w:t>
      </w:r>
    </w:p>
    <w:p w14:paraId="4E0D4352">
      <w:pPr>
        <w:ind w:firstLine="480"/>
        <w:rPr>
          <w:rFonts w:ascii="Times New Roman" w:hAnsi="Times New Roman" w:eastAsia="宋体"/>
          <w:color w:val="auto"/>
          <w:highlight w:val="none"/>
        </w:rPr>
      </w:pPr>
      <w:r>
        <w:rPr>
          <w:rFonts w:hint="eastAsia" w:ascii="Times New Roman" w:hAnsi="Times New Roman" w:eastAsia="宋体"/>
          <w:color w:val="auto"/>
          <w:highlight w:val="none"/>
        </w:rPr>
        <w:t>（5）《新疆维吾尔自治区环境保护</w:t>
      </w:r>
      <w:r>
        <w:rPr>
          <w:rFonts w:hint="eastAsia"/>
          <w:color w:val="auto"/>
          <w:highlight w:val="none"/>
          <w:lang w:eastAsia="zh-CN"/>
        </w:rPr>
        <w:t>”十四五”</w:t>
      </w:r>
      <w:r>
        <w:rPr>
          <w:rFonts w:hint="eastAsia" w:ascii="Times New Roman" w:hAnsi="Times New Roman" w:eastAsia="宋体"/>
          <w:color w:val="auto"/>
          <w:highlight w:val="none"/>
        </w:rPr>
        <w:t>规划》；</w:t>
      </w:r>
    </w:p>
    <w:p w14:paraId="7FA7CDF1">
      <w:pPr>
        <w:pStyle w:val="5"/>
        <w:rPr>
          <w:rFonts w:ascii="Times New Roman" w:hAnsi="Times New Roman" w:eastAsia="宋体"/>
          <w:color w:val="auto"/>
          <w:highlight w:val="none"/>
        </w:rPr>
      </w:pPr>
      <w:bookmarkStart w:id="32" w:name="_Toc106663426"/>
      <w:r>
        <w:rPr>
          <w:rFonts w:hint="eastAsia" w:ascii="Times New Roman" w:hAnsi="Times New Roman" w:eastAsia="宋体"/>
          <w:color w:val="auto"/>
          <w:highlight w:val="none"/>
        </w:rPr>
        <w:t>2.1.5环评编制要求</w:t>
      </w:r>
      <w:bookmarkEnd w:id="32"/>
    </w:p>
    <w:p w14:paraId="7B768B0B">
      <w:pPr>
        <w:ind w:firstLine="480"/>
        <w:rPr>
          <w:rFonts w:ascii="Times New Roman" w:hAnsi="Times New Roman" w:eastAsia="宋体"/>
          <w:color w:val="auto"/>
          <w:highlight w:val="none"/>
        </w:rPr>
      </w:pPr>
      <w:r>
        <w:rPr>
          <w:rFonts w:hint="eastAsia" w:ascii="Times New Roman" w:hAnsi="Times New Roman" w:eastAsia="宋体"/>
          <w:color w:val="auto"/>
          <w:highlight w:val="none"/>
        </w:rPr>
        <w:t>（1）《关于加强西部地区环境影响评价工作的通知》（环发〔2011〕150号，2011.12.29）；</w:t>
      </w:r>
    </w:p>
    <w:p w14:paraId="3170AEF3">
      <w:pPr>
        <w:ind w:firstLine="480"/>
        <w:rPr>
          <w:rFonts w:ascii="Times New Roman" w:hAnsi="Times New Roman" w:eastAsia="宋体"/>
          <w:color w:val="auto"/>
          <w:highlight w:val="none"/>
        </w:rPr>
      </w:pPr>
      <w:r>
        <w:rPr>
          <w:rFonts w:hint="eastAsia" w:ascii="Times New Roman" w:hAnsi="Times New Roman" w:eastAsia="宋体"/>
          <w:color w:val="auto"/>
          <w:highlight w:val="none"/>
        </w:rPr>
        <w:t>（2）《环境影响评价公众参与办法（生态部令第4号）》（2018.7.16）；</w:t>
      </w:r>
    </w:p>
    <w:p w14:paraId="0D12F621">
      <w:pPr>
        <w:ind w:firstLine="480"/>
        <w:rPr>
          <w:rFonts w:ascii="Times New Roman" w:hAnsi="Times New Roman" w:eastAsia="宋体"/>
          <w:color w:val="auto"/>
          <w:highlight w:val="none"/>
        </w:rPr>
      </w:pPr>
      <w:r>
        <w:rPr>
          <w:rFonts w:hint="eastAsia" w:ascii="Times New Roman" w:hAnsi="Times New Roman" w:eastAsia="宋体"/>
          <w:color w:val="auto"/>
          <w:highlight w:val="none"/>
        </w:rPr>
        <w:t>（3）《关于进一步加强环境影响评价管理防范环境风险的通知》（环发〔2012〕77号，2012.7.3）；</w:t>
      </w:r>
    </w:p>
    <w:p w14:paraId="425552F5">
      <w:pPr>
        <w:ind w:firstLine="480"/>
        <w:rPr>
          <w:rFonts w:ascii="Times New Roman" w:hAnsi="Times New Roman" w:eastAsia="宋体"/>
          <w:color w:val="auto"/>
          <w:highlight w:val="none"/>
        </w:rPr>
      </w:pPr>
      <w:r>
        <w:rPr>
          <w:rFonts w:hint="eastAsia" w:ascii="Times New Roman" w:hAnsi="Times New Roman" w:eastAsia="宋体"/>
          <w:color w:val="auto"/>
          <w:highlight w:val="none"/>
        </w:rPr>
        <w:t>（4）《关于切实加强风险防范严格环境影响评价管理的通知》（环发〔2012〕98号，2012.8.7）；</w:t>
      </w:r>
    </w:p>
    <w:p w14:paraId="7B474B3C">
      <w:pPr>
        <w:ind w:firstLine="480"/>
        <w:rPr>
          <w:rFonts w:ascii="Times New Roman" w:hAnsi="Times New Roman" w:eastAsia="宋体"/>
          <w:color w:val="auto"/>
          <w:highlight w:val="none"/>
        </w:rPr>
      </w:pPr>
      <w:r>
        <w:rPr>
          <w:rFonts w:hint="eastAsia" w:ascii="Times New Roman" w:hAnsi="Times New Roman" w:eastAsia="宋体"/>
          <w:color w:val="auto"/>
          <w:highlight w:val="none"/>
        </w:rPr>
        <w:t>（5）《关于切实加强环境影响评价监督管理工作的通知》（环办〔2013〕104号，2013.11.15）。</w:t>
      </w:r>
    </w:p>
    <w:p w14:paraId="2180C561">
      <w:pPr>
        <w:pStyle w:val="5"/>
        <w:rPr>
          <w:rFonts w:ascii="Times New Roman" w:hAnsi="Times New Roman" w:eastAsia="宋体"/>
          <w:color w:val="auto"/>
          <w:highlight w:val="none"/>
        </w:rPr>
      </w:pPr>
      <w:bookmarkStart w:id="33" w:name="_Toc106663427"/>
      <w:r>
        <w:rPr>
          <w:rFonts w:hint="eastAsia" w:ascii="Times New Roman" w:hAnsi="Times New Roman" w:eastAsia="宋体"/>
          <w:color w:val="auto"/>
          <w:highlight w:val="none"/>
        </w:rPr>
        <w:t>2.1.6技术导则</w:t>
      </w:r>
      <w:bookmarkEnd w:id="33"/>
    </w:p>
    <w:p w14:paraId="5D043AF0">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w:t>
      </w:r>
      <w:r>
        <w:rPr>
          <w:rFonts w:hint="eastAsia"/>
          <w:color w:val="auto"/>
          <w:highlight w:val="none"/>
          <w:lang w:eastAsia="zh-CN"/>
        </w:rPr>
        <w:t>）</w:t>
      </w:r>
      <w:r>
        <w:rPr>
          <w:rFonts w:hint="eastAsia" w:ascii="Times New Roman" w:hAnsi="Times New Roman" w:eastAsia="宋体"/>
          <w:color w:val="auto"/>
          <w:highlight w:val="none"/>
        </w:rPr>
        <w:t>《建设项目环境影响评价技术导则总纲》</w:t>
      </w:r>
      <w:r>
        <w:rPr>
          <w:rFonts w:hint="eastAsia"/>
          <w:color w:val="auto"/>
          <w:highlight w:val="none"/>
          <w:lang w:eastAsia="zh-CN"/>
        </w:rPr>
        <w:t>（</w:t>
      </w:r>
      <w:r>
        <w:rPr>
          <w:rFonts w:hint="eastAsia" w:ascii="Times New Roman" w:hAnsi="Times New Roman" w:eastAsia="宋体"/>
          <w:color w:val="auto"/>
          <w:highlight w:val="none"/>
        </w:rPr>
        <w:t>HJ2.1-2016</w:t>
      </w:r>
      <w:r>
        <w:rPr>
          <w:rFonts w:hint="eastAsia"/>
          <w:color w:val="auto"/>
          <w:highlight w:val="none"/>
          <w:lang w:eastAsia="zh-CN"/>
        </w:rPr>
        <w:t>）</w:t>
      </w:r>
      <w:r>
        <w:rPr>
          <w:rFonts w:hint="eastAsia" w:ascii="Times New Roman" w:hAnsi="Times New Roman" w:eastAsia="宋体"/>
          <w:color w:val="auto"/>
          <w:highlight w:val="none"/>
        </w:rPr>
        <w:t>；</w:t>
      </w:r>
    </w:p>
    <w:p w14:paraId="6CA7D131">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2</w:t>
      </w:r>
      <w:r>
        <w:rPr>
          <w:rFonts w:hint="eastAsia"/>
          <w:color w:val="auto"/>
          <w:highlight w:val="none"/>
          <w:lang w:eastAsia="zh-CN"/>
        </w:rPr>
        <w:t>）</w:t>
      </w:r>
      <w:r>
        <w:rPr>
          <w:rFonts w:hint="eastAsia" w:ascii="Times New Roman" w:hAnsi="Times New Roman" w:eastAsia="宋体"/>
          <w:color w:val="auto"/>
          <w:highlight w:val="none"/>
        </w:rPr>
        <w:t>《环境影响评价技术导则地表水环境》</w:t>
      </w:r>
      <w:r>
        <w:rPr>
          <w:rFonts w:hint="eastAsia"/>
          <w:color w:val="auto"/>
          <w:highlight w:val="none"/>
          <w:lang w:eastAsia="zh-CN"/>
        </w:rPr>
        <w:t>（</w:t>
      </w:r>
      <w:r>
        <w:rPr>
          <w:rFonts w:hint="eastAsia" w:ascii="Times New Roman" w:hAnsi="Times New Roman" w:eastAsia="宋体"/>
          <w:color w:val="auto"/>
          <w:highlight w:val="none"/>
        </w:rPr>
        <w:t>HJ2.3-2018</w:t>
      </w:r>
      <w:r>
        <w:rPr>
          <w:rFonts w:hint="eastAsia"/>
          <w:color w:val="auto"/>
          <w:highlight w:val="none"/>
          <w:lang w:eastAsia="zh-CN"/>
        </w:rPr>
        <w:t>）</w:t>
      </w:r>
      <w:r>
        <w:rPr>
          <w:rFonts w:hint="eastAsia" w:ascii="Times New Roman" w:hAnsi="Times New Roman" w:eastAsia="宋体"/>
          <w:color w:val="auto"/>
          <w:highlight w:val="none"/>
        </w:rPr>
        <w:t>；</w:t>
      </w:r>
    </w:p>
    <w:p w14:paraId="2C6F4940">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3</w:t>
      </w:r>
      <w:r>
        <w:rPr>
          <w:rFonts w:hint="eastAsia"/>
          <w:color w:val="auto"/>
          <w:highlight w:val="none"/>
          <w:lang w:eastAsia="zh-CN"/>
        </w:rPr>
        <w:t>）</w:t>
      </w:r>
      <w:r>
        <w:rPr>
          <w:rFonts w:hint="eastAsia" w:ascii="Times New Roman" w:hAnsi="Times New Roman" w:eastAsia="宋体"/>
          <w:color w:val="auto"/>
          <w:highlight w:val="none"/>
        </w:rPr>
        <w:t>《环境影响评价技术导则大气环境》</w:t>
      </w:r>
      <w:r>
        <w:rPr>
          <w:rFonts w:hint="eastAsia"/>
          <w:color w:val="auto"/>
          <w:highlight w:val="none"/>
          <w:lang w:eastAsia="zh-CN"/>
        </w:rPr>
        <w:t>（</w:t>
      </w:r>
      <w:r>
        <w:rPr>
          <w:rFonts w:hint="eastAsia" w:ascii="Times New Roman" w:hAnsi="Times New Roman" w:eastAsia="宋体"/>
          <w:color w:val="auto"/>
          <w:highlight w:val="none"/>
        </w:rPr>
        <w:t>HJ2.2-2018</w:t>
      </w:r>
      <w:r>
        <w:rPr>
          <w:rFonts w:hint="eastAsia"/>
          <w:color w:val="auto"/>
          <w:highlight w:val="none"/>
          <w:lang w:eastAsia="zh-CN"/>
        </w:rPr>
        <w:t>）</w:t>
      </w:r>
      <w:r>
        <w:rPr>
          <w:rFonts w:hint="eastAsia" w:ascii="Times New Roman" w:hAnsi="Times New Roman" w:eastAsia="宋体"/>
          <w:color w:val="auto"/>
          <w:highlight w:val="none"/>
        </w:rPr>
        <w:t>；</w:t>
      </w:r>
    </w:p>
    <w:p w14:paraId="14FCBB28">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4</w:t>
      </w:r>
      <w:r>
        <w:rPr>
          <w:rFonts w:hint="eastAsia"/>
          <w:color w:val="auto"/>
          <w:highlight w:val="none"/>
          <w:lang w:eastAsia="zh-CN"/>
        </w:rPr>
        <w:t>）</w:t>
      </w:r>
      <w:r>
        <w:rPr>
          <w:rFonts w:hint="eastAsia" w:ascii="Times New Roman" w:hAnsi="Times New Roman" w:eastAsia="宋体"/>
          <w:color w:val="auto"/>
          <w:highlight w:val="none"/>
        </w:rPr>
        <w:t>《环境影响评价技术导则声环境》</w:t>
      </w:r>
      <w:r>
        <w:rPr>
          <w:rFonts w:hint="eastAsia"/>
          <w:color w:val="auto"/>
          <w:highlight w:val="none"/>
          <w:lang w:eastAsia="zh-CN"/>
        </w:rPr>
        <w:t>（</w:t>
      </w:r>
      <w:r>
        <w:rPr>
          <w:rFonts w:hint="eastAsia" w:ascii="Times New Roman" w:hAnsi="Times New Roman" w:eastAsia="宋体"/>
          <w:color w:val="auto"/>
          <w:highlight w:val="none"/>
        </w:rPr>
        <w:t>HJ2.4-2021</w:t>
      </w:r>
      <w:r>
        <w:rPr>
          <w:rFonts w:hint="eastAsia"/>
          <w:color w:val="auto"/>
          <w:highlight w:val="none"/>
          <w:lang w:eastAsia="zh-CN"/>
        </w:rPr>
        <w:t>）</w:t>
      </w:r>
      <w:r>
        <w:rPr>
          <w:rFonts w:hint="eastAsia" w:ascii="Times New Roman" w:hAnsi="Times New Roman" w:eastAsia="宋体"/>
          <w:color w:val="auto"/>
          <w:highlight w:val="none"/>
        </w:rPr>
        <w:t>；</w:t>
      </w:r>
    </w:p>
    <w:p w14:paraId="0F9355A5">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5</w:t>
      </w:r>
      <w:r>
        <w:rPr>
          <w:rFonts w:hint="eastAsia"/>
          <w:color w:val="auto"/>
          <w:highlight w:val="none"/>
          <w:lang w:eastAsia="zh-CN"/>
        </w:rPr>
        <w:t>）</w:t>
      </w:r>
      <w:r>
        <w:rPr>
          <w:rFonts w:hint="eastAsia" w:ascii="Times New Roman" w:hAnsi="Times New Roman" w:eastAsia="宋体"/>
          <w:color w:val="auto"/>
          <w:highlight w:val="none"/>
        </w:rPr>
        <w:t>《环境影响评价技术导则地下水环境》</w:t>
      </w:r>
      <w:r>
        <w:rPr>
          <w:rFonts w:hint="eastAsia"/>
          <w:color w:val="auto"/>
          <w:highlight w:val="none"/>
          <w:lang w:eastAsia="zh-CN"/>
        </w:rPr>
        <w:t>（</w:t>
      </w:r>
      <w:r>
        <w:rPr>
          <w:rFonts w:hint="eastAsia" w:ascii="Times New Roman" w:hAnsi="Times New Roman" w:eastAsia="宋体"/>
          <w:color w:val="auto"/>
          <w:highlight w:val="none"/>
        </w:rPr>
        <w:t>HJ610-2016</w:t>
      </w:r>
      <w:r>
        <w:rPr>
          <w:rFonts w:hint="eastAsia"/>
          <w:color w:val="auto"/>
          <w:highlight w:val="none"/>
          <w:lang w:eastAsia="zh-CN"/>
        </w:rPr>
        <w:t>）</w:t>
      </w:r>
      <w:r>
        <w:rPr>
          <w:rFonts w:hint="eastAsia" w:ascii="Times New Roman" w:hAnsi="Times New Roman" w:eastAsia="宋体"/>
          <w:color w:val="auto"/>
          <w:highlight w:val="none"/>
        </w:rPr>
        <w:t>；</w:t>
      </w:r>
    </w:p>
    <w:p w14:paraId="21AC40A0">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6</w:t>
      </w:r>
      <w:r>
        <w:rPr>
          <w:rFonts w:hint="eastAsia"/>
          <w:color w:val="auto"/>
          <w:highlight w:val="none"/>
          <w:lang w:eastAsia="zh-CN"/>
        </w:rPr>
        <w:t>）</w:t>
      </w:r>
      <w:r>
        <w:rPr>
          <w:rFonts w:hint="eastAsia" w:ascii="Times New Roman" w:hAnsi="Times New Roman" w:eastAsia="宋体"/>
          <w:color w:val="auto"/>
          <w:highlight w:val="none"/>
        </w:rPr>
        <w:t>《环境影响评价技术导则生态影响》</w:t>
      </w:r>
      <w:r>
        <w:rPr>
          <w:rFonts w:hint="eastAsia"/>
          <w:color w:val="auto"/>
          <w:highlight w:val="none"/>
          <w:lang w:eastAsia="zh-CN"/>
        </w:rPr>
        <w:t>（</w:t>
      </w:r>
      <w:r>
        <w:rPr>
          <w:rFonts w:hint="eastAsia" w:ascii="Times New Roman" w:hAnsi="Times New Roman" w:eastAsia="宋体"/>
          <w:color w:val="auto"/>
          <w:highlight w:val="none"/>
          <w:lang w:eastAsia="zh-CN"/>
        </w:rPr>
        <w:t>HJ19-2022</w:t>
      </w:r>
      <w:r>
        <w:rPr>
          <w:rFonts w:hint="eastAsia"/>
          <w:color w:val="auto"/>
          <w:highlight w:val="none"/>
          <w:lang w:eastAsia="zh-CN"/>
        </w:rPr>
        <w:t>）</w:t>
      </w:r>
      <w:r>
        <w:rPr>
          <w:rFonts w:hint="eastAsia" w:ascii="Times New Roman" w:hAnsi="Times New Roman" w:eastAsia="宋体"/>
          <w:color w:val="auto"/>
          <w:highlight w:val="none"/>
        </w:rPr>
        <w:t>；</w:t>
      </w:r>
    </w:p>
    <w:p w14:paraId="16C0E285">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7</w:t>
      </w:r>
      <w:r>
        <w:rPr>
          <w:rFonts w:hint="eastAsia"/>
          <w:color w:val="auto"/>
          <w:highlight w:val="none"/>
          <w:lang w:eastAsia="zh-CN"/>
        </w:rPr>
        <w:t>）</w:t>
      </w:r>
      <w:r>
        <w:rPr>
          <w:rFonts w:hint="eastAsia" w:ascii="Times New Roman" w:hAnsi="Times New Roman" w:eastAsia="宋体"/>
          <w:color w:val="auto"/>
          <w:highlight w:val="none"/>
        </w:rPr>
        <w:t>《环境影响评价技术导则土壤环境</w:t>
      </w:r>
      <w:r>
        <w:rPr>
          <w:rFonts w:hint="eastAsia"/>
          <w:color w:val="auto"/>
          <w:highlight w:val="none"/>
          <w:lang w:eastAsia="zh-CN"/>
        </w:rPr>
        <w:t>（</w:t>
      </w:r>
      <w:r>
        <w:rPr>
          <w:rFonts w:hint="eastAsia" w:ascii="Times New Roman" w:hAnsi="Times New Roman" w:eastAsia="宋体"/>
          <w:color w:val="auto"/>
          <w:highlight w:val="none"/>
        </w:rPr>
        <w:t>试行</w:t>
      </w:r>
      <w:r>
        <w:rPr>
          <w:rFonts w:hint="eastAsia"/>
          <w:color w:val="auto"/>
          <w:highlight w:val="none"/>
          <w:lang w:eastAsia="zh-CN"/>
        </w:rPr>
        <w:t>）</w:t>
      </w:r>
      <w:r>
        <w:rPr>
          <w:rFonts w:hint="eastAsia" w:ascii="Times New Roman" w:hAnsi="Times New Roman" w:eastAsia="宋体"/>
          <w:color w:val="auto"/>
          <w:highlight w:val="none"/>
        </w:rPr>
        <w:t>》</w:t>
      </w:r>
      <w:r>
        <w:rPr>
          <w:rFonts w:hint="eastAsia"/>
          <w:color w:val="auto"/>
          <w:highlight w:val="none"/>
          <w:lang w:eastAsia="zh-CN"/>
        </w:rPr>
        <w:t>（</w:t>
      </w:r>
      <w:r>
        <w:rPr>
          <w:rFonts w:hint="eastAsia" w:ascii="Times New Roman" w:hAnsi="Times New Roman" w:eastAsia="宋体"/>
          <w:color w:val="auto"/>
          <w:highlight w:val="none"/>
        </w:rPr>
        <w:t>HJ964-2018</w:t>
      </w:r>
      <w:r>
        <w:rPr>
          <w:rFonts w:hint="eastAsia"/>
          <w:color w:val="auto"/>
          <w:highlight w:val="none"/>
          <w:lang w:eastAsia="zh-CN"/>
        </w:rPr>
        <w:t>）</w:t>
      </w:r>
      <w:r>
        <w:rPr>
          <w:rFonts w:hint="eastAsia" w:ascii="Times New Roman" w:hAnsi="Times New Roman" w:eastAsia="宋体"/>
          <w:color w:val="auto"/>
          <w:highlight w:val="none"/>
        </w:rPr>
        <w:t>；</w:t>
      </w:r>
    </w:p>
    <w:p w14:paraId="7762470B">
      <w:pPr>
        <w:ind w:firstLine="480"/>
        <w:rPr>
          <w:rFonts w:hint="eastAsia" w:ascii="Times New Roman" w:hAnsi="Times New Roman" w:eastAsia="宋体"/>
          <w:color w:val="auto"/>
          <w:highlight w:val="none"/>
          <w:lang w:eastAsia="zh-CN"/>
        </w:rPr>
      </w:pPr>
      <w:r>
        <w:rPr>
          <w:rFonts w:hint="eastAsia"/>
          <w:color w:val="auto"/>
          <w:highlight w:val="none"/>
          <w:lang w:eastAsia="zh-CN"/>
        </w:rPr>
        <w:t>（</w:t>
      </w:r>
      <w:r>
        <w:rPr>
          <w:rFonts w:hint="eastAsia" w:ascii="Times New Roman" w:hAnsi="Times New Roman" w:eastAsia="宋体"/>
          <w:color w:val="auto"/>
          <w:highlight w:val="none"/>
        </w:rPr>
        <w:t>8</w:t>
      </w:r>
      <w:r>
        <w:rPr>
          <w:rFonts w:hint="eastAsia"/>
          <w:color w:val="auto"/>
          <w:highlight w:val="none"/>
          <w:lang w:eastAsia="zh-CN"/>
        </w:rPr>
        <w:t>）</w:t>
      </w:r>
      <w:r>
        <w:rPr>
          <w:rFonts w:hint="eastAsia" w:ascii="Times New Roman" w:hAnsi="Times New Roman" w:eastAsia="宋体"/>
          <w:color w:val="auto"/>
          <w:highlight w:val="none"/>
        </w:rPr>
        <w:t>《建设项目环境风险评价技术导则》</w:t>
      </w:r>
      <w:r>
        <w:rPr>
          <w:rFonts w:hint="eastAsia"/>
          <w:color w:val="auto"/>
          <w:highlight w:val="none"/>
          <w:lang w:eastAsia="zh-CN"/>
        </w:rPr>
        <w:t>（</w:t>
      </w:r>
      <w:r>
        <w:rPr>
          <w:rFonts w:hint="eastAsia" w:ascii="Times New Roman" w:hAnsi="Times New Roman" w:eastAsia="宋体"/>
          <w:color w:val="auto"/>
          <w:highlight w:val="none"/>
        </w:rPr>
        <w:t>HJ169-2018</w:t>
      </w:r>
      <w:r>
        <w:rPr>
          <w:rFonts w:hint="eastAsia"/>
          <w:color w:val="auto"/>
          <w:highlight w:val="none"/>
          <w:lang w:eastAsia="zh-CN"/>
        </w:rPr>
        <w:t>）</w:t>
      </w:r>
    </w:p>
    <w:p w14:paraId="035F3686">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9</w:t>
      </w:r>
      <w:r>
        <w:rPr>
          <w:rFonts w:hint="eastAsia"/>
          <w:color w:val="auto"/>
          <w:highlight w:val="none"/>
          <w:lang w:eastAsia="zh-CN"/>
        </w:rPr>
        <w:t>）</w:t>
      </w:r>
      <w:r>
        <w:rPr>
          <w:rFonts w:hint="eastAsia" w:ascii="Times New Roman" w:hAnsi="Times New Roman" w:eastAsia="宋体"/>
          <w:color w:val="auto"/>
          <w:highlight w:val="none"/>
        </w:rPr>
        <w:t>《建设项目危险废物环境影响评价指南》</w:t>
      </w:r>
      <w:r>
        <w:rPr>
          <w:rFonts w:hint="eastAsia"/>
          <w:color w:val="auto"/>
          <w:highlight w:val="none"/>
          <w:lang w:eastAsia="zh-CN"/>
        </w:rPr>
        <w:t>（</w:t>
      </w:r>
      <w:r>
        <w:rPr>
          <w:rFonts w:hint="eastAsia" w:ascii="Times New Roman" w:hAnsi="Times New Roman" w:eastAsia="宋体"/>
          <w:color w:val="auto"/>
          <w:highlight w:val="none"/>
        </w:rPr>
        <w:t>环境保护部公告2017年第43号</w:t>
      </w:r>
      <w:r>
        <w:rPr>
          <w:rFonts w:hint="eastAsia"/>
          <w:color w:val="auto"/>
          <w:highlight w:val="none"/>
          <w:lang w:eastAsia="zh-CN"/>
        </w:rPr>
        <w:t>）</w:t>
      </w:r>
      <w:r>
        <w:rPr>
          <w:rFonts w:hint="eastAsia" w:ascii="Times New Roman" w:hAnsi="Times New Roman" w:eastAsia="宋体"/>
          <w:color w:val="auto"/>
          <w:highlight w:val="none"/>
        </w:rPr>
        <w:t>；</w:t>
      </w:r>
    </w:p>
    <w:p w14:paraId="5EA7ED3C">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10</w:t>
      </w:r>
      <w:r>
        <w:rPr>
          <w:rFonts w:hint="eastAsia"/>
          <w:color w:val="auto"/>
          <w:highlight w:val="none"/>
          <w:lang w:eastAsia="zh-CN"/>
        </w:rPr>
        <w:t>）</w:t>
      </w:r>
      <w:r>
        <w:rPr>
          <w:rFonts w:hint="eastAsia" w:ascii="Times New Roman" w:hAnsi="Times New Roman" w:eastAsia="宋体"/>
          <w:color w:val="auto"/>
          <w:highlight w:val="none"/>
        </w:rPr>
        <w:t>《畜禽粪污土地承载力测算技术指南》</w:t>
      </w:r>
      <w:r>
        <w:rPr>
          <w:rFonts w:hint="eastAsia"/>
          <w:color w:val="auto"/>
          <w:highlight w:val="none"/>
          <w:lang w:eastAsia="zh-CN"/>
        </w:rPr>
        <w:t>（</w:t>
      </w:r>
      <w:r>
        <w:rPr>
          <w:rFonts w:hint="eastAsia" w:ascii="Times New Roman" w:hAnsi="Times New Roman" w:eastAsia="宋体"/>
          <w:color w:val="auto"/>
          <w:highlight w:val="none"/>
        </w:rPr>
        <w:t>农办牧〔2018〕1号</w:t>
      </w:r>
      <w:r>
        <w:rPr>
          <w:rFonts w:hint="eastAsia"/>
          <w:color w:val="auto"/>
          <w:highlight w:val="none"/>
          <w:lang w:eastAsia="zh-CN"/>
        </w:rPr>
        <w:t>）</w:t>
      </w:r>
      <w:r>
        <w:rPr>
          <w:rFonts w:hint="eastAsia" w:ascii="Times New Roman" w:hAnsi="Times New Roman" w:eastAsia="宋体"/>
          <w:color w:val="auto"/>
          <w:highlight w:val="none"/>
        </w:rPr>
        <w:t>；</w:t>
      </w:r>
    </w:p>
    <w:p w14:paraId="70794444">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11</w:t>
      </w:r>
      <w:r>
        <w:rPr>
          <w:rFonts w:hint="eastAsia"/>
          <w:color w:val="auto"/>
          <w:highlight w:val="none"/>
          <w:lang w:eastAsia="zh-CN"/>
        </w:rPr>
        <w:t>）</w:t>
      </w:r>
      <w:r>
        <w:rPr>
          <w:rFonts w:hint="eastAsia" w:ascii="Times New Roman" w:hAnsi="Times New Roman" w:eastAsia="宋体"/>
          <w:color w:val="auto"/>
          <w:highlight w:val="none"/>
        </w:rPr>
        <w:t>《畜禽粪便无害化处理技术规范》</w:t>
      </w:r>
      <w:r>
        <w:rPr>
          <w:rFonts w:hint="eastAsia"/>
          <w:color w:val="auto"/>
          <w:highlight w:val="none"/>
          <w:lang w:eastAsia="zh-CN"/>
        </w:rPr>
        <w:t>（</w:t>
      </w:r>
      <w:r>
        <w:rPr>
          <w:rFonts w:hint="eastAsia" w:ascii="Times New Roman" w:hAnsi="Times New Roman" w:eastAsia="宋体"/>
          <w:color w:val="auto"/>
          <w:highlight w:val="none"/>
        </w:rPr>
        <w:t>GB/T36195-2018</w:t>
      </w:r>
      <w:r>
        <w:rPr>
          <w:rFonts w:hint="eastAsia"/>
          <w:color w:val="auto"/>
          <w:highlight w:val="none"/>
          <w:lang w:eastAsia="zh-CN"/>
        </w:rPr>
        <w:t>）</w:t>
      </w:r>
      <w:r>
        <w:rPr>
          <w:rFonts w:hint="eastAsia" w:ascii="Times New Roman" w:hAnsi="Times New Roman" w:eastAsia="宋体"/>
          <w:color w:val="auto"/>
          <w:highlight w:val="none"/>
        </w:rPr>
        <w:t>；</w:t>
      </w:r>
    </w:p>
    <w:p w14:paraId="480AC2D8">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12</w:t>
      </w:r>
      <w:r>
        <w:rPr>
          <w:rFonts w:hint="eastAsia"/>
          <w:color w:val="auto"/>
          <w:highlight w:val="none"/>
          <w:lang w:eastAsia="zh-CN"/>
        </w:rPr>
        <w:t>）</w:t>
      </w:r>
      <w:r>
        <w:rPr>
          <w:rFonts w:hint="eastAsia" w:ascii="Times New Roman" w:hAnsi="Times New Roman" w:eastAsia="宋体"/>
          <w:color w:val="auto"/>
          <w:highlight w:val="none"/>
        </w:rPr>
        <w:t>《畜禽养殖业污染治理工程技术规范》</w:t>
      </w:r>
      <w:r>
        <w:rPr>
          <w:rFonts w:hint="eastAsia"/>
          <w:color w:val="auto"/>
          <w:highlight w:val="none"/>
          <w:lang w:eastAsia="zh-CN"/>
        </w:rPr>
        <w:t>（</w:t>
      </w:r>
      <w:r>
        <w:rPr>
          <w:rFonts w:hint="eastAsia" w:ascii="Times New Roman" w:hAnsi="Times New Roman" w:eastAsia="宋体"/>
          <w:color w:val="auto"/>
          <w:highlight w:val="none"/>
        </w:rPr>
        <w:t>HJ497-2009</w:t>
      </w:r>
      <w:r>
        <w:rPr>
          <w:rFonts w:hint="eastAsia"/>
          <w:color w:val="auto"/>
          <w:highlight w:val="none"/>
          <w:lang w:eastAsia="zh-CN"/>
        </w:rPr>
        <w:t>）</w:t>
      </w:r>
      <w:r>
        <w:rPr>
          <w:rFonts w:hint="eastAsia" w:ascii="Times New Roman" w:hAnsi="Times New Roman" w:eastAsia="宋体"/>
          <w:color w:val="auto"/>
          <w:highlight w:val="none"/>
        </w:rPr>
        <w:t>；</w:t>
      </w:r>
    </w:p>
    <w:p w14:paraId="41CC022C">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13</w:t>
      </w:r>
      <w:r>
        <w:rPr>
          <w:rFonts w:hint="eastAsia"/>
          <w:color w:val="auto"/>
          <w:highlight w:val="none"/>
          <w:lang w:eastAsia="zh-CN"/>
        </w:rPr>
        <w:t>）</w:t>
      </w:r>
      <w:r>
        <w:rPr>
          <w:rFonts w:hint="eastAsia" w:ascii="Times New Roman" w:hAnsi="Times New Roman" w:eastAsia="宋体"/>
          <w:color w:val="auto"/>
          <w:highlight w:val="none"/>
        </w:rPr>
        <w:t>《畜禽养殖业污染防治技术规范》</w:t>
      </w:r>
      <w:r>
        <w:rPr>
          <w:rFonts w:hint="eastAsia"/>
          <w:color w:val="auto"/>
          <w:highlight w:val="none"/>
          <w:lang w:eastAsia="zh-CN"/>
        </w:rPr>
        <w:t>（</w:t>
      </w:r>
      <w:r>
        <w:rPr>
          <w:rFonts w:hint="eastAsia" w:ascii="Times New Roman" w:hAnsi="Times New Roman" w:eastAsia="宋体"/>
          <w:color w:val="auto"/>
          <w:highlight w:val="none"/>
        </w:rPr>
        <w:t>HJ/T81-2001</w:t>
      </w:r>
      <w:r>
        <w:rPr>
          <w:rFonts w:hint="eastAsia"/>
          <w:color w:val="auto"/>
          <w:highlight w:val="none"/>
          <w:lang w:eastAsia="zh-CN"/>
        </w:rPr>
        <w:t>）</w:t>
      </w:r>
      <w:r>
        <w:rPr>
          <w:rFonts w:hint="eastAsia" w:ascii="Times New Roman" w:hAnsi="Times New Roman" w:eastAsia="宋体"/>
          <w:color w:val="auto"/>
          <w:highlight w:val="none"/>
        </w:rPr>
        <w:t>；</w:t>
      </w:r>
    </w:p>
    <w:p w14:paraId="725AD247">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14</w:t>
      </w:r>
      <w:r>
        <w:rPr>
          <w:rFonts w:hint="eastAsia"/>
          <w:color w:val="auto"/>
          <w:highlight w:val="none"/>
          <w:lang w:eastAsia="zh-CN"/>
        </w:rPr>
        <w:t>）</w:t>
      </w:r>
      <w:r>
        <w:rPr>
          <w:rFonts w:hint="eastAsia" w:ascii="Times New Roman" w:hAnsi="Times New Roman" w:eastAsia="宋体"/>
          <w:color w:val="auto"/>
          <w:highlight w:val="none"/>
        </w:rPr>
        <w:t>《规模畜禽养殖场污染防治最佳可行技术指南</w:t>
      </w:r>
      <w:r>
        <w:rPr>
          <w:rFonts w:hint="eastAsia"/>
          <w:color w:val="auto"/>
          <w:highlight w:val="none"/>
          <w:lang w:eastAsia="zh-CN"/>
        </w:rPr>
        <w:t>（</w:t>
      </w:r>
      <w:r>
        <w:rPr>
          <w:rFonts w:hint="eastAsia" w:ascii="Times New Roman" w:hAnsi="Times New Roman" w:eastAsia="宋体"/>
          <w:color w:val="auto"/>
          <w:highlight w:val="none"/>
        </w:rPr>
        <w:t>试行</w:t>
      </w:r>
      <w:r>
        <w:rPr>
          <w:rFonts w:hint="eastAsia"/>
          <w:color w:val="auto"/>
          <w:highlight w:val="none"/>
          <w:lang w:eastAsia="zh-CN"/>
        </w:rPr>
        <w:t>）</w:t>
      </w:r>
      <w:r>
        <w:rPr>
          <w:rFonts w:hint="eastAsia" w:ascii="Times New Roman" w:hAnsi="Times New Roman" w:eastAsia="宋体"/>
          <w:color w:val="auto"/>
          <w:highlight w:val="none"/>
        </w:rPr>
        <w:t>》</w:t>
      </w:r>
      <w:r>
        <w:rPr>
          <w:rFonts w:hint="eastAsia"/>
          <w:color w:val="auto"/>
          <w:highlight w:val="none"/>
          <w:lang w:eastAsia="zh-CN"/>
        </w:rPr>
        <w:t>（</w:t>
      </w:r>
      <w:r>
        <w:rPr>
          <w:rFonts w:hint="eastAsia" w:ascii="Times New Roman" w:hAnsi="Times New Roman" w:eastAsia="宋体"/>
          <w:color w:val="auto"/>
          <w:highlight w:val="none"/>
        </w:rPr>
        <w:t>HJ-BAT-10</w:t>
      </w:r>
      <w:r>
        <w:rPr>
          <w:rFonts w:hint="eastAsia"/>
          <w:color w:val="auto"/>
          <w:highlight w:val="none"/>
          <w:lang w:eastAsia="zh-CN"/>
        </w:rPr>
        <w:t>）</w:t>
      </w:r>
      <w:r>
        <w:rPr>
          <w:rFonts w:hint="eastAsia" w:ascii="Times New Roman" w:hAnsi="Times New Roman" w:eastAsia="宋体"/>
          <w:color w:val="auto"/>
          <w:highlight w:val="none"/>
        </w:rPr>
        <w:t>；</w:t>
      </w:r>
    </w:p>
    <w:p w14:paraId="4751C932">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15</w:t>
      </w:r>
      <w:r>
        <w:rPr>
          <w:rFonts w:hint="eastAsia"/>
          <w:color w:val="auto"/>
          <w:highlight w:val="none"/>
          <w:lang w:eastAsia="zh-CN"/>
        </w:rPr>
        <w:t>）</w:t>
      </w:r>
      <w:r>
        <w:rPr>
          <w:rFonts w:hint="eastAsia" w:ascii="Times New Roman" w:hAnsi="Times New Roman" w:eastAsia="宋体"/>
          <w:color w:val="auto"/>
          <w:highlight w:val="none"/>
        </w:rPr>
        <w:t>《农业固体废物污染控制技术导则》</w:t>
      </w:r>
      <w:r>
        <w:rPr>
          <w:rFonts w:hint="eastAsia"/>
          <w:color w:val="auto"/>
          <w:highlight w:val="none"/>
          <w:lang w:eastAsia="zh-CN"/>
        </w:rPr>
        <w:t>（</w:t>
      </w:r>
      <w:r>
        <w:rPr>
          <w:rFonts w:hint="eastAsia" w:ascii="Times New Roman" w:hAnsi="Times New Roman" w:eastAsia="宋体"/>
          <w:color w:val="auto"/>
          <w:highlight w:val="none"/>
        </w:rPr>
        <w:t>HJ588-2010</w:t>
      </w:r>
      <w:r>
        <w:rPr>
          <w:rFonts w:hint="eastAsia"/>
          <w:color w:val="auto"/>
          <w:highlight w:val="none"/>
          <w:lang w:eastAsia="zh-CN"/>
        </w:rPr>
        <w:t>）</w:t>
      </w:r>
      <w:r>
        <w:rPr>
          <w:rFonts w:hint="eastAsia" w:ascii="Times New Roman" w:hAnsi="Times New Roman" w:eastAsia="宋体"/>
          <w:color w:val="auto"/>
          <w:highlight w:val="none"/>
        </w:rPr>
        <w:t>；</w:t>
      </w:r>
    </w:p>
    <w:p w14:paraId="5BFA3256">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16</w:t>
      </w:r>
      <w:r>
        <w:rPr>
          <w:rFonts w:hint="eastAsia"/>
          <w:color w:val="auto"/>
          <w:highlight w:val="none"/>
          <w:lang w:eastAsia="zh-CN"/>
        </w:rPr>
        <w:t>）</w:t>
      </w:r>
      <w:r>
        <w:rPr>
          <w:rFonts w:hint="eastAsia" w:ascii="Times New Roman" w:hAnsi="Times New Roman" w:eastAsia="宋体"/>
          <w:color w:val="auto"/>
          <w:highlight w:val="none"/>
        </w:rPr>
        <w:t>《排污单位自行监测技术指南总则》</w:t>
      </w:r>
      <w:r>
        <w:rPr>
          <w:rFonts w:hint="eastAsia"/>
          <w:color w:val="auto"/>
          <w:highlight w:val="none"/>
          <w:lang w:eastAsia="zh-CN"/>
        </w:rPr>
        <w:t>（</w:t>
      </w:r>
      <w:r>
        <w:rPr>
          <w:rFonts w:hint="eastAsia" w:ascii="Times New Roman" w:hAnsi="Times New Roman" w:eastAsia="宋体"/>
          <w:color w:val="auto"/>
          <w:highlight w:val="none"/>
        </w:rPr>
        <w:t>HJ819-2017</w:t>
      </w:r>
      <w:r>
        <w:rPr>
          <w:rFonts w:hint="eastAsia"/>
          <w:color w:val="auto"/>
          <w:highlight w:val="none"/>
          <w:lang w:eastAsia="zh-CN"/>
        </w:rPr>
        <w:t>）</w:t>
      </w:r>
      <w:r>
        <w:rPr>
          <w:rFonts w:hint="eastAsia" w:ascii="Times New Roman" w:hAnsi="Times New Roman" w:eastAsia="宋体"/>
          <w:color w:val="auto"/>
          <w:highlight w:val="none"/>
        </w:rPr>
        <w:t>；</w:t>
      </w:r>
    </w:p>
    <w:p w14:paraId="6CAA5B12">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17</w:t>
      </w:r>
      <w:r>
        <w:rPr>
          <w:rFonts w:hint="eastAsia"/>
          <w:color w:val="auto"/>
          <w:highlight w:val="none"/>
          <w:lang w:eastAsia="zh-CN"/>
        </w:rPr>
        <w:t>）</w:t>
      </w:r>
      <w:r>
        <w:rPr>
          <w:rFonts w:hint="eastAsia" w:ascii="Times New Roman" w:hAnsi="Times New Roman" w:eastAsia="宋体"/>
          <w:color w:val="auto"/>
          <w:highlight w:val="none"/>
        </w:rPr>
        <w:t>《重点排污单位名录管理规定</w:t>
      </w:r>
      <w:r>
        <w:rPr>
          <w:rFonts w:hint="eastAsia"/>
          <w:color w:val="auto"/>
          <w:highlight w:val="none"/>
          <w:lang w:eastAsia="zh-CN"/>
        </w:rPr>
        <w:t>（</w:t>
      </w:r>
      <w:r>
        <w:rPr>
          <w:rFonts w:hint="eastAsia" w:ascii="Times New Roman" w:hAnsi="Times New Roman" w:eastAsia="宋体"/>
          <w:color w:val="auto"/>
          <w:highlight w:val="none"/>
        </w:rPr>
        <w:t>试行</w:t>
      </w:r>
      <w:r>
        <w:rPr>
          <w:rFonts w:hint="eastAsia"/>
          <w:color w:val="auto"/>
          <w:highlight w:val="none"/>
          <w:lang w:eastAsia="zh-CN"/>
        </w:rPr>
        <w:t>）</w:t>
      </w:r>
      <w:r>
        <w:rPr>
          <w:rFonts w:hint="eastAsia" w:ascii="Times New Roman" w:hAnsi="Times New Roman" w:eastAsia="宋体"/>
          <w:color w:val="auto"/>
          <w:highlight w:val="none"/>
        </w:rPr>
        <w:t>》</w:t>
      </w:r>
      <w:r>
        <w:rPr>
          <w:rFonts w:hint="eastAsia"/>
          <w:color w:val="auto"/>
          <w:highlight w:val="none"/>
          <w:lang w:eastAsia="zh-CN"/>
        </w:rPr>
        <w:t>（</w:t>
      </w:r>
      <w:r>
        <w:rPr>
          <w:rFonts w:hint="eastAsia" w:ascii="Times New Roman" w:hAnsi="Times New Roman" w:eastAsia="宋体"/>
          <w:color w:val="auto"/>
          <w:highlight w:val="none"/>
        </w:rPr>
        <w:t>环办监测[2017]86号</w:t>
      </w:r>
      <w:r>
        <w:rPr>
          <w:rFonts w:hint="eastAsia"/>
          <w:color w:val="auto"/>
          <w:highlight w:val="none"/>
          <w:lang w:eastAsia="zh-CN"/>
        </w:rPr>
        <w:t>）</w:t>
      </w:r>
      <w:r>
        <w:rPr>
          <w:rFonts w:hint="eastAsia" w:ascii="Times New Roman" w:hAnsi="Times New Roman" w:eastAsia="宋体"/>
          <w:color w:val="auto"/>
          <w:highlight w:val="none"/>
        </w:rPr>
        <w:t>；</w:t>
      </w:r>
    </w:p>
    <w:p w14:paraId="1CFAC941">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18</w:t>
      </w:r>
      <w:r>
        <w:rPr>
          <w:rFonts w:hint="eastAsia"/>
          <w:color w:val="auto"/>
          <w:highlight w:val="none"/>
          <w:lang w:eastAsia="zh-CN"/>
        </w:rPr>
        <w:t>）</w:t>
      </w:r>
      <w:r>
        <w:rPr>
          <w:rFonts w:hint="eastAsia" w:ascii="Times New Roman" w:hAnsi="Times New Roman" w:eastAsia="宋体"/>
          <w:color w:val="auto"/>
          <w:highlight w:val="none"/>
        </w:rPr>
        <w:t>《关于畜禽养殖业选址问题的回复》</w:t>
      </w:r>
      <w:r>
        <w:rPr>
          <w:rFonts w:hint="eastAsia"/>
          <w:color w:val="auto"/>
          <w:highlight w:val="none"/>
          <w:lang w:eastAsia="zh-CN"/>
        </w:rPr>
        <w:t>（</w:t>
      </w:r>
      <w:r>
        <w:rPr>
          <w:rFonts w:hint="eastAsia" w:ascii="Times New Roman" w:hAnsi="Times New Roman" w:eastAsia="宋体"/>
          <w:color w:val="auto"/>
          <w:highlight w:val="none"/>
        </w:rPr>
        <w:t>环保部部长信箱，2018.2.26</w:t>
      </w:r>
      <w:r>
        <w:rPr>
          <w:rFonts w:hint="eastAsia"/>
          <w:color w:val="auto"/>
          <w:highlight w:val="none"/>
          <w:lang w:eastAsia="zh-CN"/>
        </w:rPr>
        <w:t>）</w:t>
      </w:r>
      <w:r>
        <w:rPr>
          <w:rFonts w:hint="eastAsia" w:ascii="Times New Roman" w:hAnsi="Times New Roman" w:eastAsia="宋体"/>
          <w:color w:val="auto"/>
          <w:highlight w:val="none"/>
        </w:rPr>
        <w:t>；</w:t>
      </w:r>
    </w:p>
    <w:p w14:paraId="30A4B476">
      <w:pPr>
        <w:ind w:firstLine="480"/>
        <w:rPr>
          <w:rFonts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19</w:t>
      </w:r>
      <w:r>
        <w:rPr>
          <w:rFonts w:hint="eastAsia"/>
          <w:color w:val="auto"/>
          <w:highlight w:val="none"/>
          <w:lang w:eastAsia="zh-CN"/>
        </w:rPr>
        <w:t>）</w:t>
      </w:r>
      <w:r>
        <w:rPr>
          <w:rFonts w:hint="eastAsia" w:ascii="Times New Roman" w:hAnsi="Times New Roman" w:eastAsia="宋体"/>
          <w:color w:val="auto"/>
          <w:highlight w:val="none"/>
        </w:rPr>
        <w:t>《村镇规划卫生标准》</w:t>
      </w:r>
      <w:r>
        <w:rPr>
          <w:rFonts w:hint="eastAsia"/>
          <w:color w:val="auto"/>
          <w:highlight w:val="none"/>
          <w:lang w:eastAsia="zh-CN"/>
        </w:rPr>
        <w:t>（</w:t>
      </w:r>
      <w:r>
        <w:rPr>
          <w:rFonts w:hint="eastAsia" w:ascii="Times New Roman" w:hAnsi="Times New Roman" w:eastAsia="宋体"/>
          <w:color w:val="auto"/>
          <w:highlight w:val="none"/>
        </w:rPr>
        <w:t>GB18055-2012</w:t>
      </w:r>
      <w:r>
        <w:rPr>
          <w:rFonts w:hint="eastAsia"/>
          <w:color w:val="auto"/>
          <w:highlight w:val="none"/>
          <w:lang w:eastAsia="zh-CN"/>
        </w:rPr>
        <w:t>）</w:t>
      </w:r>
      <w:r>
        <w:rPr>
          <w:rFonts w:hint="eastAsia" w:ascii="Times New Roman" w:hAnsi="Times New Roman" w:eastAsia="宋体"/>
          <w:color w:val="auto"/>
          <w:highlight w:val="none"/>
        </w:rPr>
        <w:t>。。</w:t>
      </w:r>
    </w:p>
    <w:p w14:paraId="1223ACE2">
      <w:pPr>
        <w:pStyle w:val="5"/>
        <w:rPr>
          <w:rFonts w:ascii="Times New Roman" w:hAnsi="Times New Roman" w:eastAsia="宋体"/>
          <w:color w:val="auto"/>
          <w:highlight w:val="none"/>
        </w:rPr>
      </w:pPr>
      <w:bookmarkStart w:id="34" w:name="_Toc106663428"/>
      <w:r>
        <w:rPr>
          <w:rFonts w:hint="eastAsia" w:ascii="Times New Roman" w:hAnsi="Times New Roman" w:eastAsia="宋体"/>
          <w:color w:val="auto"/>
          <w:highlight w:val="none"/>
        </w:rPr>
        <w:t>2.1.7项目有关文件</w:t>
      </w:r>
      <w:bookmarkEnd w:id="34"/>
    </w:p>
    <w:p w14:paraId="1AD148EC">
      <w:pPr>
        <w:ind w:firstLine="480"/>
        <w:rPr>
          <w:rFonts w:ascii="Times New Roman" w:hAnsi="Times New Roman" w:eastAsia="宋体"/>
          <w:color w:val="auto"/>
          <w:highlight w:val="none"/>
        </w:rPr>
      </w:pPr>
      <w:r>
        <w:rPr>
          <w:rFonts w:hint="eastAsia" w:ascii="Times New Roman" w:hAnsi="Times New Roman" w:eastAsia="宋体"/>
          <w:color w:val="auto"/>
          <w:highlight w:val="none"/>
        </w:rPr>
        <w:t>（1）</w:t>
      </w:r>
      <w:r>
        <w:rPr>
          <w:rFonts w:hint="eastAsia" w:ascii="Times New Roman" w:hAnsi="Times New Roman" w:eastAsia="宋体"/>
          <w:color w:val="auto"/>
          <w:highlight w:val="none"/>
          <w:lang w:eastAsia="zh-CN"/>
        </w:rPr>
        <w:t>玛纳斯县蛋鸡育成鸡圈舍建设及设备采购项目</w:t>
      </w:r>
      <w:r>
        <w:rPr>
          <w:rFonts w:hint="eastAsia" w:ascii="Times New Roman" w:hAnsi="Times New Roman" w:eastAsia="宋体"/>
          <w:color w:val="auto"/>
          <w:highlight w:val="none"/>
        </w:rPr>
        <w:t>可行性研究报告。</w:t>
      </w:r>
    </w:p>
    <w:p w14:paraId="36BB90D4">
      <w:pPr>
        <w:pStyle w:val="4"/>
        <w:rPr>
          <w:rFonts w:ascii="Times New Roman" w:hAnsi="Times New Roman" w:eastAsia="宋体"/>
          <w:color w:val="auto"/>
          <w:highlight w:val="none"/>
        </w:rPr>
      </w:pPr>
      <w:bookmarkStart w:id="35" w:name="_Toc71394705"/>
      <w:bookmarkStart w:id="36" w:name="_Toc106663429"/>
      <w:bookmarkStart w:id="37" w:name="_Toc89619325"/>
      <w:r>
        <w:rPr>
          <w:rFonts w:hint="eastAsia" w:ascii="Times New Roman" w:hAnsi="Times New Roman" w:eastAsia="宋体"/>
          <w:color w:val="auto"/>
          <w:highlight w:val="none"/>
        </w:rPr>
        <w:t>2.2评价目的和原则</w:t>
      </w:r>
      <w:bookmarkEnd w:id="35"/>
      <w:bookmarkEnd w:id="36"/>
      <w:bookmarkEnd w:id="37"/>
    </w:p>
    <w:p w14:paraId="5A26FCB6">
      <w:pPr>
        <w:pStyle w:val="5"/>
        <w:rPr>
          <w:rFonts w:ascii="Times New Roman" w:hAnsi="Times New Roman" w:eastAsia="宋体"/>
          <w:color w:val="auto"/>
          <w:highlight w:val="none"/>
        </w:rPr>
      </w:pPr>
      <w:bookmarkStart w:id="38" w:name="_Toc106663430"/>
      <w:r>
        <w:rPr>
          <w:rFonts w:hint="eastAsia" w:ascii="Times New Roman" w:hAnsi="Times New Roman" w:eastAsia="宋体"/>
          <w:color w:val="auto"/>
          <w:highlight w:val="none"/>
        </w:rPr>
        <w:t>2.2.1评价目的</w:t>
      </w:r>
      <w:bookmarkEnd w:id="38"/>
    </w:p>
    <w:p w14:paraId="62372480">
      <w:pPr>
        <w:ind w:firstLine="480"/>
        <w:rPr>
          <w:rFonts w:ascii="Times New Roman" w:hAnsi="Times New Roman" w:eastAsia="宋体"/>
          <w:color w:val="auto"/>
          <w:highlight w:val="none"/>
        </w:rPr>
      </w:pPr>
      <w:r>
        <w:rPr>
          <w:rFonts w:hint="eastAsia" w:ascii="Times New Roman" w:hAnsi="Times New Roman" w:eastAsia="宋体"/>
          <w:color w:val="auto"/>
          <w:highlight w:val="none"/>
        </w:rPr>
        <w:t>（1）通过调查、收集资料与实测，了解本项目评价范围内的社会环境、自然环境和环境质量现状；</w:t>
      </w:r>
    </w:p>
    <w:p w14:paraId="0181E6D4">
      <w:pPr>
        <w:ind w:firstLine="480"/>
        <w:rPr>
          <w:rFonts w:ascii="Times New Roman" w:hAnsi="Times New Roman" w:eastAsia="宋体"/>
          <w:color w:val="auto"/>
          <w:highlight w:val="none"/>
        </w:rPr>
      </w:pPr>
      <w:r>
        <w:rPr>
          <w:rFonts w:hint="eastAsia" w:ascii="Times New Roman" w:hAnsi="Times New Roman" w:eastAsia="宋体"/>
          <w:color w:val="auto"/>
          <w:highlight w:val="none"/>
        </w:rPr>
        <w:t>（2）通过工程分析，明确本项目的主要污染源、污染物种类、排放强度，并对污染物达标排放进行分析；</w:t>
      </w:r>
    </w:p>
    <w:p w14:paraId="1A4EDC89">
      <w:pPr>
        <w:ind w:firstLine="480"/>
        <w:rPr>
          <w:rFonts w:ascii="Times New Roman" w:hAnsi="Times New Roman" w:eastAsia="宋体"/>
          <w:color w:val="auto"/>
          <w:highlight w:val="none"/>
        </w:rPr>
      </w:pPr>
      <w:r>
        <w:rPr>
          <w:rFonts w:hint="eastAsia" w:ascii="Times New Roman" w:hAnsi="Times New Roman" w:eastAsia="宋体"/>
          <w:color w:val="auto"/>
          <w:highlight w:val="none"/>
        </w:rPr>
        <w:t>（3）论证本项目采取的环境保护措施的可行性及合理性，并针对存在的问题，提出预防或者减轻不良环境影响的对策和措施；</w:t>
      </w:r>
    </w:p>
    <w:p w14:paraId="04BD9749">
      <w:pPr>
        <w:ind w:firstLine="480"/>
        <w:rPr>
          <w:rFonts w:ascii="Times New Roman" w:hAnsi="Times New Roman" w:eastAsia="宋体"/>
          <w:color w:val="auto"/>
          <w:highlight w:val="none"/>
        </w:rPr>
      </w:pPr>
      <w:r>
        <w:rPr>
          <w:rFonts w:hint="eastAsia" w:ascii="Times New Roman" w:hAnsi="Times New Roman" w:eastAsia="宋体"/>
          <w:color w:val="auto"/>
          <w:highlight w:val="none"/>
        </w:rPr>
        <w:t>（4）论证项目与产业政策的符合性、与当地建设规划的相容性、资源利用可行性以及环境可行性；</w:t>
      </w:r>
    </w:p>
    <w:p w14:paraId="408B443E">
      <w:pPr>
        <w:ind w:firstLine="480"/>
        <w:rPr>
          <w:rFonts w:ascii="Times New Roman" w:hAnsi="Times New Roman" w:eastAsia="宋体"/>
          <w:color w:val="auto"/>
          <w:highlight w:val="none"/>
        </w:rPr>
      </w:pPr>
      <w:r>
        <w:rPr>
          <w:rFonts w:hint="eastAsia" w:ascii="Times New Roman" w:hAnsi="Times New Roman" w:eastAsia="宋体"/>
          <w:color w:val="auto"/>
          <w:highlight w:val="none"/>
        </w:rPr>
        <w:t>（5）分析本项目可能存在的事故隐患，预测可能产生的环境风险程度，提出具体的环境风险防范措施。</w:t>
      </w:r>
    </w:p>
    <w:p w14:paraId="671DAC0A">
      <w:pPr>
        <w:ind w:firstLine="480"/>
        <w:rPr>
          <w:rFonts w:ascii="Times New Roman" w:hAnsi="Times New Roman" w:eastAsia="宋体"/>
          <w:color w:val="auto"/>
          <w:highlight w:val="none"/>
        </w:rPr>
      </w:pPr>
      <w:r>
        <w:rPr>
          <w:rFonts w:hint="eastAsia" w:ascii="Times New Roman" w:hAnsi="Times New Roman" w:eastAsia="宋体"/>
          <w:color w:val="auto"/>
          <w:highlight w:val="none"/>
        </w:rPr>
        <w:t>通过上述评价，论证项目在环境方面的可行性，给出环境影响评价结论，为环境保护主管部门提供决策依据。</w:t>
      </w:r>
    </w:p>
    <w:p w14:paraId="1247C395">
      <w:pPr>
        <w:pStyle w:val="5"/>
        <w:rPr>
          <w:rFonts w:ascii="Times New Roman" w:hAnsi="Times New Roman" w:eastAsia="宋体"/>
          <w:color w:val="auto"/>
          <w:highlight w:val="none"/>
        </w:rPr>
      </w:pPr>
      <w:bookmarkStart w:id="39" w:name="_Toc106663431"/>
      <w:r>
        <w:rPr>
          <w:rFonts w:hint="eastAsia" w:ascii="Times New Roman" w:hAnsi="Times New Roman" w:eastAsia="宋体"/>
          <w:color w:val="auto"/>
          <w:highlight w:val="none"/>
        </w:rPr>
        <w:t>2.2.2评价原则</w:t>
      </w:r>
      <w:bookmarkEnd w:id="39"/>
    </w:p>
    <w:p w14:paraId="4255593C">
      <w:pPr>
        <w:ind w:firstLine="480"/>
        <w:rPr>
          <w:rFonts w:ascii="Times New Roman" w:hAnsi="Times New Roman" w:eastAsia="宋体"/>
          <w:color w:val="auto"/>
          <w:highlight w:val="none"/>
        </w:rPr>
      </w:pPr>
      <w:r>
        <w:rPr>
          <w:rFonts w:hint="eastAsia" w:ascii="Times New Roman" w:hAnsi="Times New Roman" w:eastAsia="宋体"/>
          <w:color w:val="auto"/>
          <w:highlight w:val="none"/>
        </w:rPr>
        <w:t>突出环境影响评价的源头预防作用，坚持保护和改善环境质量。</w:t>
      </w:r>
    </w:p>
    <w:p w14:paraId="17BF7BE0">
      <w:pPr>
        <w:ind w:firstLine="480"/>
        <w:rPr>
          <w:rFonts w:ascii="Times New Roman" w:hAnsi="Times New Roman" w:eastAsia="宋体"/>
          <w:color w:val="auto"/>
          <w:highlight w:val="none"/>
        </w:rPr>
      </w:pPr>
      <w:r>
        <w:rPr>
          <w:rFonts w:hint="eastAsia" w:ascii="Times New Roman" w:hAnsi="Times New Roman" w:eastAsia="宋体"/>
          <w:color w:val="auto"/>
          <w:highlight w:val="none"/>
        </w:rPr>
        <w:t>（1）依法评价</w:t>
      </w:r>
    </w:p>
    <w:p w14:paraId="51916026">
      <w:pPr>
        <w:ind w:firstLine="480"/>
        <w:rPr>
          <w:rFonts w:ascii="Times New Roman" w:hAnsi="Times New Roman" w:eastAsia="宋体"/>
          <w:color w:val="auto"/>
          <w:highlight w:val="none"/>
        </w:rPr>
      </w:pPr>
      <w:r>
        <w:rPr>
          <w:rFonts w:hint="eastAsia" w:ascii="Times New Roman" w:hAnsi="Times New Roman" w:eastAsia="宋体"/>
          <w:color w:val="auto"/>
          <w:highlight w:val="none"/>
        </w:rPr>
        <w:t>贯彻执行我国环境保护相关法律法规、标准、政策和规划等，优化项目建设，服务环境管理。</w:t>
      </w:r>
    </w:p>
    <w:p w14:paraId="33FF966C">
      <w:pPr>
        <w:ind w:firstLine="480"/>
        <w:rPr>
          <w:rFonts w:ascii="Times New Roman" w:hAnsi="Times New Roman" w:eastAsia="宋体"/>
          <w:color w:val="auto"/>
          <w:highlight w:val="none"/>
        </w:rPr>
      </w:pPr>
      <w:r>
        <w:rPr>
          <w:rFonts w:hint="eastAsia" w:ascii="Times New Roman" w:hAnsi="Times New Roman" w:eastAsia="宋体"/>
          <w:color w:val="auto"/>
          <w:highlight w:val="none"/>
        </w:rPr>
        <w:t>（2）科学评价</w:t>
      </w:r>
    </w:p>
    <w:p w14:paraId="5E0E3E4F">
      <w:pPr>
        <w:ind w:firstLine="480"/>
        <w:rPr>
          <w:rFonts w:ascii="Times New Roman" w:hAnsi="Times New Roman" w:eastAsia="宋体"/>
          <w:color w:val="auto"/>
          <w:highlight w:val="none"/>
        </w:rPr>
      </w:pPr>
      <w:r>
        <w:rPr>
          <w:rFonts w:hint="eastAsia" w:ascii="Times New Roman" w:hAnsi="Times New Roman" w:eastAsia="宋体"/>
          <w:color w:val="auto"/>
          <w:highlight w:val="none"/>
        </w:rPr>
        <w:t>规范环境影响评价方法，科学分析项目建设对环境质量的影响。</w:t>
      </w:r>
    </w:p>
    <w:p w14:paraId="2EFD849A">
      <w:pPr>
        <w:ind w:firstLine="480"/>
        <w:rPr>
          <w:rFonts w:ascii="Times New Roman" w:hAnsi="Times New Roman" w:eastAsia="宋体"/>
          <w:color w:val="auto"/>
          <w:highlight w:val="none"/>
        </w:rPr>
      </w:pPr>
      <w:r>
        <w:rPr>
          <w:rFonts w:hint="eastAsia" w:ascii="Times New Roman" w:hAnsi="Times New Roman" w:eastAsia="宋体"/>
          <w:color w:val="auto"/>
          <w:highlight w:val="none"/>
        </w:rPr>
        <w:t>（3）突出重点</w:t>
      </w:r>
    </w:p>
    <w:p w14:paraId="4D14ED93">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根据建设项目的工程内容及其特点，明确与环境要素间的作用效应关系，根据规划环境影响评价结论和审查意见，充分利用符合时效的数据资料及成果，对建设项目主要环境影响予以重点分析和评价。</w:t>
      </w:r>
    </w:p>
    <w:p w14:paraId="3F388FFD">
      <w:pPr>
        <w:pStyle w:val="4"/>
        <w:rPr>
          <w:rFonts w:ascii="Times New Roman" w:hAnsi="Times New Roman" w:eastAsia="宋体"/>
          <w:color w:val="auto"/>
          <w:highlight w:val="none"/>
        </w:rPr>
      </w:pPr>
      <w:bookmarkStart w:id="40" w:name="_Toc89619326"/>
      <w:bookmarkStart w:id="41" w:name="_Toc106663432"/>
      <w:bookmarkStart w:id="42" w:name="_Toc71394706"/>
      <w:r>
        <w:rPr>
          <w:rFonts w:hint="eastAsia" w:ascii="Times New Roman" w:hAnsi="Times New Roman" w:eastAsia="宋体"/>
          <w:color w:val="auto"/>
          <w:highlight w:val="none"/>
        </w:rPr>
        <w:t>2.3评价内容及评价重点</w:t>
      </w:r>
      <w:bookmarkEnd w:id="40"/>
      <w:bookmarkEnd w:id="41"/>
      <w:bookmarkEnd w:id="42"/>
    </w:p>
    <w:p w14:paraId="11FDD669">
      <w:pPr>
        <w:pStyle w:val="5"/>
        <w:rPr>
          <w:rFonts w:ascii="Times New Roman" w:hAnsi="Times New Roman" w:eastAsia="宋体"/>
          <w:color w:val="auto"/>
          <w:highlight w:val="none"/>
        </w:rPr>
      </w:pPr>
      <w:bookmarkStart w:id="43" w:name="_Toc106663433"/>
      <w:r>
        <w:rPr>
          <w:rFonts w:hint="eastAsia" w:ascii="Times New Roman" w:hAnsi="Times New Roman" w:eastAsia="宋体"/>
          <w:color w:val="auto"/>
          <w:highlight w:val="none"/>
        </w:rPr>
        <w:t>2.3.1评价内容</w:t>
      </w:r>
      <w:bookmarkEnd w:id="43"/>
    </w:p>
    <w:p w14:paraId="26E22781">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本次评价的主要内容包括以下几个方面：</w:t>
      </w:r>
    </w:p>
    <w:p w14:paraId="0F325FEA">
      <w:pPr>
        <w:ind w:firstLine="480"/>
        <w:rPr>
          <w:rFonts w:ascii="Times New Roman" w:hAnsi="Times New Roman" w:eastAsia="宋体"/>
          <w:color w:val="auto"/>
          <w:highlight w:val="none"/>
        </w:rPr>
      </w:pPr>
      <w:r>
        <w:rPr>
          <w:rFonts w:hint="eastAsia" w:ascii="Times New Roman" w:hAnsi="Times New Roman" w:eastAsia="宋体"/>
          <w:color w:val="auto"/>
          <w:highlight w:val="none"/>
        </w:rPr>
        <w:t>（1）通过对项目厂址及周围环境的综合现状调查和现场监测，了解和掌握项目区环境现状；</w:t>
      </w:r>
    </w:p>
    <w:p w14:paraId="0657CFF5">
      <w:pPr>
        <w:ind w:firstLine="480"/>
        <w:rPr>
          <w:rFonts w:ascii="Times New Roman" w:hAnsi="Times New Roman" w:eastAsia="宋体"/>
          <w:color w:val="auto"/>
          <w:highlight w:val="none"/>
        </w:rPr>
      </w:pPr>
      <w:r>
        <w:rPr>
          <w:rFonts w:hint="eastAsia" w:ascii="Times New Roman" w:hAnsi="Times New Roman" w:eastAsia="宋体"/>
          <w:color w:val="auto"/>
          <w:highlight w:val="none"/>
        </w:rPr>
        <w:t>（2）分析本次工程</w:t>
      </w:r>
      <w:r>
        <w:rPr>
          <w:rFonts w:hint="eastAsia"/>
          <w:color w:val="auto"/>
          <w:highlight w:val="none"/>
          <w:lang w:eastAsia="zh-CN"/>
        </w:rPr>
        <w:t>”</w:t>
      </w:r>
      <w:r>
        <w:rPr>
          <w:rFonts w:hint="eastAsia" w:ascii="Times New Roman" w:hAnsi="Times New Roman" w:eastAsia="宋体"/>
          <w:color w:val="auto"/>
          <w:highlight w:val="none"/>
        </w:rPr>
        <w:t>三废</w:t>
      </w:r>
      <w:r>
        <w:rPr>
          <w:rFonts w:hint="eastAsia"/>
          <w:color w:val="auto"/>
          <w:highlight w:val="none"/>
          <w:lang w:eastAsia="zh-CN"/>
        </w:rPr>
        <w:t>”</w:t>
      </w:r>
      <w:r>
        <w:rPr>
          <w:rFonts w:hint="eastAsia" w:ascii="Times New Roman" w:hAnsi="Times New Roman" w:eastAsia="宋体"/>
          <w:color w:val="auto"/>
          <w:highlight w:val="none"/>
        </w:rPr>
        <w:t>排放特征，产生的污染物能否实现达标排放或妥善处理；</w:t>
      </w:r>
    </w:p>
    <w:p w14:paraId="5D1707E4">
      <w:pPr>
        <w:ind w:firstLine="480"/>
        <w:rPr>
          <w:rFonts w:ascii="Times New Roman" w:hAnsi="Times New Roman" w:eastAsia="宋体"/>
          <w:color w:val="auto"/>
          <w:highlight w:val="none"/>
        </w:rPr>
      </w:pPr>
      <w:r>
        <w:rPr>
          <w:rFonts w:hint="eastAsia" w:ascii="Times New Roman" w:hAnsi="Times New Roman" w:eastAsia="宋体"/>
          <w:color w:val="auto"/>
          <w:highlight w:val="none"/>
        </w:rPr>
        <w:t>（3）分析本工程运行中存在的环境风险，提出有关风险防治措施及风险防范预案；</w:t>
      </w:r>
    </w:p>
    <w:p w14:paraId="5D72DD69">
      <w:pPr>
        <w:ind w:firstLine="480"/>
        <w:rPr>
          <w:rFonts w:ascii="Times New Roman" w:hAnsi="Times New Roman" w:eastAsia="宋体"/>
          <w:color w:val="auto"/>
          <w:highlight w:val="none"/>
        </w:rPr>
      </w:pPr>
      <w:r>
        <w:rPr>
          <w:rFonts w:hint="eastAsia" w:ascii="Times New Roman" w:hAnsi="Times New Roman" w:eastAsia="宋体"/>
          <w:color w:val="auto"/>
          <w:highlight w:val="none"/>
        </w:rPr>
        <w:t>（4）对该建设项目的污染控制措施的可行性和合理性进行评估，并提出防止或减轻污染的对策建议。</w:t>
      </w:r>
    </w:p>
    <w:p w14:paraId="37210135">
      <w:pPr>
        <w:pStyle w:val="5"/>
        <w:rPr>
          <w:rFonts w:ascii="Times New Roman" w:hAnsi="Times New Roman" w:eastAsia="宋体"/>
          <w:color w:val="auto"/>
          <w:highlight w:val="none"/>
        </w:rPr>
      </w:pPr>
      <w:bookmarkStart w:id="44" w:name="_Toc106663434"/>
      <w:r>
        <w:rPr>
          <w:rFonts w:hint="eastAsia" w:ascii="Times New Roman" w:hAnsi="Times New Roman" w:eastAsia="宋体"/>
          <w:color w:val="auto"/>
          <w:highlight w:val="none"/>
        </w:rPr>
        <w:t>2.3.2评价重点</w:t>
      </w:r>
      <w:bookmarkEnd w:id="44"/>
    </w:p>
    <w:p w14:paraId="60033E52">
      <w:pPr>
        <w:ind w:firstLine="480"/>
        <w:rPr>
          <w:rFonts w:ascii="Times New Roman" w:hAnsi="Times New Roman" w:eastAsia="宋体"/>
          <w:color w:val="auto"/>
          <w:highlight w:val="none"/>
        </w:rPr>
      </w:pPr>
      <w:r>
        <w:rPr>
          <w:rFonts w:hint="eastAsia" w:ascii="Times New Roman" w:hAnsi="Times New Roman" w:eastAsia="宋体"/>
          <w:color w:val="auto"/>
          <w:highlight w:val="none"/>
        </w:rPr>
        <w:t>（1）工程分析</w:t>
      </w:r>
    </w:p>
    <w:p w14:paraId="4BC3BD26">
      <w:pPr>
        <w:ind w:firstLine="480"/>
        <w:rPr>
          <w:rFonts w:ascii="Times New Roman" w:hAnsi="Times New Roman" w:eastAsia="宋体"/>
          <w:color w:val="auto"/>
          <w:highlight w:val="none"/>
        </w:rPr>
      </w:pPr>
      <w:r>
        <w:rPr>
          <w:rFonts w:hint="eastAsia" w:ascii="Times New Roman" w:hAnsi="Times New Roman" w:eastAsia="宋体"/>
          <w:color w:val="auto"/>
          <w:highlight w:val="none"/>
        </w:rPr>
        <w:t>结合工艺过程，对物料、水等进行平衡计算，并根据企业实际运行情况，分析生产过程中</w:t>
      </w:r>
      <w:r>
        <w:rPr>
          <w:rFonts w:hint="eastAsia"/>
          <w:color w:val="auto"/>
          <w:highlight w:val="none"/>
          <w:lang w:eastAsia="zh-CN"/>
        </w:rPr>
        <w:t>”</w:t>
      </w:r>
      <w:r>
        <w:rPr>
          <w:rFonts w:hint="eastAsia" w:ascii="Times New Roman" w:hAnsi="Times New Roman" w:eastAsia="宋体"/>
          <w:color w:val="auto"/>
          <w:highlight w:val="none"/>
        </w:rPr>
        <w:t>三废</w:t>
      </w:r>
      <w:r>
        <w:rPr>
          <w:rFonts w:hint="eastAsia"/>
          <w:color w:val="auto"/>
          <w:highlight w:val="none"/>
          <w:lang w:eastAsia="zh-CN"/>
        </w:rPr>
        <w:t>”</w:t>
      </w:r>
      <w:r>
        <w:rPr>
          <w:rFonts w:hint="eastAsia" w:ascii="Times New Roman" w:hAnsi="Times New Roman" w:eastAsia="宋体"/>
          <w:color w:val="auto"/>
          <w:highlight w:val="none"/>
        </w:rPr>
        <w:t>及噪声排放情况。</w:t>
      </w:r>
    </w:p>
    <w:p w14:paraId="205E4689">
      <w:pPr>
        <w:ind w:firstLine="480"/>
        <w:rPr>
          <w:rFonts w:ascii="Times New Roman" w:hAnsi="Times New Roman" w:eastAsia="宋体"/>
          <w:color w:val="auto"/>
          <w:highlight w:val="none"/>
        </w:rPr>
      </w:pPr>
      <w:r>
        <w:rPr>
          <w:rFonts w:hint="eastAsia" w:ascii="Times New Roman" w:hAnsi="Times New Roman" w:eastAsia="宋体"/>
          <w:color w:val="auto"/>
          <w:highlight w:val="none"/>
        </w:rPr>
        <w:t>（2）污染防治措施分析推荐</w:t>
      </w:r>
    </w:p>
    <w:p w14:paraId="00E2406B">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根据工程</w:t>
      </w:r>
      <w:r>
        <w:rPr>
          <w:rFonts w:hint="eastAsia"/>
          <w:color w:val="auto"/>
          <w:highlight w:val="none"/>
          <w:lang w:eastAsia="zh-CN"/>
        </w:rPr>
        <w:t>”</w:t>
      </w:r>
      <w:r>
        <w:rPr>
          <w:rFonts w:hint="eastAsia" w:ascii="Times New Roman" w:hAnsi="Times New Roman" w:eastAsia="宋体"/>
          <w:color w:val="auto"/>
          <w:highlight w:val="none"/>
        </w:rPr>
        <w:t>三废</w:t>
      </w:r>
      <w:r>
        <w:rPr>
          <w:rFonts w:hint="eastAsia"/>
          <w:color w:val="auto"/>
          <w:highlight w:val="none"/>
          <w:lang w:eastAsia="zh-CN"/>
        </w:rPr>
        <w:t>”</w:t>
      </w:r>
      <w:r>
        <w:rPr>
          <w:rFonts w:hint="eastAsia" w:ascii="Times New Roman" w:hAnsi="Times New Roman" w:eastAsia="宋体"/>
          <w:color w:val="auto"/>
          <w:highlight w:val="none"/>
        </w:rPr>
        <w:t>及噪声排放特点，结合相似企业实际治理经验，对设计的治理措施可行性进行分析，并提出推荐方案，确保本项目各污染物达标排放。</w:t>
      </w:r>
    </w:p>
    <w:p w14:paraId="790509BE">
      <w:pPr>
        <w:ind w:firstLine="480"/>
        <w:rPr>
          <w:rFonts w:ascii="Times New Roman" w:hAnsi="Times New Roman" w:eastAsia="宋体"/>
          <w:color w:val="auto"/>
          <w:highlight w:val="none"/>
        </w:rPr>
      </w:pPr>
      <w:r>
        <w:rPr>
          <w:rFonts w:hint="eastAsia" w:ascii="Times New Roman" w:hAnsi="Times New Roman" w:eastAsia="宋体"/>
          <w:color w:val="auto"/>
          <w:highlight w:val="none"/>
        </w:rPr>
        <w:t>（3）环境影响预测及评价</w:t>
      </w:r>
    </w:p>
    <w:p w14:paraId="668B7BA3">
      <w:pPr>
        <w:ind w:firstLine="480"/>
        <w:rPr>
          <w:rFonts w:ascii="Times New Roman" w:hAnsi="Times New Roman" w:eastAsia="宋体"/>
          <w:color w:val="auto"/>
          <w:highlight w:val="none"/>
        </w:rPr>
      </w:pPr>
      <w:r>
        <w:rPr>
          <w:rFonts w:hint="eastAsia" w:ascii="Times New Roman" w:hAnsi="Times New Roman" w:eastAsia="宋体"/>
          <w:color w:val="auto"/>
          <w:highlight w:val="none"/>
        </w:rPr>
        <w:t>结合生产过程</w:t>
      </w:r>
      <w:r>
        <w:rPr>
          <w:rFonts w:hint="eastAsia"/>
          <w:color w:val="auto"/>
          <w:highlight w:val="none"/>
          <w:lang w:eastAsia="zh-CN"/>
        </w:rPr>
        <w:t>”</w:t>
      </w:r>
      <w:r>
        <w:rPr>
          <w:rFonts w:hint="eastAsia" w:ascii="Times New Roman" w:hAnsi="Times New Roman" w:eastAsia="宋体"/>
          <w:color w:val="auto"/>
          <w:highlight w:val="none"/>
        </w:rPr>
        <w:t>三废</w:t>
      </w:r>
      <w:r>
        <w:rPr>
          <w:rFonts w:hint="eastAsia"/>
          <w:color w:val="auto"/>
          <w:highlight w:val="none"/>
          <w:lang w:eastAsia="zh-CN"/>
        </w:rPr>
        <w:t>”</w:t>
      </w:r>
      <w:r>
        <w:rPr>
          <w:rFonts w:hint="eastAsia" w:ascii="Times New Roman" w:hAnsi="Times New Roman" w:eastAsia="宋体"/>
          <w:color w:val="auto"/>
          <w:highlight w:val="none"/>
        </w:rPr>
        <w:t>及噪声排放特点以及评价范围内环境概况，分析预测本项目大气污染物对大气环境的影响程度和范围；项目用水的保证性以及排放的生产生活污水对区域水环境的影响；固体废物处理处置对区域环境的影响；预测和评价厂界噪声是否满足《工业企业厂界环境噪声排放标准》，评价项目噪声排放对声环境敏感区的影响。</w:t>
      </w:r>
    </w:p>
    <w:p w14:paraId="4FF61992">
      <w:pPr>
        <w:ind w:firstLine="480"/>
        <w:rPr>
          <w:rFonts w:ascii="Times New Roman" w:hAnsi="Times New Roman" w:eastAsia="宋体"/>
          <w:color w:val="auto"/>
          <w:highlight w:val="none"/>
        </w:rPr>
      </w:pPr>
      <w:r>
        <w:rPr>
          <w:rFonts w:hint="eastAsia" w:ascii="Times New Roman" w:hAnsi="Times New Roman" w:eastAsia="宋体"/>
          <w:color w:val="auto"/>
          <w:highlight w:val="none"/>
        </w:rPr>
        <w:t>（4）环境风险评价</w:t>
      </w:r>
    </w:p>
    <w:p w14:paraId="1333AF00">
      <w:pPr>
        <w:ind w:firstLine="480"/>
        <w:rPr>
          <w:rFonts w:ascii="Times New Roman" w:hAnsi="Times New Roman" w:eastAsia="宋体"/>
          <w:color w:val="auto"/>
          <w:highlight w:val="none"/>
        </w:rPr>
      </w:pPr>
      <w:r>
        <w:rPr>
          <w:rFonts w:hint="eastAsia" w:ascii="Times New Roman" w:hAnsi="Times New Roman" w:eastAsia="宋体"/>
          <w:color w:val="auto"/>
          <w:highlight w:val="none"/>
        </w:rPr>
        <w:t>结合生产工艺特点，分析确定本项目风险因素，预测风险发生时对环境造成的危害，提出环境风险防范措施，并编制应急预案。</w:t>
      </w:r>
    </w:p>
    <w:p w14:paraId="34BA6260">
      <w:pPr>
        <w:ind w:firstLine="480"/>
        <w:rPr>
          <w:rFonts w:ascii="Times New Roman" w:hAnsi="Times New Roman" w:eastAsia="宋体"/>
          <w:color w:val="auto"/>
          <w:highlight w:val="none"/>
        </w:rPr>
      </w:pPr>
      <w:r>
        <w:rPr>
          <w:rFonts w:hint="eastAsia" w:ascii="Times New Roman" w:hAnsi="Times New Roman" w:eastAsia="宋体"/>
          <w:color w:val="auto"/>
          <w:highlight w:val="none"/>
        </w:rPr>
        <w:t>（5）清洁生产分析</w:t>
      </w:r>
    </w:p>
    <w:p w14:paraId="415A37D2">
      <w:pPr>
        <w:ind w:firstLine="480"/>
        <w:rPr>
          <w:rFonts w:ascii="Times New Roman" w:hAnsi="Times New Roman" w:eastAsia="宋体"/>
          <w:color w:val="auto"/>
          <w:highlight w:val="none"/>
        </w:rPr>
      </w:pPr>
      <w:r>
        <w:rPr>
          <w:rFonts w:hint="eastAsia" w:ascii="Times New Roman" w:hAnsi="Times New Roman" w:eastAsia="宋体"/>
          <w:color w:val="auto"/>
          <w:highlight w:val="none"/>
        </w:rPr>
        <w:t>从工艺装备先进性、资源能源利用、污染物产生、废物综合利用、产品指标、环境管理等方面分析，并与国内其他企业进行对比，评述项目清洁生产水平。</w:t>
      </w:r>
    </w:p>
    <w:p w14:paraId="10D5CE5F">
      <w:pPr>
        <w:pStyle w:val="4"/>
        <w:rPr>
          <w:rFonts w:ascii="Times New Roman" w:hAnsi="Times New Roman" w:eastAsia="宋体"/>
          <w:color w:val="auto"/>
          <w:highlight w:val="none"/>
        </w:rPr>
      </w:pPr>
      <w:bookmarkStart w:id="45" w:name="_Toc89619327"/>
      <w:bookmarkStart w:id="46" w:name="_Toc71394707"/>
      <w:bookmarkStart w:id="47" w:name="_Toc106663435"/>
      <w:r>
        <w:rPr>
          <w:rFonts w:hint="eastAsia" w:ascii="Times New Roman" w:hAnsi="Times New Roman" w:eastAsia="宋体"/>
          <w:color w:val="auto"/>
          <w:highlight w:val="none"/>
        </w:rPr>
        <w:t>2.4评价因子识别与筛选</w:t>
      </w:r>
      <w:bookmarkEnd w:id="45"/>
      <w:bookmarkEnd w:id="46"/>
      <w:bookmarkEnd w:id="47"/>
    </w:p>
    <w:p w14:paraId="2AE95D77">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根据工程的特征、阶段和所处区域的环境特征，全面分析判别本项目建设对环境可能产生影响的因素、影响途径，初步估算影响程度。通过筛选确定本次评价重点和评价因子。</w:t>
      </w:r>
    </w:p>
    <w:p w14:paraId="08413FA8">
      <w:pPr>
        <w:pStyle w:val="5"/>
        <w:rPr>
          <w:rFonts w:ascii="Times New Roman" w:hAnsi="Times New Roman" w:eastAsia="宋体"/>
          <w:color w:val="auto"/>
          <w:highlight w:val="none"/>
        </w:rPr>
      </w:pPr>
      <w:bookmarkStart w:id="48" w:name="_Toc106663436"/>
      <w:r>
        <w:rPr>
          <w:rFonts w:hint="eastAsia" w:ascii="Times New Roman" w:hAnsi="Times New Roman" w:eastAsia="宋体"/>
          <w:color w:val="auto"/>
          <w:highlight w:val="none"/>
        </w:rPr>
        <w:t>2.4.1影响因素识别</w:t>
      </w:r>
      <w:bookmarkEnd w:id="48"/>
    </w:p>
    <w:p w14:paraId="3B12388D">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根据项目的排污特点及所处环境特征，环境影响因子的识别见表2.4-1。</w:t>
      </w:r>
    </w:p>
    <w:p w14:paraId="45D37B41">
      <w:pPr>
        <w:pStyle w:val="10"/>
        <w:rPr>
          <w:rFonts w:ascii="Times New Roman" w:hAnsi="Times New Roman" w:eastAsia="宋体"/>
          <w:color w:val="auto"/>
          <w:highlight w:val="none"/>
        </w:rPr>
      </w:pPr>
      <w:r>
        <w:rPr>
          <w:rFonts w:hint="eastAsia" w:ascii="Times New Roman" w:hAnsi="Times New Roman" w:eastAsia="宋体"/>
          <w:color w:val="auto"/>
          <w:highlight w:val="none"/>
        </w:rPr>
        <w:t>表2.4-1环境影响因子识别表</w:t>
      </w:r>
    </w:p>
    <w:tbl>
      <w:tblPr>
        <w:tblStyle w:val="3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463"/>
        <w:gridCol w:w="641"/>
        <w:gridCol w:w="17"/>
        <w:gridCol w:w="971"/>
        <w:gridCol w:w="847"/>
        <w:gridCol w:w="815"/>
        <w:gridCol w:w="872"/>
        <w:gridCol w:w="902"/>
        <w:gridCol w:w="879"/>
        <w:gridCol w:w="980"/>
        <w:gridCol w:w="968"/>
        <w:gridCol w:w="62"/>
      </w:tblGrid>
      <w:tr w14:paraId="1CEA0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275" w:type="pct"/>
            <w:vMerge w:val="restart"/>
            <w:tcBorders>
              <w:right w:val="single" w:color="auto" w:sz="4" w:space="0"/>
              <w:tl2br w:val="nil"/>
              <w:tr2bl w:val="nil"/>
            </w:tcBorders>
            <w:vAlign w:val="center"/>
          </w:tcPr>
          <w:p w14:paraId="28C7B641">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阶段</w:t>
            </w:r>
          </w:p>
        </w:tc>
        <w:tc>
          <w:tcPr>
            <w:tcW w:w="968" w:type="pct"/>
            <w:gridSpan w:val="3"/>
            <w:vMerge w:val="restart"/>
            <w:tcBorders>
              <w:left w:val="single" w:color="auto" w:sz="4" w:space="0"/>
              <w:tl2br w:val="nil"/>
              <w:tr2bl w:val="nil"/>
            </w:tcBorders>
            <w:vAlign w:val="center"/>
          </w:tcPr>
          <w:p w14:paraId="5095F066">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污染因素</w:t>
            </w:r>
          </w:p>
        </w:tc>
        <w:tc>
          <w:tcPr>
            <w:tcW w:w="3756" w:type="pct"/>
            <w:gridSpan w:val="8"/>
            <w:tcBorders>
              <w:right w:val="single" w:color="auto" w:sz="4" w:space="0"/>
              <w:tl2br w:val="nil"/>
              <w:tr2bl w:val="nil"/>
            </w:tcBorders>
            <w:vAlign w:val="center"/>
          </w:tcPr>
          <w:p w14:paraId="7837FCB2">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环境要素</w:t>
            </w:r>
          </w:p>
        </w:tc>
      </w:tr>
      <w:tr w14:paraId="2D35B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418" w:hRule="atLeast"/>
          <w:jc w:val="center"/>
        </w:trPr>
        <w:tc>
          <w:tcPr>
            <w:tcW w:w="275" w:type="pct"/>
            <w:vMerge w:val="continue"/>
            <w:tcBorders>
              <w:right w:val="single" w:color="auto" w:sz="4" w:space="0"/>
              <w:tl2br w:val="nil"/>
              <w:tr2bl w:val="nil"/>
            </w:tcBorders>
            <w:vAlign w:val="center"/>
          </w:tcPr>
          <w:p w14:paraId="1B1FBB71">
            <w:pPr>
              <w:snapToGrid w:val="0"/>
              <w:spacing w:line="240" w:lineRule="auto"/>
              <w:ind w:firstLine="0" w:firstLineChars="0"/>
              <w:jc w:val="center"/>
              <w:rPr>
                <w:rFonts w:ascii="Times New Roman" w:hAnsi="Times New Roman" w:eastAsia="宋体"/>
                <w:b/>
                <w:bCs/>
                <w:color w:val="auto"/>
                <w:sz w:val="21"/>
                <w:szCs w:val="21"/>
                <w:highlight w:val="none"/>
              </w:rPr>
            </w:pPr>
          </w:p>
        </w:tc>
        <w:tc>
          <w:tcPr>
            <w:tcW w:w="968" w:type="pct"/>
            <w:gridSpan w:val="3"/>
            <w:vMerge w:val="continue"/>
            <w:tcBorders>
              <w:left w:val="single" w:color="auto" w:sz="4" w:space="0"/>
              <w:tl2br w:val="nil"/>
              <w:tr2bl w:val="nil"/>
            </w:tcBorders>
            <w:vAlign w:val="center"/>
          </w:tcPr>
          <w:p w14:paraId="3B22F91F">
            <w:pPr>
              <w:snapToGrid w:val="0"/>
              <w:spacing w:line="240" w:lineRule="auto"/>
              <w:ind w:firstLine="0" w:firstLineChars="0"/>
              <w:jc w:val="center"/>
              <w:rPr>
                <w:rFonts w:ascii="Times New Roman" w:hAnsi="Times New Roman" w:eastAsia="宋体"/>
                <w:b/>
                <w:bCs/>
                <w:color w:val="auto"/>
                <w:sz w:val="21"/>
                <w:szCs w:val="21"/>
                <w:highlight w:val="none"/>
              </w:rPr>
            </w:pPr>
          </w:p>
        </w:tc>
        <w:tc>
          <w:tcPr>
            <w:tcW w:w="503" w:type="pct"/>
            <w:tcBorders>
              <w:tl2br w:val="nil"/>
              <w:tr2bl w:val="nil"/>
            </w:tcBorders>
            <w:vAlign w:val="center"/>
          </w:tcPr>
          <w:p w14:paraId="57808768">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大气</w:t>
            </w:r>
          </w:p>
        </w:tc>
        <w:tc>
          <w:tcPr>
            <w:tcW w:w="484" w:type="pct"/>
            <w:tcBorders>
              <w:tl2br w:val="nil"/>
              <w:tr2bl w:val="nil"/>
            </w:tcBorders>
            <w:vAlign w:val="center"/>
          </w:tcPr>
          <w:p w14:paraId="63916CD3">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地表水</w:t>
            </w:r>
          </w:p>
        </w:tc>
        <w:tc>
          <w:tcPr>
            <w:tcW w:w="518" w:type="pct"/>
            <w:tcBorders>
              <w:tl2br w:val="nil"/>
              <w:tr2bl w:val="nil"/>
            </w:tcBorders>
            <w:vAlign w:val="center"/>
          </w:tcPr>
          <w:p w14:paraId="39808090">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地下水</w:t>
            </w:r>
          </w:p>
        </w:tc>
        <w:tc>
          <w:tcPr>
            <w:tcW w:w="536" w:type="pct"/>
            <w:tcBorders>
              <w:tl2br w:val="nil"/>
              <w:tr2bl w:val="nil"/>
            </w:tcBorders>
            <w:vAlign w:val="center"/>
          </w:tcPr>
          <w:p w14:paraId="41B4A3DB">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噪声</w:t>
            </w:r>
          </w:p>
        </w:tc>
        <w:tc>
          <w:tcPr>
            <w:tcW w:w="522" w:type="pct"/>
            <w:tcBorders>
              <w:tl2br w:val="nil"/>
              <w:tr2bl w:val="nil"/>
            </w:tcBorders>
            <w:vAlign w:val="center"/>
          </w:tcPr>
          <w:p w14:paraId="115832DD">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生态</w:t>
            </w:r>
          </w:p>
        </w:tc>
        <w:tc>
          <w:tcPr>
            <w:tcW w:w="582" w:type="pct"/>
            <w:tcBorders>
              <w:right w:val="single" w:color="auto" w:sz="4" w:space="0"/>
              <w:tl2br w:val="nil"/>
              <w:tr2bl w:val="nil"/>
            </w:tcBorders>
            <w:vAlign w:val="center"/>
          </w:tcPr>
          <w:p w14:paraId="175B2AFB">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土壤</w:t>
            </w:r>
          </w:p>
        </w:tc>
        <w:tc>
          <w:tcPr>
            <w:tcW w:w="573" w:type="pct"/>
            <w:tcBorders>
              <w:right w:val="single" w:color="auto" w:sz="4" w:space="0"/>
              <w:tl2br w:val="nil"/>
              <w:tr2bl w:val="nil"/>
            </w:tcBorders>
            <w:vAlign w:val="center"/>
          </w:tcPr>
          <w:p w14:paraId="782DCB21">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居民生活</w:t>
            </w:r>
          </w:p>
        </w:tc>
      </w:tr>
      <w:tr w14:paraId="69B44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restart"/>
            <w:tcBorders>
              <w:right w:val="single" w:color="auto" w:sz="4" w:space="0"/>
              <w:tl2br w:val="nil"/>
              <w:tr2bl w:val="nil"/>
            </w:tcBorders>
            <w:vAlign w:val="center"/>
          </w:tcPr>
          <w:p w14:paraId="4C29B157">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施工期</w:t>
            </w:r>
          </w:p>
        </w:tc>
        <w:tc>
          <w:tcPr>
            <w:tcW w:w="381" w:type="pct"/>
            <w:vMerge w:val="restart"/>
            <w:tcBorders>
              <w:left w:val="single" w:color="auto" w:sz="4" w:space="0"/>
              <w:right w:val="single" w:color="auto" w:sz="4" w:space="0"/>
              <w:tl2br w:val="nil"/>
              <w:tr2bl w:val="nil"/>
            </w:tcBorders>
            <w:vAlign w:val="center"/>
          </w:tcPr>
          <w:p w14:paraId="7DF2DE7F">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场区</w:t>
            </w:r>
          </w:p>
        </w:tc>
        <w:tc>
          <w:tcPr>
            <w:tcW w:w="587" w:type="pct"/>
            <w:gridSpan w:val="2"/>
            <w:tcBorders>
              <w:left w:val="single" w:color="auto" w:sz="4" w:space="0"/>
              <w:tl2br w:val="nil"/>
              <w:tr2bl w:val="nil"/>
            </w:tcBorders>
            <w:vAlign w:val="center"/>
          </w:tcPr>
          <w:p w14:paraId="7AEB6E46">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扬尘</w:t>
            </w:r>
          </w:p>
        </w:tc>
        <w:tc>
          <w:tcPr>
            <w:tcW w:w="503" w:type="pct"/>
            <w:tcBorders>
              <w:tl2br w:val="nil"/>
              <w:tr2bl w:val="nil"/>
            </w:tcBorders>
            <w:vAlign w:val="center"/>
          </w:tcPr>
          <w:p w14:paraId="61059FFD">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1312" behindDoc="0" locked="0" layoutInCell="1" allowOverlap="1">
                      <wp:simplePos x="0" y="0"/>
                      <wp:positionH relativeFrom="column">
                        <wp:posOffset>82550</wp:posOffset>
                      </wp:positionH>
                      <wp:positionV relativeFrom="paragraph">
                        <wp:posOffset>21590</wp:posOffset>
                      </wp:positionV>
                      <wp:extent cx="95250" cy="95250"/>
                      <wp:effectExtent l="2540" t="7620" r="6985" b="1905"/>
                      <wp:wrapNone/>
                      <wp:docPr id="333" name="菱形 333"/>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6.5pt;margin-top:1.7pt;height:7.5pt;width:7.5pt;z-index:251661312;mso-width-relative:page;mso-height-relative:page;" fillcolor="#000000" filled="t" stroked="f" coordsize="21600,21600" o:gfxdata="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1lwNYAAAAGAQAADwAA&#10;AAAAAAABACAAAAAiAAAAZHJzL2Rvd25yZXYueG1sUEsBAhQAFAAAAAgAh07iQHYpbacYAgAAKgQA&#10;AA4AAAAAAAAAAQAgAAAAJQEAAGRycy9lMm9Eb2MueG1sUEsFBgAAAAAGAAYAWQEAAK8FAAAAAA==&#1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484" w:type="pct"/>
            <w:tcBorders>
              <w:tl2br w:val="nil"/>
              <w:tr2bl w:val="nil"/>
            </w:tcBorders>
            <w:vAlign w:val="center"/>
          </w:tcPr>
          <w:p w14:paraId="2E6F8475">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2336" behindDoc="0" locked="0" layoutInCell="1" allowOverlap="1">
                      <wp:simplePos x="0" y="0"/>
                      <wp:positionH relativeFrom="column">
                        <wp:posOffset>144780</wp:posOffset>
                      </wp:positionH>
                      <wp:positionV relativeFrom="paragraph">
                        <wp:posOffset>50800</wp:posOffset>
                      </wp:positionV>
                      <wp:extent cx="75565" cy="75565"/>
                      <wp:effectExtent l="12065" t="8255" r="7620" b="11430"/>
                      <wp:wrapNone/>
                      <wp:docPr id="332" name="椭圆 332"/>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4pt;margin-top:4pt;height:5.95pt;width:5.95pt;z-index:251662336;mso-width-relative:page;mso-height-relative:page;" fillcolor="#FFFFFF" filled="t" stroked="t" coordsize="21600,21600" o:gfxdata="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NXa8bWAAAABgEAAA8AAAAAAAAAAQAgAAAAIgAAAGRycy9kb3ducmV2Lnht&#10;bFBLAQIUABQAAAAIAIdO4kCgPQxfNAIAAHEEAAAOAAAAAAAAAAEAIAAAACUBAABkcnMvZTJvRG9j&#10;LnhtbFBLBQYAAAAABgAGAFkBAADLBQ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5CA1213A">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3360" behindDoc="0" locked="0" layoutInCell="1" allowOverlap="1">
                      <wp:simplePos x="0" y="0"/>
                      <wp:positionH relativeFrom="column">
                        <wp:posOffset>169545</wp:posOffset>
                      </wp:positionH>
                      <wp:positionV relativeFrom="paragraph">
                        <wp:posOffset>31750</wp:posOffset>
                      </wp:positionV>
                      <wp:extent cx="75565" cy="75565"/>
                      <wp:effectExtent l="11430" t="8255" r="8255" b="11430"/>
                      <wp:wrapNone/>
                      <wp:docPr id="331" name="椭圆 331"/>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35pt;margin-top:2.5pt;height:5.95pt;width:5.95pt;z-index:251663360;mso-width-relative:page;mso-height-relative:page;" fillcolor="#FFFFFF" filled="t" stroked="t" coordsize="21600,21600" o:gfxdata="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WZrHdUAAAAGAQAADwAAAAAAAAABACAAAAAiAAAAZHJzL2Rvd25yZXYueG1s&#10;UEsBAhQAFAAAAAgAh07iQIyibYA0AgAAcQQAAA4AAAAAAAAAAQAgAAAAJAEAAGRycy9lMm9Eb2Mu&#10;eG1sUEsFBgAAAAAGAAYAWQEAAMoFAAAAAA==&#10;">
                      <v:fill on="t" focussize="0,0"/>
                      <v:stroke color="#000000" joinstyle="round"/>
                      <v:imagedata o:title=""/>
                      <o:lock v:ext="edit" aspectratio="f"/>
                    </v:shape>
                  </w:pict>
                </mc:Fallback>
              </mc:AlternateContent>
            </w:r>
          </w:p>
        </w:tc>
        <w:tc>
          <w:tcPr>
            <w:tcW w:w="536" w:type="pct"/>
            <w:tcBorders>
              <w:tl2br w:val="nil"/>
              <w:tr2bl w:val="nil"/>
            </w:tcBorders>
            <w:vAlign w:val="center"/>
          </w:tcPr>
          <w:p w14:paraId="109887BD">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4384" behindDoc="0" locked="0" layoutInCell="1" allowOverlap="1">
                      <wp:simplePos x="0" y="0"/>
                      <wp:positionH relativeFrom="column">
                        <wp:posOffset>177165</wp:posOffset>
                      </wp:positionH>
                      <wp:positionV relativeFrom="paragraph">
                        <wp:posOffset>31750</wp:posOffset>
                      </wp:positionV>
                      <wp:extent cx="75565" cy="75565"/>
                      <wp:effectExtent l="11430" t="8255" r="8255" b="11430"/>
                      <wp:wrapNone/>
                      <wp:docPr id="330" name="椭圆 33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95pt;margin-top:2.5pt;height:5.95pt;width:5.95pt;z-index:251664384;mso-width-relative:page;mso-height-relative:page;" fillcolor="#FFFFFF" filled="t" stroked="t" coordsize="21600,21600" o:gfxdata="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LxPpc1QAAAAYBAAAPAAAAAAAAAAEAIAAAACIAAABkcnMvZG93bnJldi54bWxQ&#10;SwECFAAUAAAACACHTuJAVypifDMCAABxBAAADgAAAAAAAAABACAAAAAkAQAAZHJzL2Uyb0RvYy54&#10;bWxQSwUGAAAAAAYABgBZAQAAyQUAAAAA&#10;">
                      <v:fill on="t" focussize="0,0"/>
                      <v:stroke color="#000000" joinstyle="round"/>
                      <v:imagedata o:title=""/>
                      <o:lock v:ext="edit" aspectratio="f"/>
                    </v:shape>
                  </w:pict>
                </mc:Fallback>
              </mc:AlternateContent>
            </w:r>
          </w:p>
        </w:tc>
        <w:tc>
          <w:tcPr>
            <w:tcW w:w="522" w:type="pct"/>
            <w:tcBorders>
              <w:tl2br w:val="nil"/>
              <w:tr2bl w:val="nil"/>
            </w:tcBorders>
            <w:vAlign w:val="center"/>
          </w:tcPr>
          <w:p w14:paraId="4B7931CE">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0704" behindDoc="0" locked="0" layoutInCell="1" allowOverlap="1">
                      <wp:simplePos x="0" y="0"/>
                      <wp:positionH relativeFrom="column">
                        <wp:posOffset>109855</wp:posOffset>
                      </wp:positionH>
                      <wp:positionV relativeFrom="paragraph">
                        <wp:posOffset>31750</wp:posOffset>
                      </wp:positionV>
                      <wp:extent cx="76200" cy="85725"/>
                      <wp:effectExtent l="12700" t="17780" r="15875" b="10795"/>
                      <wp:wrapNone/>
                      <wp:docPr id="329" name="等腰三角形 329"/>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65pt;margin-top:2.5pt;height:6.75pt;width:6pt;z-index:251720704;mso-width-relative:page;mso-height-relative:page;" filled="f" stroked="t" coordsize="21600,21600" o:gfxdata="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GseFXWAAAA&#10;BgEAAA8AAAAAAAAAAQAgAAAAIgAAAGRycy9kb3ducmV2LnhtbFBLAQIUABQAAAAIAIdO4kBeV2Bv&#10;WAIAAIsEAAAOAAAAAAAAAAEAIAAAACUBAABkcnMvZTJvRG9jLnhtbFBLBQYAAAAABgAGAFkBAADv&#10;BQA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82" w:type="pct"/>
            <w:tcBorders>
              <w:tl2br w:val="nil"/>
              <w:tr2bl w:val="nil"/>
            </w:tcBorders>
            <w:vAlign w:val="center"/>
          </w:tcPr>
          <w:p w14:paraId="7786F04B">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5408" behindDoc="0" locked="0" layoutInCell="1" allowOverlap="1">
                      <wp:simplePos x="0" y="0"/>
                      <wp:positionH relativeFrom="column">
                        <wp:posOffset>206375</wp:posOffset>
                      </wp:positionH>
                      <wp:positionV relativeFrom="paragraph">
                        <wp:posOffset>31750</wp:posOffset>
                      </wp:positionV>
                      <wp:extent cx="75565" cy="75565"/>
                      <wp:effectExtent l="10160" t="8255" r="9525" b="11430"/>
                      <wp:wrapNone/>
                      <wp:docPr id="328" name="椭圆 328"/>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25pt;margin-top:2.5pt;height:5.95pt;width:5.95pt;z-index:251665408;mso-width-relative:page;mso-height-relative:page;" fillcolor="#FFFFFF" filled="t" stroked="t" coordsize="21600,21600" o:gfxdata="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K95TdYAAAAGAQAADwAAAAAAAAABACAAAAAiAAAAZHJzL2Rvd25yZXYueG1s&#10;UEsBAhQAFAAAAAgAh07iQF9xJ+AzAgAAcQQAAA4AAAAAAAAAAQAgAAAAJQEAAGRycy9lMm9Eb2Mu&#10;eG1sUEsFBgAAAAAGAAYAWQEAAMoFAAAAAA==&#10;">
                      <v:fill on="t" focussize="0,0"/>
                      <v:stroke color="#000000" joinstyle="round"/>
                      <v:imagedata o:title=""/>
                      <o:lock v:ext="edit" aspectratio="f"/>
                    </v:shape>
                  </w:pict>
                </mc:Fallback>
              </mc:AlternateContent>
            </w:r>
          </w:p>
        </w:tc>
        <w:tc>
          <w:tcPr>
            <w:tcW w:w="573" w:type="pct"/>
            <w:tcBorders>
              <w:tl2br w:val="nil"/>
              <w:tr2bl w:val="nil"/>
            </w:tcBorders>
            <w:vAlign w:val="center"/>
          </w:tcPr>
          <w:p w14:paraId="4EF293EB">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2512" behindDoc="0" locked="0" layoutInCell="1" allowOverlap="1">
                      <wp:simplePos x="0" y="0"/>
                      <wp:positionH relativeFrom="column">
                        <wp:posOffset>137795</wp:posOffset>
                      </wp:positionH>
                      <wp:positionV relativeFrom="paragraph">
                        <wp:posOffset>12700</wp:posOffset>
                      </wp:positionV>
                      <wp:extent cx="76200" cy="85725"/>
                      <wp:effectExtent l="1905" t="8255" r="7620" b="1270"/>
                      <wp:wrapNone/>
                      <wp:docPr id="298" name="等腰三角形 298"/>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85pt;margin-top:1pt;height:6.75pt;width:6pt;z-index:251712512;mso-width-relative:page;mso-height-relative:page;" fillcolor="#000000" filled="t" stroked="f" coordsize="21600,21600" o:gfxdata="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CoE50wAAAAYBAAAPAAAAAAAAAAEAIAAAACIAAABk&#10;cnMvZG93bnJldi54bWxQSwECFAAUAAAACACHTuJASgaMvUQCAABgBAAADgAAAAAAAAABACAAAAAi&#10;AQAAZHJzL2Uyb0RvYy54bWxQSwUGAAAAAAYABgBZAQAA2AU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r>
      <w:tr w14:paraId="628B3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14:paraId="6557E0A5">
            <w:pPr>
              <w:snapToGrid w:val="0"/>
              <w:spacing w:line="240" w:lineRule="auto"/>
              <w:ind w:firstLine="0" w:firstLineChars="0"/>
              <w:jc w:val="center"/>
              <w:rPr>
                <w:rFonts w:ascii="Times New Roman" w:hAnsi="Times New Roman" w:eastAsia="宋体"/>
                <w:color w:val="auto"/>
                <w:sz w:val="21"/>
                <w:szCs w:val="21"/>
                <w:highlight w:val="none"/>
              </w:rPr>
            </w:pPr>
          </w:p>
        </w:tc>
        <w:tc>
          <w:tcPr>
            <w:tcW w:w="381" w:type="pct"/>
            <w:vMerge w:val="continue"/>
            <w:tcBorders>
              <w:left w:val="single" w:color="auto" w:sz="4" w:space="0"/>
              <w:right w:val="single" w:color="auto" w:sz="4" w:space="0"/>
              <w:tl2br w:val="nil"/>
              <w:tr2bl w:val="nil"/>
            </w:tcBorders>
            <w:vAlign w:val="center"/>
          </w:tcPr>
          <w:p w14:paraId="4FF0C3A2">
            <w:pPr>
              <w:snapToGrid w:val="0"/>
              <w:spacing w:line="240" w:lineRule="auto"/>
              <w:ind w:firstLine="0" w:firstLineChars="0"/>
              <w:jc w:val="center"/>
              <w:rPr>
                <w:rFonts w:ascii="Times New Roman" w:hAnsi="Times New Roman" w:eastAsia="宋体"/>
                <w:color w:val="auto"/>
                <w:sz w:val="21"/>
                <w:szCs w:val="21"/>
                <w:highlight w:val="none"/>
              </w:rPr>
            </w:pPr>
          </w:p>
        </w:tc>
        <w:tc>
          <w:tcPr>
            <w:tcW w:w="587" w:type="pct"/>
            <w:gridSpan w:val="2"/>
            <w:tcBorders>
              <w:left w:val="single" w:color="auto" w:sz="4" w:space="0"/>
              <w:tl2br w:val="nil"/>
              <w:tr2bl w:val="nil"/>
            </w:tcBorders>
            <w:vAlign w:val="center"/>
          </w:tcPr>
          <w:p w14:paraId="665BF56E">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施工废水</w:t>
            </w:r>
          </w:p>
        </w:tc>
        <w:tc>
          <w:tcPr>
            <w:tcW w:w="503" w:type="pct"/>
            <w:tcBorders>
              <w:tl2br w:val="nil"/>
              <w:tr2bl w:val="nil"/>
            </w:tcBorders>
            <w:vAlign w:val="center"/>
          </w:tcPr>
          <w:p w14:paraId="3CDBE585">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7456" behindDoc="0" locked="0" layoutInCell="1" allowOverlap="1">
                      <wp:simplePos x="0" y="0"/>
                      <wp:positionH relativeFrom="column">
                        <wp:posOffset>149860</wp:posOffset>
                      </wp:positionH>
                      <wp:positionV relativeFrom="paragraph">
                        <wp:posOffset>52705</wp:posOffset>
                      </wp:positionV>
                      <wp:extent cx="75565" cy="75565"/>
                      <wp:effectExtent l="12700" t="8255" r="6985" b="11430"/>
                      <wp:wrapNone/>
                      <wp:docPr id="297" name="椭圆 297"/>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8pt;margin-top:4.15pt;height:5.95pt;width:5.95pt;z-index:251667456;mso-width-relative:page;mso-height-relative:page;" fillcolor="#FFFFFF" filled="t" stroked="t" coordsize="21600,21600" o:gfxdata="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SCv4bUAAAABgEAAA8AAAAAAAAAAQAgAAAAIgAAAGRycy9kb3ducmV2LnhtbFBL&#10;AQIUABQAAAAIAIdO4kBUXmLIMwIAAHEEAAAOAAAAAAAAAAEAIAAAACMBAABkcnMvZTJvRG9jLnht&#10;bFBLBQYAAAAABgAGAFkBAADIBQAAAAA=&#10;">
                      <v:fill on="t" focussize="0,0"/>
                      <v:stroke color="#000000" joinstyle="round"/>
                      <v:imagedata o:title=""/>
                      <o:lock v:ext="edit" aspectratio="f"/>
                    </v:shape>
                  </w:pict>
                </mc:Fallback>
              </mc:AlternateContent>
            </w:r>
          </w:p>
        </w:tc>
        <w:tc>
          <w:tcPr>
            <w:tcW w:w="484" w:type="pct"/>
            <w:tcBorders>
              <w:tl2br w:val="nil"/>
              <w:tr2bl w:val="nil"/>
            </w:tcBorders>
            <w:vAlign w:val="center"/>
          </w:tcPr>
          <w:p w14:paraId="72991A4B">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9504" behindDoc="0" locked="0" layoutInCell="1" allowOverlap="1">
                      <wp:simplePos x="0" y="0"/>
                      <wp:positionH relativeFrom="column">
                        <wp:posOffset>135255</wp:posOffset>
                      </wp:positionH>
                      <wp:positionV relativeFrom="paragraph">
                        <wp:posOffset>43180</wp:posOffset>
                      </wp:positionV>
                      <wp:extent cx="75565" cy="75565"/>
                      <wp:effectExtent l="12065" t="8255" r="7620" b="11430"/>
                      <wp:wrapNone/>
                      <wp:docPr id="296" name="椭圆 296"/>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0.65pt;margin-top:3.4pt;height:5.95pt;width:5.95pt;z-index:251669504;mso-width-relative:page;mso-height-relative:page;" fillcolor="#FFFFFF" filled="t" stroked="t" coordsize="21600,21600" o:gfxdata="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ugS31QAAAAYBAAAPAAAAAAAAAAEAIAAAACIAAABkcnMvZG93bnJldi54bWxQ&#10;SwECFAAUAAAACACHTuJAj9ZtNDMCAABxBAAADgAAAAAAAAABACAAAAAkAQAAZHJzL2Uyb0RvYy54&#10;bWxQSwUGAAAAAAYABgBZAQAAyQU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36C5773E">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9440" behindDoc="0" locked="0" layoutInCell="1" allowOverlap="1">
                      <wp:simplePos x="0" y="0"/>
                      <wp:positionH relativeFrom="column">
                        <wp:posOffset>113665</wp:posOffset>
                      </wp:positionH>
                      <wp:positionV relativeFrom="paragraph">
                        <wp:posOffset>5080</wp:posOffset>
                      </wp:positionV>
                      <wp:extent cx="76200" cy="85725"/>
                      <wp:effectExtent l="3175" t="8255" r="6350" b="1270"/>
                      <wp:wrapNone/>
                      <wp:docPr id="295" name="等腰三角形 295"/>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95pt;margin-top:0.4pt;height:6.75pt;width:6pt;z-index:251709440;mso-width-relative:page;mso-height-relative:page;" fillcolor="#000000" filled="t" stroked="f" coordsize="21600,21600" o:gfxdata="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t+BRr0QAAAAUBAAAPAAAAAAAAAAEAIAAAACIAAABkcnMv&#10;ZG93bnJldi54bWxQSwECFAAUAAAACACHTuJA/kynZ0MCAABgBAAADgAAAAAAAAABACAAAAAgAQAA&#10;ZHJzL2Uyb0RvYy54bWxQSwUGAAAAAAYABgBZAQAA1QU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36" w:type="pct"/>
            <w:tcBorders>
              <w:tl2br w:val="nil"/>
              <w:tr2bl w:val="nil"/>
            </w:tcBorders>
            <w:vAlign w:val="center"/>
          </w:tcPr>
          <w:p w14:paraId="25FE7DE3">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2816" behindDoc="0" locked="0" layoutInCell="1" allowOverlap="1">
                      <wp:simplePos x="0" y="0"/>
                      <wp:positionH relativeFrom="column">
                        <wp:posOffset>167640</wp:posOffset>
                      </wp:positionH>
                      <wp:positionV relativeFrom="paragraph">
                        <wp:posOffset>43180</wp:posOffset>
                      </wp:positionV>
                      <wp:extent cx="75565" cy="75565"/>
                      <wp:effectExtent l="11430" t="8255" r="8255" b="11430"/>
                      <wp:wrapNone/>
                      <wp:docPr id="294" name="椭圆 294"/>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2pt;margin-top:3.4pt;height:5.95pt;width:5.95pt;z-index:251682816;mso-width-relative:page;mso-height-relative:page;" fillcolor="#FFFFFF" filled="t" stroked="t" coordsize="21600,21600" o:gfxdata="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MGr0J1QAAAAYBAAAPAAAAAAAAAAEAIAAAACIAAABkcnMvZG93bnJldi54bWxQ&#10;SwECFAAUAAAACACHTuJAeMEDFzMCAABxBAAADgAAAAAAAAABACAAAAAkAQAAZHJzL2Uyb0RvYy54&#10;bWxQSwUGAAAAAAYABgBZAQAAyQUAAAAA&#10;">
                      <v:fill on="t" focussize="0,0"/>
                      <v:stroke color="#000000" joinstyle="round"/>
                      <v:imagedata o:title=""/>
                      <o:lock v:ext="edit" aspectratio="f"/>
                    </v:shape>
                  </w:pict>
                </mc:Fallback>
              </mc:AlternateContent>
            </w:r>
          </w:p>
        </w:tc>
        <w:tc>
          <w:tcPr>
            <w:tcW w:w="522" w:type="pct"/>
            <w:tcBorders>
              <w:tl2br w:val="nil"/>
              <w:tr2bl w:val="nil"/>
            </w:tcBorders>
            <w:vAlign w:val="center"/>
          </w:tcPr>
          <w:p w14:paraId="47588AC5">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1728" behindDoc="0" locked="0" layoutInCell="1" allowOverlap="1">
                      <wp:simplePos x="0" y="0"/>
                      <wp:positionH relativeFrom="column">
                        <wp:posOffset>109855</wp:posOffset>
                      </wp:positionH>
                      <wp:positionV relativeFrom="paragraph">
                        <wp:posOffset>5080</wp:posOffset>
                      </wp:positionV>
                      <wp:extent cx="76200" cy="85725"/>
                      <wp:effectExtent l="12700" t="17780" r="15875" b="10795"/>
                      <wp:wrapNone/>
                      <wp:docPr id="293" name="等腰三角形 293"/>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65pt;margin-top:0.4pt;height:6.75pt;width:6pt;z-index:251721728;mso-width-relative:page;mso-height-relative:page;" filled="f" stroked="t" coordsize="21600,21600" o:gfxdata="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ckL0C1AAAAAUB&#10;AAAPAAAAAAAAAAEAIAAAACIAAABkcnMvZG93bnJldi54bWxQSwECFAAUAAAACACHTuJAbWvhjlgC&#10;AACLBAAADgAAAAAAAAABACAAAAAjAQAAZHJzL2Uyb0RvYy54bWxQSwUGAAAAAAYABgBZAQAA7QUA&#10;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82" w:type="pct"/>
            <w:tcBorders>
              <w:tl2br w:val="nil"/>
              <w:tr2bl w:val="nil"/>
            </w:tcBorders>
            <w:vAlign w:val="center"/>
          </w:tcPr>
          <w:p w14:paraId="411EC381">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5824" behindDoc="0" locked="0" layoutInCell="1" allowOverlap="1">
                      <wp:simplePos x="0" y="0"/>
                      <wp:positionH relativeFrom="column">
                        <wp:posOffset>151130</wp:posOffset>
                      </wp:positionH>
                      <wp:positionV relativeFrom="paragraph">
                        <wp:posOffset>14605</wp:posOffset>
                      </wp:positionV>
                      <wp:extent cx="76200" cy="85725"/>
                      <wp:effectExtent l="21590" t="17780" r="16510" b="10795"/>
                      <wp:wrapNone/>
                      <wp:docPr id="292" name="等腰三角形 292"/>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1.9pt;margin-top:1.15pt;height:6.75pt;width:6pt;z-index:251725824;mso-width-relative:page;mso-height-relative:page;" filled="f" stroked="t" coordsize="21600,21600" o:gfxdata="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M+6S1AAAAAYB&#10;AAAPAAAAAAAAAAEAIAAAACIAAABkcnMvZG93bnJldi54bWxQSwECFAAUAAAACACHTuJA7EYVl1gC&#10;AACLBAAADgAAAAAAAAABACAAAAAjAQAAZHJzL2Uyb0RvYy54bWxQSwUGAAAAAAYABgBZAQAA7QUA&#10;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73" w:type="pct"/>
            <w:tcBorders>
              <w:tl2br w:val="nil"/>
              <w:tr2bl w:val="nil"/>
            </w:tcBorders>
            <w:vAlign w:val="center"/>
          </w:tcPr>
          <w:p w14:paraId="78E0A405">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6432" behindDoc="0" locked="0" layoutInCell="1" allowOverlap="1">
                      <wp:simplePos x="0" y="0"/>
                      <wp:positionH relativeFrom="column">
                        <wp:posOffset>212090</wp:posOffset>
                      </wp:positionH>
                      <wp:positionV relativeFrom="paragraph">
                        <wp:posOffset>43180</wp:posOffset>
                      </wp:positionV>
                      <wp:extent cx="75565" cy="75565"/>
                      <wp:effectExtent l="9525" t="8255" r="10160" b="11430"/>
                      <wp:wrapNone/>
                      <wp:docPr id="291" name="椭圆 291"/>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7pt;margin-top:3.4pt;height:5.95pt;width:5.95pt;z-index:251666432;mso-width-relative:page;mso-height-relative:page;" fillcolor="#FFFFFF" filled="t" stroked="t" coordsize="21600,21600" o:gfxdata="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4RNb1QAAAAYBAAAPAAAAAAAAAAEAIAAAACIAAABkcnMvZG93bnJldi54bWxQ&#10;SwECFAAUAAAACACHTuJATWbQrTMCAABxBAAADgAAAAAAAAABACAAAAAkAQAAZHJzL2Uyb0RvYy54&#10;bWxQSwUGAAAAAAYABgBZAQAAyQUAAAAA&#10;">
                      <v:fill on="t" focussize="0,0"/>
                      <v:stroke color="#000000" joinstyle="round"/>
                      <v:imagedata o:title=""/>
                      <o:lock v:ext="edit" aspectratio="f"/>
                    </v:shape>
                  </w:pict>
                </mc:Fallback>
              </mc:AlternateContent>
            </w:r>
          </w:p>
        </w:tc>
      </w:tr>
      <w:tr w14:paraId="4893F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14:paraId="7DCBB282">
            <w:pPr>
              <w:snapToGrid w:val="0"/>
              <w:spacing w:line="240" w:lineRule="auto"/>
              <w:ind w:firstLine="0" w:firstLineChars="0"/>
              <w:jc w:val="center"/>
              <w:rPr>
                <w:rFonts w:ascii="Times New Roman" w:hAnsi="Times New Roman" w:eastAsia="宋体"/>
                <w:color w:val="auto"/>
                <w:sz w:val="21"/>
                <w:szCs w:val="21"/>
                <w:highlight w:val="none"/>
              </w:rPr>
            </w:pPr>
          </w:p>
        </w:tc>
        <w:tc>
          <w:tcPr>
            <w:tcW w:w="381" w:type="pct"/>
            <w:vMerge w:val="continue"/>
            <w:tcBorders>
              <w:left w:val="single" w:color="auto" w:sz="4" w:space="0"/>
              <w:right w:val="single" w:color="auto" w:sz="4" w:space="0"/>
              <w:tl2br w:val="nil"/>
              <w:tr2bl w:val="nil"/>
            </w:tcBorders>
            <w:vAlign w:val="center"/>
          </w:tcPr>
          <w:p w14:paraId="5AFF2023">
            <w:pPr>
              <w:snapToGrid w:val="0"/>
              <w:spacing w:line="240" w:lineRule="auto"/>
              <w:ind w:firstLine="0" w:firstLineChars="0"/>
              <w:jc w:val="center"/>
              <w:rPr>
                <w:rFonts w:ascii="Times New Roman" w:hAnsi="Times New Roman" w:eastAsia="宋体"/>
                <w:color w:val="auto"/>
                <w:sz w:val="21"/>
                <w:szCs w:val="21"/>
                <w:highlight w:val="none"/>
              </w:rPr>
            </w:pPr>
          </w:p>
        </w:tc>
        <w:tc>
          <w:tcPr>
            <w:tcW w:w="587" w:type="pct"/>
            <w:gridSpan w:val="2"/>
            <w:tcBorders>
              <w:left w:val="single" w:color="auto" w:sz="4" w:space="0"/>
              <w:tl2br w:val="nil"/>
              <w:tr2bl w:val="nil"/>
            </w:tcBorders>
            <w:vAlign w:val="center"/>
          </w:tcPr>
          <w:p w14:paraId="38F7A918">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施工噪声</w:t>
            </w:r>
          </w:p>
        </w:tc>
        <w:tc>
          <w:tcPr>
            <w:tcW w:w="503" w:type="pct"/>
            <w:tcBorders>
              <w:tl2br w:val="nil"/>
              <w:tr2bl w:val="nil"/>
            </w:tcBorders>
            <w:vAlign w:val="center"/>
          </w:tcPr>
          <w:p w14:paraId="1885D42F">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68480" behindDoc="0" locked="0" layoutInCell="1" allowOverlap="1">
                      <wp:simplePos x="0" y="0"/>
                      <wp:positionH relativeFrom="column">
                        <wp:posOffset>149860</wp:posOffset>
                      </wp:positionH>
                      <wp:positionV relativeFrom="paragraph">
                        <wp:posOffset>44450</wp:posOffset>
                      </wp:positionV>
                      <wp:extent cx="75565" cy="75565"/>
                      <wp:effectExtent l="12700" t="7620" r="6985" b="12065"/>
                      <wp:wrapNone/>
                      <wp:docPr id="290" name="椭圆 29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8pt;margin-top:3.5pt;height:5.95pt;width:5.95pt;z-index:251668480;mso-width-relative:page;mso-height-relative:page;" fillcolor="#FFFFFF" filled="t" stroked="t" coordsize="21600,21600" o:gfxdata="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4U5t1QAAAAYBAAAPAAAAAAAAAAEAIAAAACIAAABkcnMvZG93bnJldi54bWxQ&#10;SwECFAAUAAAACACHTuJAlu7fUTMCAABxBAAADgAAAAAAAAABACAAAAAkAQAAZHJzL2Uyb0RvYy54&#10;bWxQSwUGAAAAAAYABgBZAQAAyQUAAAAA&#10;">
                      <v:fill on="t" focussize="0,0"/>
                      <v:stroke color="#000000" joinstyle="round"/>
                      <v:imagedata o:title=""/>
                      <o:lock v:ext="edit" aspectratio="f"/>
                    </v:shape>
                  </w:pict>
                </mc:Fallback>
              </mc:AlternateContent>
            </w:r>
          </w:p>
        </w:tc>
        <w:tc>
          <w:tcPr>
            <w:tcW w:w="484" w:type="pct"/>
            <w:tcBorders>
              <w:tl2br w:val="nil"/>
              <w:tr2bl w:val="nil"/>
            </w:tcBorders>
            <w:vAlign w:val="center"/>
          </w:tcPr>
          <w:p w14:paraId="2B2E7CA7">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0528" behindDoc="0" locked="0" layoutInCell="1" allowOverlap="1">
                      <wp:simplePos x="0" y="0"/>
                      <wp:positionH relativeFrom="column">
                        <wp:posOffset>154305</wp:posOffset>
                      </wp:positionH>
                      <wp:positionV relativeFrom="paragraph">
                        <wp:posOffset>44450</wp:posOffset>
                      </wp:positionV>
                      <wp:extent cx="75565" cy="75565"/>
                      <wp:effectExtent l="12065" t="7620" r="7620" b="12065"/>
                      <wp:wrapNone/>
                      <wp:docPr id="289" name="椭圆 28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2.15pt;margin-top:3.5pt;height:5.95pt;width:5.95pt;z-index:251670528;mso-width-relative:page;mso-height-relative:page;" fillcolor="#FFFFFF" filled="t" stroked="t" coordsize="21600,21600" o:gfxdata="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T+wP71QAAAAYBAAAPAAAAAAAAAAEAIAAAACIAAABkcnMvZG93bnJldi54bWxQ&#10;SwECFAAUAAAACACHTuJART2VMTMCAABxBAAADgAAAAAAAAABACAAAAAkAQAAZHJzL2Uyb0RvYy54&#10;bWxQSwUGAAAAAAYABgBZAQAAyQU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206CAD5C">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7696" behindDoc="0" locked="0" layoutInCell="1" allowOverlap="1">
                      <wp:simplePos x="0" y="0"/>
                      <wp:positionH relativeFrom="column">
                        <wp:posOffset>169545</wp:posOffset>
                      </wp:positionH>
                      <wp:positionV relativeFrom="paragraph">
                        <wp:posOffset>53975</wp:posOffset>
                      </wp:positionV>
                      <wp:extent cx="75565" cy="75565"/>
                      <wp:effectExtent l="11430" t="7620" r="8255" b="12065"/>
                      <wp:wrapNone/>
                      <wp:docPr id="288" name="椭圆 288"/>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35pt;margin-top:4.25pt;height:5.95pt;width:5.95pt;z-index:251677696;mso-width-relative:page;mso-height-relative:page;" fillcolor="#FFFFFF" filled="t" stroked="t" coordsize="21600,21600" o:gfxdata="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6Q+U/UAAAABgEAAA8AAAAAAAAAAQAgAAAAIgAAAGRycy9kb3ducmV2LnhtbFBL&#10;AQIUABQAAAAIAIdO4kCetZrNMwIAAHEEAAAOAAAAAAAAAAEAIAAAACMBAABkcnMvZTJvRG9jLnht&#10;bFBLBQYAAAAABgAGAFkBAADIBQAAAAA=&#10;">
                      <v:fill on="t" focussize="0,0"/>
                      <v:stroke color="#000000" joinstyle="round"/>
                      <v:imagedata o:title=""/>
                      <o:lock v:ext="edit" aspectratio="f"/>
                    </v:shape>
                  </w:pict>
                </mc:Fallback>
              </mc:AlternateContent>
            </w:r>
          </w:p>
        </w:tc>
        <w:tc>
          <w:tcPr>
            <w:tcW w:w="536" w:type="pct"/>
            <w:tcBorders>
              <w:tl2br w:val="nil"/>
              <w:tr2bl w:val="nil"/>
            </w:tcBorders>
            <w:vAlign w:val="center"/>
          </w:tcPr>
          <w:p w14:paraId="58389D4B">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3296" behindDoc="0" locked="0" layoutInCell="1" allowOverlap="1">
                      <wp:simplePos x="0" y="0"/>
                      <wp:positionH relativeFrom="column">
                        <wp:posOffset>121285</wp:posOffset>
                      </wp:positionH>
                      <wp:positionV relativeFrom="paragraph">
                        <wp:posOffset>24765</wp:posOffset>
                      </wp:positionV>
                      <wp:extent cx="95250" cy="95250"/>
                      <wp:effectExtent l="3175" t="6985" r="6350" b="2540"/>
                      <wp:wrapNone/>
                      <wp:docPr id="95" name="菱形 95"/>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9.55pt;margin-top:1.95pt;height:7.5pt;width:7.5pt;z-index:251703296;mso-width-relative:page;mso-height-relative:page;" fillcolor="#000000" filled="t" stroked="f" coordsize="21600,21600" o:gfxdata="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mS7gbVAAAABgEAAA8AAAAA&#10;AAAAAQAgAAAAIgAAAGRycy9kb3ducmV2LnhtbFBLAQIUABQAAAAIAIdO4kDNLABKFwIAACgEAAAO&#10;AAAAAAAAAAEAIAAAACQBAABkcnMvZTJvRG9jLnhtbFBLBQYAAAAABgAGAFkBAACtBQAAAAA=&#1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22" w:type="pct"/>
            <w:tcBorders>
              <w:tl2br w:val="nil"/>
              <w:tr2bl w:val="nil"/>
            </w:tcBorders>
            <w:vAlign w:val="center"/>
          </w:tcPr>
          <w:p w14:paraId="4754036C">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2752" behindDoc="0" locked="0" layoutInCell="1" allowOverlap="1">
                      <wp:simplePos x="0" y="0"/>
                      <wp:positionH relativeFrom="column">
                        <wp:posOffset>100330</wp:posOffset>
                      </wp:positionH>
                      <wp:positionV relativeFrom="paragraph">
                        <wp:posOffset>25400</wp:posOffset>
                      </wp:positionV>
                      <wp:extent cx="76200" cy="85725"/>
                      <wp:effectExtent l="12700" t="17145" r="15875" b="11430"/>
                      <wp:wrapNone/>
                      <wp:docPr id="94" name="等腰三角形 94"/>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7.9pt;margin-top:2pt;height:6.75pt;width:6pt;z-index:251722752;mso-width-relative:page;mso-height-relative:page;" filled="f" stroked="t" coordsize="21600,21600" o:gfxdata="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oRxV61QAAAAYB&#10;AAAPAAAAAAAAAAEAIAAAACIAAABkcnMvZG93bnJldi54bWxQSwECFAAUAAAACACHTuJASOFYU1cC&#10;AACJBAAADgAAAAAAAAABACAAAAAkAQAAZHJzL2Uyb0RvYy54bWxQSwUGAAAAAAYABgBZAQAA7QUA&#10;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82" w:type="pct"/>
            <w:tcBorders>
              <w:tl2br w:val="nil"/>
              <w:tr2bl w:val="nil"/>
            </w:tcBorders>
            <w:vAlign w:val="center"/>
          </w:tcPr>
          <w:p w14:paraId="18AF4171">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2032" behindDoc="0" locked="0" layoutInCell="1" allowOverlap="1">
                      <wp:simplePos x="0" y="0"/>
                      <wp:positionH relativeFrom="column">
                        <wp:posOffset>234950</wp:posOffset>
                      </wp:positionH>
                      <wp:positionV relativeFrom="paragraph">
                        <wp:posOffset>34925</wp:posOffset>
                      </wp:positionV>
                      <wp:extent cx="75565" cy="75565"/>
                      <wp:effectExtent l="10160" t="7620" r="9525" b="12065"/>
                      <wp:wrapNone/>
                      <wp:docPr id="93" name="椭圆 93"/>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8.5pt;margin-top:2.75pt;height:5.95pt;width:5.95pt;z-index:251692032;mso-width-relative:page;mso-height-relative:page;" fillcolor="#FFFFFF" filled="t" stroked="t" coordsize="21600,21600" o:gfxdata="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CTGdW1gAAAAYBAAAPAAAAAAAAAAEAIAAAACIAAABkcnMvZG93bnJldi54bWxQ&#10;SwECFAAUAAAACACHTuJAdg0vnzICAABvBAAADgAAAAAAAAABACAAAAAlAQAAZHJzL2Uyb0RvYy54&#10;bWxQSwUGAAAAAAYABgBZAQAAyQUAAAAA&#10;">
                      <v:fill on="t" focussize="0,0"/>
                      <v:stroke color="#000000" joinstyle="round"/>
                      <v:imagedata o:title=""/>
                      <o:lock v:ext="edit" aspectratio="f"/>
                    </v:shape>
                  </w:pict>
                </mc:Fallback>
              </mc:AlternateContent>
            </w:r>
          </w:p>
        </w:tc>
        <w:tc>
          <w:tcPr>
            <w:tcW w:w="573" w:type="pct"/>
            <w:tcBorders>
              <w:tl2br w:val="nil"/>
              <w:tr2bl w:val="nil"/>
            </w:tcBorders>
            <w:vAlign w:val="center"/>
          </w:tcPr>
          <w:p w14:paraId="45E9B75B">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7872" behindDoc="0" locked="0" layoutInCell="1" allowOverlap="1">
                      <wp:simplePos x="0" y="0"/>
                      <wp:positionH relativeFrom="column">
                        <wp:posOffset>137795</wp:posOffset>
                      </wp:positionH>
                      <wp:positionV relativeFrom="paragraph">
                        <wp:posOffset>25400</wp:posOffset>
                      </wp:positionV>
                      <wp:extent cx="76200" cy="85725"/>
                      <wp:effectExtent l="20955" t="17145" r="17145" b="11430"/>
                      <wp:wrapNone/>
                      <wp:docPr id="92" name="等腰三角形 92"/>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85pt;margin-top:2pt;height:6.75pt;width:6pt;z-index:251727872;mso-width-relative:page;mso-height-relative:page;" filled="f" stroked="t" coordsize="21600,21600" o:gfxdata="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yQFu1QAAAAYB&#10;AAAPAAAAAAAAAAEAIAAAACIAAABkcnMvZG93bnJldi54bWxQSwECFAAUAAAACACHTuJAj2rgolcC&#10;AACJBAAADgAAAAAAAAABACAAAAAkAQAAZHJzL2Uyb0RvYy54bWxQSwUGAAAAAAYABgBZAQAA7QUA&#10;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S</w:t>
            </w:r>
          </w:p>
        </w:tc>
      </w:tr>
      <w:tr w14:paraId="0FEA8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14:paraId="3A4B652B">
            <w:pPr>
              <w:snapToGrid w:val="0"/>
              <w:spacing w:line="240" w:lineRule="auto"/>
              <w:ind w:firstLine="0" w:firstLineChars="0"/>
              <w:jc w:val="center"/>
              <w:rPr>
                <w:rFonts w:ascii="Times New Roman" w:hAnsi="Times New Roman" w:eastAsia="宋体"/>
                <w:color w:val="auto"/>
                <w:sz w:val="21"/>
                <w:szCs w:val="21"/>
                <w:highlight w:val="none"/>
              </w:rPr>
            </w:pPr>
          </w:p>
        </w:tc>
        <w:tc>
          <w:tcPr>
            <w:tcW w:w="968" w:type="pct"/>
            <w:gridSpan w:val="3"/>
            <w:tcBorders>
              <w:tl2br w:val="nil"/>
              <w:tr2bl w:val="nil"/>
            </w:tcBorders>
            <w:vAlign w:val="center"/>
          </w:tcPr>
          <w:p w14:paraId="4D6AB6D2">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车辆运输</w:t>
            </w:r>
          </w:p>
        </w:tc>
        <w:tc>
          <w:tcPr>
            <w:tcW w:w="503" w:type="pct"/>
            <w:tcBorders>
              <w:tl2br w:val="nil"/>
              <w:tr2bl w:val="nil"/>
            </w:tcBorders>
            <w:vAlign w:val="center"/>
          </w:tcPr>
          <w:p w14:paraId="3C7537E6">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5344" behindDoc="0" locked="0" layoutInCell="1" allowOverlap="1">
                      <wp:simplePos x="0" y="0"/>
                      <wp:positionH relativeFrom="column">
                        <wp:posOffset>93980</wp:posOffset>
                      </wp:positionH>
                      <wp:positionV relativeFrom="paragraph">
                        <wp:posOffset>17780</wp:posOffset>
                      </wp:positionV>
                      <wp:extent cx="76200" cy="85725"/>
                      <wp:effectExtent l="4445" t="8255" r="5080" b="1270"/>
                      <wp:wrapNone/>
                      <wp:docPr id="91" name="等腰三角形 91"/>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7.4pt;margin-top:1.4pt;height:6.75pt;width:6pt;z-index:251705344;mso-width-relative:page;mso-height-relative:page;" fillcolor="#000000" filled="t" stroked="f" coordsize="21600,21600" o:gfxdata="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hoA5PRAAAABgEAAA8AAAAAAAAAAQAgAAAAIgAAAGRycy9k&#10;b3ducmV2LnhtbFBLAQIUABQAAAAIAIdO4kAXIAcqQgIAAF4EAAAOAAAAAAAAAAEAIAAAACABAABk&#10;cnMvZTJvRG9jLnhtbFBLBQYAAAAABgAGAFkBAADUBQ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484" w:type="pct"/>
            <w:tcBorders>
              <w:tl2br w:val="nil"/>
              <w:tr2bl w:val="nil"/>
            </w:tcBorders>
            <w:vAlign w:val="center"/>
          </w:tcPr>
          <w:p w14:paraId="75C3B288">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1552" behindDoc="0" locked="0" layoutInCell="1" allowOverlap="1">
                      <wp:simplePos x="0" y="0"/>
                      <wp:positionH relativeFrom="column">
                        <wp:posOffset>125730</wp:posOffset>
                      </wp:positionH>
                      <wp:positionV relativeFrom="paragraph">
                        <wp:posOffset>46355</wp:posOffset>
                      </wp:positionV>
                      <wp:extent cx="75565" cy="75565"/>
                      <wp:effectExtent l="12065" t="8255" r="7620" b="11430"/>
                      <wp:wrapNone/>
                      <wp:docPr id="90" name="椭圆 9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9.9pt;margin-top:3.65pt;height:5.95pt;width:5.95pt;z-index:251671552;mso-width-relative:page;mso-height-relative:page;" fillcolor="#FFFFFF" filled="t" stroked="t" coordsize="21600,21600" o:gfxdata="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iHfS7TAAAABgEAAA8AAAAAAAAAAQAgAAAAIgAAAGRycy9kb3ducmV2LnhtbFBLAQIU&#10;ABQAAAAIAIdO4kAVE6poMQIAAG8EAAAOAAAAAAAAAAEAIAAAACIBAABkcnMvZTJvRG9jLnhtbFBL&#10;BQYAAAAABgAGAFkBAADFBQ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7144C5BF">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8720" behindDoc="0" locked="0" layoutInCell="1" allowOverlap="1">
                      <wp:simplePos x="0" y="0"/>
                      <wp:positionH relativeFrom="column">
                        <wp:posOffset>169545</wp:posOffset>
                      </wp:positionH>
                      <wp:positionV relativeFrom="paragraph">
                        <wp:posOffset>65405</wp:posOffset>
                      </wp:positionV>
                      <wp:extent cx="75565" cy="75565"/>
                      <wp:effectExtent l="11430" t="8255" r="8255" b="11430"/>
                      <wp:wrapNone/>
                      <wp:docPr id="89" name="椭圆 8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35pt;margin-top:5.15pt;height:5.95pt;width:5.95pt;z-index:251678720;mso-width-relative:page;mso-height-relative:page;" fillcolor="#FFFFFF" filled="t" stroked="t" coordsize="21600,21600" o:gfxdata="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RwmyNQAAAAHAQAADwAAAAAAAAABACAAAAAiAAAAZHJzL2Rvd25yZXYueG1sUEsB&#10;AhQAFAAAAAgAh07iQKvRmY8yAgAAbwQAAA4AAAAAAAAAAQAgAAAAIwEAAGRycy9lMm9Eb2MueG1s&#10;UEsFBgAAAAAGAAYAWQEAAMcFAAAAAA==&#10;">
                      <v:fill on="t" focussize="0,0"/>
                      <v:stroke color="#000000" joinstyle="round"/>
                      <v:imagedata o:title=""/>
                      <o:lock v:ext="edit" aspectratio="f"/>
                    </v:shape>
                  </w:pict>
                </mc:Fallback>
              </mc:AlternateContent>
            </w:r>
          </w:p>
        </w:tc>
        <w:tc>
          <w:tcPr>
            <w:tcW w:w="536" w:type="pct"/>
            <w:tcBorders>
              <w:tl2br w:val="nil"/>
              <w:tr2bl w:val="nil"/>
            </w:tcBorders>
            <w:vAlign w:val="center"/>
          </w:tcPr>
          <w:p w14:paraId="1EBEC97D">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0464" behindDoc="0" locked="0" layoutInCell="1" allowOverlap="1">
                      <wp:simplePos x="0" y="0"/>
                      <wp:positionH relativeFrom="column">
                        <wp:posOffset>130810</wp:posOffset>
                      </wp:positionH>
                      <wp:positionV relativeFrom="paragraph">
                        <wp:posOffset>17780</wp:posOffset>
                      </wp:positionV>
                      <wp:extent cx="76200" cy="85725"/>
                      <wp:effectExtent l="3175" t="8255" r="6350" b="1270"/>
                      <wp:wrapNone/>
                      <wp:docPr id="88" name="等腰三角形 88"/>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3pt;margin-top:1.4pt;height:6.75pt;width:6pt;z-index:251710464;mso-width-relative:page;mso-height-relative:page;" fillcolor="#000000" filled="t" stroked="f" coordsize="21600,21600" o:gfxdata="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3miSNMAAAAGAQAADwAAAAAAAAABACAAAAAiAAAAZHJz&#10;L2Rvd25yZXYueG1sUEsBAhQAFAAAAAgAh07iQAL3U+hCAgAAXgQAAA4AAAAAAAAAAQAgAAAAIgEA&#10;AGRycy9lMm9Eb2MueG1sUEsFBgAAAAAGAAYAWQEAANYFA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c>
          <w:tcPr>
            <w:tcW w:w="522" w:type="pct"/>
            <w:tcBorders>
              <w:tl2br w:val="nil"/>
              <w:tr2bl w:val="nil"/>
            </w:tcBorders>
            <w:vAlign w:val="center"/>
          </w:tcPr>
          <w:p w14:paraId="297CCB17">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6912" behindDoc="0" locked="0" layoutInCell="1" allowOverlap="1">
                      <wp:simplePos x="0" y="0"/>
                      <wp:positionH relativeFrom="column">
                        <wp:posOffset>184785</wp:posOffset>
                      </wp:positionH>
                      <wp:positionV relativeFrom="paragraph">
                        <wp:posOffset>46355</wp:posOffset>
                      </wp:positionV>
                      <wp:extent cx="75565" cy="75565"/>
                      <wp:effectExtent l="11430" t="8255" r="8255" b="11430"/>
                      <wp:wrapNone/>
                      <wp:docPr id="87" name="椭圆 87"/>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4.55pt;margin-top:3.65pt;height:5.95pt;width:5.95pt;z-index:251686912;mso-width-relative:page;mso-height-relative:page;" fillcolor="#FFFFFF" filled="t" stroked="t" coordsize="21600,21600" o:gfxdata="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wwFNjVAAAABgEAAA8AAAAAAAAAAQAgAAAAIgAAAGRycy9kb3ducmV2LnhtbFBL&#10;AQIUABQAAAAIAIdO4kDnsGlCMgIAAG8EAAAOAAAAAAAAAAEAIAAAACQBAABkcnMvZTJvRG9jLnht&#10;bFBLBQYAAAAABgAGAFkBAADIBQAAAAA=&#10;">
                      <v:fill on="t" focussize="0,0"/>
                      <v:stroke color="#000000" joinstyle="round"/>
                      <v:imagedata o:title=""/>
                      <o:lock v:ext="edit" aspectratio="f"/>
                    </v:shape>
                  </w:pict>
                </mc:Fallback>
              </mc:AlternateContent>
            </w:r>
          </w:p>
        </w:tc>
        <w:tc>
          <w:tcPr>
            <w:tcW w:w="582" w:type="pct"/>
            <w:tcBorders>
              <w:tl2br w:val="nil"/>
              <w:tr2bl w:val="nil"/>
            </w:tcBorders>
            <w:vAlign w:val="center"/>
          </w:tcPr>
          <w:p w14:paraId="6C2401E8">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3056" behindDoc="0" locked="0" layoutInCell="1" allowOverlap="1">
                      <wp:simplePos x="0" y="0"/>
                      <wp:positionH relativeFrom="column">
                        <wp:posOffset>244475</wp:posOffset>
                      </wp:positionH>
                      <wp:positionV relativeFrom="paragraph">
                        <wp:posOffset>36830</wp:posOffset>
                      </wp:positionV>
                      <wp:extent cx="75565" cy="75565"/>
                      <wp:effectExtent l="10160" t="8255" r="9525" b="11430"/>
                      <wp:wrapNone/>
                      <wp:docPr id="86" name="椭圆 86"/>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9.25pt;margin-top:2.9pt;height:5.95pt;width:5.95pt;z-index:251693056;mso-width-relative:page;mso-height-relative:page;" fillcolor="#FFFFFF" filled="t" stroked="t" coordsize="21600,21600" o:gfxdata="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he3cjVAAAABgEAAA8AAAAAAAAAAQAgAAAAIgAAAGRycy9kb3ducmV2LnhtbFBL&#10;AQIUABQAAAAIAIdO4kDGuuoQMgIAAG8EAAAOAAAAAAAAAAEAIAAAACQBAABkcnMvZTJvRG9jLnht&#10;bFBLBQYAAAAABgAGAFkBAADIBQAAAAA=&#10;">
                      <v:fill on="t" focussize="0,0"/>
                      <v:stroke color="#000000" joinstyle="round"/>
                      <v:imagedata o:title=""/>
                      <o:lock v:ext="edit" aspectratio="f"/>
                    </v:shape>
                  </w:pict>
                </mc:Fallback>
              </mc:AlternateContent>
            </w:r>
          </w:p>
        </w:tc>
        <w:tc>
          <w:tcPr>
            <w:tcW w:w="573" w:type="pct"/>
            <w:tcBorders>
              <w:tl2br w:val="nil"/>
              <w:tr2bl w:val="nil"/>
            </w:tcBorders>
            <w:vAlign w:val="center"/>
          </w:tcPr>
          <w:p w14:paraId="26247923">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3536" behindDoc="0" locked="0" layoutInCell="1" allowOverlap="1">
                      <wp:simplePos x="0" y="0"/>
                      <wp:positionH relativeFrom="column">
                        <wp:posOffset>128270</wp:posOffset>
                      </wp:positionH>
                      <wp:positionV relativeFrom="paragraph">
                        <wp:posOffset>-1270</wp:posOffset>
                      </wp:positionV>
                      <wp:extent cx="76200" cy="85725"/>
                      <wp:effectExtent l="1905" t="8255" r="7620" b="1270"/>
                      <wp:wrapNone/>
                      <wp:docPr id="85" name="等腰三角形 85"/>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1pt;margin-top:-0.1pt;height:6.75pt;width:6pt;z-index:251713536;mso-width-relative:page;mso-height-relative:page;" fillcolor="#000000" filled="t" stroked="f" coordsize="21600,21600" o:gfxdata="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o0Wo0gAAAAYBAAAPAAAAAAAAAAEAIAAAACIAAABkcnMv&#10;ZG93bnJldi54bWxQSwECFAAUAAAACACHTuJAeQ34rkICAABeBAAADgAAAAAAAAABACAAAAAhAQAA&#10;ZHJzL2Uyb0RvYy54bWxQSwUGAAAAAAYABgBZAQAA1QU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S</w:t>
            </w:r>
          </w:p>
        </w:tc>
      </w:tr>
      <w:tr w14:paraId="5D22E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restart"/>
            <w:tcBorders>
              <w:tl2br w:val="nil"/>
              <w:tr2bl w:val="nil"/>
            </w:tcBorders>
            <w:vAlign w:val="center"/>
          </w:tcPr>
          <w:p w14:paraId="4B3F60C2">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运行期</w:t>
            </w:r>
          </w:p>
        </w:tc>
        <w:tc>
          <w:tcPr>
            <w:tcW w:w="391" w:type="pct"/>
            <w:gridSpan w:val="2"/>
            <w:vMerge w:val="restart"/>
            <w:tcBorders>
              <w:right w:val="single" w:color="auto" w:sz="4" w:space="0"/>
              <w:tl2br w:val="nil"/>
              <w:tr2bl w:val="nil"/>
            </w:tcBorders>
            <w:vAlign w:val="center"/>
          </w:tcPr>
          <w:p w14:paraId="39827D2B">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场区</w:t>
            </w:r>
          </w:p>
        </w:tc>
        <w:tc>
          <w:tcPr>
            <w:tcW w:w="576" w:type="pct"/>
            <w:tcBorders>
              <w:left w:val="single" w:color="auto" w:sz="4" w:space="0"/>
              <w:tl2br w:val="nil"/>
              <w:tr2bl w:val="nil"/>
            </w:tcBorders>
            <w:vAlign w:val="center"/>
          </w:tcPr>
          <w:p w14:paraId="365CD147">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工程废水</w:t>
            </w:r>
          </w:p>
        </w:tc>
        <w:tc>
          <w:tcPr>
            <w:tcW w:w="503" w:type="pct"/>
            <w:tcBorders>
              <w:tl2br w:val="nil"/>
              <w:tr2bl w:val="nil"/>
            </w:tcBorders>
            <w:vAlign w:val="center"/>
          </w:tcPr>
          <w:p w14:paraId="2259AFC8">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6368" behindDoc="0" locked="0" layoutInCell="1" allowOverlap="1">
                      <wp:simplePos x="0" y="0"/>
                      <wp:positionH relativeFrom="column">
                        <wp:posOffset>113030</wp:posOffset>
                      </wp:positionH>
                      <wp:positionV relativeFrom="paragraph">
                        <wp:posOffset>19685</wp:posOffset>
                      </wp:positionV>
                      <wp:extent cx="76200" cy="85725"/>
                      <wp:effectExtent l="4445" t="8255" r="5080" b="1270"/>
                      <wp:wrapNone/>
                      <wp:docPr id="84" name="等腰三角形 84"/>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9pt;margin-top:1.55pt;height:6.75pt;width:6pt;z-index:251706368;mso-width-relative:page;mso-height-relative:page;" fillcolor="#000000" filled="t" stroked="f" coordsize="21600,21600" o:gfxdata="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sh7D90gAAAAYBAAAPAAAAAAAAAAEAIAAAACIAAABkcnMv&#10;ZG93bnJldi54bWxQSwECFAAUAAAACACHTuJAFSJJc0ICAABeBAAADgAAAAAAAAABACAAAAAhAQAA&#10;ZHJzL2Uyb0RvYy54bWxQSwUGAAAAAAYABgBZAQAA1QU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484" w:type="pct"/>
            <w:tcBorders>
              <w:tl2br w:val="nil"/>
              <w:tr2bl w:val="nil"/>
            </w:tcBorders>
            <w:vAlign w:val="center"/>
          </w:tcPr>
          <w:p w14:paraId="0E987781">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2576" behindDoc="0" locked="0" layoutInCell="1" allowOverlap="1">
                      <wp:simplePos x="0" y="0"/>
                      <wp:positionH relativeFrom="column">
                        <wp:posOffset>144780</wp:posOffset>
                      </wp:positionH>
                      <wp:positionV relativeFrom="paragraph">
                        <wp:posOffset>38735</wp:posOffset>
                      </wp:positionV>
                      <wp:extent cx="75565" cy="75565"/>
                      <wp:effectExtent l="12065" t="8255" r="7620" b="11430"/>
                      <wp:wrapNone/>
                      <wp:docPr id="83" name="椭圆 83"/>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4pt;margin-top:3.05pt;height:5.95pt;width:5.95pt;z-index:251672576;mso-width-relative:page;mso-height-relative:page;" fillcolor="#FFFFFF" filled="t" stroked="t" coordsize="21600,21600" o:gfxdata="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oLEL1QAAAAYBAAAPAAAAAAAAAAEAIAAAACIAAABkcnMvZG93bnJldi54bWxQ&#10;SwECFAAUAAAACACHTuJAIp4U0zMCAABvBAAADgAAAAAAAAABACAAAAAkAQAAZHJzL2Uyb0RvYy54&#10;bWxQSwUGAAAAAAYABgBZAQAAyQU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707C5CA4">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7632" behindDoc="0" locked="0" layoutInCell="1" allowOverlap="1">
                      <wp:simplePos x="0" y="0"/>
                      <wp:positionH relativeFrom="column">
                        <wp:posOffset>94615</wp:posOffset>
                      </wp:positionH>
                      <wp:positionV relativeFrom="paragraph">
                        <wp:posOffset>19685</wp:posOffset>
                      </wp:positionV>
                      <wp:extent cx="76200" cy="85725"/>
                      <wp:effectExtent l="12700" t="17780" r="15875" b="10795"/>
                      <wp:wrapNone/>
                      <wp:docPr id="82" name="等腰三角形 82"/>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7.45pt;margin-top:1.55pt;height:6.75pt;width:6pt;z-index:251717632;mso-width-relative:page;mso-height-relative:page;" filled="f" stroked="t" coordsize="21600,21600" o:gfxdata="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9aGabV&#10;AAAABgEAAA8AAAAAAAAAAQAgAAAAIgAAAGRycy9kb3ducmV2LnhtbFBLAQIUABQAAAAIAIdO4kCb&#10;TMZiXAIAAJcEAAAOAAAAAAAAAAEAIAAAACQBAABkcnMvZTJvRG9jLnhtbFBLBQYAAAAABgAGAFkB&#10;AADyBQA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36" w:type="pct"/>
            <w:tcBorders>
              <w:tl2br w:val="nil"/>
              <w:tr2bl w:val="nil"/>
            </w:tcBorders>
            <w:vAlign w:val="center"/>
          </w:tcPr>
          <w:p w14:paraId="47C55EE6">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3840" behindDoc="0" locked="0" layoutInCell="1" allowOverlap="1">
                      <wp:simplePos x="0" y="0"/>
                      <wp:positionH relativeFrom="column">
                        <wp:posOffset>205740</wp:posOffset>
                      </wp:positionH>
                      <wp:positionV relativeFrom="paragraph">
                        <wp:posOffset>38735</wp:posOffset>
                      </wp:positionV>
                      <wp:extent cx="75565" cy="75565"/>
                      <wp:effectExtent l="11430" t="8255" r="8255" b="11430"/>
                      <wp:wrapNone/>
                      <wp:docPr id="81" name="椭圆 81"/>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2pt;margin-top:3.05pt;height:5.95pt;width:5.95pt;z-index:251683840;mso-width-relative:page;mso-height-relative:page;" fillcolor="#FFFFFF" filled="t" stroked="t" coordsize="21600,21600" o:gfxdata="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TXUFLVAAAABgEAAA8AAAAAAAAAAQAgAAAAIgAAAGRycy9kb3ducmV2LnhtbFBL&#10;AQIUABQAAAAIAIdO4kBgihJ2MgIAAG8EAAAOAAAAAAAAAAEAIAAAACQBAABkcnMvZTJvRG9jLnht&#10;bFBLBQYAAAAABgAGAFkBAADIBQAAAAA=&#10;">
                      <v:fill on="t" focussize="0,0"/>
                      <v:stroke color="#000000" joinstyle="round"/>
                      <v:imagedata o:title=""/>
                      <o:lock v:ext="edit" aspectratio="f"/>
                    </v:shape>
                  </w:pict>
                </mc:Fallback>
              </mc:AlternateContent>
            </w:r>
          </w:p>
        </w:tc>
        <w:tc>
          <w:tcPr>
            <w:tcW w:w="522" w:type="pct"/>
            <w:tcBorders>
              <w:tl2br w:val="nil"/>
              <w:tr2bl w:val="nil"/>
            </w:tcBorders>
            <w:vAlign w:val="center"/>
          </w:tcPr>
          <w:p w14:paraId="457304CE">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3776" behindDoc="0" locked="0" layoutInCell="1" allowOverlap="1">
                      <wp:simplePos x="0" y="0"/>
                      <wp:positionH relativeFrom="column">
                        <wp:posOffset>128905</wp:posOffset>
                      </wp:positionH>
                      <wp:positionV relativeFrom="paragraph">
                        <wp:posOffset>19685</wp:posOffset>
                      </wp:positionV>
                      <wp:extent cx="76200" cy="85725"/>
                      <wp:effectExtent l="12700" t="17780" r="15875" b="10795"/>
                      <wp:wrapNone/>
                      <wp:docPr id="80" name="等腰三角形 80"/>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15pt;margin-top:1.55pt;height:6.75pt;width:6pt;z-index:251723776;mso-width-relative:page;mso-height-relative:page;" filled="f" stroked="t" coordsize="21600,21600" o:gfxdata="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Y5jPXUAAAABgEA&#10;AA8AAAAAAAAAAQAgAAAAIgAAAGRycy9kb3ducmV2LnhtbFBLAQIUABQAAAAIAIdO4kBJQw9FVwIA&#10;AIkEAAAOAAAAAAAAAAEAIAAAACMBAABkcnMvZTJvRG9jLnhtbFBLBQYAAAAABgAGAFkBAADsBQAA&#10;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82" w:type="pct"/>
            <w:tcBorders>
              <w:tl2br w:val="nil"/>
              <w:tr2bl w:val="nil"/>
            </w:tcBorders>
            <w:vAlign w:val="center"/>
          </w:tcPr>
          <w:p w14:paraId="4FFA1B3A">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4800" behindDoc="0" locked="0" layoutInCell="1" allowOverlap="1">
                      <wp:simplePos x="0" y="0"/>
                      <wp:positionH relativeFrom="column">
                        <wp:posOffset>170180</wp:posOffset>
                      </wp:positionH>
                      <wp:positionV relativeFrom="paragraph">
                        <wp:posOffset>635</wp:posOffset>
                      </wp:positionV>
                      <wp:extent cx="76200" cy="85725"/>
                      <wp:effectExtent l="21590" t="17780" r="16510" b="10795"/>
                      <wp:wrapNone/>
                      <wp:docPr id="79" name="等腰三角形 79"/>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3.4pt;margin-top:0.05pt;height:6.75pt;width:6pt;z-index:251724800;mso-width-relative:page;mso-height-relative:page;" filled="f" stroked="t" coordsize="21600,21600" o:gfxdata="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WYwbdMAAAAFAQAA&#10;DwAAAAAAAAABACAAAAAiAAAAZHJzL2Rvd25yZXYueG1sUEsBAhQAFAAAAAgAh07iQH43yBBXAgAA&#10;iQQAAA4AAAAAAAAAAQAgAAAAIgEAAGRycy9lMm9Eb2MueG1sUEsFBgAAAAAGAAYAWQEAAOsFAAAA&#10;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73" w:type="pct"/>
            <w:tcBorders>
              <w:tl2br w:val="nil"/>
              <w:tr2bl w:val="nil"/>
            </w:tcBorders>
            <w:vAlign w:val="center"/>
          </w:tcPr>
          <w:p w14:paraId="3DD64CE0">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4320" behindDoc="0" locked="0" layoutInCell="1" allowOverlap="1">
                      <wp:simplePos x="0" y="0"/>
                      <wp:positionH relativeFrom="column">
                        <wp:posOffset>137795</wp:posOffset>
                      </wp:positionH>
                      <wp:positionV relativeFrom="paragraph">
                        <wp:posOffset>28575</wp:posOffset>
                      </wp:positionV>
                      <wp:extent cx="95250" cy="95250"/>
                      <wp:effectExtent l="1905" t="7620" r="7620" b="1905"/>
                      <wp:wrapNone/>
                      <wp:docPr id="70" name="菱形 70"/>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0.85pt;margin-top:2.25pt;height:7.5pt;width:7.5pt;z-index:251704320;mso-width-relative:page;mso-height-relative:page;" fillcolor="#000000" filled="t" stroked="f" coordsize="21600,21600" o:gfxdata="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LB551gAAAAYBAAAPAAAA&#10;AAAAAAEAIAAAACIAAABkcnMvZG93bnJldi54bWxQSwECFAAUAAAACACHTuJAaiC75hcCAAAoBAAA&#10;DgAAAAAAAAABACAAAAAlAQAAZHJzL2Uyb0RvYy54bWxQSwUGAAAAAAYABgBZAQAArgUAAAAA&#1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r>
      <w:tr w14:paraId="3420A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14:paraId="737D9788">
            <w:pPr>
              <w:snapToGrid w:val="0"/>
              <w:spacing w:line="240" w:lineRule="auto"/>
              <w:ind w:firstLine="0" w:firstLineChars="0"/>
              <w:jc w:val="center"/>
              <w:rPr>
                <w:rFonts w:ascii="Times New Roman" w:hAnsi="Times New Roman" w:eastAsia="宋体"/>
                <w:color w:val="auto"/>
                <w:sz w:val="21"/>
                <w:szCs w:val="21"/>
                <w:highlight w:val="none"/>
              </w:rPr>
            </w:pPr>
          </w:p>
        </w:tc>
        <w:tc>
          <w:tcPr>
            <w:tcW w:w="391" w:type="pct"/>
            <w:gridSpan w:val="2"/>
            <w:vMerge w:val="continue"/>
            <w:tcBorders>
              <w:right w:val="single" w:color="auto" w:sz="4" w:space="0"/>
              <w:tl2br w:val="nil"/>
              <w:tr2bl w:val="nil"/>
            </w:tcBorders>
            <w:vAlign w:val="center"/>
          </w:tcPr>
          <w:p w14:paraId="7D4DA047">
            <w:pPr>
              <w:snapToGrid w:val="0"/>
              <w:spacing w:line="240" w:lineRule="auto"/>
              <w:ind w:firstLine="0" w:firstLineChars="0"/>
              <w:jc w:val="center"/>
              <w:rPr>
                <w:rFonts w:ascii="Times New Roman" w:hAnsi="Times New Roman" w:eastAsia="宋体"/>
                <w:color w:val="auto"/>
                <w:sz w:val="21"/>
                <w:szCs w:val="21"/>
                <w:highlight w:val="none"/>
              </w:rPr>
            </w:pPr>
          </w:p>
        </w:tc>
        <w:tc>
          <w:tcPr>
            <w:tcW w:w="576" w:type="pct"/>
            <w:tcBorders>
              <w:left w:val="single" w:color="auto" w:sz="4" w:space="0"/>
              <w:tl2br w:val="nil"/>
              <w:tr2bl w:val="nil"/>
            </w:tcBorders>
            <w:vAlign w:val="center"/>
          </w:tcPr>
          <w:p w14:paraId="7C8A8A35">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生产恶臭</w:t>
            </w:r>
          </w:p>
        </w:tc>
        <w:tc>
          <w:tcPr>
            <w:tcW w:w="503" w:type="pct"/>
            <w:tcBorders>
              <w:tl2br w:val="nil"/>
              <w:tr2bl w:val="nil"/>
            </w:tcBorders>
            <w:vAlign w:val="center"/>
          </w:tcPr>
          <w:p w14:paraId="07525A4E">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7392" behindDoc="0" locked="0" layoutInCell="1" allowOverlap="1">
                      <wp:simplePos x="0" y="0"/>
                      <wp:positionH relativeFrom="column">
                        <wp:posOffset>113030</wp:posOffset>
                      </wp:positionH>
                      <wp:positionV relativeFrom="paragraph">
                        <wp:posOffset>11430</wp:posOffset>
                      </wp:positionV>
                      <wp:extent cx="76200" cy="85725"/>
                      <wp:effectExtent l="4445" t="7620" r="5080" b="1905"/>
                      <wp:wrapNone/>
                      <wp:docPr id="69" name="等腰三角形 69"/>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9pt;margin-top:0.9pt;height:6.75pt;width:6pt;z-index:251707392;mso-width-relative:page;mso-height-relative:page;" fillcolor="#000000" filled="t" stroked="f" coordsize="21600,21600" o:gfxdata="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pe2JjRAAAABgEAAA8AAAAAAAAAAQAgAAAAIgAAAGRycy9k&#10;b3ducmV2LnhtbFBLAQIUABQAAAAIAIdO4kDEfxk/QgIAAF4EAAAOAAAAAAAAAAEAIAAAACABAABk&#10;cnMvZTJvRG9jLnhtbFBLBQYAAAAABgAGAFkBAADUBQ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484" w:type="pct"/>
            <w:tcBorders>
              <w:tl2br w:val="nil"/>
              <w:tr2bl w:val="nil"/>
            </w:tcBorders>
            <w:vAlign w:val="center"/>
          </w:tcPr>
          <w:p w14:paraId="03BC7DC0">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4624" behindDoc="0" locked="0" layoutInCell="1" allowOverlap="1">
                      <wp:simplePos x="0" y="0"/>
                      <wp:positionH relativeFrom="column">
                        <wp:posOffset>144780</wp:posOffset>
                      </wp:positionH>
                      <wp:positionV relativeFrom="paragraph">
                        <wp:posOffset>49530</wp:posOffset>
                      </wp:positionV>
                      <wp:extent cx="75565" cy="75565"/>
                      <wp:effectExtent l="12065" t="7620" r="7620" b="12065"/>
                      <wp:wrapNone/>
                      <wp:docPr id="68" name="椭圆 68"/>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4pt;margin-top:3.9pt;height:5.95pt;width:5.95pt;z-index:251674624;mso-width-relative:page;mso-height-relative:page;" fillcolor="#FFFFFF" filled="t" stroked="t" coordsize="21600,21600" o:gfxdata="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dyQ7TVAAAABgEAAA8AAAAAAAAAAQAgAAAAIgAAAGRycy9kb3ducmV2LnhtbFBL&#10;AQIUABQAAAAIAIdO4kBQJr2iMgIAAG8EAAAOAAAAAAAAAAEAIAAAACQBAABkcnMvZTJvRG9jLnht&#10;bFBLBQYAAAAABgAGAFkBAADIBQ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762AECDF">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9744" behindDoc="0" locked="0" layoutInCell="1" allowOverlap="1">
                      <wp:simplePos x="0" y="0"/>
                      <wp:positionH relativeFrom="column">
                        <wp:posOffset>169545</wp:posOffset>
                      </wp:positionH>
                      <wp:positionV relativeFrom="paragraph">
                        <wp:posOffset>59055</wp:posOffset>
                      </wp:positionV>
                      <wp:extent cx="75565" cy="75565"/>
                      <wp:effectExtent l="11430" t="7620" r="8255" b="12065"/>
                      <wp:wrapNone/>
                      <wp:docPr id="67" name="椭圆 67"/>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35pt;margin-top:4.65pt;height:5.95pt;width:5.95pt;z-index:251679744;mso-width-relative:page;mso-height-relative:page;" fillcolor="#FFFFFF" filled="t" stroked="t" coordsize="21600,21600" o:gfxdata="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Q7l7tQAAAAGAQAADwAAAAAAAAABACAAAAAiAAAAZHJzL2Rvd25yZXYueG1sUEsB&#10;AhQAFAAAAAgAh07iQD1Nzj0yAgAAbwQAAA4AAAAAAAAAAQAgAAAAIwEAAGRycy9lMm9Eb2MueG1s&#10;UEsFBgAAAAAGAAYAWQEAAMcFAAAAAA==&#10;">
                      <v:fill on="t" focussize="0,0"/>
                      <v:stroke color="#000000" joinstyle="round"/>
                      <v:imagedata o:title=""/>
                      <o:lock v:ext="edit" aspectratio="f"/>
                    </v:shape>
                  </w:pict>
                </mc:Fallback>
              </mc:AlternateContent>
            </w:r>
          </w:p>
        </w:tc>
        <w:tc>
          <w:tcPr>
            <w:tcW w:w="536" w:type="pct"/>
            <w:tcBorders>
              <w:tl2br w:val="nil"/>
              <w:tr2bl w:val="nil"/>
            </w:tcBorders>
            <w:vAlign w:val="center"/>
          </w:tcPr>
          <w:p w14:paraId="126A1A2A">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4864" behindDoc="0" locked="0" layoutInCell="1" allowOverlap="1">
                      <wp:simplePos x="0" y="0"/>
                      <wp:positionH relativeFrom="column">
                        <wp:posOffset>205740</wp:posOffset>
                      </wp:positionH>
                      <wp:positionV relativeFrom="paragraph">
                        <wp:posOffset>30480</wp:posOffset>
                      </wp:positionV>
                      <wp:extent cx="75565" cy="75565"/>
                      <wp:effectExtent l="11430" t="7620" r="8255" b="12065"/>
                      <wp:wrapNone/>
                      <wp:docPr id="66" name="椭圆 66"/>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2pt;margin-top:2.4pt;height:5.95pt;width:5.95pt;z-index:251684864;mso-width-relative:page;mso-height-relative:page;" fillcolor="#FFFFFF" filled="t" stroked="t" coordsize="21600,21600" o:gfxdata="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4O3fXVAAAABgEAAA8AAAAAAAAAAQAgAAAAIgAAAGRycy9kb3ducmV2LnhtbFBL&#10;AQIUABQAAAAIAIdO4kAcR01vMgIAAG8EAAAOAAAAAAAAAAEAIAAAACQBAABkcnMvZTJvRG9jLnht&#10;bFBLBQYAAAAABgAGAFkBAADIBQAAAAA=&#10;">
                      <v:fill on="t" focussize="0,0"/>
                      <v:stroke color="#000000" joinstyle="round"/>
                      <v:imagedata o:title=""/>
                      <o:lock v:ext="edit" aspectratio="f"/>
                    </v:shape>
                  </w:pict>
                </mc:Fallback>
              </mc:AlternateContent>
            </w:r>
          </w:p>
        </w:tc>
        <w:tc>
          <w:tcPr>
            <w:tcW w:w="522" w:type="pct"/>
            <w:tcBorders>
              <w:tl2br w:val="nil"/>
              <w:tr2bl w:val="nil"/>
            </w:tcBorders>
            <w:vAlign w:val="center"/>
          </w:tcPr>
          <w:p w14:paraId="375F754A">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7936" behindDoc="0" locked="0" layoutInCell="1" allowOverlap="1">
                      <wp:simplePos x="0" y="0"/>
                      <wp:positionH relativeFrom="column">
                        <wp:posOffset>184785</wp:posOffset>
                      </wp:positionH>
                      <wp:positionV relativeFrom="paragraph">
                        <wp:posOffset>30480</wp:posOffset>
                      </wp:positionV>
                      <wp:extent cx="75565" cy="75565"/>
                      <wp:effectExtent l="11430" t="7620" r="8255" b="12065"/>
                      <wp:wrapNone/>
                      <wp:docPr id="65" name="椭圆 65"/>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4.55pt;margin-top:2.4pt;height:5.95pt;width:5.95pt;z-index:251687936;mso-width-relative:page;mso-height-relative:page;" fillcolor="#FFFFFF" filled="t" stroked="t" coordsize="21600,21600" o:gfxdata="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Sl3v9UAAAAGAQAADwAAAAAAAAABACAAAAAiAAAAZHJzL2Rvd25yZXYueG1sUEsB&#10;AhQAFAAAAAgAh07iQH9ZyJgxAgAAbwQAAA4AAAAAAAAAAQAgAAAAJAEAAGRycy9lMm9Eb2MueG1s&#10;UEsFBgAAAAAGAAYAWQEAAMcFAAAAAA==&#10;">
                      <v:fill on="t" focussize="0,0"/>
                      <v:stroke color="#000000" joinstyle="round"/>
                      <v:imagedata o:title=""/>
                      <o:lock v:ext="edit" aspectratio="f"/>
                    </v:shape>
                  </w:pict>
                </mc:Fallback>
              </mc:AlternateContent>
            </w:r>
          </w:p>
        </w:tc>
        <w:tc>
          <w:tcPr>
            <w:tcW w:w="582" w:type="pct"/>
            <w:tcBorders>
              <w:tl2br w:val="nil"/>
              <w:tr2bl w:val="nil"/>
            </w:tcBorders>
            <w:vAlign w:val="center"/>
          </w:tcPr>
          <w:p w14:paraId="1A375D39">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4080" behindDoc="0" locked="0" layoutInCell="1" allowOverlap="1">
                      <wp:simplePos x="0" y="0"/>
                      <wp:positionH relativeFrom="column">
                        <wp:posOffset>196850</wp:posOffset>
                      </wp:positionH>
                      <wp:positionV relativeFrom="paragraph">
                        <wp:posOffset>49530</wp:posOffset>
                      </wp:positionV>
                      <wp:extent cx="75565" cy="75565"/>
                      <wp:effectExtent l="10160" t="7620" r="9525" b="12065"/>
                      <wp:wrapNone/>
                      <wp:docPr id="64" name="椭圆 64"/>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5.5pt;margin-top:3.9pt;height:5.95pt;width:5.95pt;z-index:251694080;mso-width-relative:page;mso-height-relative:page;" fillcolor="#FFFFFF" filled="t" stroked="t" coordsize="21600,21600" o:gfxdata="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HpxdfVAAAABgEAAA8AAAAAAAAAAQAgAAAAIgAAAGRycy9kb3ducmV2LnhtbFBL&#10;AQIUABQAAAAIAIdO4kBeU0vKMgIAAG8EAAAOAAAAAAAAAAEAIAAAACQBAABkcnMvZTJvRG9jLnht&#10;bFBLBQYAAAAABgAGAFkBAADIBQAAAAA=&#10;">
                      <v:fill on="t" focussize="0,0"/>
                      <v:stroke color="#000000" joinstyle="round"/>
                      <v:imagedata o:title=""/>
                      <o:lock v:ext="edit" aspectratio="f"/>
                    </v:shape>
                  </w:pict>
                </mc:Fallback>
              </mc:AlternateContent>
            </w:r>
          </w:p>
        </w:tc>
        <w:tc>
          <w:tcPr>
            <w:tcW w:w="573" w:type="pct"/>
            <w:tcBorders>
              <w:tl2br w:val="nil"/>
              <w:tr2bl w:val="nil"/>
            </w:tcBorders>
            <w:vAlign w:val="center"/>
          </w:tcPr>
          <w:p w14:paraId="0C214E62">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4560" behindDoc="0" locked="0" layoutInCell="1" allowOverlap="1">
                      <wp:simplePos x="0" y="0"/>
                      <wp:positionH relativeFrom="column">
                        <wp:posOffset>118745</wp:posOffset>
                      </wp:positionH>
                      <wp:positionV relativeFrom="paragraph">
                        <wp:posOffset>11430</wp:posOffset>
                      </wp:positionV>
                      <wp:extent cx="76200" cy="85725"/>
                      <wp:effectExtent l="1905" t="7620" r="7620" b="1905"/>
                      <wp:wrapNone/>
                      <wp:docPr id="31" name="等腰三角形 31"/>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35pt;margin-top:0.9pt;height:6.75pt;width:6pt;z-index:251714560;mso-width-relative:page;mso-height-relative:page;" fillcolor="#000000" filled="t" stroked="f" coordsize="21600,21600" o:gfxdata="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PfQWTRAAAABgEAAA8AAAAAAAAAAQAgAAAAIgAAAGRycy9k&#10;b3ducmV2LnhtbFBLAQIUABQAAAAIAIdO4kCM8OvoQgIAAF4EAAAOAAAAAAAAAAEAIAAAACABAABk&#10;cnMvZTJvRG9jLnhtbFBLBQYAAAAABgAGAFkBAADUBQ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r>
      <w:tr w14:paraId="46E79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14:paraId="5298A946">
            <w:pPr>
              <w:snapToGrid w:val="0"/>
              <w:spacing w:line="240" w:lineRule="auto"/>
              <w:ind w:firstLine="0" w:firstLineChars="0"/>
              <w:jc w:val="center"/>
              <w:rPr>
                <w:rFonts w:ascii="Times New Roman" w:hAnsi="Times New Roman" w:eastAsia="宋体"/>
                <w:color w:val="auto"/>
                <w:sz w:val="21"/>
                <w:szCs w:val="21"/>
                <w:highlight w:val="none"/>
              </w:rPr>
            </w:pPr>
          </w:p>
        </w:tc>
        <w:tc>
          <w:tcPr>
            <w:tcW w:w="391" w:type="pct"/>
            <w:gridSpan w:val="2"/>
            <w:vMerge w:val="continue"/>
            <w:tcBorders>
              <w:right w:val="single" w:color="auto" w:sz="4" w:space="0"/>
              <w:tl2br w:val="nil"/>
              <w:tr2bl w:val="nil"/>
            </w:tcBorders>
            <w:vAlign w:val="center"/>
          </w:tcPr>
          <w:p w14:paraId="641141D0">
            <w:pPr>
              <w:snapToGrid w:val="0"/>
              <w:spacing w:line="240" w:lineRule="auto"/>
              <w:ind w:firstLine="0" w:firstLineChars="0"/>
              <w:jc w:val="center"/>
              <w:rPr>
                <w:rFonts w:ascii="Times New Roman" w:hAnsi="Times New Roman" w:eastAsia="宋体"/>
                <w:color w:val="auto"/>
                <w:sz w:val="21"/>
                <w:szCs w:val="21"/>
                <w:highlight w:val="none"/>
              </w:rPr>
            </w:pPr>
          </w:p>
        </w:tc>
        <w:tc>
          <w:tcPr>
            <w:tcW w:w="576" w:type="pct"/>
            <w:tcBorders>
              <w:left w:val="single" w:color="auto" w:sz="4" w:space="0"/>
              <w:tl2br w:val="nil"/>
              <w:tr2bl w:val="nil"/>
            </w:tcBorders>
            <w:vAlign w:val="center"/>
          </w:tcPr>
          <w:p w14:paraId="7C0F1FF6">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生产噪声</w:t>
            </w:r>
          </w:p>
        </w:tc>
        <w:tc>
          <w:tcPr>
            <w:tcW w:w="503" w:type="pct"/>
            <w:tcBorders>
              <w:tl2br w:val="nil"/>
              <w:tr2bl w:val="nil"/>
            </w:tcBorders>
            <w:vAlign w:val="center"/>
          </w:tcPr>
          <w:p w14:paraId="3463D72B">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6672" behindDoc="0" locked="0" layoutInCell="1" allowOverlap="1">
                      <wp:simplePos x="0" y="0"/>
                      <wp:positionH relativeFrom="column">
                        <wp:posOffset>159385</wp:posOffset>
                      </wp:positionH>
                      <wp:positionV relativeFrom="paragraph">
                        <wp:posOffset>51435</wp:posOffset>
                      </wp:positionV>
                      <wp:extent cx="75565" cy="75565"/>
                      <wp:effectExtent l="12700" t="8255" r="6985" b="11430"/>
                      <wp:wrapNone/>
                      <wp:docPr id="30" name="椭圆 3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2.55pt;margin-top:4.05pt;height:5.95pt;width:5.95pt;z-index:251676672;mso-width-relative:page;mso-height-relative:page;" fillcolor="#FFFFFF" filled="t" stroked="t" coordsize="21600,21600" o:gfxdata="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mFtyLVAAAABgEAAA8AAAAAAAAAAQAgAAAAIgAAAGRycy9kb3ducmV2LnhtbFBL&#10;AQIUABQAAAAIAIdO4kDepZL8MgIAAG8EAAAOAAAAAAAAAAEAIAAAACQBAABkcnMvZTJvRG9jLnht&#10;bFBLBQYAAAAABgAGAFkBAADIBQAAAAA=&#10;">
                      <v:fill on="t" focussize="0,0"/>
                      <v:stroke color="#000000" joinstyle="round"/>
                      <v:imagedata o:title=""/>
                      <o:lock v:ext="edit" aspectratio="f"/>
                    </v:shape>
                  </w:pict>
                </mc:Fallback>
              </mc:AlternateContent>
            </w:r>
          </w:p>
        </w:tc>
        <w:tc>
          <w:tcPr>
            <w:tcW w:w="484" w:type="pct"/>
            <w:tcBorders>
              <w:tl2br w:val="nil"/>
              <w:tr2bl w:val="nil"/>
            </w:tcBorders>
            <w:vAlign w:val="center"/>
          </w:tcPr>
          <w:p w14:paraId="27D13401">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3600" behindDoc="0" locked="0" layoutInCell="1" allowOverlap="1">
                      <wp:simplePos x="0" y="0"/>
                      <wp:positionH relativeFrom="column">
                        <wp:posOffset>163830</wp:posOffset>
                      </wp:positionH>
                      <wp:positionV relativeFrom="paragraph">
                        <wp:posOffset>32385</wp:posOffset>
                      </wp:positionV>
                      <wp:extent cx="75565" cy="75565"/>
                      <wp:effectExtent l="12065" t="8255" r="7620" b="11430"/>
                      <wp:wrapNone/>
                      <wp:docPr id="29" name="椭圆 2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2.9pt;margin-top:2.55pt;height:5.95pt;width:5.95pt;z-index:251673600;mso-width-relative:page;mso-height-relative:page;" fillcolor="#FFFFFF" filled="t" stroked="t" coordsize="21600,21600" o:gfxdata="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moaH9QAAAAGAQAADwAAAAAAAAABACAAAAAiAAAAZHJzL2Rvd25yZXYueG1sUEsB&#10;AhQAFAAAAAgAh07iQGBnoRsyAgAAbwQAAA4AAAAAAAAAAQAgAAAAIwEAAGRycy9lMm9Eb2MueG1s&#10;UEsFBgAAAAAGAAYAWQEAAMcFA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75A36903">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0768" behindDoc="0" locked="0" layoutInCell="1" allowOverlap="1">
                      <wp:simplePos x="0" y="0"/>
                      <wp:positionH relativeFrom="column">
                        <wp:posOffset>179070</wp:posOffset>
                      </wp:positionH>
                      <wp:positionV relativeFrom="paragraph">
                        <wp:posOffset>41910</wp:posOffset>
                      </wp:positionV>
                      <wp:extent cx="75565" cy="75565"/>
                      <wp:effectExtent l="11430" t="8255" r="8255" b="11430"/>
                      <wp:wrapNone/>
                      <wp:docPr id="28" name="椭圆 28"/>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4.1pt;margin-top:3.3pt;height:5.95pt;width:5.95pt;z-index:251680768;mso-width-relative:page;mso-height-relative:page;" fillcolor="#FFFFFF" filled="t" stroked="t" coordsize="21600,21600" o:gfxdata="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soNdQAAAAGAQAADwAAAAAAAAABACAAAAAiAAAAZHJzL2Rvd25yZXYueG1sUEsB&#10;AhQAFAAAAAgAh07iQEFtIkkyAgAAbwQAAA4AAAAAAAAAAQAgAAAAIwEAAGRycy9lMm9Eb2MueG1s&#10;UEsFBgAAAAAGAAYAWQEAAMcFAAAAAA==&#10;">
                      <v:fill on="t" focussize="0,0"/>
                      <v:stroke color="#000000" joinstyle="round"/>
                      <v:imagedata o:title=""/>
                      <o:lock v:ext="edit" aspectratio="f"/>
                    </v:shape>
                  </w:pict>
                </mc:Fallback>
              </mc:AlternateContent>
            </w:r>
          </w:p>
        </w:tc>
        <w:tc>
          <w:tcPr>
            <w:tcW w:w="536" w:type="pct"/>
            <w:tcBorders>
              <w:tl2br w:val="nil"/>
              <w:tr2bl w:val="nil"/>
            </w:tcBorders>
            <w:vAlign w:val="center"/>
          </w:tcPr>
          <w:p w14:paraId="44322F86">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1248" behindDoc="0" locked="0" layoutInCell="1" allowOverlap="1">
                      <wp:simplePos x="0" y="0"/>
                      <wp:positionH relativeFrom="column">
                        <wp:posOffset>102235</wp:posOffset>
                      </wp:positionH>
                      <wp:positionV relativeFrom="paragraph">
                        <wp:posOffset>31750</wp:posOffset>
                      </wp:positionV>
                      <wp:extent cx="95250" cy="95250"/>
                      <wp:effectExtent l="3175" t="7620" r="6350" b="1905"/>
                      <wp:wrapNone/>
                      <wp:docPr id="27" name="菱形 27"/>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8.05pt;margin-top:2.5pt;height:7.5pt;width:7.5pt;z-index:251701248;mso-width-relative:page;mso-height-relative:page;" fillcolor="#000000" filled="t" stroked="f" coordsize="21600,21600" o:gfxdata="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ZoF67VAAAABgEAAA8AAAAA&#10;AAAAAQAgAAAAIgAAAGRycy9kb3ducmV2LnhtbFBLAQIUABQAAAAIAIdO4kC+HJdaFwIAACgEAAAO&#10;AAAAAAAAAAEAIAAAACQBAABkcnMvZTJvRG9jLnhtbFBLBQYAAAAABgAGAFkBAACtBQAAAAA=&#1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22" w:type="pct"/>
            <w:tcBorders>
              <w:tl2br w:val="nil"/>
              <w:tr2bl w:val="nil"/>
            </w:tcBorders>
            <w:vAlign w:val="center"/>
          </w:tcPr>
          <w:p w14:paraId="27A64866">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8960" behindDoc="0" locked="0" layoutInCell="1" allowOverlap="1">
                      <wp:simplePos x="0" y="0"/>
                      <wp:positionH relativeFrom="column">
                        <wp:posOffset>194310</wp:posOffset>
                      </wp:positionH>
                      <wp:positionV relativeFrom="paragraph">
                        <wp:posOffset>41910</wp:posOffset>
                      </wp:positionV>
                      <wp:extent cx="75565" cy="75565"/>
                      <wp:effectExtent l="11430" t="8255" r="8255" b="11430"/>
                      <wp:wrapNone/>
                      <wp:docPr id="26" name="椭圆 26"/>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5.3pt;margin-top:3.3pt;height:5.95pt;width:5.95pt;z-index:251688960;mso-width-relative:page;mso-height-relative:page;" fillcolor="#FFFFFF" filled="t" stroked="t" coordsize="21600,21600" o:gfxdata="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eGU8HVAAAABgEAAA8AAAAAAAAAAQAgAAAAIgAAAGRycy9kb3ducmV2LnhtbFBL&#10;AQIUABQAAAAIAIdO4kANDNKEMgIAAG8EAAAOAAAAAAAAAAEAIAAAACQBAABkcnMvZTJvRG9jLnht&#10;bFBLBQYAAAAABgAGAFkBAADIBQAAAAA=&#10;">
                      <v:fill on="t" focussize="0,0"/>
                      <v:stroke color="#000000" joinstyle="round"/>
                      <v:imagedata o:title=""/>
                      <o:lock v:ext="edit" aspectratio="f"/>
                    </v:shape>
                  </w:pict>
                </mc:Fallback>
              </mc:AlternateContent>
            </w:r>
          </w:p>
        </w:tc>
        <w:tc>
          <w:tcPr>
            <w:tcW w:w="582" w:type="pct"/>
            <w:tcBorders>
              <w:tl2br w:val="nil"/>
              <w:tr2bl w:val="nil"/>
            </w:tcBorders>
            <w:vAlign w:val="center"/>
          </w:tcPr>
          <w:p w14:paraId="66150330">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5104" behindDoc="0" locked="0" layoutInCell="1" allowOverlap="1">
                      <wp:simplePos x="0" y="0"/>
                      <wp:positionH relativeFrom="column">
                        <wp:posOffset>244475</wp:posOffset>
                      </wp:positionH>
                      <wp:positionV relativeFrom="paragraph">
                        <wp:posOffset>41910</wp:posOffset>
                      </wp:positionV>
                      <wp:extent cx="75565" cy="75565"/>
                      <wp:effectExtent l="10160" t="8255" r="9525" b="11430"/>
                      <wp:wrapNone/>
                      <wp:docPr id="25" name="椭圆 25"/>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9.25pt;margin-top:3.3pt;height:5.95pt;width:5.95pt;z-index:251695104;mso-width-relative:page;mso-height-relative:page;" fillcolor="#FFFFFF" filled="t" stroked="t" coordsize="21600,21600" o:gfxdata="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IiEotQAAAAGAQAADwAAAAAAAAABACAAAAAiAAAAZHJzL2Rvd25yZXYueG1sUEsB&#10;AhQAFAAAAAgAh07iQG4SV3MyAgAAbwQAAA4AAAAAAAAAAQAgAAAAIwEAAGRycy9lMm9Eb2MueG1s&#10;UEsFBgAAAAAGAAYAWQEAAMcFAAAAAA==&#10;">
                      <v:fill on="t" focussize="0,0"/>
                      <v:stroke color="#000000" joinstyle="round"/>
                      <v:imagedata o:title=""/>
                      <o:lock v:ext="edit" aspectratio="f"/>
                    </v:shape>
                  </w:pict>
                </mc:Fallback>
              </mc:AlternateContent>
            </w:r>
          </w:p>
        </w:tc>
        <w:tc>
          <w:tcPr>
            <w:tcW w:w="573" w:type="pct"/>
            <w:tcBorders>
              <w:tl2br w:val="nil"/>
              <w:tr2bl w:val="nil"/>
            </w:tcBorders>
            <w:vAlign w:val="center"/>
          </w:tcPr>
          <w:p w14:paraId="7C88A956">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5584" behindDoc="0" locked="0" layoutInCell="1" allowOverlap="1">
                      <wp:simplePos x="0" y="0"/>
                      <wp:positionH relativeFrom="column">
                        <wp:posOffset>118745</wp:posOffset>
                      </wp:positionH>
                      <wp:positionV relativeFrom="paragraph">
                        <wp:posOffset>13335</wp:posOffset>
                      </wp:positionV>
                      <wp:extent cx="76200" cy="85725"/>
                      <wp:effectExtent l="1905" t="8255" r="7620" b="1270"/>
                      <wp:wrapNone/>
                      <wp:docPr id="24" name="等腰三角形 24"/>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35pt;margin-top:1.05pt;height:6.75pt;width:6pt;z-index:251715584;mso-width-relative:page;mso-height-relative:page;" fillcolor="#000000" filled="t" stroked="f" coordsize="21600,21600" o:gfxdata="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p/wO9IAAAAGAQAADwAAAAAAAAABACAAAAAiAAAAZHJz&#10;L2Rvd25yZXYueG1sUEsBAhQAFAAAAAgAh07iQI7ypbFDAgAAXgQAAA4AAAAAAAAAAQAgAAAAIQEA&#10;AGRycy9lMm9Eb2MueG1sUEsFBgAAAAAGAAYAWQEAANYFA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r>
      <w:tr w14:paraId="64A0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14:paraId="566DC1C8">
            <w:pPr>
              <w:snapToGrid w:val="0"/>
              <w:spacing w:line="240" w:lineRule="auto"/>
              <w:ind w:firstLine="0" w:firstLineChars="0"/>
              <w:jc w:val="center"/>
              <w:rPr>
                <w:rFonts w:ascii="Times New Roman" w:hAnsi="Times New Roman" w:eastAsia="宋体"/>
                <w:color w:val="auto"/>
                <w:sz w:val="21"/>
                <w:szCs w:val="21"/>
                <w:highlight w:val="none"/>
              </w:rPr>
            </w:pPr>
          </w:p>
        </w:tc>
        <w:tc>
          <w:tcPr>
            <w:tcW w:w="968" w:type="pct"/>
            <w:gridSpan w:val="3"/>
            <w:tcBorders>
              <w:tl2br w:val="nil"/>
              <w:tr2bl w:val="nil"/>
            </w:tcBorders>
            <w:vAlign w:val="center"/>
          </w:tcPr>
          <w:p w14:paraId="42CD666E">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固废综合利用</w:t>
            </w:r>
          </w:p>
        </w:tc>
        <w:tc>
          <w:tcPr>
            <w:tcW w:w="503" w:type="pct"/>
            <w:tcBorders>
              <w:tl2br w:val="nil"/>
              <w:tr2bl w:val="nil"/>
            </w:tcBorders>
            <w:vAlign w:val="center"/>
          </w:tcPr>
          <w:p w14:paraId="6F66C666">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9200" behindDoc="0" locked="0" layoutInCell="1" allowOverlap="1">
                      <wp:simplePos x="0" y="0"/>
                      <wp:positionH relativeFrom="column">
                        <wp:posOffset>63500</wp:posOffset>
                      </wp:positionH>
                      <wp:positionV relativeFrom="paragraph">
                        <wp:posOffset>24130</wp:posOffset>
                      </wp:positionV>
                      <wp:extent cx="95250" cy="95250"/>
                      <wp:effectExtent l="2540" t="7620" r="6985" b="1905"/>
                      <wp:wrapNone/>
                      <wp:docPr id="23" name="菱形 23"/>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5pt;margin-top:1.9pt;height:7.5pt;width:7.5pt;z-index:251699200;mso-width-relative:page;mso-height-relative:page;" fillcolor="#000000" filled="t" stroked="f" coordsize="21600,21600" o:gfxdata="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1iqHVAAAABgEAAA8AAAAA&#10;AAAAAQAgAAAAIgAAAGRycy9kb3ducmV2LnhtbFBLAQIUABQAAAAIAIdO4kA7JPJfFwIAACgEAAAO&#10;AAAAAAAAAAEAIAAAACQBAABkcnMvZTJvRG9jLnhtbFBLBQYAAAAABgAGAFkBAACtBQAAAAA=&#1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484" w:type="pct"/>
            <w:tcBorders>
              <w:tl2br w:val="nil"/>
              <w:tr2bl w:val="nil"/>
            </w:tcBorders>
            <w:vAlign w:val="center"/>
          </w:tcPr>
          <w:p w14:paraId="3C3AA173">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8656" behindDoc="0" locked="0" layoutInCell="1" allowOverlap="1">
                      <wp:simplePos x="0" y="0"/>
                      <wp:positionH relativeFrom="column">
                        <wp:posOffset>117475</wp:posOffset>
                      </wp:positionH>
                      <wp:positionV relativeFrom="paragraph">
                        <wp:posOffset>24765</wp:posOffset>
                      </wp:positionV>
                      <wp:extent cx="76200" cy="85725"/>
                      <wp:effectExtent l="13335" t="17780" r="15240" b="10795"/>
                      <wp:wrapNone/>
                      <wp:docPr id="22" name="等腰三角形 22"/>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25pt;margin-top:1.95pt;height:6.75pt;width:6pt;z-index:251718656;mso-width-relative:page;mso-height-relative:page;" filled="f" stroked="t" coordsize="21600,21600" o:gfxdata="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uErytYAAAAG&#10;AQAADwAAAAAAAAABACAAAAAiAAAAZHJzL2Rvd25yZXYueG1sUEsBAhQAFAAAAAgAh07iQFz1ihtX&#10;AgAAiQQAAA4AAAAAAAAAAQAgAAAAJQEAAGRycy9lMm9Eb2MueG1sUEsFBgAAAAAGAAYAWQEAAO4F&#10;AA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18" w:type="pct"/>
            <w:tcBorders>
              <w:tl2br w:val="nil"/>
              <w:tr2bl w:val="nil"/>
            </w:tcBorders>
            <w:vAlign w:val="center"/>
          </w:tcPr>
          <w:p w14:paraId="1DA95374">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9680" behindDoc="0" locked="0" layoutInCell="1" allowOverlap="1">
                      <wp:simplePos x="0" y="0"/>
                      <wp:positionH relativeFrom="column">
                        <wp:posOffset>104140</wp:posOffset>
                      </wp:positionH>
                      <wp:positionV relativeFrom="paragraph">
                        <wp:posOffset>34290</wp:posOffset>
                      </wp:positionV>
                      <wp:extent cx="76200" cy="85725"/>
                      <wp:effectExtent l="12700" t="17780" r="15875" b="10795"/>
                      <wp:wrapNone/>
                      <wp:docPr id="21" name="等腰三角形 21"/>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2pt;margin-top:2.7pt;height:6.75pt;width:6pt;z-index:251719680;mso-width-relative:page;mso-height-relative:page;" filled="f" stroked="t" coordsize="21600,21600" o:gfxdata="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7DAWeNQAAAAG&#10;AQAADwAAAAAAAAABACAAAAAiAAAAZHJzL2Rvd25yZXYueG1sUEsBAhQAFAAAAAgAh07iQJ8z7o5Z&#10;AgAAiQQAAA4AAAAAAAAAAQAgAAAAIwEAAGRycy9lMm9Eb2MueG1sUEsFBgAAAAAGAAYAWQEAAO4F&#10;AAA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36" w:type="pct"/>
            <w:tcBorders>
              <w:tl2br w:val="nil"/>
              <w:tr2bl w:val="nil"/>
            </w:tcBorders>
            <w:vAlign w:val="center"/>
          </w:tcPr>
          <w:p w14:paraId="347FD172">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5888" behindDoc="0" locked="0" layoutInCell="1" allowOverlap="1">
                      <wp:simplePos x="0" y="0"/>
                      <wp:positionH relativeFrom="column">
                        <wp:posOffset>196215</wp:posOffset>
                      </wp:positionH>
                      <wp:positionV relativeFrom="paragraph">
                        <wp:posOffset>24765</wp:posOffset>
                      </wp:positionV>
                      <wp:extent cx="75565" cy="75565"/>
                      <wp:effectExtent l="11430" t="8255" r="8255" b="11430"/>
                      <wp:wrapNone/>
                      <wp:docPr id="20" name="椭圆 20"/>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5.45pt;margin-top:1.95pt;height:5.95pt;width:5.95pt;z-index:251685888;mso-width-relative:page;mso-height-relative:page;" fillcolor="#FFFFFF" filled="t" stroked="t" coordsize="21600,21600" o:gfxdata="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hQnzHVAAAABgEAAA8AAAAAAAAAAQAgAAAAIgAAAGRycy9kb3ducmV2LnhtbFBL&#10;AQIUABQAAAAIAIdO4kCKNqmwMgIAAG8EAAAOAAAAAAAAAAEAIAAAACQBAABkcnMvZTJvRG9jLnht&#10;bFBLBQYAAAAABgAGAFkBAADIBQAAAAA=&#10;">
                      <v:fill on="t" focussize="0,0"/>
                      <v:stroke color="#000000" joinstyle="round"/>
                      <v:imagedata o:title=""/>
                      <o:lock v:ext="edit" aspectratio="f"/>
                    </v:shape>
                  </w:pict>
                </mc:Fallback>
              </mc:AlternateContent>
            </w:r>
          </w:p>
        </w:tc>
        <w:tc>
          <w:tcPr>
            <w:tcW w:w="522" w:type="pct"/>
            <w:tcBorders>
              <w:tl2br w:val="nil"/>
              <w:tr2bl w:val="nil"/>
            </w:tcBorders>
            <w:vAlign w:val="center"/>
          </w:tcPr>
          <w:p w14:paraId="34BD6E94">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9984" behindDoc="0" locked="0" layoutInCell="1" allowOverlap="1">
                      <wp:simplePos x="0" y="0"/>
                      <wp:positionH relativeFrom="column">
                        <wp:posOffset>203835</wp:posOffset>
                      </wp:positionH>
                      <wp:positionV relativeFrom="paragraph">
                        <wp:posOffset>43815</wp:posOffset>
                      </wp:positionV>
                      <wp:extent cx="75565" cy="75565"/>
                      <wp:effectExtent l="11430" t="8255" r="8255" b="11430"/>
                      <wp:wrapNone/>
                      <wp:docPr id="19" name="椭圆 1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05pt;margin-top:3.45pt;height:5.95pt;width:5.95pt;z-index:251689984;mso-width-relative:page;mso-height-relative:page;" fillcolor="#FFFFFF" filled="t" stroked="t" coordsize="21600,21600" o:gfxdata="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LbbGrVAAAABgEAAA8AAAAAAAAAAQAgAAAAIgAAAGRycy9kb3ducmV2LnhtbFBL&#10;AQIUABQAAAAIAIdO4kCc0u3PMgIAAG8EAAAOAAAAAAAAAAEAIAAAACQBAABkcnMvZTJvRG9jLnht&#10;bFBLBQYAAAAABgAGAFkBAADIBQAAAAA=&#10;">
                      <v:fill on="t" focussize="0,0"/>
                      <v:stroke color="#000000" joinstyle="round"/>
                      <v:imagedata o:title=""/>
                      <o:lock v:ext="edit" aspectratio="f"/>
                    </v:shape>
                  </w:pict>
                </mc:Fallback>
              </mc:AlternateContent>
            </w:r>
          </w:p>
        </w:tc>
        <w:tc>
          <w:tcPr>
            <w:tcW w:w="582" w:type="pct"/>
            <w:tcBorders>
              <w:tl2br w:val="nil"/>
              <w:tr2bl w:val="nil"/>
            </w:tcBorders>
            <w:vAlign w:val="center"/>
          </w:tcPr>
          <w:p w14:paraId="14B86E0F">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31968" behindDoc="0" locked="0" layoutInCell="1" allowOverlap="1">
                      <wp:simplePos x="0" y="0"/>
                      <wp:positionH relativeFrom="column">
                        <wp:posOffset>151130</wp:posOffset>
                      </wp:positionH>
                      <wp:positionV relativeFrom="paragraph">
                        <wp:posOffset>15240</wp:posOffset>
                      </wp:positionV>
                      <wp:extent cx="76200" cy="85725"/>
                      <wp:effectExtent l="21590" t="17780" r="16510" b="10795"/>
                      <wp:wrapNone/>
                      <wp:docPr id="18" name="等腰三角形 18"/>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1.9pt;margin-top:1.2pt;height:6.75pt;width:6pt;z-index:251731968;mso-width-relative:page;mso-height-relative:page;" filled="f" stroked="t" coordsize="21600,21600" o:gfxdata="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t5FRtUAAAAGAQAA&#10;DwAAAAAAAAABACAAAAAiAAAAZHJzL2Rvd25yZXYueG1sUEsBAhQAFAAAAAgAh07iQJiYytBVAgAA&#10;iQQAAA4AAAAAAAAAAQAgAAAAJAEAAGRycy9lMm9Eb2MueG1sUEsFBgAAAAAGAAYAWQEAAOsFAAAA&#10;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73" w:type="pct"/>
            <w:tcBorders>
              <w:tl2br w:val="nil"/>
              <w:tr2bl w:val="nil"/>
            </w:tcBorders>
            <w:vAlign w:val="center"/>
          </w:tcPr>
          <w:p w14:paraId="4919A827">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28896" behindDoc="0" locked="0" layoutInCell="1" allowOverlap="1">
                      <wp:simplePos x="0" y="0"/>
                      <wp:positionH relativeFrom="column">
                        <wp:posOffset>137795</wp:posOffset>
                      </wp:positionH>
                      <wp:positionV relativeFrom="paragraph">
                        <wp:posOffset>15240</wp:posOffset>
                      </wp:positionV>
                      <wp:extent cx="76200" cy="85725"/>
                      <wp:effectExtent l="20955" t="17780" r="17145" b="10795"/>
                      <wp:wrapNone/>
                      <wp:docPr id="17" name="等腰三角形 17"/>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0.85pt;margin-top:1.2pt;height:6.75pt;width:6pt;z-index:251728896;mso-width-relative:page;mso-height-relative:page;" filled="f" stroked="t" coordsize="21600,21600" o:gfxdata="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ULXAXVAAAABgEA&#10;AA8AAAAAAAAAAQAgAAAAIgAAAGRycy9kb3ducmV2LnhtbFBLAQIUABQAAAAIAIdO4kCUT659VgIA&#10;AIkEAAAOAAAAAAAAAAEAIAAAACQBAABkcnMvZTJvRG9jLnhtbFBLBQYAAAAABgAGAFkBAADsBQAA&#10;AAA=&#10;" adj="10800">
                      <v:fill on="f" focussize="0,0"/>
                      <v:stroke weight="0.5pt" color="#000000" miterlimit="8" joinstyle="miter"/>
                      <v:imagedata o:title=""/>
                      <o:lock v:ext="edit" aspectratio="f"/>
                    </v:shape>
                  </w:pict>
                </mc:Fallback>
              </mc:AlternateContent>
            </w:r>
            <w:r>
              <w:rPr>
                <w:rFonts w:hint="eastAsia" w:ascii="Times New Roman" w:hAnsi="Times New Roman" w:eastAsia="宋体"/>
                <w:color w:val="auto"/>
                <w:sz w:val="21"/>
                <w:szCs w:val="21"/>
                <w:highlight w:val="none"/>
              </w:rPr>
              <w:t>L</w:t>
            </w:r>
          </w:p>
        </w:tc>
      </w:tr>
      <w:tr w14:paraId="62D47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275" w:type="pct"/>
            <w:vMerge w:val="continue"/>
            <w:tcBorders>
              <w:tl2br w:val="nil"/>
              <w:tr2bl w:val="nil"/>
            </w:tcBorders>
            <w:vAlign w:val="center"/>
          </w:tcPr>
          <w:p w14:paraId="31CE35D3">
            <w:pPr>
              <w:snapToGrid w:val="0"/>
              <w:spacing w:line="240" w:lineRule="auto"/>
              <w:ind w:firstLine="0" w:firstLineChars="0"/>
              <w:jc w:val="center"/>
              <w:rPr>
                <w:rFonts w:ascii="Times New Roman" w:hAnsi="Times New Roman" w:eastAsia="宋体"/>
                <w:color w:val="auto"/>
                <w:sz w:val="21"/>
                <w:szCs w:val="21"/>
                <w:highlight w:val="none"/>
              </w:rPr>
            </w:pPr>
          </w:p>
        </w:tc>
        <w:tc>
          <w:tcPr>
            <w:tcW w:w="968" w:type="pct"/>
            <w:gridSpan w:val="3"/>
            <w:tcBorders>
              <w:tl2br w:val="nil"/>
              <w:tr2bl w:val="nil"/>
            </w:tcBorders>
            <w:vAlign w:val="center"/>
          </w:tcPr>
          <w:p w14:paraId="540F0257">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车辆运输</w:t>
            </w:r>
          </w:p>
        </w:tc>
        <w:tc>
          <w:tcPr>
            <w:tcW w:w="503" w:type="pct"/>
            <w:tcBorders>
              <w:tl2br w:val="nil"/>
              <w:tr2bl w:val="nil"/>
            </w:tcBorders>
            <w:vAlign w:val="center"/>
          </w:tcPr>
          <w:p w14:paraId="73B3C899">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08416" behindDoc="0" locked="0" layoutInCell="1" allowOverlap="1">
                      <wp:simplePos x="0" y="0"/>
                      <wp:positionH relativeFrom="column">
                        <wp:posOffset>103505</wp:posOffset>
                      </wp:positionH>
                      <wp:positionV relativeFrom="paragraph">
                        <wp:posOffset>16510</wp:posOffset>
                      </wp:positionV>
                      <wp:extent cx="76200" cy="85725"/>
                      <wp:effectExtent l="4445" t="7620" r="5080" b="1905"/>
                      <wp:wrapNone/>
                      <wp:docPr id="16" name="等腰三角形 16"/>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8.15pt;margin-top:1.3pt;height:6.75pt;width:6pt;z-index:251708416;mso-width-relative:page;mso-height-relative:page;" fillcolor="#000000" filled="t" stroked="f" coordsize="21600,21600" o:gfxdata="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L6pyfRAAAABgEAAA8AAAAAAAAAAQAgAAAAIgAAAGRycy9k&#10;b3ducmV2LnhtbFBLAQIUABQAAAAIAIdO4kDzDtwcQgIAAF4EAAAOAAAAAAAAAAEAIAAAACABAABk&#10;cnMvZTJvRG9jLnhtbFBLBQYAAAAABgAGAFkBAADUBQ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484" w:type="pct"/>
            <w:tcBorders>
              <w:tl2br w:val="nil"/>
              <w:tr2bl w:val="nil"/>
            </w:tcBorders>
            <w:vAlign w:val="center"/>
          </w:tcPr>
          <w:p w14:paraId="093103E2">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75648" behindDoc="0" locked="0" layoutInCell="1" allowOverlap="1">
                      <wp:simplePos x="0" y="0"/>
                      <wp:positionH relativeFrom="column">
                        <wp:posOffset>144780</wp:posOffset>
                      </wp:positionH>
                      <wp:positionV relativeFrom="paragraph">
                        <wp:posOffset>26035</wp:posOffset>
                      </wp:positionV>
                      <wp:extent cx="75565" cy="75565"/>
                      <wp:effectExtent l="12065" t="7620" r="7620" b="12065"/>
                      <wp:wrapNone/>
                      <wp:docPr id="15" name="椭圆 15"/>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4pt;margin-top:2.05pt;height:5.95pt;width:5.95pt;z-index:251675648;mso-width-relative:page;mso-height-relative:page;" fillcolor="#FFFFFF" filled="t" stroked="t" coordsize="21600,21600" o:gfxdata="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5E2ePVAAAABgEAAA8AAAAAAAAAAQAgAAAAIgAAAGRycy9kb3ducmV2LnhtbFBL&#10;AQIUABQAAAAIAIdO4kCSpxunMgIAAG8EAAAOAAAAAAAAAAEAIAAAACQBAABkcnMvZTJvRG9jLnht&#10;bFBLBQYAAAAABgAGAFkBAADIBQAAAAA=&#10;">
                      <v:fill on="t" focussize="0,0"/>
                      <v:stroke color="#000000" joinstyle="round"/>
                      <v:imagedata o:title=""/>
                      <o:lock v:ext="edit" aspectratio="f"/>
                    </v:shape>
                  </w:pict>
                </mc:Fallback>
              </mc:AlternateContent>
            </w:r>
          </w:p>
        </w:tc>
        <w:tc>
          <w:tcPr>
            <w:tcW w:w="518" w:type="pct"/>
            <w:tcBorders>
              <w:tl2br w:val="nil"/>
              <w:tr2bl w:val="nil"/>
            </w:tcBorders>
            <w:vAlign w:val="center"/>
          </w:tcPr>
          <w:p w14:paraId="7AF7350E">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81792" behindDoc="0" locked="0" layoutInCell="1" allowOverlap="1">
                      <wp:simplePos x="0" y="0"/>
                      <wp:positionH relativeFrom="column">
                        <wp:posOffset>160020</wp:posOffset>
                      </wp:positionH>
                      <wp:positionV relativeFrom="paragraph">
                        <wp:posOffset>45085</wp:posOffset>
                      </wp:positionV>
                      <wp:extent cx="75565" cy="75565"/>
                      <wp:effectExtent l="11430" t="7620" r="8255" b="12065"/>
                      <wp:wrapNone/>
                      <wp:docPr id="14" name="椭圆 14"/>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2.6pt;margin-top:3.55pt;height:5.95pt;width:5.95pt;z-index:251681792;mso-width-relative:page;mso-height-relative:page;" fillcolor="#FFFFFF" filled="t" stroked="t" coordsize="21600,21600" o:gfxdata="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iy29QAAAAGAQAADwAAAAAAAAABACAAAAAiAAAAZHJzL2Rvd25yZXYueG1sUEsB&#10;AhQAFAAAAAgAh07iQLOtmPUyAgAAbwQAAA4AAAAAAAAAAQAgAAAAIwEAAGRycy9lMm9Eb2MueG1s&#10;UEsFBgAAAAAGAAYAWQEAAMcFAAAAAA==&#10;">
                      <v:fill on="t" focussize="0,0"/>
                      <v:stroke color="#000000" joinstyle="round"/>
                      <v:imagedata o:title=""/>
                      <o:lock v:ext="edit" aspectratio="f"/>
                    </v:shape>
                  </w:pict>
                </mc:Fallback>
              </mc:AlternateContent>
            </w:r>
          </w:p>
        </w:tc>
        <w:tc>
          <w:tcPr>
            <w:tcW w:w="536" w:type="pct"/>
            <w:tcBorders>
              <w:tl2br w:val="nil"/>
              <w:tr2bl w:val="nil"/>
            </w:tcBorders>
            <w:vAlign w:val="center"/>
          </w:tcPr>
          <w:p w14:paraId="76F6B92A">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1488" behindDoc="0" locked="0" layoutInCell="1" allowOverlap="1">
                      <wp:simplePos x="0" y="0"/>
                      <wp:positionH relativeFrom="column">
                        <wp:posOffset>83185</wp:posOffset>
                      </wp:positionH>
                      <wp:positionV relativeFrom="paragraph">
                        <wp:posOffset>35560</wp:posOffset>
                      </wp:positionV>
                      <wp:extent cx="76200" cy="85725"/>
                      <wp:effectExtent l="3175" t="7620" r="6350" b="1905"/>
                      <wp:wrapNone/>
                      <wp:docPr id="13" name="等腰三角形 13"/>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6.55pt;margin-top:2.8pt;height:6.75pt;width:6pt;z-index:251711488;mso-width-relative:page;mso-height-relative:page;" fillcolor="#000000" filled="t" stroked="f" coordsize="21600,21600" o:gfxdata="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JacsnRAAAABgEAAA8AAAAAAAAAAQAgAAAAIgAAAGRycy9k&#10;b3ducmV2LnhtbFBLAQIUABQAAAAIAIdO4kCtkEsBQgIAAF4EAAAOAAAAAAAAAAEAIAAAACABAABk&#10;cnMvZTJvRG9jLnhtbFBLBQYAAAAABgAGAFkBAADUBQ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c>
          <w:tcPr>
            <w:tcW w:w="522" w:type="pct"/>
            <w:tcBorders>
              <w:tl2br w:val="nil"/>
              <w:tr2bl w:val="nil"/>
            </w:tcBorders>
            <w:vAlign w:val="center"/>
          </w:tcPr>
          <w:p w14:paraId="72B24EAB">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1008" behindDoc="0" locked="0" layoutInCell="1" allowOverlap="1">
                      <wp:simplePos x="0" y="0"/>
                      <wp:positionH relativeFrom="column">
                        <wp:posOffset>194310</wp:posOffset>
                      </wp:positionH>
                      <wp:positionV relativeFrom="paragraph">
                        <wp:posOffset>26035</wp:posOffset>
                      </wp:positionV>
                      <wp:extent cx="75565" cy="75565"/>
                      <wp:effectExtent l="11430" t="7620" r="8255" b="12065"/>
                      <wp:wrapNone/>
                      <wp:docPr id="12" name="椭圆 12"/>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5.3pt;margin-top:2.05pt;height:5.95pt;width:5.95pt;z-index:251691008;mso-width-relative:page;mso-height-relative:page;" fillcolor="#FFFFFF" filled="t" stroked="t" coordsize="21600,21600" o:gfxdata="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oL4FNQAAAAGAQAADwAAAAAAAAABACAAAAAiAAAAZHJzL2Rvd25yZXYueG1sUEsB&#10;AhQAFAAAAAgAh07iQDSX48EyAgAAbwQAAA4AAAAAAAAAAQAgAAAAIwEAAGRycy9lMm9Eb2MueG1s&#10;UEsFBgAAAAAGAAYAWQEAAMcFAAAAAA==&#10;">
                      <v:fill on="t" focussize="0,0"/>
                      <v:stroke color="#000000" joinstyle="round"/>
                      <v:imagedata o:title=""/>
                      <o:lock v:ext="edit" aspectratio="f"/>
                    </v:shape>
                  </w:pict>
                </mc:Fallback>
              </mc:AlternateContent>
            </w:r>
          </w:p>
        </w:tc>
        <w:tc>
          <w:tcPr>
            <w:tcW w:w="582" w:type="pct"/>
            <w:tcBorders>
              <w:right w:val="single" w:color="auto" w:sz="4" w:space="0"/>
              <w:tl2br w:val="nil"/>
              <w:tr2bl w:val="nil"/>
            </w:tcBorders>
            <w:vAlign w:val="center"/>
          </w:tcPr>
          <w:p w14:paraId="5FF432BF">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696128" behindDoc="0" locked="0" layoutInCell="1" allowOverlap="1">
                      <wp:simplePos x="0" y="0"/>
                      <wp:positionH relativeFrom="column">
                        <wp:posOffset>215900</wp:posOffset>
                      </wp:positionH>
                      <wp:positionV relativeFrom="paragraph">
                        <wp:posOffset>35560</wp:posOffset>
                      </wp:positionV>
                      <wp:extent cx="75565" cy="75565"/>
                      <wp:effectExtent l="10160" t="7620" r="9525" b="12065"/>
                      <wp:wrapNone/>
                      <wp:docPr id="11" name="椭圆 11"/>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7pt;margin-top:2.8pt;height:5.95pt;width:5.95pt;z-index:251696128;mso-width-relative:page;mso-height-relative:page;" fillcolor="#FFFFFF" filled="t" stroked="t" coordsize="21600,21600" o:gfxdata="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8Ir8nVAAAABgEAAA8AAAAAAAAAAQAgAAAAIgAAAGRycy9kb3ducmV2LnhtbFBL&#10;AQIUABQAAAAIAIdO4kBXiWY2MgIAAG8EAAAOAAAAAAAAAAEAIAAAACQBAABkcnMvZTJvRG9jLnht&#10;bFBLBQYAAAAABgAGAFkBAADIBQAAAAA=&#10;">
                      <v:fill on="t" focussize="0,0"/>
                      <v:stroke color="#000000" joinstyle="round"/>
                      <v:imagedata o:title=""/>
                      <o:lock v:ext="edit" aspectratio="f"/>
                    </v:shape>
                  </w:pict>
                </mc:Fallback>
              </mc:AlternateContent>
            </w:r>
          </w:p>
        </w:tc>
        <w:tc>
          <w:tcPr>
            <w:tcW w:w="573" w:type="pct"/>
            <w:tcBorders>
              <w:left w:val="single" w:color="auto" w:sz="4" w:space="0"/>
              <w:tl2br w:val="nil"/>
              <w:tr2bl w:val="nil"/>
            </w:tcBorders>
            <w:vAlign w:val="center"/>
          </w:tcPr>
          <w:p w14:paraId="5299769C">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16608" behindDoc="0" locked="0" layoutInCell="1" allowOverlap="1">
                      <wp:simplePos x="0" y="0"/>
                      <wp:positionH relativeFrom="column">
                        <wp:posOffset>118745</wp:posOffset>
                      </wp:positionH>
                      <wp:positionV relativeFrom="paragraph">
                        <wp:posOffset>45085</wp:posOffset>
                      </wp:positionV>
                      <wp:extent cx="76200" cy="85725"/>
                      <wp:effectExtent l="1905" t="7620" r="7620" b="1905"/>
                      <wp:wrapNone/>
                      <wp:docPr id="10" name="等腰三角形 10"/>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9.35pt;margin-top:3.55pt;height:6.75pt;width:6pt;z-index:251716608;mso-width-relative:page;mso-height-relative:page;" fillcolor="#000000" filled="t" stroked="f" coordsize="21600,21600" o:gfxdata="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RBRMbSAAAABgEAAA8AAAAAAAAAAQAgAAAAIgAAAGRycy9k&#10;b3ducmV2LnhtbFBLAQIUABQAAAAIAIdO4kBY5+m8QQIAAF4EAAAOAAAAAAAAAAEAIAAAACEBAABk&#10;cnMvZTJvRG9jLnhtbFBLBQYAAAAABgAGAFkBAADUBQAAAAA=&#10;" adj="1080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L</w:t>
            </w:r>
          </w:p>
        </w:tc>
      </w:tr>
      <w:tr w14:paraId="5948A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gridAfter w:val="1"/>
          <w:wAfter w:w="36" w:type="pct"/>
          <w:trHeight w:val="20" w:hRule="atLeast"/>
          <w:jc w:val="center"/>
        </w:trPr>
        <w:tc>
          <w:tcPr>
            <w:tcW w:w="4963" w:type="pct"/>
            <w:gridSpan w:val="11"/>
            <w:tcBorders>
              <w:tl2br w:val="nil"/>
              <w:tr2bl w:val="nil"/>
            </w:tcBorders>
            <w:vAlign w:val="center"/>
          </w:tcPr>
          <w:p w14:paraId="37C471C3">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4"/>
                <w:highlight w:val="none"/>
              </w:rPr>
              <mc:AlternateContent>
                <mc:Choice Requires="wps">
                  <w:drawing>
                    <wp:anchor distT="0" distB="0" distL="114300" distR="114300" simplePos="0" relativeHeight="251736064" behindDoc="0" locked="0" layoutInCell="1" allowOverlap="1">
                      <wp:simplePos x="0" y="0"/>
                      <wp:positionH relativeFrom="column">
                        <wp:posOffset>2688590</wp:posOffset>
                      </wp:positionH>
                      <wp:positionV relativeFrom="paragraph">
                        <wp:posOffset>37465</wp:posOffset>
                      </wp:positionV>
                      <wp:extent cx="75565" cy="75565"/>
                      <wp:effectExtent l="10795" t="8255" r="8890" b="11430"/>
                      <wp:wrapNone/>
                      <wp:docPr id="9" name="椭圆 9"/>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211.7pt;margin-top:2.95pt;height:5.95pt;width:5.95pt;z-index:251736064;mso-width-relative:page;mso-height-relative:page;" fillcolor="#FFFFFF" filled="t" stroked="t" coordsize="21600,21600" o:gfxdata="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viQm7XAAAACAEAAA8AAAAAAAAAAQAgAAAAIgAAAGRycy9kb3ducmV2LnhtbFBL&#10;AQIUABQAAAAIAIdO4kD+c32SMAIAAG0EAAAOAAAAAAAAAAEAIAAAACYBAABkcnMvZTJvRG9jLnht&#10;bFBLBQYAAAAABgAGAFkBAADIBQAAAAA=&#10;">
                      <v:fill on="t" focussize="0,0"/>
                      <v:stroke color="#000000" joinstyle="round"/>
                      <v:imagedata o:title=""/>
                      <o:lock v:ext="edit" aspectratio="f"/>
                    </v:shape>
                  </w:pict>
                </mc:Fallback>
              </mc:AlternateContent>
            </w:r>
            <w:r>
              <w:rPr>
                <w:rFonts w:ascii="Times New Roman" w:hAnsi="Times New Roman" w:eastAsia="宋体"/>
                <w:color w:val="auto"/>
                <w:sz w:val="21"/>
                <w:szCs w:val="24"/>
                <w:highlight w:val="none"/>
              </w:rPr>
              <mc:AlternateContent>
                <mc:Choice Requires="wps">
                  <w:drawing>
                    <wp:anchor distT="0" distB="0" distL="114300" distR="114300" simplePos="0" relativeHeight="251735040" behindDoc="0" locked="0" layoutInCell="1" allowOverlap="1">
                      <wp:simplePos x="0" y="0"/>
                      <wp:positionH relativeFrom="column">
                        <wp:posOffset>1679575</wp:posOffset>
                      </wp:positionH>
                      <wp:positionV relativeFrom="paragraph">
                        <wp:posOffset>37465</wp:posOffset>
                      </wp:positionV>
                      <wp:extent cx="76200" cy="85725"/>
                      <wp:effectExtent l="20955" t="17780" r="17145" b="10795"/>
                      <wp:wrapNone/>
                      <wp:docPr id="8" name="等腰三角形 8"/>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noFill/>
                              <a:ln w="6350"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132.25pt;margin-top:2.95pt;height:6.75pt;width:6pt;z-index:251735040;mso-width-relative:page;mso-height-relative:page;" filled="f" stroked="t" coordsize="21600,21600" o:gfxdata="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yCVOw2AAAAAgB&#10;AAAPAAAAAAAAAAEAIAAAACIAAABkcnMvZG93bnJldi54bWxQSwECFAAUAAAACACHTuJAZmu2blQC&#10;AACHBAAADgAAAAAAAAABACAAAAAnAQAAZHJzL2Uyb0RvYy54bWxQSwUGAAAAAAYABgBZAQAA7QUA&#10;AAAA&#10;" adj="10800">
                      <v:fill on="f" focussize="0,0"/>
                      <v:stroke weight="0.5pt" color="#000000" miterlimit="8" joinstyle="miter"/>
                      <v:imagedata o:title=""/>
                      <o:lock v:ext="edit" aspectratio="f"/>
                    </v:shape>
                  </w:pict>
                </mc:Fallback>
              </mc:AlternateContent>
            </w:r>
            <w:r>
              <w:rPr>
                <w:rFonts w:ascii="Times New Roman" w:hAnsi="Times New Roman" w:eastAsia="宋体"/>
                <w:color w:val="auto"/>
                <w:sz w:val="21"/>
                <w:szCs w:val="24"/>
                <w:highlight w:val="none"/>
              </w:rPr>
              <mc:AlternateContent>
                <mc:Choice Requires="wps">
                  <w:drawing>
                    <wp:anchor distT="0" distB="0" distL="114300" distR="114300" simplePos="0" relativeHeight="251734016" behindDoc="0" locked="0" layoutInCell="1" allowOverlap="1">
                      <wp:simplePos x="0" y="0"/>
                      <wp:positionH relativeFrom="column">
                        <wp:posOffset>718820</wp:posOffset>
                      </wp:positionH>
                      <wp:positionV relativeFrom="paragraph">
                        <wp:posOffset>37465</wp:posOffset>
                      </wp:positionV>
                      <wp:extent cx="76200" cy="85725"/>
                      <wp:effectExtent l="3175" t="8255" r="6350" b="1270"/>
                      <wp:wrapNone/>
                      <wp:docPr id="7" name="等腰三角形 7"/>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triangle">
                                <a:avLst>
                                  <a:gd name="adj" fmla="val 50000"/>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5" type="#_x0000_t5" style="position:absolute;left:0pt;margin-left:56.6pt;margin-top:2.95pt;height:6.75pt;width:6pt;z-index:251734016;mso-width-relative:page;mso-height-relative:page;" fillcolor="#000000" filled="t" stroked="f" coordsize="21600,21600" o:gfxdata="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k7nvNQAAAAIAQAADwAAAAAAAAABACAAAAAiAAAAZHJz&#10;L2Rvd25yZXYueG1sUEsBAhQAFAAAAAgAh07iQJZSXmRBAgAAXAQAAA4AAAAAAAAAAQAgAAAAIwEA&#10;AGRycy9lMm9Eb2MueG1sUEsFBgAAAAAGAAYAWQEAANYFAAAAAA==&#10;" adj="10800">
                      <v:fill on="t" focussize="0,0"/>
                      <v:stroke on="f"/>
                      <v:imagedata o:title=""/>
                      <o:lock v:ext="edit" aspectratio="f"/>
                    </v:shape>
                  </w:pict>
                </mc:Fallback>
              </mc:AlternateContent>
            </w:r>
            <w:r>
              <w:rPr>
                <w:rFonts w:ascii="Times New Roman" w:hAnsi="Times New Roman" w:eastAsia="宋体"/>
                <w:color w:val="auto"/>
                <w:sz w:val="21"/>
                <w:szCs w:val="24"/>
                <w:highlight w:val="none"/>
              </w:rPr>
              <mc:AlternateContent>
                <mc:Choice Requires="wps">
                  <w:drawing>
                    <wp:anchor distT="0" distB="0" distL="114300" distR="114300" simplePos="0" relativeHeight="251732992" behindDoc="0" locked="0" layoutInCell="1" allowOverlap="1">
                      <wp:simplePos x="0" y="0"/>
                      <wp:positionH relativeFrom="column">
                        <wp:posOffset>12700</wp:posOffset>
                      </wp:positionH>
                      <wp:positionV relativeFrom="paragraph">
                        <wp:posOffset>17780</wp:posOffset>
                      </wp:positionV>
                      <wp:extent cx="95250" cy="95250"/>
                      <wp:effectExtent l="1905" t="7620" r="7620" b="1905"/>
                      <wp:wrapNone/>
                      <wp:docPr id="6" name="菱形 6"/>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diamond">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pt;margin-top:1.4pt;height:7.5pt;width:7.5pt;z-index:251732992;mso-width-relative:page;mso-height-relative:page;" fillcolor="#000000" filled="t" stroked="f" coordsize="21600,21600" o:gfxdata="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jQJRdQAAAAFAQAADwAAAAAA&#10;AAABACAAAAAiAAAAZHJzL2Rvd25yZXYueG1sUEsBAhQAFAAAAAgAh07iQKzZfS4XAgAAJgQAAA4A&#10;AAAAAAAAAQAgAAAAIwEAAGRycy9lMm9Eb2MueG1sUEsFBgAAAAAGAAYAWQEAAKwFAAAAAA==&#10;">
                      <v:fill on="t" focussize="0,0"/>
                      <v:stroke on="f"/>
                      <v:imagedata o:title=""/>
                      <o:lock v:ext="edit" aspectratio="f"/>
                    </v:shape>
                  </w:pict>
                </mc:Fallback>
              </mc:AlternateContent>
            </w:r>
            <w:r>
              <w:rPr>
                <w:rFonts w:hint="eastAsia" w:ascii="Times New Roman" w:hAnsi="Times New Roman" w:eastAsia="宋体"/>
                <w:color w:val="auto"/>
                <w:sz w:val="21"/>
                <w:szCs w:val="21"/>
                <w:highlight w:val="none"/>
              </w:rPr>
              <w:t>：有影响，：有轻微影响，：可能有影响，：没有影响，S短期影响，L长期影响</w:t>
            </w:r>
          </w:p>
        </w:tc>
      </w:tr>
    </w:tbl>
    <w:p w14:paraId="03A3A8BD">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项目施工期对环境空气及水环境、声环境等均有短期的不利影响，但其会随着施工期的结束而消失。运营期的影响为长期影响，其主要环境影响要素为环境空气及水环境，其次为声环境、固体废物。</w:t>
      </w:r>
    </w:p>
    <w:p w14:paraId="7D70D792">
      <w:pPr>
        <w:pStyle w:val="5"/>
        <w:rPr>
          <w:rFonts w:ascii="Times New Roman" w:hAnsi="Times New Roman" w:eastAsia="宋体"/>
          <w:color w:val="auto"/>
          <w:highlight w:val="none"/>
        </w:rPr>
      </w:pPr>
      <w:bookmarkStart w:id="49" w:name="_Toc106663437"/>
      <w:r>
        <w:rPr>
          <w:rFonts w:hint="eastAsia" w:ascii="Times New Roman" w:hAnsi="Times New Roman" w:eastAsia="宋体"/>
          <w:color w:val="auto"/>
          <w:highlight w:val="none"/>
        </w:rPr>
        <w:t>2.4.2评价因子筛选</w:t>
      </w:r>
      <w:bookmarkEnd w:id="49"/>
    </w:p>
    <w:p w14:paraId="597CD118">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根据本项目污染物的产生及排放情况，确定的本项目常规污染物和特征污染物表2.4-2。</w:t>
      </w:r>
    </w:p>
    <w:p w14:paraId="7BD46F68">
      <w:pPr>
        <w:pStyle w:val="10"/>
        <w:rPr>
          <w:rFonts w:ascii="Times New Roman" w:hAnsi="Times New Roman" w:eastAsia="宋体"/>
          <w:color w:val="auto"/>
          <w:highlight w:val="none"/>
        </w:rPr>
      </w:pPr>
      <w:r>
        <w:rPr>
          <w:rFonts w:hint="eastAsia" w:ascii="Times New Roman" w:hAnsi="Times New Roman" w:eastAsia="宋体"/>
          <w:color w:val="auto"/>
          <w:highlight w:val="none"/>
        </w:rPr>
        <w:t>表2.4-2常规污染物和特征污染物确定情况一览表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512"/>
        <w:gridCol w:w="2889"/>
        <w:gridCol w:w="1734"/>
        <w:gridCol w:w="1497"/>
      </w:tblGrid>
      <w:tr w14:paraId="4E5B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64" w:type="dxa"/>
            <w:vAlign w:val="center"/>
          </w:tcPr>
          <w:p w14:paraId="5F784A6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1512" w:type="dxa"/>
            <w:vAlign w:val="center"/>
          </w:tcPr>
          <w:p w14:paraId="32609CA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评价项目</w:t>
            </w:r>
          </w:p>
        </w:tc>
        <w:tc>
          <w:tcPr>
            <w:tcW w:w="2889" w:type="dxa"/>
            <w:vAlign w:val="center"/>
          </w:tcPr>
          <w:p w14:paraId="2165709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现状评价因子</w:t>
            </w:r>
          </w:p>
        </w:tc>
        <w:tc>
          <w:tcPr>
            <w:tcW w:w="1734" w:type="dxa"/>
            <w:vAlign w:val="center"/>
          </w:tcPr>
          <w:p w14:paraId="690C9EA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影响评价因子</w:t>
            </w:r>
          </w:p>
        </w:tc>
        <w:tc>
          <w:tcPr>
            <w:tcW w:w="1497" w:type="dxa"/>
            <w:vAlign w:val="center"/>
          </w:tcPr>
          <w:p w14:paraId="1615D9C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总量控制因子</w:t>
            </w:r>
          </w:p>
        </w:tc>
      </w:tr>
      <w:tr w14:paraId="6BA3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0744A78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p>
        </w:tc>
        <w:tc>
          <w:tcPr>
            <w:tcW w:w="1512" w:type="dxa"/>
            <w:vAlign w:val="center"/>
          </w:tcPr>
          <w:p w14:paraId="0559D1B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环境空气</w:t>
            </w:r>
          </w:p>
        </w:tc>
        <w:tc>
          <w:tcPr>
            <w:tcW w:w="2889" w:type="dxa"/>
            <w:vAlign w:val="center"/>
          </w:tcPr>
          <w:p w14:paraId="7E8E3FED">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SO</w:t>
            </w:r>
            <w:r>
              <w:rPr>
                <w:rFonts w:hint="eastAsia" w:ascii="Times New Roman" w:hAnsi="Times New Roman" w:eastAsia="宋体"/>
                <w:color w:val="auto"/>
                <w:sz w:val="21"/>
                <w:szCs w:val="21"/>
                <w:highlight w:val="none"/>
                <w:vertAlign w:val="subscript"/>
              </w:rPr>
              <w:t>2</w:t>
            </w:r>
            <w:r>
              <w:rPr>
                <w:rFonts w:hint="eastAsia" w:ascii="Times New Roman" w:hAnsi="Times New Roman" w:eastAsia="宋体"/>
                <w:color w:val="auto"/>
                <w:sz w:val="21"/>
                <w:szCs w:val="21"/>
                <w:highlight w:val="none"/>
              </w:rPr>
              <w:t>、NO</w:t>
            </w:r>
            <w:r>
              <w:rPr>
                <w:rFonts w:hint="eastAsia" w:ascii="Times New Roman" w:hAnsi="Times New Roman" w:eastAsia="宋体"/>
                <w:color w:val="auto"/>
                <w:sz w:val="21"/>
                <w:szCs w:val="21"/>
                <w:highlight w:val="none"/>
                <w:vertAlign w:val="subscript"/>
              </w:rPr>
              <w:t>2</w:t>
            </w:r>
            <w:r>
              <w:rPr>
                <w:rFonts w:hint="eastAsia" w:ascii="Times New Roman" w:hAnsi="Times New Roman" w:eastAsia="宋体"/>
                <w:color w:val="auto"/>
                <w:sz w:val="21"/>
                <w:szCs w:val="21"/>
                <w:highlight w:val="none"/>
              </w:rPr>
              <w:t>、PM</w:t>
            </w:r>
            <w:r>
              <w:rPr>
                <w:rFonts w:hint="eastAsia" w:ascii="Times New Roman" w:hAnsi="Times New Roman" w:eastAsia="宋体"/>
                <w:color w:val="auto"/>
                <w:sz w:val="21"/>
                <w:szCs w:val="21"/>
                <w:highlight w:val="none"/>
                <w:vertAlign w:val="subscript"/>
              </w:rPr>
              <w:t>10</w:t>
            </w:r>
            <w:r>
              <w:rPr>
                <w:rFonts w:hint="eastAsia" w:ascii="Times New Roman" w:hAnsi="Times New Roman" w:eastAsia="宋体"/>
                <w:color w:val="auto"/>
                <w:sz w:val="21"/>
                <w:szCs w:val="21"/>
                <w:highlight w:val="none"/>
              </w:rPr>
              <w:t>、PM</w:t>
            </w:r>
            <w:r>
              <w:rPr>
                <w:rFonts w:hint="eastAsia" w:ascii="Times New Roman" w:hAnsi="Times New Roman" w:eastAsia="宋体"/>
                <w:color w:val="auto"/>
                <w:sz w:val="21"/>
                <w:szCs w:val="21"/>
                <w:highlight w:val="none"/>
                <w:vertAlign w:val="subscript"/>
              </w:rPr>
              <w:t>2.5</w:t>
            </w:r>
            <w:r>
              <w:rPr>
                <w:rFonts w:hint="eastAsia" w:ascii="Times New Roman" w:hAnsi="Times New Roman" w:eastAsia="宋体"/>
                <w:color w:val="auto"/>
                <w:sz w:val="21"/>
                <w:szCs w:val="21"/>
                <w:highlight w:val="none"/>
              </w:rPr>
              <w:t>、CO、O</w:t>
            </w:r>
            <w:r>
              <w:rPr>
                <w:rFonts w:hint="eastAsia"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rPr>
              <w:t>、H</w:t>
            </w:r>
            <w:r>
              <w:rPr>
                <w:rFonts w:hint="eastAsia" w:ascii="Times New Roman" w:hAnsi="Times New Roman" w:eastAsia="宋体"/>
                <w:color w:val="auto"/>
                <w:sz w:val="21"/>
                <w:szCs w:val="21"/>
                <w:highlight w:val="none"/>
                <w:vertAlign w:val="subscript"/>
              </w:rPr>
              <w:t>2</w:t>
            </w:r>
            <w:r>
              <w:rPr>
                <w:rFonts w:hint="eastAsia" w:ascii="Times New Roman" w:hAnsi="Times New Roman" w:eastAsia="宋体"/>
                <w:color w:val="auto"/>
                <w:sz w:val="21"/>
                <w:szCs w:val="21"/>
                <w:highlight w:val="none"/>
              </w:rPr>
              <w:t>S、NH</w:t>
            </w:r>
            <w:r>
              <w:rPr>
                <w:rFonts w:hint="eastAsia" w:ascii="Times New Roman" w:hAnsi="Times New Roman" w:eastAsia="宋体"/>
                <w:color w:val="auto"/>
                <w:sz w:val="21"/>
                <w:szCs w:val="21"/>
                <w:highlight w:val="none"/>
                <w:vertAlign w:val="subscript"/>
              </w:rPr>
              <w:t>3</w:t>
            </w:r>
          </w:p>
        </w:tc>
        <w:tc>
          <w:tcPr>
            <w:tcW w:w="1734" w:type="dxa"/>
            <w:vAlign w:val="center"/>
          </w:tcPr>
          <w:p w14:paraId="31F5668B">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rPr>
              <w:t>H</w:t>
            </w:r>
            <w:r>
              <w:rPr>
                <w:rFonts w:hint="eastAsia" w:ascii="Times New Roman" w:hAnsi="Times New Roman" w:eastAsia="宋体"/>
                <w:color w:val="auto"/>
                <w:sz w:val="21"/>
                <w:szCs w:val="21"/>
                <w:highlight w:val="none"/>
                <w:vertAlign w:val="subscript"/>
              </w:rPr>
              <w:t>2</w:t>
            </w:r>
            <w:r>
              <w:rPr>
                <w:rFonts w:hint="eastAsia" w:ascii="Times New Roman" w:hAnsi="Times New Roman" w:eastAsia="宋体"/>
                <w:color w:val="auto"/>
                <w:sz w:val="21"/>
                <w:szCs w:val="21"/>
                <w:highlight w:val="none"/>
              </w:rPr>
              <w:t>S、NH</w:t>
            </w:r>
            <w:r>
              <w:rPr>
                <w:rFonts w:hint="eastAsia"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臭气浓度</w:t>
            </w:r>
          </w:p>
        </w:tc>
        <w:tc>
          <w:tcPr>
            <w:tcW w:w="1497" w:type="dxa"/>
            <w:vAlign w:val="center"/>
          </w:tcPr>
          <w:p w14:paraId="0A095D4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14:paraId="4C2B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316160C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w:t>
            </w:r>
          </w:p>
        </w:tc>
        <w:tc>
          <w:tcPr>
            <w:tcW w:w="1512" w:type="dxa"/>
            <w:vAlign w:val="center"/>
          </w:tcPr>
          <w:p w14:paraId="34897BB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地下水</w:t>
            </w:r>
          </w:p>
        </w:tc>
        <w:tc>
          <w:tcPr>
            <w:tcW w:w="2889" w:type="dxa"/>
            <w:vAlign w:val="center"/>
          </w:tcPr>
          <w:p w14:paraId="4C8A71B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pH、总硬度、硫酸盐、耗氧量、氨氮、挥发酚、总硬度、硝酸盐、氟化物、铁、锰、汞、铅、钾、铜、锌、硒、砷、镉、铬（六价）、氰化物、总大肠菌群、溶解性总固体、阴离子表面活性剂</w:t>
            </w:r>
          </w:p>
        </w:tc>
        <w:tc>
          <w:tcPr>
            <w:tcW w:w="1734" w:type="dxa"/>
            <w:vAlign w:val="center"/>
          </w:tcPr>
          <w:p w14:paraId="3B0B180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pH、COD</w:t>
            </w:r>
            <w:r>
              <w:rPr>
                <w:rFonts w:hint="eastAsia" w:ascii="Times New Roman" w:hAnsi="Times New Roman" w:eastAsia="宋体"/>
                <w:color w:val="auto"/>
                <w:sz w:val="21"/>
                <w:szCs w:val="21"/>
                <w:highlight w:val="none"/>
                <w:vertAlign w:val="subscript"/>
              </w:rPr>
              <w:t>cr</w:t>
            </w:r>
            <w:r>
              <w:rPr>
                <w:rFonts w:hint="eastAsia" w:ascii="Times New Roman" w:hAnsi="Times New Roman" w:eastAsia="宋体"/>
                <w:color w:val="auto"/>
                <w:sz w:val="21"/>
                <w:szCs w:val="21"/>
                <w:highlight w:val="none"/>
              </w:rPr>
              <w:t>、BOD</w:t>
            </w:r>
            <w:r>
              <w:rPr>
                <w:rFonts w:hint="eastAsia" w:ascii="Times New Roman" w:hAnsi="Times New Roman" w:eastAsia="宋体"/>
                <w:color w:val="auto"/>
                <w:sz w:val="21"/>
                <w:szCs w:val="21"/>
                <w:highlight w:val="none"/>
                <w:vertAlign w:val="subscript"/>
              </w:rPr>
              <w:t>5</w:t>
            </w:r>
            <w:r>
              <w:rPr>
                <w:rFonts w:hint="eastAsia" w:ascii="Times New Roman" w:hAnsi="Times New Roman" w:eastAsia="宋体"/>
                <w:color w:val="auto"/>
                <w:sz w:val="21"/>
                <w:szCs w:val="21"/>
                <w:highlight w:val="none"/>
              </w:rPr>
              <w:t>、NH</w:t>
            </w:r>
            <w:r>
              <w:rPr>
                <w:rFonts w:hint="eastAsia"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rPr>
              <w:t>-N等</w:t>
            </w:r>
          </w:p>
        </w:tc>
        <w:tc>
          <w:tcPr>
            <w:tcW w:w="1497" w:type="dxa"/>
            <w:vAlign w:val="center"/>
          </w:tcPr>
          <w:p w14:paraId="02BF27D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14:paraId="729C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539889F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c>
          <w:tcPr>
            <w:tcW w:w="1512" w:type="dxa"/>
            <w:vAlign w:val="center"/>
          </w:tcPr>
          <w:p w14:paraId="10F972D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声环境</w:t>
            </w:r>
          </w:p>
        </w:tc>
        <w:tc>
          <w:tcPr>
            <w:tcW w:w="2889" w:type="dxa"/>
            <w:vAlign w:val="center"/>
          </w:tcPr>
          <w:p w14:paraId="56B20ED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等效连续A声级</w:t>
            </w:r>
          </w:p>
        </w:tc>
        <w:tc>
          <w:tcPr>
            <w:tcW w:w="1734" w:type="dxa"/>
            <w:vAlign w:val="center"/>
          </w:tcPr>
          <w:p w14:paraId="1F948A5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等效连续A声级</w:t>
            </w:r>
          </w:p>
        </w:tc>
        <w:tc>
          <w:tcPr>
            <w:tcW w:w="1497" w:type="dxa"/>
            <w:vAlign w:val="center"/>
          </w:tcPr>
          <w:p w14:paraId="77E13B1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14:paraId="0E7D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7ACE54E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w:t>
            </w:r>
          </w:p>
        </w:tc>
        <w:tc>
          <w:tcPr>
            <w:tcW w:w="1512" w:type="dxa"/>
            <w:vAlign w:val="center"/>
          </w:tcPr>
          <w:p w14:paraId="00A3F6F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固体废物</w:t>
            </w:r>
          </w:p>
        </w:tc>
        <w:tc>
          <w:tcPr>
            <w:tcW w:w="2889" w:type="dxa"/>
            <w:vAlign w:val="center"/>
          </w:tcPr>
          <w:p w14:paraId="4874F21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734" w:type="dxa"/>
            <w:vAlign w:val="center"/>
          </w:tcPr>
          <w:p w14:paraId="56BE83EE">
            <w:pPr>
              <w:spacing w:line="240" w:lineRule="auto"/>
              <w:ind w:firstLine="0" w:firstLineChars="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鸡粪及散落羽毛、病死鸡只、废弃包装物、生活垃圾、医疗垃圾等固体废物处置措施与处理效率</w:t>
            </w:r>
          </w:p>
        </w:tc>
        <w:tc>
          <w:tcPr>
            <w:tcW w:w="1497" w:type="dxa"/>
            <w:vAlign w:val="center"/>
          </w:tcPr>
          <w:p w14:paraId="2F651EB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14:paraId="299A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4E22437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w:t>
            </w:r>
          </w:p>
        </w:tc>
        <w:tc>
          <w:tcPr>
            <w:tcW w:w="1512" w:type="dxa"/>
            <w:vAlign w:val="center"/>
          </w:tcPr>
          <w:p w14:paraId="0CA94F1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土壤环境</w:t>
            </w:r>
          </w:p>
        </w:tc>
        <w:tc>
          <w:tcPr>
            <w:tcW w:w="2889" w:type="dxa"/>
            <w:vAlign w:val="center"/>
          </w:tcPr>
          <w:p w14:paraId="4EBA171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《土壤环境质量农业用地土壤污染物风险管控标准》p</w:t>
            </w:r>
            <w:r>
              <w:rPr>
                <w:rFonts w:ascii="Times New Roman" w:hAnsi="Times New Roman" w:eastAsia="宋体"/>
                <w:color w:val="auto"/>
                <w:sz w:val="21"/>
                <w:szCs w:val="21"/>
                <w:highlight w:val="none"/>
              </w:rPr>
              <w:t>H</w:t>
            </w:r>
            <w:r>
              <w:rPr>
                <w:rFonts w:hint="eastAsia" w:ascii="Times New Roman" w:hAnsi="Times New Roman" w:eastAsia="宋体"/>
                <w:color w:val="auto"/>
                <w:sz w:val="21"/>
                <w:szCs w:val="21"/>
                <w:highlight w:val="none"/>
              </w:rPr>
              <w:t>、砷、镉、铬、铜、锌、铅、汞、镍、六六六，滴滴涕，共计</w:t>
            </w:r>
            <w:r>
              <w:rPr>
                <w:rFonts w:ascii="Times New Roman" w:hAnsi="Times New Roman" w:eastAsia="宋体"/>
                <w:color w:val="auto"/>
                <w:sz w:val="21"/>
                <w:szCs w:val="21"/>
                <w:highlight w:val="none"/>
              </w:rPr>
              <w:t>11</w:t>
            </w:r>
            <w:r>
              <w:rPr>
                <w:rFonts w:hint="eastAsia" w:ascii="Times New Roman" w:hAnsi="Times New Roman" w:eastAsia="宋体"/>
                <w:color w:val="auto"/>
                <w:sz w:val="21"/>
                <w:szCs w:val="21"/>
                <w:highlight w:val="none"/>
              </w:rPr>
              <w:t>项</w:t>
            </w:r>
          </w:p>
        </w:tc>
        <w:tc>
          <w:tcPr>
            <w:tcW w:w="1734" w:type="dxa"/>
            <w:vAlign w:val="center"/>
          </w:tcPr>
          <w:p w14:paraId="732ED6D1">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w:t>
            </w:r>
            <w:r>
              <w:rPr>
                <w:rFonts w:ascii="Times New Roman" w:hAnsi="Times New Roman" w:eastAsia="宋体"/>
                <w:color w:val="auto"/>
                <w:sz w:val="21"/>
                <w:szCs w:val="21"/>
                <w:highlight w:val="none"/>
              </w:rPr>
              <w:t>H</w:t>
            </w:r>
            <w:r>
              <w:rPr>
                <w:rFonts w:hint="eastAsia" w:ascii="Times New Roman" w:hAnsi="Times New Roman" w:eastAsia="宋体"/>
                <w:color w:val="auto"/>
                <w:sz w:val="21"/>
                <w:szCs w:val="21"/>
                <w:highlight w:val="none"/>
              </w:rPr>
              <w:t>、砷、镉、铬、铜、锌、铅、汞、镍</w:t>
            </w:r>
          </w:p>
        </w:tc>
        <w:tc>
          <w:tcPr>
            <w:tcW w:w="1497" w:type="dxa"/>
            <w:vAlign w:val="center"/>
          </w:tcPr>
          <w:p w14:paraId="59EF901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14:paraId="4904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2851C3E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w:t>
            </w:r>
          </w:p>
        </w:tc>
        <w:tc>
          <w:tcPr>
            <w:tcW w:w="1512" w:type="dxa"/>
            <w:vAlign w:val="center"/>
          </w:tcPr>
          <w:p w14:paraId="7333A03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生态环境</w:t>
            </w:r>
          </w:p>
        </w:tc>
        <w:tc>
          <w:tcPr>
            <w:tcW w:w="2889" w:type="dxa"/>
            <w:vAlign w:val="center"/>
          </w:tcPr>
          <w:p w14:paraId="7B13D8F3">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土地利用、土壤、植被、野生动物</w:t>
            </w:r>
          </w:p>
        </w:tc>
        <w:tc>
          <w:tcPr>
            <w:tcW w:w="1734" w:type="dxa"/>
            <w:vAlign w:val="center"/>
          </w:tcPr>
          <w:p w14:paraId="3C729D5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土地利用、土壤、植被、水土流失</w:t>
            </w:r>
          </w:p>
        </w:tc>
        <w:tc>
          <w:tcPr>
            <w:tcW w:w="1497" w:type="dxa"/>
            <w:vAlign w:val="center"/>
          </w:tcPr>
          <w:p w14:paraId="5739D0B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14:paraId="536D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4" w:type="dxa"/>
            <w:vAlign w:val="center"/>
          </w:tcPr>
          <w:p w14:paraId="6D29CE9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w:t>
            </w:r>
          </w:p>
        </w:tc>
        <w:tc>
          <w:tcPr>
            <w:tcW w:w="1512" w:type="dxa"/>
            <w:vAlign w:val="center"/>
          </w:tcPr>
          <w:p w14:paraId="4B73340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环境风险评价</w:t>
            </w:r>
          </w:p>
        </w:tc>
        <w:tc>
          <w:tcPr>
            <w:tcW w:w="2889" w:type="dxa"/>
            <w:vAlign w:val="center"/>
          </w:tcPr>
          <w:p w14:paraId="261F2A5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1734" w:type="dxa"/>
            <w:vAlign w:val="center"/>
          </w:tcPr>
          <w:p w14:paraId="2FEEE0F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火灾、爆炸</w:t>
            </w:r>
          </w:p>
        </w:tc>
        <w:tc>
          <w:tcPr>
            <w:tcW w:w="1497" w:type="dxa"/>
            <w:vAlign w:val="center"/>
          </w:tcPr>
          <w:p w14:paraId="7291D78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bl>
    <w:p w14:paraId="09972136">
      <w:pPr>
        <w:pStyle w:val="4"/>
        <w:rPr>
          <w:rFonts w:ascii="Times New Roman" w:hAnsi="Times New Roman" w:eastAsia="宋体"/>
          <w:color w:val="auto"/>
          <w:highlight w:val="none"/>
        </w:rPr>
      </w:pPr>
      <w:bookmarkStart w:id="50" w:name="_Toc106663438"/>
      <w:bookmarkStart w:id="51" w:name="_Toc89619328"/>
      <w:r>
        <w:rPr>
          <w:rFonts w:hint="eastAsia" w:ascii="Times New Roman" w:hAnsi="Times New Roman" w:eastAsia="宋体"/>
          <w:color w:val="auto"/>
          <w:highlight w:val="none"/>
        </w:rPr>
        <w:t>2.5环境功能区划及评价标准</w:t>
      </w:r>
      <w:bookmarkEnd w:id="50"/>
      <w:bookmarkEnd w:id="51"/>
    </w:p>
    <w:p w14:paraId="128C6CE3">
      <w:pPr>
        <w:pStyle w:val="5"/>
        <w:rPr>
          <w:rFonts w:ascii="Times New Roman" w:hAnsi="Times New Roman" w:eastAsia="宋体"/>
          <w:color w:val="auto"/>
          <w:highlight w:val="none"/>
        </w:rPr>
      </w:pPr>
      <w:bookmarkStart w:id="52" w:name="_Toc106663439"/>
      <w:r>
        <w:rPr>
          <w:rFonts w:hint="eastAsia" w:ascii="Times New Roman" w:hAnsi="Times New Roman" w:eastAsia="宋体"/>
          <w:color w:val="auto"/>
          <w:highlight w:val="none"/>
        </w:rPr>
        <w:t>2.5.1环境功能区划</w:t>
      </w:r>
      <w:bookmarkEnd w:id="52"/>
    </w:p>
    <w:p w14:paraId="1996B4D6">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2.5.1.1环境空气功能区划</w:t>
      </w:r>
    </w:p>
    <w:p w14:paraId="16716FCC">
      <w:pPr>
        <w:ind w:firstLine="480"/>
        <w:rPr>
          <w:rFonts w:ascii="Times New Roman" w:hAnsi="Times New Roman" w:eastAsia="宋体"/>
          <w:color w:val="auto"/>
          <w:highlight w:val="none"/>
        </w:rPr>
      </w:pPr>
      <w:r>
        <w:rPr>
          <w:rFonts w:ascii="Times New Roman" w:hAnsi="Times New Roman" w:eastAsia="宋体"/>
          <w:color w:val="auto"/>
          <w:highlight w:val="none"/>
        </w:rPr>
        <w:t>本项目位于玛纳斯县广东地乡苇坝村东侧1.6km处，周边无自然保护区、风景名胜区和其他需要特殊保护的区域。根据环境空气功能区分类，评价区环境空气功能区为二类区，执行《环境空气质量标准》</w:t>
      </w:r>
      <w:r>
        <w:rPr>
          <w:rFonts w:hint="eastAsia"/>
          <w:color w:val="auto"/>
          <w:highlight w:val="none"/>
          <w:lang w:eastAsia="zh-CN"/>
        </w:rPr>
        <w:t>（</w:t>
      </w:r>
      <w:r>
        <w:rPr>
          <w:rFonts w:ascii="Times New Roman" w:hAnsi="Times New Roman" w:eastAsia="宋体"/>
          <w:color w:val="auto"/>
          <w:highlight w:val="none"/>
        </w:rPr>
        <w:t>GB3095-2012</w:t>
      </w:r>
      <w:r>
        <w:rPr>
          <w:rFonts w:hint="eastAsia"/>
          <w:color w:val="auto"/>
          <w:highlight w:val="none"/>
          <w:lang w:eastAsia="zh-CN"/>
        </w:rPr>
        <w:t>）</w:t>
      </w:r>
      <w:r>
        <w:rPr>
          <w:rFonts w:ascii="Times New Roman" w:hAnsi="Times New Roman" w:eastAsia="宋体"/>
          <w:color w:val="auto"/>
          <w:highlight w:val="none"/>
        </w:rPr>
        <w:t>中二级标准。</w:t>
      </w:r>
    </w:p>
    <w:p w14:paraId="204D3313">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2.5.1.2水环境功能区划</w:t>
      </w:r>
    </w:p>
    <w:p w14:paraId="2684BBF6">
      <w:pPr>
        <w:ind w:firstLine="480"/>
        <w:rPr>
          <w:rFonts w:ascii="Times New Roman" w:hAnsi="Times New Roman" w:eastAsia="宋体"/>
          <w:color w:val="auto"/>
          <w:highlight w:val="none"/>
        </w:rPr>
      </w:pPr>
      <w:r>
        <w:rPr>
          <w:rFonts w:ascii="Times New Roman" w:hAnsi="Times New Roman" w:eastAsia="宋体"/>
          <w:color w:val="auto"/>
          <w:highlight w:val="none"/>
        </w:rPr>
        <w:t>根据《地下水质量标准》</w:t>
      </w:r>
      <w:r>
        <w:rPr>
          <w:rFonts w:hint="eastAsia"/>
          <w:color w:val="auto"/>
          <w:highlight w:val="none"/>
          <w:lang w:eastAsia="zh-CN"/>
        </w:rPr>
        <w:t>（</w:t>
      </w:r>
      <w:r>
        <w:rPr>
          <w:rFonts w:ascii="Times New Roman" w:hAnsi="Times New Roman" w:eastAsia="宋体"/>
          <w:color w:val="auto"/>
          <w:highlight w:val="none"/>
        </w:rPr>
        <w:t>GB/T14848-2017</w:t>
      </w:r>
      <w:r>
        <w:rPr>
          <w:rFonts w:hint="eastAsia"/>
          <w:color w:val="auto"/>
          <w:highlight w:val="none"/>
          <w:lang w:eastAsia="zh-CN"/>
        </w:rPr>
        <w:t>）</w:t>
      </w:r>
      <w:r>
        <w:rPr>
          <w:rFonts w:ascii="Times New Roman" w:hAnsi="Times New Roman" w:eastAsia="宋体"/>
          <w:color w:val="auto"/>
          <w:highlight w:val="none"/>
        </w:rPr>
        <w:t>中地下水质量分类</w:t>
      </w:r>
      <w:r>
        <w:rPr>
          <w:rFonts w:hint="eastAsia"/>
          <w:color w:val="auto"/>
          <w:highlight w:val="none"/>
          <w:lang w:eastAsia="zh-CN"/>
        </w:rPr>
        <w:t>”</w:t>
      </w:r>
      <w:r>
        <w:rPr>
          <w:rFonts w:ascii="Times New Roman" w:hAnsi="Times New Roman" w:eastAsia="宋体"/>
          <w:color w:val="auto"/>
          <w:highlight w:val="none"/>
        </w:rPr>
        <w:t>以人体健康基准值为依据</w:t>
      </w:r>
      <w:r>
        <w:rPr>
          <w:rFonts w:hint="eastAsia"/>
          <w:color w:val="auto"/>
          <w:highlight w:val="none"/>
          <w:lang w:eastAsia="zh-CN"/>
        </w:rPr>
        <w:t>”</w:t>
      </w:r>
      <w:r>
        <w:rPr>
          <w:rFonts w:ascii="Times New Roman" w:hAnsi="Times New Roman" w:eastAsia="宋体"/>
          <w:color w:val="auto"/>
          <w:highlight w:val="none"/>
        </w:rPr>
        <w:t>的要求，主要适用于集中式生活饮用水水源及工、农业用水的地下水为Ⅲ类水质。本项目所在区域地下水执行《地下水质量标准》</w:t>
      </w:r>
      <w:r>
        <w:rPr>
          <w:rFonts w:hint="eastAsia"/>
          <w:color w:val="auto"/>
          <w:highlight w:val="none"/>
          <w:lang w:eastAsia="zh-CN"/>
        </w:rPr>
        <w:t>（</w:t>
      </w:r>
      <w:r>
        <w:rPr>
          <w:rFonts w:ascii="Times New Roman" w:hAnsi="Times New Roman" w:eastAsia="宋体"/>
          <w:color w:val="auto"/>
          <w:highlight w:val="none"/>
        </w:rPr>
        <w:t>GB/T14848-2017</w:t>
      </w:r>
      <w:r>
        <w:rPr>
          <w:rFonts w:hint="eastAsia"/>
          <w:color w:val="auto"/>
          <w:highlight w:val="none"/>
          <w:lang w:eastAsia="zh-CN"/>
        </w:rPr>
        <w:t>）</w:t>
      </w:r>
      <w:r>
        <w:rPr>
          <w:rFonts w:ascii="Times New Roman" w:hAnsi="Times New Roman" w:eastAsia="宋体"/>
          <w:color w:val="auto"/>
          <w:highlight w:val="none"/>
        </w:rPr>
        <w:t>中的Ⅲ类标准。</w:t>
      </w:r>
    </w:p>
    <w:p w14:paraId="775784B1">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2.5.1.3声环境功能区划</w:t>
      </w:r>
    </w:p>
    <w:p w14:paraId="6E78C99E">
      <w:pPr>
        <w:ind w:firstLine="480"/>
        <w:rPr>
          <w:rFonts w:ascii="Times New Roman" w:hAnsi="Times New Roman" w:eastAsia="宋体"/>
          <w:color w:val="auto"/>
          <w:highlight w:val="none"/>
        </w:rPr>
      </w:pPr>
      <w:r>
        <w:rPr>
          <w:rFonts w:ascii="Times New Roman" w:hAnsi="Times New Roman" w:eastAsia="宋体"/>
          <w:color w:val="auto"/>
          <w:highlight w:val="none"/>
        </w:rPr>
        <w:t>根据声环境功能区划分，项目所在地为2类声环境功能区，执行《声环境质量标准》</w:t>
      </w:r>
      <w:r>
        <w:rPr>
          <w:rFonts w:hint="eastAsia"/>
          <w:color w:val="auto"/>
          <w:highlight w:val="none"/>
          <w:lang w:eastAsia="zh-CN"/>
        </w:rPr>
        <w:t>（</w:t>
      </w:r>
      <w:r>
        <w:rPr>
          <w:rFonts w:ascii="Times New Roman" w:hAnsi="Times New Roman" w:eastAsia="宋体"/>
          <w:color w:val="auto"/>
          <w:highlight w:val="none"/>
        </w:rPr>
        <w:t>GB3096-2008</w:t>
      </w:r>
      <w:r>
        <w:rPr>
          <w:rFonts w:hint="eastAsia"/>
          <w:color w:val="auto"/>
          <w:highlight w:val="none"/>
          <w:lang w:eastAsia="zh-CN"/>
        </w:rPr>
        <w:t>）</w:t>
      </w:r>
      <w:r>
        <w:rPr>
          <w:rFonts w:ascii="Times New Roman" w:hAnsi="Times New Roman" w:eastAsia="宋体"/>
          <w:color w:val="auto"/>
          <w:highlight w:val="none"/>
        </w:rPr>
        <w:t>中2类标准要求。</w:t>
      </w:r>
    </w:p>
    <w:p w14:paraId="6E266186">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2.5.1.4生态环境功能区划</w:t>
      </w:r>
    </w:p>
    <w:p w14:paraId="3F405644">
      <w:pPr>
        <w:ind w:firstLine="480"/>
        <w:rPr>
          <w:rFonts w:ascii="Times New Roman" w:hAnsi="Times New Roman" w:eastAsia="宋体"/>
          <w:color w:val="auto"/>
          <w:highlight w:val="none"/>
        </w:rPr>
      </w:pPr>
      <w:r>
        <w:rPr>
          <w:rFonts w:ascii="Times New Roman" w:hAnsi="Times New Roman" w:eastAsia="宋体"/>
          <w:color w:val="auto"/>
          <w:highlight w:val="none"/>
        </w:rPr>
        <w:t>根据《新疆生态功能区划》，本项目所在区域属于</w:t>
      </w:r>
      <w:r>
        <w:rPr>
          <w:rFonts w:hint="eastAsia"/>
          <w:color w:val="auto"/>
          <w:highlight w:val="none"/>
          <w:lang w:eastAsia="zh-CN"/>
        </w:rPr>
        <w:t>”</w:t>
      </w:r>
      <w:r>
        <w:rPr>
          <w:rFonts w:ascii="Times New Roman" w:hAnsi="Times New Roman" w:eastAsia="宋体"/>
          <w:color w:val="auto"/>
          <w:highlight w:val="none"/>
        </w:rPr>
        <w:t>准噶尔盆地温性荒漠与绿洲农业生态区</w:t>
      </w:r>
      <w:r>
        <w:rPr>
          <w:rFonts w:hint="eastAsia"/>
          <w:color w:val="auto"/>
          <w:highlight w:val="none"/>
          <w:lang w:eastAsia="zh-CN"/>
        </w:rPr>
        <w:t>（</w:t>
      </w:r>
      <w:r>
        <w:rPr>
          <w:rFonts w:ascii="Times New Roman" w:hAnsi="Times New Roman" w:eastAsia="宋体"/>
          <w:color w:val="auto"/>
          <w:highlight w:val="none"/>
        </w:rPr>
        <w:t>Ⅱ</w:t>
      </w:r>
      <w:r>
        <w:rPr>
          <w:rFonts w:hint="eastAsia"/>
          <w:color w:val="auto"/>
          <w:highlight w:val="none"/>
          <w:lang w:eastAsia="zh-CN"/>
        </w:rPr>
        <w:t>）</w:t>
      </w:r>
      <w:r>
        <w:rPr>
          <w:rFonts w:ascii="Times New Roman" w:hAnsi="Times New Roman" w:eastAsia="宋体"/>
          <w:color w:val="auto"/>
          <w:highlight w:val="none"/>
        </w:rPr>
        <w:t>准噶尔盆地南部荒漠绿洲农业生态亚区</w:t>
      </w:r>
      <w:r>
        <w:rPr>
          <w:rFonts w:hint="eastAsia"/>
          <w:color w:val="auto"/>
          <w:highlight w:val="none"/>
          <w:lang w:eastAsia="zh-CN"/>
        </w:rPr>
        <w:t>（</w:t>
      </w:r>
      <w:r>
        <w:rPr>
          <w:rFonts w:ascii="Times New Roman" w:hAnsi="Times New Roman" w:eastAsia="宋体"/>
          <w:color w:val="auto"/>
          <w:highlight w:val="none"/>
        </w:rPr>
        <w:t>Ⅱ</w:t>
      </w:r>
      <w:r>
        <w:rPr>
          <w:rFonts w:ascii="Times New Roman" w:hAnsi="Times New Roman" w:eastAsia="宋体"/>
          <w:color w:val="auto"/>
          <w:highlight w:val="none"/>
          <w:vertAlign w:val="subscript"/>
        </w:rPr>
        <w:t>3</w:t>
      </w:r>
      <w:r>
        <w:rPr>
          <w:rFonts w:hint="eastAsia"/>
          <w:color w:val="auto"/>
          <w:highlight w:val="none"/>
          <w:lang w:eastAsia="zh-CN"/>
        </w:rPr>
        <w:t>）</w:t>
      </w:r>
      <w:r>
        <w:rPr>
          <w:rFonts w:ascii="Times New Roman" w:hAnsi="Times New Roman" w:eastAsia="宋体"/>
          <w:color w:val="auto"/>
          <w:highlight w:val="none"/>
        </w:rPr>
        <w:t>23古尔班通古特沙漠化敏感及植被保护生态功能区</w:t>
      </w:r>
      <w:r>
        <w:rPr>
          <w:rFonts w:hint="eastAsia"/>
          <w:color w:val="auto"/>
          <w:highlight w:val="none"/>
          <w:lang w:eastAsia="zh-CN"/>
        </w:rPr>
        <w:t>”</w:t>
      </w:r>
      <w:r>
        <w:rPr>
          <w:rFonts w:ascii="Times New Roman" w:hAnsi="Times New Roman" w:eastAsia="宋体"/>
          <w:color w:val="auto"/>
          <w:highlight w:val="none"/>
        </w:rPr>
        <w:t>。</w:t>
      </w:r>
    </w:p>
    <w:p w14:paraId="3ED8A2B0">
      <w:pPr>
        <w:pStyle w:val="5"/>
        <w:rPr>
          <w:rFonts w:ascii="Times New Roman" w:hAnsi="Times New Roman" w:eastAsia="宋体"/>
          <w:color w:val="auto"/>
          <w:highlight w:val="none"/>
        </w:rPr>
      </w:pPr>
      <w:bookmarkStart w:id="53" w:name="_Toc106663440"/>
      <w:r>
        <w:rPr>
          <w:rFonts w:hint="eastAsia" w:ascii="Times New Roman" w:hAnsi="Times New Roman" w:eastAsia="宋体"/>
          <w:color w:val="auto"/>
          <w:highlight w:val="none"/>
        </w:rPr>
        <w:t>2.5.2评价标准</w:t>
      </w:r>
      <w:bookmarkEnd w:id="53"/>
    </w:p>
    <w:p w14:paraId="6949EF01">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2.5.2.1环境质量标准</w:t>
      </w:r>
    </w:p>
    <w:p w14:paraId="3A330318">
      <w:pPr>
        <w:ind w:firstLine="480"/>
        <w:rPr>
          <w:rFonts w:ascii="Times New Roman" w:hAnsi="Times New Roman" w:eastAsia="宋体"/>
          <w:color w:val="auto"/>
          <w:highlight w:val="none"/>
        </w:rPr>
      </w:pPr>
      <w:r>
        <w:rPr>
          <w:rFonts w:hint="eastAsia" w:ascii="Times New Roman" w:hAnsi="Times New Roman" w:eastAsia="宋体"/>
          <w:color w:val="auto"/>
          <w:highlight w:val="none"/>
        </w:rPr>
        <w:t>（1）环境空气质量标准</w:t>
      </w:r>
    </w:p>
    <w:p w14:paraId="56DF3D4F">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所在地点所属环境空气区域为二类区。故评价区域大气环境质量常规污染物选用《环境空气质量标准》（GB3095-2012）中的二级标准；氨和硫化氢选用《环境影响评价技术导则-大气环境》（HJ2.2-2018）中附录D氨和硫化氢的1h浓度限值。标准值见表2.5-1。</w:t>
      </w:r>
    </w:p>
    <w:p w14:paraId="7275E336">
      <w:pPr>
        <w:pStyle w:val="10"/>
        <w:rPr>
          <w:rFonts w:ascii="Times New Roman" w:hAnsi="Times New Roman" w:eastAsia="宋体"/>
          <w:color w:val="auto"/>
          <w:highlight w:val="none"/>
        </w:rPr>
      </w:pPr>
      <w:r>
        <w:rPr>
          <w:rFonts w:hint="eastAsia" w:ascii="Times New Roman" w:hAnsi="Times New Roman" w:eastAsia="宋体"/>
          <w:color w:val="auto"/>
          <w:highlight w:val="none"/>
        </w:rPr>
        <w:t>表2.5-1环境空气污染物浓度限值</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853"/>
        <w:gridCol w:w="1985"/>
        <w:gridCol w:w="992"/>
        <w:gridCol w:w="851"/>
        <w:gridCol w:w="2318"/>
      </w:tblGrid>
      <w:tr w14:paraId="5462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vAlign w:val="center"/>
          </w:tcPr>
          <w:p w14:paraId="5DBA866F">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1853" w:type="dxa"/>
            <w:vAlign w:val="center"/>
          </w:tcPr>
          <w:p w14:paraId="500CF068">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污染物项目</w:t>
            </w:r>
          </w:p>
        </w:tc>
        <w:tc>
          <w:tcPr>
            <w:tcW w:w="1985" w:type="dxa"/>
            <w:vAlign w:val="center"/>
          </w:tcPr>
          <w:p w14:paraId="13D3D0C3">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平均时间</w:t>
            </w:r>
          </w:p>
        </w:tc>
        <w:tc>
          <w:tcPr>
            <w:tcW w:w="992" w:type="dxa"/>
            <w:vAlign w:val="center"/>
          </w:tcPr>
          <w:p w14:paraId="58306237">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浓度限值</w:t>
            </w:r>
          </w:p>
        </w:tc>
        <w:tc>
          <w:tcPr>
            <w:tcW w:w="851" w:type="dxa"/>
            <w:vAlign w:val="center"/>
          </w:tcPr>
          <w:p w14:paraId="47043D56">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单位</w:t>
            </w:r>
          </w:p>
        </w:tc>
        <w:tc>
          <w:tcPr>
            <w:tcW w:w="2318" w:type="dxa"/>
            <w:vAlign w:val="center"/>
          </w:tcPr>
          <w:p w14:paraId="19FE25F4">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标准来源</w:t>
            </w:r>
          </w:p>
        </w:tc>
      </w:tr>
      <w:tr w14:paraId="1D3A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6892F7CC">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p>
        </w:tc>
        <w:tc>
          <w:tcPr>
            <w:tcW w:w="1853" w:type="dxa"/>
            <w:vMerge w:val="restart"/>
            <w:vAlign w:val="center"/>
          </w:tcPr>
          <w:p w14:paraId="4DC6D2C0">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二氧化硫（SO</w:t>
            </w:r>
            <w:r>
              <w:rPr>
                <w:rFonts w:hint="eastAsia" w:ascii="Times New Roman" w:hAnsi="Times New Roman" w:eastAsia="宋体"/>
                <w:color w:val="auto"/>
                <w:sz w:val="21"/>
                <w:szCs w:val="21"/>
                <w:highlight w:val="none"/>
                <w:vertAlign w:val="subscript"/>
              </w:rPr>
              <w:t>2</w:t>
            </w:r>
            <w:r>
              <w:rPr>
                <w:rFonts w:hint="eastAsia" w:ascii="Times New Roman" w:hAnsi="Times New Roman" w:eastAsia="宋体"/>
                <w:color w:val="auto"/>
                <w:sz w:val="21"/>
                <w:szCs w:val="21"/>
                <w:highlight w:val="none"/>
              </w:rPr>
              <w:t>）</w:t>
            </w:r>
          </w:p>
        </w:tc>
        <w:tc>
          <w:tcPr>
            <w:tcW w:w="1985" w:type="dxa"/>
            <w:vAlign w:val="center"/>
          </w:tcPr>
          <w:p w14:paraId="14EBE470">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年平均</w:t>
            </w:r>
          </w:p>
        </w:tc>
        <w:tc>
          <w:tcPr>
            <w:tcW w:w="992" w:type="dxa"/>
            <w:vAlign w:val="center"/>
          </w:tcPr>
          <w:p w14:paraId="2B2DB16A">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60</w:t>
            </w:r>
          </w:p>
        </w:tc>
        <w:tc>
          <w:tcPr>
            <w:tcW w:w="851" w:type="dxa"/>
            <w:vMerge w:val="restart"/>
            <w:vAlign w:val="center"/>
          </w:tcPr>
          <w:p w14:paraId="799A380E">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μg/m</w:t>
            </w:r>
            <w:r>
              <w:rPr>
                <w:rFonts w:ascii="Times New Roman" w:hAnsi="Times New Roman" w:eastAsia="宋体"/>
                <w:color w:val="auto"/>
                <w:sz w:val="21"/>
                <w:szCs w:val="21"/>
                <w:highlight w:val="none"/>
                <w:vertAlign w:val="superscript"/>
              </w:rPr>
              <w:t>3</w:t>
            </w:r>
          </w:p>
        </w:tc>
        <w:tc>
          <w:tcPr>
            <w:tcW w:w="2318" w:type="dxa"/>
            <w:vMerge w:val="restart"/>
            <w:vAlign w:val="center"/>
          </w:tcPr>
          <w:p w14:paraId="6D18107A">
            <w:pPr>
              <w:spacing w:line="240" w:lineRule="auto"/>
              <w:ind w:left="-120" w:leftChars="-50" w:right="-120" w:rightChars="-50"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环境空气质量标准》（GB3095-2012）中二级标准</w:t>
            </w:r>
          </w:p>
        </w:tc>
      </w:tr>
      <w:tr w14:paraId="13AC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6CFFDF38">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14:paraId="6BDA1BEB">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14:paraId="6009508E">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24小时平均</w:t>
            </w:r>
          </w:p>
        </w:tc>
        <w:tc>
          <w:tcPr>
            <w:tcW w:w="992" w:type="dxa"/>
            <w:vAlign w:val="center"/>
          </w:tcPr>
          <w:p w14:paraId="56D6E80F">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150</w:t>
            </w:r>
          </w:p>
        </w:tc>
        <w:tc>
          <w:tcPr>
            <w:tcW w:w="851" w:type="dxa"/>
            <w:vMerge w:val="continue"/>
            <w:vAlign w:val="center"/>
          </w:tcPr>
          <w:p w14:paraId="56BB8B7F">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70A3D917">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0861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4D298873">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14:paraId="61E7FAAC">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14:paraId="1A8DB138">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1小时平均</w:t>
            </w:r>
          </w:p>
        </w:tc>
        <w:tc>
          <w:tcPr>
            <w:tcW w:w="992" w:type="dxa"/>
            <w:vAlign w:val="center"/>
          </w:tcPr>
          <w:p w14:paraId="6EBEB5FD">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500</w:t>
            </w:r>
          </w:p>
        </w:tc>
        <w:tc>
          <w:tcPr>
            <w:tcW w:w="851" w:type="dxa"/>
            <w:vMerge w:val="continue"/>
            <w:vAlign w:val="center"/>
          </w:tcPr>
          <w:p w14:paraId="21A9827A">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08E43FDD">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5033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557CC257">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w:t>
            </w:r>
          </w:p>
        </w:tc>
        <w:tc>
          <w:tcPr>
            <w:tcW w:w="1853" w:type="dxa"/>
            <w:vMerge w:val="restart"/>
            <w:vAlign w:val="center"/>
          </w:tcPr>
          <w:p w14:paraId="37437591">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二氧化氮（</w:t>
            </w:r>
            <w:r>
              <w:rPr>
                <w:rFonts w:ascii="Times New Roman" w:hAnsi="Times New Roman" w:eastAsia="宋体"/>
                <w:color w:val="auto"/>
                <w:sz w:val="21"/>
                <w:szCs w:val="21"/>
                <w:highlight w:val="none"/>
              </w:rPr>
              <w:t>NO</w:t>
            </w:r>
            <w:r>
              <w:rPr>
                <w:rFonts w:ascii="Times New Roman" w:hAnsi="Times New Roman" w:eastAsia="宋体"/>
                <w:color w:val="auto"/>
                <w:sz w:val="21"/>
                <w:szCs w:val="21"/>
                <w:highlight w:val="none"/>
                <w:vertAlign w:val="subscript"/>
              </w:rPr>
              <w:t>2</w:t>
            </w:r>
            <w:r>
              <w:rPr>
                <w:rFonts w:hint="eastAsia" w:ascii="Times New Roman" w:hAnsi="Times New Roman" w:eastAsia="宋体"/>
                <w:color w:val="auto"/>
                <w:sz w:val="21"/>
                <w:szCs w:val="21"/>
                <w:highlight w:val="none"/>
              </w:rPr>
              <w:t>）</w:t>
            </w:r>
          </w:p>
        </w:tc>
        <w:tc>
          <w:tcPr>
            <w:tcW w:w="1985" w:type="dxa"/>
            <w:vAlign w:val="center"/>
          </w:tcPr>
          <w:p w14:paraId="767B69BD">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年平均</w:t>
            </w:r>
          </w:p>
        </w:tc>
        <w:tc>
          <w:tcPr>
            <w:tcW w:w="992" w:type="dxa"/>
            <w:vAlign w:val="center"/>
          </w:tcPr>
          <w:p w14:paraId="67B05B6B">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40</w:t>
            </w:r>
          </w:p>
        </w:tc>
        <w:tc>
          <w:tcPr>
            <w:tcW w:w="851" w:type="dxa"/>
            <w:vMerge w:val="continue"/>
            <w:vAlign w:val="center"/>
          </w:tcPr>
          <w:p w14:paraId="73F4BA57">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2D0537D9">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432F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745F34FF">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14:paraId="28C4812D">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14:paraId="15F24D66">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24小时平均</w:t>
            </w:r>
          </w:p>
        </w:tc>
        <w:tc>
          <w:tcPr>
            <w:tcW w:w="992" w:type="dxa"/>
            <w:vAlign w:val="center"/>
          </w:tcPr>
          <w:p w14:paraId="3BABF8A2">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80</w:t>
            </w:r>
          </w:p>
        </w:tc>
        <w:tc>
          <w:tcPr>
            <w:tcW w:w="851" w:type="dxa"/>
            <w:vMerge w:val="continue"/>
            <w:vAlign w:val="center"/>
          </w:tcPr>
          <w:p w14:paraId="113156EE">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1BB7E54A">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4FE6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14724E06">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14:paraId="39BA1BD2">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14:paraId="02C1D638">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1小时平均</w:t>
            </w:r>
          </w:p>
        </w:tc>
        <w:tc>
          <w:tcPr>
            <w:tcW w:w="992" w:type="dxa"/>
            <w:vAlign w:val="center"/>
          </w:tcPr>
          <w:p w14:paraId="7D94F4E0">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200</w:t>
            </w:r>
          </w:p>
        </w:tc>
        <w:tc>
          <w:tcPr>
            <w:tcW w:w="851" w:type="dxa"/>
            <w:vMerge w:val="continue"/>
            <w:vAlign w:val="center"/>
          </w:tcPr>
          <w:p w14:paraId="325244F6">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6ADDD9DA">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0055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6477EA81">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c>
          <w:tcPr>
            <w:tcW w:w="1853" w:type="dxa"/>
            <w:vMerge w:val="restart"/>
            <w:vAlign w:val="center"/>
          </w:tcPr>
          <w:p w14:paraId="0C7217CB">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一氧化碳（CO）</w:t>
            </w:r>
          </w:p>
        </w:tc>
        <w:tc>
          <w:tcPr>
            <w:tcW w:w="1985" w:type="dxa"/>
            <w:vAlign w:val="center"/>
          </w:tcPr>
          <w:p w14:paraId="6032145A">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24小时平均</w:t>
            </w:r>
          </w:p>
        </w:tc>
        <w:tc>
          <w:tcPr>
            <w:tcW w:w="992" w:type="dxa"/>
            <w:vAlign w:val="center"/>
          </w:tcPr>
          <w:p w14:paraId="5BC30C88">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4</w:t>
            </w:r>
          </w:p>
        </w:tc>
        <w:tc>
          <w:tcPr>
            <w:tcW w:w="851" w:type="dxa"/>
            <w:vMerge w:val="restart"/>
            <w:vAlign w:val="center"/>
          </w:tcPr>
          <w:p w14:paraId="17196106">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mg/m</w:t>
            </w:r>
            <w:r>
              <w:rPr>
                <w:rFonts w:hint="eastAsia" w:ascii="Times New Roman" w:hAnsi="Times New Roman" w:eastAsia="宋体"/>
                <w:color w:val="auto"/>
                <w:sz w:val="21"/>
                <w:szCs w:val="21"/>
                <w:highlight w:val="none"/>
                <w:vertAlign w:val="superscript"/>
              </w:rPr>
              <w:t>3</w:t>
            </w:r>
          </w:p>
        </w:tc>
        <w:tc>
          <w:tcPr>
            <w:tcW w:w="2318" w:type="dxa"/>
            <w:vMerge w:val="continue"/>
            <w:vAlign w:val="center"/>
          </w:tcPr>
          <w:p w14:paraId="579C0A37">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0A78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4F3FE653">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14:paraId="215DDDEC">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14:paraId="71E3EDD8">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1小时平均</w:t>
            </w:r>
          </w:p>
        </w:tc>
        <w:tc>
          <w:tcPr>
            <w:tcW w:w="992" w:type="dxa"/>
            <w:vAlign w:val="center"/>
          </w:tcPr>
          <w:p w14:paraId="0079957C">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10</w:t>
            </w:r>
          </w:p>
        </w:tc>
        <w:tc>
          <w:tcPr>
            <w:tcW w:w="851" w:type="dxa"/>
            <w:vMerge w:val="continue"/>
            <w:vAlign w:val="center"/>
          </w:tcPr>
          <w:p w14:paraId="0BC190E2">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1DE04DB3">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45F0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0085D9E0">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w:t>
            </w:r>
          </w:p>
        </w:tc>
        <w:tc>
          <w:tcPr>
            <w:tcW w:w="1853" w:type="dxa"/>
            <w:vMerge w:val="restart"/>
            <w:vAlign w:val="center"/>
          </w:tcPr>
          <w:p w14:paraId="330EB2C7">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臭氧（O</w:t>
            </w:r>
            <w:r>
              <w:rPr>
                <w:rFonts w:hint="eastAsia"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rPr>
              <w:t>）</w:t>
            </w:r>
          </w:p>
        </w:tc>
        <w:tc>
          <w:tcPr>
            <w:tcW w:w="1985" w:type="dxa"/>
            <w:vAlign w:val="center"/>
          </w:tcPr>
          <w:p w14:paraId="2C1910FF">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日最大8小时平均</w:t>
            </w:r>
          </w:p>
        </w:tc>
        <w:tc>
          <w:tcPr>
            <w:tcW w:w="992" w:type="dxa"/>
            <w:vAlign w:val="center"/>
          </w:tcPr>
          <w:p w14:paraId="41502CF1">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160</w:t>
            </w:r>
          </w:p>
        </w:tc>
        <w:tc>
          <w:tcPr>
            <w:tcW w:w="851" w:type="dxa"/>
            <w:vMerge w:val="restart"/>
            <w:vAlign w:val="center"/>
          </w:tcPr>
          <w:p w14:paraId="270C0B2F">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μg/m</w:t>
            </w:r>
            <w:r>
              <w:rPr>
                <w:rFonts w:ascii="Times New Roman" w:hAnsi="Times New Roman" w:eastAsia="宋体"/>
                <w:color w:val="auto"/>
                <w:sz w:val="21"/>
                <w:szCs w:val="21"/>
                <w:highlight w:val="none"/>
                <w:vertAlign w:val="superscript"/>
              </w:rPr>
              <w:t>3</w:t>
            </w:r>
          </w:p>
        </w:tc>
        <w:tc>
          <w:tcPr>
            <w:tcW w:w="2318" w:type="dxa"/>
            <w:vMerge w:val="continue"/>
            <w:vAlign w:val="center"/>
          </w:tcPr>
          <w:p w14:paraId="1516AE16">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66DD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721C1B00">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14:paraId="51152436">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14:paraId="38FCD273">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1小时平均</w:t>
            </w:r>
          </w:p>
        </w:tc>
        <w:tc>
          <w:tcPr>
            <w:tcW w:w="992" w:type="dxa"/>
            <w:vAlign w:val="center"/>
          </w:tcPr>
          <w:p w14:paraId="55EDD268">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200</w:t>
            </w:r>
          </w:p>
        </w:tc>
        <w:tc>
          <w:tcPr>
            <w:tcW w:w="851" w:type="dxa"/>
            <w:vMerge w:val="continue"/>
            <w:vAlign w:val="center"/>
          </w:tcPr>
          <w:p w14:paraId="0191FF4C">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7AF603E1">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041C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6D42A6E0">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w:t>
            </w:r>
          </w:p>
        </w:tc>
        <w:tc>
          <w:tcPr>
            <w:tcW w:w="1853" w:type="dxa"/>
            <w:vMerge w:val="restart"/>
            <w:vAlign w:val="center"/>
          </w:tcPr>
          <w:p w14:paraId="4292D3FC">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颗粒物（粒径小于等于10</w:t>
            </w:r>
            <w:r>
              <w:rPr>
                <w:rFonts w:ascii="Times New Roman" w:hAnsi="Times New Roman" w:eastAsia="宋体"/>
                <w:color w:val="auto"/>
                <w:sz w:val="21"/>
                <w:szCs w:val="21"/>
                <w:highlight w:val="none"/>
              </w:rPr>
              <w:t>μm</w:t>
            </w:r>
            <w:r>
              <w:rPr>
                <w:rFonts w:hint="eastAsia" w:ascii="Times New Roman" w:hAnsi="Times New Roman" w:eastAsia="宋体"/>
                <w:color w:val="auto"/>
                <w:sz w:val="21"/>
                <w:szCs w:val="21"/>
                <w:highlight w:val="none"/>
              </w:rPr>
              <w:t>）</w:t>
            </w:r>
          </w:p>
        </w:tc>
        <w:tc>
          <w:tcPr>
            <w:tcW w:w="1985" w:type="dxa"/>
            <w:vAlign w:val="center"/>
          </w:tcPr>
          <w:p w14:paraId="638BB1A0">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年平均</w:t>
            </w:r>
          </w:p>
        </w:tc>
        <w:tc>
          <w:tcPr>
            <w:tcW w:w="992" w:type="dxa"/>
            <w:vAlign w:val="center"/>
          </w:tcPr>
          <w:p w14:paraId="0AE4D8A1">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70</w:t>
            </w:r>
          </w:p>
        </w:tc>
        <w:tc>
          <w:tcPr>
            <w:tcW w:w="851" w:type="dxa"/>
            <w:vMerge w:val="continue"/>
            <w:vAlign w:val="center"/>
          </w:tcPr>
          <w:p w14:paraId="1B0B41DE">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5A41204E">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3C4F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3" w:type="dxa"/>
            <w:vMerge w:val="continue"/>
            <w:vAlign w:val="center"/>
          </w:tcPr>
          <w:p w14:paraId="2E611005">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14:paraId="594285F5">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14:paraId="323B6CD4">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24小时平均</w:t>
            </w:r>
          </w:p>
        </w:tc>
        <w:tc>
          <w:tcPr>
            <w:tcW w:w="992" w:type="dxa"/>
            <w:vAlign w:val="center"/>
          </w:tcPr>
          <w:p w14:paraId="5090D7F5">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150</w:t>
            </w:r>
          </w:p>
        </w:tc>
        <w:tc>
          <w:tcPr>
            <w:tcW w:w="851" w:type="dxa"/>
            <w:vMerge w:val="continue"/>
            <w:vAlign w:val="center"/>
          </w:tcPr>
          <w:p w14:paraId="2052D53B">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741BE576">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7787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7C991FE0">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w:t>
            </w:r>
          </w:p>
        </w:tc>
        <w:tc>
          <w:tcPr>
            <w:tcW w:w="1853" w:type="dxa"/>
            <w:vMerge w:val="restart"/>
            <w:vAlign w:val="center"/>
          </w:tcPr>
          <w:p w14:paraId="1ED7C3A5">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颗粒物（粒径小于等于2.5</w:t>
            </w:r>
            <w:r>
              <w:rPr>
                <w:rFonts w:ascii="Times New Roman" w:hAnsi="Times New Roman" w:eastAsia="宋体"/>
                <w:color w:val="auto"/>
                <w:sz w:val="21"/>
                <w:szCs w:val="21"/>
                <w:highlight w:val="none"/>
              </w:rPr>
              <w:t>μm</w:t>
            </w:r>
            <w:r>
              <w:rPr>
                <w:rFonts w:hint="eastAsia" w:ascii="Times New Roman" w:hAnsi="Times New Roman" w:eastAsia="宋体"/>
                <w:color w:val="auto"/>
                <w:sz w:val="21"/>
                <w:szCs w:val="21"/>
                <w:highlight w:val="none"/>
              </w:rPr>
              <w:t>）</w:t>
            </w:r>
          </w:p>
        </w:tc>
        <w:tc>
          <w:tcPr>
            <w:tcW w:w="1985" w:type="dxa"/>
            <w:vAlign w:val="center"/>
          </w:tcPr>
          <w:p w14:paraId="0A542253">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年平均</w:t>
            </w:r>
          </w:p>
        </w:tc>
        <w:tc>
          <w:tcPr>
            <w:tcW w:w="992" w:type="dxa"/>
            <w:vAlign w:val="center"/>
          </w:tcPr>
          <w:p w14:paraId="01AD2211">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35</w:t>
            </w:r>
          </w:p>
        </w:tc>
        <w:tc>
          <w:tcPr>
            <w:tcW w:w="851" w:type="dxa"/>
            <w:vMerge w:val="continue"/>
            <w:vAlign w:val="center"/>
          </w:tcPr>
          <w:p w14:paraId="0E190146">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1814D008">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692A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3FCC9788">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14:paraId="63E7AAB1">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14:paraId="1D43BE3A">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24小时平均</w:t>
            </w:r>
          </w:p>
        </w:tc>
        <w:tc>
          <w:tcPr>
            <w:tcW w:w="992" w:type="dxa"/>
            <w:vAlign w:val="center"/>
          </w:tcPr>
          <w:p w14:paraId="72081631">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75</w:t>
            </w:r>
          </w:p>
        </w:tc>
        <w:tc>
          <w:tcPr>
            <w:tcW w:w="851" w:type="dxa"/>
            <w:vMerge w:val="continue"/>
            <w:vAlign w:val="center"/>
          </w:tcPr>
          <w:p w14:paraId="43A860E0">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54B05D9C">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008F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restart"/>
            <w:vAlign w:val="center"/>
          </w:tcPr>
          <w:p w14:paraId="73F606BF">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w:t>
            </w:r>
          </w:p>
        </w:tc>
        <w:tc>
          <w:tcPr>
            <w:tcW w:w="1853" w:type="dxa"/>
            <w:vMerge w:val="restart"/>
            <w:vAlign w:val="center"/>
          </w:tcPr>
          <w:p w14:paraId="349BC8B5">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总悬浮颗粒物（TSP）</w:t>
            </w:r>
          </w:p>
        </w:tc>
        <w:tc>
          <w:tcPr>
            <w:tcW w:w="1985" w:type="dxa"/>
            <w:vAlign w:val="center"/>
          </w:tcPr>
          <w:p w14:paraId="62E7FADD">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年平均</w:t>
            </w:r>
          </w:p>
        </w:tc>
        <w:tc>
          <w:tcPr>
            <w:tcW w:w="992" w:type="dxa"/>
            <w:vAlign w:val="center"/>
          </w:tcPr>
          <w:p w14:paraId="64B3AA88">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200</w:t>
            </w:r>
          </w:p>
        </w:tc>
        <w:tc>
          <w:tcPr>
            <w:tcW w:w="851" w:type="dxa"/>
            <w:vMerge w:val="continue"/>
            <w:vAlign w:val="center"/>
          </w:tcPr>
          <w:p w14:paraId="374ED7BF">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309D869E">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7002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Merge w:val="continue"/>
            <w:vAlign w:val="center"/>
          </w:tcPr>
          <w:p w14:paraId="71A47FF8">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853" w:type="dxa"/>
            <w:vMerge w:val="continue"/>
            <w:vAlign w:val="center"/>
          </w:tcPr>
          <w:p w14:paraId="1DCE5BA8">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1985" w:type="dxa"/>
            <w:vAlign w:val="center"/>
          </w:tcPr>
          <w:p w14:paraId="4EB44C7E">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24小时平均</w:t>
            </w:r>
          </w:p>
        </w:tc>
        <w:tc>
          <w:tcPr>
            <w:tcW w:w="992" w:type="dxa"/>
            <w:vAlign w:val="center"/>
          </w:tcPr>
          <w:p w14:paraId="06C7BF4A">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300</w:t>
            </w:r>
          </w:p>
        </w:tc>
        <w:tc>
          <w:tcPr>
            <w:tcW w:w="851" w:type="dxa"/>
            <w:vMerge w:val="continue"/>
            <w:vAlign w:val="center"/>
          </w:tcPr>
          <w:p w14:paraId="639F334D">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4166715C">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r w14:paraId="7F1B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Align w:val="center"/>
          </w:tcPr>
          <w:p w14:paraId="2A2BF777">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w:t>
            </w:r>
          </w:p>
        </w:tc>
        <w:tc>
          <w:tcPr>
            <w:tcW w:w="1853" w:type="dxa"/>
            <w:vAlign w:val="center"/>
          </w:tcPr>
          <w:p w14:paraId="2F12617B">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硫化氢（</w:t>
            </w:r>
            <w:r>
              <w:rPr>
                <w:rFonts w:ascii="Times New Roman" w:hAnsi="Times New Roman" w:eastAsia="宋体"/>
                <w:color w:val="auto"/>
                <w:sz w:val="21"/>
                <w:szCs w:val="21"/>
                <w:highlight w:val="none"/>
              </w:rPr>
              <w:t>H</w:t>
            </w:r>
            <w:r>
              <w:rPr>
                <w:rFonts w:ascii="Times New Roman" w:hAnsi="Times New Roman" w:eastAsia="宋体"/>
                <w:color w:val="auto"/>
                <w:sz w:val="21"/>
                <w:szCs w:val="21"/>
                <w:highlight w:val="none"/>
                <w:vertAlign w:val="subscript"/>
              </w:rPr>
              <w:t>2</w:t>
            </w:r>
            <w:r>
              <w:rPr>
                <w:rFonts w:ascii="Times New Roman" w:hAnsi="Times New Roman" w:eastAsia="宋体"/>
                <w:color w:val="auto"/>
                <w:sz w:val="21"/>
                <w:szCs w:val="21"/>
                <w:highlight w:val="none"/>
              </w:rPr>
              <w:t>S</w:t>
            </w:r>
            <w:r>
              <w:rPr>
                <w:rFonts w:hint="eastAsia" w:ascii="Times New Roman" w:hAnsi="Times New Roman" w:eastAsia="宋体"/>
                <w:color w:val="auto"/>
                <w:sz w:val="21"/>
                <w:szCs w:val="21"/>
                <w:highlight w:val="none"/>
              </w:rPr>
              <w:t>）</w:t>
            </w:r>
          </w:p>
        </w:tc>
        <w:tc>
          <w:tcPr>
            <w:tcW w:w="1985" w:type="dxa"/>
            <w:vAlign w:val="center"/>
          </w:tcPr>
          <w:p w14:paraId="6D4FDD8A">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1小时平均</w:t>
            </w:r>
          </w:p>
        </w:tc>
        <w:tc>
          <w:tcPr>
            <w:tcW w:w="992" w:type="dxa"/>
            <w:vAlign w:val="center"/>
          </w:tcPr>
          <w:p w14:paraId="2D1B66CF">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0.01</w:t>
            </w:r>
          </w:p>
        </w:tc>
        <w:tc>
          <w:tcPr>
            <w:tcW w:w="851" w:type="dxa"/>
            <w:vMerge w:val="restart"/>
            <w:vAlign w:val="center"/>
          </w:tcPr>
          <w:p w14:paraId="5620C9BE">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mg/m</w:t>
            </w:r>
            <w:r>
              <w:rPr>
                <w:rFonts w:hint="eastAsia" w:ascii="Times New Roman" w:hAnsi="Times New Roman" w:eastAsia="宋体"/>
                <w:color w:val="auto"/>
                <w:sz w:val="21"/>
                <w:szCs w:val="21"/>
                <w:highlight w:val="none"/>
                <w:vertAlign w:val="superscript"/>
              </w:rPr>
              <w:t>3</w:t>
            </w:r>
          </w:p>
        </w:tc>
        <w:tc>
          <w:tcPr>
            <w:tcW w:w="2318" w:type="dxa"/>
            <w:vMerge w:val="restart"/>
            <w:vAlign w:val="center"/>
          </w:tcPr>
          <w:p w14:paraId="46786062">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《环境影响评价技术导则-大气环境》（HJ2.2-2018）附录D</w:t>
            </w:r>
          </w:p>
        </w:tc>
      </w:tr>
      <w:tr w14:paraId="742D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dxa"/>
            <w:vAlign w:val="center"/>
          </w:tcPr>
          <w:p w14:paraId="4323450A">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9</w:t>
            </w:r>
          </w:p>
        </w:tc>
        <w:tc>
          <w:tcPr>
            <w:tcW w:w="1853" w:type="dxa"/>
            <w:vAlign w:val="center"/>
          </w:tcPr>
          <w:p w14:paraId="02F5987A">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氨（NH</w:t>
            </w:r>
            <w:r>
              <w:rPr>
                <w:rFonts w:hint="eastAsia"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rPr>
              <w:t>）</w:t>
            </w:r>
          </w:p>
        </w:tc>
        <w:tc>
          <w:tcPr>
            <w:tcW w:w="1985" w:type="dxa"/>
            <w:vAlign w:val="center"/>
          </w:tcPr>
          <w:p w14:paraId="31A5C6D3">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1小时平均</w:t>
            </w:r>
          </w:p>
        </w:tc>
        <w:tc>
          <w:tcPr>
            <w:tcW w:w="992" w:type="dxa"/>
            <w:vAlign w:val="center"/>
          </w:tcPr>
          <w:p w14:paraId="636D885F">
            <w:pPr>
              <w:spacing w:line="240" w:lineRule="auto"/>
              <w:ind w:left="-120" w:leftChars="-50" w:right="-120" w:rightChars="-5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0.20</w:t>
            </w:r>
          </w:p>
        </w:tc>
        <w:tc>
          <w:tcPr>
            <w:tcW w:w="851" w:type="dxa"/>
            <w:vMerge w:val="continue"/>
            <w:vAlign w:val="center"/>
          </w:tcPr>
          <w:p w14:paraId="2CDAA9C6">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c>
          <w:tcPr>
            <w:tcW w:w="2318" w:type="dxa"/>
            <w:vMerge w:val="continue"/>
            <w:vAlign w:val="center"/>
          </w:tcPr>
          <w:p w14:paraId="5207DFBD">
            <w:pPr>
              <w:spacing w:line="240" w:lineRule="auto"/>
              <w:ind w:left="-120" w:leftChars="-50" w:right="-120" w:rightChars="-50" w:firstLine="0" w:firstLineChars="0"/>
              <w:jc w:val="center"/>
              <w:rPr>
                <w:rFonts w:ascii="Times New Roman" w:hAnsi="Times New Roman" w:eastAsia="宋体"/>
                <w:color w:val="auto"/>
                <w:sz w:val="21"/>
                <w:szCs w:val="21"/>
                <w:highlight w:val="none"/>
              </w:rPr>
            </w:pPr>
          </w:p>
        </w:tc>
      </w:tr>
    </w:tbl>
    <w:p w14:paraId="0BA47A0F">
      <w:pPr>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）地下水执行《地下水质量标准》（GB/T14848-2017）中的Ⅲ类标准，标准值见表2.5-2。</w:t>
      </w:r>
    </w:p>
    <w:p w14:paraId="09DDE93B">
      <w:pPr>
        <w:pStyle w:val="10"/>
        <w:rPr>
          <w:rFonts w:ascii="Times New Roman" w:hAnsi="Times New Roman" w:eastAsia="宋体"/>
          <w:color w:val="auto"/>
          <w:highlight w:val="none"/>
        </w:rPr>
      </w:pPr>
      <w:r>
        <w:rPr>
          <w:rFonts w:hint="eastAsia" w:ascii="Times New Roman" w:hAnsi="Times New Roman" w:eastAsia="宋体"/>
          <w:color w:val="auto"/>
          <w:highlight w:val="none"/>
        </w:rPr>
        <w:t>表2.5-2地下水质量指标及标准限值</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473"/>
        <w:gridCol w:w="2474"/>
        <w:gridCol w:w="2474"/>
      </w:tblGrid>
      <w:tr w14:paraId="3B44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Align w:val="center"/>
          </w:tcPr>
          <w:p w14:paraId="3478F37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序号</w:t>
            </w:r>
          </w:p>
        </w:tc>
        <w:tc>
          <w:tcPr>
            <w:tcW w:w="2473" w:type="dxa"/>
            <w:vAlign w:val="center"/>
          </w:tcPr>
          <w:p w14:paraId="6EA7E64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w:t>
            </w:r>
          </w:p>
        </w:tc>
        <w:tc>
          <w:tcPr>
            <w:tcW w:w="2474" w:type="dxa"/>
            <w:vAlign w:val="center"/>
          </w:tcPr>
          <w:p w14:paraId="52C6A0A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单位</w:t>
            </w:r>
          </w:p>
        </w:tc>
        <w:tc>
          <w:tcPr>
            <w:tcW w:w="2474" w:type="dxa"/>
            <w:vAlign w:val="center"/>
          </w:tcPr>
          <w:p w14:paraId="6F93E1E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标准限值</w:t>
            </w:r>
          </w:p>
        </w:tc>
      </w:tr>
      <w:tr w14:paraId="1D02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3CE4CCD5">
            <w:pPr>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w:t>
            </w:r>
          </w:p>
        </w:tc>
        <w:tc>
          <w:tcPr>
            <w:tcW w:w="2473" w:type="dxa"/>
          </w:tcPr>
          <w:p w14:paraId="0C0CDE2F">
            <w:pPr>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pH</w:t>
            </w:r>
          </w:p>
        </w:tc>
        <w:tc>
          <w:tcPr>
            <w:tcW w:w="2474" w:type="dxa"/>
          </w:tcPr>
          <w:p w14:paraId="35AB14C3">
            <w:pPr>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w:t>
            </w:r>
          </w:p>
        </w:tc>
        <w:tc>
          <w:tcPr>
            <w:tcW w:w="2474" w:type="dxa"/>
          </w:tcPr>
          <w:p w14:paraId="53AF9F5A">
            <w:pPr>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6.5</w:t>
            </w:r>
            <w:r>
              <w:rPr>
                <w:rFonts w:hint="eastAsia" w:ascii="Times New Roman" w:hAnsi="Times New Roman" w:eastAsia="宋体"/>
                <w:color w:val="auto"/>
                <w:sz w:val="21"/>
                <w:szCs w:val="21"/>
                <w:highlight w:val="none"/>
              </w:rPr>
              <w:t>~</w:t>
            </w:r>
            <w:r>
              <w:rPr>
                <w:rFonts w:ascii="Times New Roman" w:hAnsi="Times New Roman" w:eastAsia="宋体"/>
                <w:color w:val="auto"/>
                <w:sz w:val="21"/>
                <w:szCs w:val="21"/>
                <w:highlight w:val="none"/>
              </w:rPr>
              <w:t>8.5</w:t>
            </w:r>
          </w:p>
        </w:tc>
      </w:tr>
      <w:tr w14:paraId="4A12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05B6F11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w:t>
            </w:r>
          </w:p>
        </w:tc>
        <w:tc>
          <w:tcPr>
            <w:tcW w:w="2473" w:type="dxa"/>
          </w:tcPr>
          <w:p w14:paraId="1E5F818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氨氮</w:t>
            </w:r>
          </w:p>
        </w:tc>
        <w:tc>
          <w:tcPr>
            <w:tcW w:w="2474" w:type="dxa"/>
          </w:tcPr>
          <w:p w14:paraId="247BF17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57D8B39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w:t>
            </w:r>
          </w:p>
        </w:tc>
      </w:tr>
      <w:tr w14:paraId="26D3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073C4B9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w:t>
            </w:r>
          </w:p>
        </w:tc>
        <w:tc>
          <w:tcPr>
            <w:tcW w:w="2473" w:type="dxa"/>
          </w:tcPr>
          <w:p w14:paraId="0BE24ED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挥发酚</w:t>
            </w:r>
          </w:p>
        </w:tc>
        <w:tc>
          <w:tcPr>
            <w:tcW w:w="2474" w:type="dxa"/>
          </w:tcPr>
          <w:p w14:paraId="2AF2F74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06C9212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≤0.002</w:t>
            </w:r>
          </w:p>
        </w:tc>
      </w:tr>
      <w:tr w14:paraId="3EBA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565C65D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w:t>
            </w:r>
          </w:p>
        </w:tc>
        <w:tc>
          <w:tcPr>
            <w:tcW w:w="2473" w:type="dxa"/>
          </w:tcPr>
          <w:p w14:paraId="2247DF7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六价铬</w:t>
            </w:r>
          </w:p>
        </w:tc>
        <w:tc>
          <w:tcPr>
            <w:tcW w:w="2474" w:type="dxa"/>
          </w:tcPr>
          <w:p w14:paraId="4D0BEDD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个/L</w:t>
            </w:r>
          </w:p>
        </w:tc>
        <w:tc>
          <w:tcPr>
            <w:tcW w:w="2474" w:type="dxa"/>
          </w:tcPr>
          <w:p w14:paraId="2BE3F50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w:t>
            </w:r>
          </w:p>
        </w:tc>
      </w:tr>
      <w:tr w14:paraId="01A1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5BADE22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w:t>
            </w:r>
          </w:p>
        </w:tc>
        <w:tc>
          <w:tcPr>
            <w:tcW w:w="2473" w:type="dxa"/>
          </w:tcPr>
          <w:p w14:paraId="59174DF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亚硝酸盐</w:t>
            </w:r>
          </w:p>
        </w:tc>
        <w:tc>
          <w:tcPr>
            <w:tcW w:w="2474" w:type="dxa"/>
          </w:tcPr>
          <w:p w14:paraId="012AFE5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0CC341F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≤0.02</w:t>
            </w:r>
          </w:p>
        </w:tc>
      </w:tr>
      <w:tr w14:paraId="2309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3F12DFB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w:t>
            </w:r>
          </w:p>
        </w:tc>
        <w:tc>
          <w:tcPr>
            <w:tcW w:w="2473" w:type="dxa"/>
          </w:tcPr>
          <w:p w14:paraId="2D0F5B8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硝酸盐氮</w:t>
            </w:r>
          </w:p>
        </w:tc>
        <w:tc>
          <w:tcPr>
            <w:tcW w:w="2474" w:type="dxa"/>
          </w:tcPr>
          <w:p w14:paraId="100F6DE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09AACC0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≤20</w:t>
            </w:r>
          </w:p>
        </w:tc>
      </w:tr>
      <w:tr w14:paraId="6A9C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0D385C8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w:t>
            </w:r>
          </w:p>
        </w:tc>
        <w:tc>
          <w:tcPr>
            <w:tcW w:w="2473" w:type="dxa"/>
          </w:tcPr>
          <w:p w14:paraId="7173809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氰化物</w:t>
            </w:r>
          </w:p>
        </w:tc>
        <w:tc>
          <w:tcPr>
            <w:tcW w:w="2474" w:type="dxa"/>
          </w:tcPr>
          <w:p w14:paraId="33A6FA5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113D62E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≤0.05</w:t>
            </w:r>
          </w:p>
        </w:tc>
      </w:tr>
      <w:tr w14:paraId="2FE2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1263673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w:t>
            </w:r>
          </w:p>
        </w:tc>
        <w:tc>
          <w:tcPr>
            <w:tcW w:w="2473" w:type="dxa"/>
          </w:tcPr>
          <w:p w14:paraId="7716AA3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溶解性总固体</w:t>
            </w:r>
          </w:p>
        </w:tc>
        <w:tc>
          <w:tcPr>
            <w:tcW w:w="2474" w:type="dxa"/>
          </w:tcPr>
          <w:p w14:paraId="6B1AA81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5A00B41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≤1000</w:t>
            </w:r>
          </w:p>
        </w:tc>
      </w:tr>
      <w:tr w14:paraId="3D6F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079783A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9</w:t>
            </w:r>
          </w:p>
        </w:tc>
        <w:tc>
          <w:tcPr>
            <w:tcW w:w="2473" w:type="dxa"/>
          </w:tcPr>
          <w:p w14:paraId="39E992F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硫酸盐</w:t>
            </w:r>
          </w:p>
        </w:tc>
        <w:tc>
          <w:tcPr>
            <w:tcW w:w="2474" w:type="dxa"/>
          </w:tcPr>
          <w:p w14:paraId="3247C61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6F93095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≤250</w:t>
            </w:r>
          </w:p>
        </w:tc>
      </w:tr>
      <w:tr w14:paraId="7CDA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56F46A8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w:t>
            </w:r>
          </w:p>
        </w:tc>
        <w:tc>
          <w:tcPr>
            <w:tcW w:w="2473" w:type="dxa"/>
          </w:tcPr>
          <w:p w14:paraId="5AD9373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氯化物</w:t>
            </w:r>
          </w:p>
        </w:tc>
        <w:tc>
          <w:tcPr>
            <w:tcW w:w="2474" w:type="dxa"/>
          </w:tcPr>
          <w:p w14:paraId="4DFA30E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0D5F146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≤250</w:t>
            </w:r>
          </w:p>
        </w:tc>
      </w:tr>
      <w:tr w14:paraId="31F9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2A117BA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11</w:t>
            </w:r>
          </w:p>
        </w:tc>
        <w:tc>
          <w:tcPr>
            <w:tcW w:w="2473" w:type="dxa"/>
          </w:tcPr>
          <w:p w14:paraId="489C643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总硬度</w:t>
            </w:r>
          </w:p>
        </w:tc>
        <w:tc>
          <w:tcPr>
            <w:tcW w:w="2474" w:type="dxa"/>
          </w:tcPr>
          <w:p w14:paraId="76D8609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4601248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≤450</w:t>
            </w:r>
          </w:p>
        </w:tc>
      </w:tr>
      <w:tr w14:paraId="559D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6BA990E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12</w:t>
            </w:r>
          </w:p>
        </w:tc>
        <w:tc>
          <w:tcPr>
            <w:tcW w:w="2473" w:type="dxa"/>
          </w:tcPr>
          <w:p w14:paraId="24E794F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砷</w:t>
            </w:r>
          </w:p>
        </w:tc>
        <w:tc>
          <w:tcPr>
            <w:tcW w:w="2474" w:type="dxa"/>
          </w:tcPr>
          <w:p w14:paraId="75BF5E9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7E2D989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≤0.01</w:t>
            </w:r>
          </w:p>
        </w:tc>
      </w:tr>
      <w:tr w14:paraId="792F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1233AF7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13</w:t>
            </w:r>
          </w:p>
        </w:tc>
        <w:tc>
          <w:tcPr>
            <w:tcW w:w="2473" w:type="dxa"/>
          </w:tcPr>
          <w:p w14:paraId="3CBD286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汞</w:t>
            </w:r>
          </w:p>
        </w:tc>
        <w:tc>
          <w:tcPr>
            <w:tcW w:w="2474" w:type="dxa"/>
          </w:tcPr>
          <w:p w14:paraId="72C74DC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35D4AB3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≤0.001</w:t>
            </w:r>
          </w:p>
        </w:tc>
      </w:tr>
      <w:tr w14:paraId="2F53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562FE8C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14</w:t>
            </w:r>
          </w:p>
        </w:tc>
        <w:tc>
          <w:tcPr>
            <w:tcW w:w="2473" w:type="dxa"/>
          </w:tcPr>
          <w:p w14:paraId="199A027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铅</w:t>
            </w:r>
          </w:p>
        </w:tc>
        <w:tc>
          <w:tcPr>
            <w:tcW w:w="2474" w:type="dxa"/>
          </w:tcPr>
          <w:p w14:paraId="29E4665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14461A3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≤0.01</w:t>
            </w:r>
          </w:p>
        </w:tc>
      </w:tr>
      <w:tr w14:paraId="70DB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1133703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15</w:t>
            </w:r>
          </w:p>
        </w:tc>
        <w:tc>
          <w:tcPr>
            <w:tcW w:w="2473" w:type="dxa"/>
          </w:tcPr>
          <w:p w14:paraId="1585093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镉</w:t>
            </w:r>
          </w:p>
        </w:tc>
        <w:tc>
          <w:tcPr>
            <w:tcW w:w="2474" w:type="dxa"/>
          </w:tcPr>
          <w:p w14:paraId="1A7117F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1ED39CF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≤0.005</w:t>
            </w:r>
          </w:p>
        </w:tc>
      </w:tr>
      <w:tr w14:paraId="2949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123A746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16</w:t>
            </w:r>
          </w:p>
        </w:tc>
        <w:tc>
          <w:tcPr>
            <w:tcW w:w="2473" w:type="dxa"/>
          </w:tcPr>
          <w:p w14:paraId="0D156C2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氟化物</w:t>
            </w:r>
          </w:p>
        </w:tc>
        <w:tc>
          <w:tcPr>
            <w:tcW w:w="2474" w:type="dxa"/>
          </w:tcPr>
          <w:p w14:paraId="7053553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03FBB56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w:t>
            </w:r>
          </w:p>
        </w:tc>
      </w:tr>
      <w:tr w14:paraId="3703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03249C6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17</w:t>
            </w:r>
          </w:p>
        </w:tc>
        <w:tc>
          <w:tcPr>
            <w:tcW w:w="2473" w:type="dxa"/>
          </w:tcPr>
          <w:p w14:paraId="25924E3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耗氧量</w:t>
            </w:r>
          </w:p>
        </w:tc>
        <w:tc>
          <w:tcPr>
            <w:tcW w:w="2474" w:type="dxa"/>
          </w:tcPr>
          <w:p w14:paraId="5FCA24C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1772CD8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≤3.0</w:t>
            </w:r>
          </w:p>
        </w:tc>
      </w:tr>
      <w:tr w14:paraId="12B2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451F8A6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18</w:t>
            </w:r>
          </w:p>
        </w:tc>
        <w:tc>
          <w:tcPr>
            <w:tcW w:w="2473" w:type="dxa"/>
          </w:tcPr>
          <w:p w14:paraId="7D5A18D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铁</w:t>
            </w:r>
          </w:p>
        </w:tc>
        <w:tc>
          <w:tcPr>
            <w:tcW w:w="2474" w:type="dxa"/>
          </w:tcPr>
          <w:p w14:paraId="3FE170E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7DF9727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≤0.3</w:t>
            </w:r>
          </w:p>
        </w:tc>
      </w:tr>
      <w:tr w14:paraId="280B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35676FB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19</w:t>
            </w:r>
          </w:p>
        </w:tc>
        <w:tc>
          <w:tcPr>
            <w:tcW w:w="2473" w:type="dxa"/>
          </w:tcPr>
          <w:p w14:paraId="4CEF0C7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锰</w:t>
            </w:r>
          </w:p>
        </w:tc>
        <w:tc>
          <w:tcPr>
            <w:tcW w:w="2474" w:type="dxa"/>
          </w:tcPr>
          <w:p w14:paraId="1F5D98C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5789765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w:t>
            </w:r>
          </w:p>
        </w:tc>
      </w:tr>
      <w:tr w14:paraId="56DB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14F7E7C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20</w:t>
            </w:r>
          </w:p>
        </w:tc>
        <w:tc>
          <w:tcPr>
            <w:tcW w:w="2473" w:type="dxa"/>
          </w:tcPr>
          <w:p w14:paraId="261E6CF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铜</w:t>
            </w:r>
          </w:p>
        </w:tc>
        <w:tc>
          <w:tcPr>
            <w:tcW w:w="2474" w:type="dxa"/>
          </w:tcPr>
          <w:p w14:paraId="4E706B7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5339654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w:t>
            </w:r>
          </w:p>
        </w:tc>
      </w:tr>
      <w:tr w14:paraId="14EF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3C7152C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21</w:t>
            </w:r>
          </w:p>
        </w:tc>
        <w:tc>
          <w:tcPr>
            <w:tcW w:w="2473" w:type="dxa"/>
          </w:tcPr>
          <w:p w14:paraId="5EB2485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锌</w:t>
            </w:r>
          </w:p>
        </w:tc>
        <w:tc>
          <w:tcPr>
            <w:tcW w:w="2474" w:type="dxa"/>
          </w:tcPr>
          <w:p w14:paraId="3C4FB38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4531A61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w:t>
            </w:r>
          </w:p>
        </w:tc>
      </w:tr>
      <w:tr w14:paraId="7589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72A2C72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22</w:t>
            </w:r>
          </w:p>
        </w:tc>
        <w:tc>
          <w:tcPr>
            <w:tcW w:w="2473" w:type="dxa"/>
          </w:tcPr>
          <w:p w14:paraId="57FC7DC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铝</w:t>
            </w:r>
          </w:p>
        </w:tc>
        <w:tc>
          <w:tcPr>
            <w:tcW w:w="2474" w:type="dxa"/>
          </w:tcPr>
          <w:p w14:paraId="64DC68E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mg/L</w:t>
            </w:r>
          </w:p>
        </w:tc>
        <w:tc>
          <w:tcPr>
            <w:tcW w:w="2474" w:type="dxa"/>
          </w:tcPr>
          <w:p w14:paraId="412D981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14:paraId="7EC7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tcPr>
          <w:p w14:paraId="0ACC6CA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23</w:t>
            </w:r>
          </w:p>
        </w:tc>
        <w:tc>
          <w:tcPr>
            <w:tcW w:w="2473" w:type="dxa"/>
          </w:tcPr>
          <w:p w14:paraId="21FC1AC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总大肠菌群</w:t>
            </w:r>
          </w:p>
        </w:tc>
        <w:tc>
          <w:tcPr>
            <w:tcW w:w="2474" w:type="dxa"/>
          </w:tcPr>
          <w:p w14:paraId="43AD7EC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MPN/100ml</w:t>
            </w:r>
          </w:p>
        </w:tc>
        <w:tc>
          <w:tcPr>
            <w:tcW w:w="2474" w:type="dxa"/>
          </w:tcPr>
          <w:p w14:paraId="7E88DF1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≤3.0</w:t>
            </w:r>
          </w:p>
        </w:tc>
      </w:tr>
    </w:tbl>
    <w:p w14:paraId="4C369F55">
      <w:pPr>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）声环境质量标准</w:t>
      </w:r>
    </w:p>
    <w:p w14:paraId="123E8091">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根据声环境功能区划分，项目所在地为2类声环境功能区，执行《声环境质量标准》</w:t>
      </w:r>
      <w:r>
        <w:rPr>
          <w:rFonts w:hint="eastAsia"/>
          <w:color w:val="auto"/>
          <w:highlight w:val="none"/>
          <w:lang w:eastAsia="zh-CN"/>
        </w:rPr>
        <w:t>（</w:t>
      </w:r>
      <w:r>
        <w:rPr>
          <w:rFonts w:hint="eastAsia" w:ascii="Times New Roman" w:hAnsi="Times New Roman" w:eastAsia="宋体"/>
          <w:color w:val="auto"/>
          <w:highlight w:val="none"/>
        </w:rPr>
        <w:t>GB3096-2008</w:t>
      </w:r>
      <w:r>
        <w:rPr>
          <w:rFonts w:hint="eastAsia"/>
          <w:color w:val="auto"/>
          <w:highlight w:val="none"/>
          <w:lang w:eastAsia="zh-CN"/>
        </w:rPr>
        <w:t>）</w:t>
      </w:r>
      <w:r>
        <w:rPr>
          <w:rFonts w:hint="eastAsia" w:ascii="Times New Roman" w:hAnsi="Times New Roman" w:eastAsia="宋体"/>
          <w:color w:val="auto"/>
          <w:highlight w:val="none"/>
        </w:rPr>
        <w:t>的2类标准标准限值见表2.5-3。</w:t>
      </w:r>
    </w:p>
    <w:p w14:paraId="0E1F39FD">
      <w:pPr>
        <w:pStyle w:val="10"/>
        <w:rPr>
          <w:rFonts w:ascii="Times New Roman" w:hAnsi="Times New Roman" w:eastAsia="宋体"/>
          <w:color w:val="auto"/>
          <w:highlight w:val="none"/>
        </w:rPr>
      </w:pPr>
      <w:r>
        <w:rPr>
          <w:rFonts w:hint="eastAsia" w:ascii="Times New Roman" w:hAnsi="Times New Roman" w:eastAsia="宋体"/>
          <w:color w:val="auto"/>
          <w:highlight w:val="none"/>
        </w:rPr>
        <w:t>表2.5-3声环境质量标准限值</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1820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restart"/>
            <w:vAlign w:val="center"/>
          </w:tcPr>
          <w:p w14:paraId="6BA031D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声环境功能区类别</w:t>
            </w:r>
          </w:p>
        </w:tc>
        <w:tc>
          <w:tcPr>
            <w:tcW w:w="5682" w:type="dxa"/>
            <w:gridSpan w:val="2"/>
            <w:vAlign w:val="center"/>
          </w:tcPr>
          <w:p w14:paraId="644DB11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时段</w:t>
            </w:r>
          </w:p>
        </w:tc>
      </w:tr>
      <w:tr w14:paraId="66EC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vAlign w:val="center"/>
          </w:tcPr>
          <w:p w14:paraId="2C8E7C91">
            <w:pPr>
              <w:spacing w:line="240" w:lineRule="auto"/>
              <w:ind w:firstLine="0" w:firstLineChars="0"/>
              <w:jc w:val="center"/>
              <w:rPr>
                <w:rFonts w:ascii="Times New Roman" w:hAnsi="Times New Roman" w:eastAsia="宋体"/>
                <w:color w:val="auto"/>
                <w:sz w:val="21"/>
                <w:szCs w:val="21"/>
                <w:highlight w:val="none"/>
              </w:rPr>
            </w:pPr>
          </w:p>
        </w:tc>
        <w:tc>
          <w:tcPr>
            <w:tcW w:w="2841" w:type="dxa"/>
            <w:vAlign w:val="center"/>
          </w:tcPr>
          <w:p w14:paraId="3EA5B5C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昼间、dB（A）</w:t>
            </w:r>
          </w:p>
        </w:tc>
        <w:tc>
          <w:tcPr>
            <w:tcW w:w="2841" w:type="dxa"/>
            <w:vAlign w:val="center"/>
          </w:tcPr>
          <w:p w14:paraId="5CC611B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夜间、dB（A）</w:t>
            </w:r>
          </w:p>
        </w:tc>
      </w:tr>
      <w:tr w14:paraId="5E16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0" w:type="dxa"/>
            <w:vAlign w:val="center"/>
          </w:tcPr>
          <w:p w14:paraId="6B965A7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类</w:t>
            </w:r>
          </w:p>
        </w:tc>
        <w:tc>
          <w:tcPr>
            <w:tcW w:w="2841" w:type="dxa"/>
            <w:vAlign w:val="center"/>
          </w:tcPr>
          <w:p w14:paraId="732251EC">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60</w:t>
            </w:r>
          </w:p>
        </w:tc>
        <w:tc>
          <w:tcPr>
            <w:tcW w:w="2841" w:type="dxa"/>
            <w:vAlign w:val="center"/>
          </w:tcPr>
          <w:p w14:paraId="7F41C9AE">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r>
    </w:tbl>
    <w:p w14:paraId="1357C1E3">
      <w:pPr>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rPr>
        <w:t>）土壤环境质量标准</w:t>
      </w:r>
    </w:p>
    <w:p w14:paraId="30BB1EDB">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本项目土壤环境执行《土壤环境质量农用地土壤污染风险管控标准</w:t>
      </w:r>
      <w:r>
        <w:rPr>
          <w:rFonts w:hint="eastAsia"/>
          <w:color w:val="auto"/>
          <w:highlight w:val="none"/>
          <w:lang w:eastAsia="zh-CN"/>
        </w:rPr>
        <w:t>（</w:t>
      </w:r>
      <w:r>
        <w:rPr>
          <w:rFonts w:hint="eastAsia" w:ascii="Times New Roman" w:hAnsi="Times New Roman" w:eastAsia="宋体"/>
          <w:color w:val="auto"/>
          <w:highlight w:val="none"/>
        </w:rPr>
        <w:t>试行</w:t>
      </w:r>
      <w:r>
        <w:rPr>
          <w:rFonts w:hint="eastAsia"/>
          <w:color w:val="auto"/>
          <w:highlight w:val="none"/>
          <w:lang w:eastAsia="zh-CN"/>
        </w:rPr>
        <w:t>）</w:t>
      </w:r>
      <w:r>
        <w:rPr>
          <w:rFonts w:hint="eastAsia" w:ascii="Times New Roman" w:hAnsi="Times New Roman" w:eastAsia="宋体"/>
          <w:color w:val="auto"/>
          <w:highlight w:val="none"/>
        </w:rPr>
        <w:t>》</w:t>
      </w:r>
      <w:r>
        <w:rPr>
          <w:rFonts w:hint="eastAsia"/>
          <w:color w:val="auto"/>
          <w:highlight w:val="none"/>
          <w:lang w:eastAsia="zh-CN"/>
        </w:rPr>
        <w:t>（</w:t>
      </w:r>
      <w:r>
        <w:rPr>
          <w:rFonts w:hint="eastAsia" w:ascii="Times New Roman" w:hAnsi="Times New Roman" w:eastAsia="宋体"/>
          <w:color w:val="auto"/>
          <w:highlight w:val="none"/>
        </w:rPr>
        <w:t>GB15618-2018</w:t>
      </w:r>
      <w:r>
        <w:rPr>
          <w:rFonts w:hint="eastAsia"/>
          <w:color w:val="auto"/>
          <w:highlight w:val="none"/>
          <w:lang w:eastAsia="zh-CN"/>
        </w:rPr>
        <w:t>）</w:t>
      </w:r>
      <w:r>
        <w:rPr>
          <w:rFonts w:hint="eastAsia" w:ascii="Times New Roman" w:hAnsi="Times New Roman" w:eastAsia="宋体"/>
          <w:color w:val="auto"/>
          <w:highlight w:val="none"/>
        </w:rPr>
        <w:t>中其他用地风险筛选值和《畜禽养殖产地环境评价规范》</w:t>
      </w:r>
      <w:r>
        <w:rPr>
          <w:rFonts w:hint="eastAsia"/>
          <w:color w:val="auto"/>
          <w:highlight w:val="none"/>
          <w:lang w:eastAsia="zh-CN"/>
        </w:rPr>
        <w:t>（</w:t>
      </w:r>
      <w:r>
        <w:rPr>
          <w:rFonts w:hint="eastAsia" w:ascii="Times New Roman" w:hAnsi="Times New Roman" w:eastAsia="宋体"/>
          <w:color w:val="auto"/>
          <w:highlight w:val="none"/>
        </w:rPr>
        <w:t>HJ568-2010</w:t>
      </w:r>
      <w:r>
        <w:rPr>
          <w:rFonts w:hint="eastAsia"/>
          <w:color w:val="auto"/>
          <w:highlight w:val="none"/>
          <w:lang w:eastAsia="zh-CN"/>
        </w:rPr>
        <w:t>）</w:t>
      </w:r>
      <w:r>
        <w:rPr>
          <w:rFonts w:hint="eastAsia" w:ascii="Times New Roman" w:hAnsi="Times New Roman" w:eastAsia="宋体"/>
          <w:color w:val="auto"/>
          <w:highlight w:val="none"/>
        </w:rPr>
        <w:t>中表4限值要求，其标准值见表2.5-4。</w:t>
      </w:r>
    </w:p>
    <w:p w14:paraId="681E915E">
      <w:pPr>
        <w:pStyle w:val="10"/>
        <w:rPr>
          <w:rFonts w:ascii="Times New Roman" w:hAnsi="Times New Roman" w:eastAsia="宋体"/>
          <w:color w:val="auto"/>
          <w:highlight w:val="none"/>
        </w:rPr>
      </w:pPr>
      <w:r>
        <w:rPr>
          <w:rFonts w:hint="eastAsia" w:ascii="Times New Roman" w:hAnsi="Times New Roman" w:eastAsia="宋体"/>
          <w:color w:val="auto"/>
          <w:highlight w:val="none"/>
        </w:rPr>
        <w:t>表2.5-4GB15618-2018农用地土壤污染风险筛选值</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5"/>
        <w:gridCol w:w="1725"/>
        <w:gridCol w:w="1047"/>
        <w:gridCol w:w="1818"/>
        <w:gridCol w:w="1818"/>
        <w:gridCol w:w="1206"/>
      </w:tblGrid>
      <w:tr w14:paraId="47217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418" w:type="pct"/>
            <w:vMerge w:val="restart"/>
            <w:vAlign w:val="center"/>
          </w:tcPr>
          <w:p w14:paraId="4CDF33E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序号</w:t>
            </w:r>
          </w:p>
        </w:tc>
        <w:tc>
          <w:tcPr>
            <w:tcW w:w="1038" w:type="pct"/>
            <w:vMerge w:val="restart"/>
            <w:vAlign w:val="center"/>
          </w:tcPr>
          <w:p w14:paraId="25236D7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污染物项目</w:t>
            </w:r>
          </w:p>
        </w:tc>
        <w:tc>
          <w:tcPr>
            <w:tcW w:w="3543" w:type="pct"/>
            <w:gridSpan w:val="4"/>
            <w:vAlign w:val="center"/>
          </w:tcPr>
          <w:p w14:paraId="55B7EF8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筛选值</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mg/kg</w:t>
            </w:r>
            <w:r>
              <w:rPr>
                <w:rFonts w:hint="eastAsia" w:cs="宋体"/>
                <w:color w:val="auto"/>
                <w:spacing w:val="0"/>
                <w:sz w:val="21"/>
                <w:szCs w:val="21"/>
                <w:highlight w:val="none"/>
                <w:lang w:eastAsia="zh-CN"/>
              </w:rPr>
              <w:t>）</w:t>
            </w:r>
          </w:p>
        </w:tc>
      </w:tr>
      <w:tr w14:paraId="1A443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418" w:type="pct"/>
            <w:vMerge w:val="continue"/>
            <w:vAlign w:val="center"/>
          </w:tcPr>
          <w:p w14:paraId="502679F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1038" w:type="pct"/>
            <w:vMerge w:val="continue"/>
            <w:vAlign w:val="center"/>
          </w:tcPr>
          <w:p w14:paraId="2B9065F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630" w:type="pct"/>
            <w:vAlign w:val="center"/>
          </w:tcPr>
          <w:p w14:paraId="7BA5D99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pH</w:t>
            </w:r>
            <w:r>
              <w:rPr>
                <w:rFonts w:ascii="Times New Roman" w:hAnsi="Times New Roman" w:eastAsia="宋体" w:cs="宋体"/>
                <w:color w:val="auto"/>
                <w:spacing w:val="0"/>
                <w:sz w:val="21"/>
                <w:szCs w:val="21"/>
                <w:highlight w:val="none"/>
              </w:rPr>
              <w:t>≤</w:t>
            </w:r>
            <w:r>
              <w:rPr>
                <w:rFonts w:ascii="Times New Roman" w:hAnsi="Times New Roman" w:eastAsia="宋体" w:cs="Times New Roman"/>
                <w:color w:val="auto"/>
                <w:spacing w:val="0"/>
                <w:sz w:val="21"/>
                <w:szCs w:val="21"/>
                <w:highlight w:val="none"/>
              </w:rPr>
              <w:t>5.5</w:t>
            </w:r>
          </w:p>
        </w:tc>
        <w:tc>
          <w:tcPr>
            <w:tcW w:w="1094" w:type="pct"/>
            <w:vAlign w:val="center"/>
          </w:tcPr>
          <w:p w14:paraId="38A1A1E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5.5</w:t>
            </w:r>
            <w:r>
              <w:rPr>
                <w:rFonts w:ascii="Times New Roman" w:hAnsi="Times New Roman" w:eastAsia="宋体" w:cs="宋体"/>
                <w:color w:val="auto"/>
                <w:spacing w:val="0"/>
                <w:sz w:val="21"/>
                <w:szCs w:val="21"/>
                <w:highlight w:val="none"/>
              </w:rPr>
              <w:t>＜</w:t>
            </w:r>
            <w:r>
              <w:rPr>
                <w:rFonts w:ascii="Times New Roman" w:hAnsi="Times New Roman" w:eastAsia="宋体" w:cs="Times New Roman"/>
                <w:color w:val="auto"/>
                <w:spacing w:val="0"/>
                <w:sz w:val="21"/>
                <w:szCs w:val="21"/>
                <w:highlight w:val="none"/>
              </w:rPr>
              <w:t>pH</w:t>
            </w:r>
            <w:r>
              <w:rPr>
                <w:rFonts w:ascii="Times New Roman" w:hAnsi="Times New Roman" w:eastAsia="宋体" w:cs="宋体"/>
                <w:color w:val="auto"/>
                <w:spacing w:val="0"/>
                <w:sz w:val="21"/>
                <w:szCs w:val="21"/>
                <w:highlight w:val="none"/>
              </w:rPr>
              <w:t>≤</w:t>
            </w:r>
            <w:r>
              <w:rPr>
                <w:rFonts w:ascii="Times New Roman" w:hAnsi="Times New Roman" w:eastAsia="宋体" w:cs="Times New Roman"/>
                <w:color w:val="auto"/>
                <w:spacing w:val="0"/>
                <w:sz w:val="21"/>
                <w:szCs w:val="21"/>
                <w:highlight w:val="none"/>
              </w:rPr>
              <w:t>6.5</w:t>
            </w:r>
          </w:p>
        </w:tc>
        <w:tc>
          <w:tcPr>
            <w:tcW w:w="1094" w:type="pct"/>
            <w:vAlign w:val="center"/>
          </w:tcPr>
          <w:p w14:paraId="454472E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6.5</w:t>
            </w:r>
            <w:r>
              <w:rPr>
                <w:rFonts w:ascii="Times New Roman" w:hAnsi="Times New Roman" w:eastAsia="宋体" w:cs="宋体"/>
                <w:color w:val="auto"/>
                <w:spacing w:val="0"/>
                <w:sz w:val="21"/>
                <w:szCs w:val="21"/>
                <w:highlight w:val="none"/>
              </w:rPr>
              <w:t>＜</w:t>
            </w:r>
            <w:r>
              <w:rPr>
                <w:rFonts w:ascii="Times New Roman" w:hAnsi="Times New Roman" w:eastAsia="宋体" w:cs="Times New Roman"/>
                <w:color w:val="auto"/>
                <w:spacing w:val="0"/>
                <w:sz w:val="21"/>
                <w:szCs w:val="21"/>
                <w:highlight w:val="none"/>
              </w:rPr>
              <w:t>pH</w:t>
            </w:r>
            <w:r>
              <w:rPr>
                <w:rFonts w:ascii="Times New Roman" w:hAnsi="Times New Roman" w:eastAsia="宋体" w:cs="宋体"/>
                <w:color w:val="auto"/>
                <w:spacing w:val="0"/>
                <w:sz w:val="21"/>
                <w:szCs w:val="21"/>
                <w:highlight w:val="none"/>
              </w:rPr>
              <w:t>≤</w:t>
            </w:r>
            <w:r>
              <w:rPr>
                <w:rFonts w:ascii="Times New Roman" w:hAnsi="Times New Roman" w:eastAsia="宋体" w:cs="Times New Roman"/>
                <w:color w:val="auto"/>
                <w:spacing w:val="0"/>
                <w:sz w:val="21"/>
                <w:szCs w:val="21"/>
                <w:highlight w:val="none"/>
              </w:rPr>
              <w:t>7.5</w:t>
            </w:r>
          </w:p>
        </w:tc>
        <w:tc>
          <w:tcPr>
            <w:tcW w:w="723" w:type="pct"/>
            <w:vAlign w:val="center"/>
          </w:tcPr>
          <w:p w14:paraId="17009C3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pH</w:t>
            </w:r>
            <w:r>
              <w:rPr>
                <w:rFonts w:ascii="Times New Roman" w:hAnsi="Times New Roman" w:eastAsia="宋体" w:cs="宋体"/>
                <w:color w:val="auto"/>
                <w:spacing w:val="0"/>
                <w:sz w:val="21"/>
                <w:szCs w:val="21"/>
                <w:highlight w:val="none"/>
              </w:rPr>
              <w:t>＞</w:t>
            </w:r>
            <w:r>
              <w:rPr>
                <w:rFonts w:ascii="Times New Roman" w:hAnsi="Times New Roman" w:eastAsia="宋体" w:cs="Times New Roman"/>
                <w:color w:val="auto"/>
                <w:spacing w:val="0"/>
                <w:sz w:val="21"/>
                <w:szCs w:val="21"/>
                <w:highlight w:val="none"/>
              </w:rPr>
              <w:t>7.5</w:t>
            </w:r>
          </w:p>
        </w:tc>
      </w:tr>
      <w:tr w14:paraId="4892B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18" w:type="pct"/>
            <w:vAlign w:val="center"/>
          </w:tcPr>
          <w:p w14:paraId="39803E8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w:t>
            </w:r>
          </w:p>
        </w:tc>
        <w:tc>
          <w:tcPr>
            <w:tcW w:w="1038" w:type="pct"/>
            <w:vAlign w:val="center"/>
          </w:tcPr>
          <w:p w14:paraId="616ECD0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镉</w:t>
            </w:r>
          </w:p>
        </w:tc>
        <w:tc>
          <w:tcPr>
            <w:tcW w:w="630" w:type="pct"/>
            <w:vAlign w:val="center"/>
          </w:tcPr>
          <w:p w14:paraId="48BD703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0.3</w:t>
            </w:r>
          </w:p>
        </w:tc>
        <w:tc>
          <w:tcPr>
            <w:tcW w:w="1094" w:type="pct"/>
            <w:vAlign w:val="center"/>
          </w:tcPr>
          <w:p w14:paraId="519AA27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0.3</w:t>
            </w:r>
          </w:p>
        </w:tc>
        <w:tc>
          <w:tcPr>
            <w:tcW w:w="1094" w:type="pct"/>
            <w:vAlign w:val="center"/>
          </w:tcPr>
          <w:p w14:paraId="223B06B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0.3</w:t>
            </w:r>
          </w:p>
        </w:tc>
        <w:tc>
          <w:tcPr>
            <w:tcW w:w="723" w:type="pct"/>
            <w:vAlign w:val="center"/>
          </w:tcPr>
          <w:p w14:paraId="03D9F43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0.6</w:t>
            </w:r>
          </w:p>
        </w:tc>
      </w:tr>
      <w:tr w14:paraId="4DCD4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14:paraId="5A45511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w:t>
            </w:r>
          </w:p>
        </w:tc>
        <w:tc>
          <w:tcPr>
            <w:tcW w:w="1038" w:type="pct"/>
            <w:vAlign w:val="center"/>
          </w:tcPr>
          <w:p w14:paraId="6E869F1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汞</w:t>
            </w:r>
          </w:p>
        </w:tc>
        <w:tc>
          <w:tcPr>
            <w:tcW w:w="630" w:type="pct"/>
            <w:vAlign w:val="center"/>
          </w:tcPr>
          <w:p w14:paraId="714D096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1.3</w:t>
            </w:r>
          </w:p>
        </w:tc>
        <w:tc>
          <w:tcPr>
            <w:tcW w:w="1094" w:type="pct"/>
            <w:vAlign w:val="center"/>
          </w:tcPr>
          <w:p w14:paraId="5C675AB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1.8</w:t>
            </w:r>
          </w:p>
        </w:tc>
        <w:tc>
          <w:tcPr>
            <w:tcW w:w="1094" w:type="pct"/>
            <w:vAlign w:val="center"/>
          </w:tcPr>
          <w:p w14:paraId="3FC30D4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2.4</w:t>
            </w:r>
          </w:p>
        </w:tc>
        <w:tc>
          <w:tcPr>
            <w:tcW w:w="723" w:type="pct"/>
            <w:vAlign w:val="center"/>
          </w:tcPr>
          <w:p w14:paraId="39252F6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3.4</w:t>
            </w:r>
          </w:p>
        </w:tc>
      </w:tr>
      <w:tr w14:paraId="67404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14:paraId="37E238E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w:t>
            </w:r>
          </w:p>
        </w:tc>
        <w:tc>
          <w:tcPr>
            <w:tcW w:w="1038" w:type="pct"/>
            <w:vAlign w:val="center"/>
          </w:tcPr>
          <w:p w14:paraId="095F8E3F">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砷</w:t>
            </w:r>
          </w:p>
        </w:tc>
        <w:tc>
          <w:tcPr>
            <w:tcW w:w="630" w:type="pct"/>
            <w:vAlign w:val="center"/>
          </w:tcPr>
          <w:p w14:paraId="529D8EF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40</w:t>
            </w:r>
          </w:p>
        </w:tc>
        <w:tc>
          <w:tcPr>
            <w:tcW w:w="1094" w:type="pct"/>
            <w:vAlign w:val="center"/>
          </w:tcPr>
          <w:p w14:paraId="7A629BC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40</w:t>
            </w:r>
          </w:p>
        </w:tc>
        <w:tc>
          <w:tcPr>
            <w:tcW w:w="1094" w:type="pct"/>
            <w:vAlign w:val="center"/>
          </w:tcPr>
          <w:p w14:paraId="61E8CA1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30</w:t>
            </w:r>
          </w:p>
        </w:tc>
        <w:tc>
          <w:tcPr>
            <w:tcW w:w="723" w:type="pct"/>
            <w:vAlign w:val="center"/>
          </w:tcPr>
          <w:p w14:paraId="6E08775F">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25</w:t>
            </w:r>
          </w:p>
        </w:tc>
      </w:tr>
      <w:tr w14:paraId="59F0C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18" w:type="pct"/>
            <w:vAlign w:val="center"/>
          </w:tcPr>
          <w:p w14:paraId="7D57FFF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w:t>
            </w:r>
          </w:p>
        </w:tc>
        <w:tc>
          <w:tcPr>
            <w:tcW w:w="1038" w:type="pct"/>
            <w:vAlign w:val="center"/>
          </w:tcPr>
          <w:p w14:paraId="09F15CF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铅</w:t>
            </w:r>
          </w:p>
        </w:tc>
        <w:tc>
          <w:tcPr>
            <w:tcW w:w="630" w:type="pct"/>
            <w:vAlign w:val="center"/>
          </w:tcPr>
          <w:p w14:paraId="1B83791F">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70</w:t>
            </w:r>
          </w:p>
        </w:tc>
        <w:tc>
          <w:tcPr>
            <w:tcW w:w="1094" w:type="pct"/>
            <w:vAlign w:val="center"/>
          </w:tcPr>
          <w:p w14:paraId="1C77D34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90</w:t>
            </w:r>
          </w:p>
        </w:tc>
        <w:tc>
          <w:tcPr>
            <w:tcW w:w="1094" w:type="pct"/>
            <w:vAlign w:val="center"/>
          </w:tcPr>
          <w:p w14:paraId="09A0530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120</w:t>
            </w:r>
          </w:p>
        </w:tc>
        <w:tc>
          <w:tcPr>
            <w:tcW w:w="723" w:type="pct"/>
            <w:vAlign w:val="center"/>
          </w:tcPr>
          <w:p w14:paraId="02E2A81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170</w:t>
            </w:r>
          </w:p>
        </w:tc>
      </w:tr>
      <w:tr w14:paraId="25B59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14:paraId="5758975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w:t>
            </w:r>
          </w:p>
        </w:tc>
        <w:tc>
          <w:tcPr>
            <w:tcW w:w="1038" w:type="pct"/>
            <w:vAlign w:val="center"/>
          </w:tcPr>
          <w:p w14:paraId="6E08876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铬</w:t>
            </w:r>
          </w:p>
        </w:tc>
        <w:tc>
          <w:tcPr>
            <w:tcW w:w="630" w:type="pct"/>
            <w:vAlign w:val="center"/>
          </w:tcPr>
          <w:p w14:paraId="47D9274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150</w:t>
            </w:r>
          </w:p>
        </w:tc>
        <w:tc>
          <w:tcPr>
            <w:tcW w:w="1094" w:type="pct"/>
            <w:vAlign w:val="center"/>
          </w:tcPr>
          <w:p w14:paraId="51720F9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150</w:t>
            </w:r>
          </w:p>
        </w:tc>
        <w:tc>
          <w:tcPr>
            <w:tcW w:w="1094" w:type="pct"/>
            <w:vAlign w:val="center"/>
          </w:tcPr>
          <w:p w14:paraId="0BD9045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200</w:t>
            </w:r>
          </w:p>
        </w:tc>
        <w:tc>
          <w:tcPr>
            <w:tcW w:w="723" w:type="pct"/>
            <w:vAlign w:val="center"/>
          </w:tcPr>
          <w:p w14:paraId="280CADA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250</w:t>
            </w:r>
          </w:p>
        </w:tc>
      </w:tr>
      <w:tr w14:paraId="501EA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14:paraId="3C34D55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6</w:t>
            </w:r>
          </w:p>
        </w:tc>
        <w:tc>
          <w:tcPr>
            <w:tcW w:w="1038" w:type="pct"/>
            <w:vAlign w:val="center"/>
          </w:tcPr>
          <w:p w14:paraId="4B2E53A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铜</w:t>
            </w:r>
          </w:p>
        </w:tc>
        <w:tc>
          <w:tcPr>
            <w:tcW w:w="630" w:type="pct"/>
            <w:vAlign w:val="center"/>
          </w:tcPr>
          <w:p w14:paraId="20110A5F">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50</w:t>
            </w:r>
          </w:p>
        </w:tc>
        <w:tc>
          <w:tcPr>
            <w:tcW w:w="1094" w:type="pct"/>
            <w:vAlign w:val="center"/>
          </w:tcPr>
          <w:p w14:paraId="3146C32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50</w:t>
            </w:r>
          </w:p>
        </w:tc>
        <w:tc>
          <w:tcPr>
            <w:tcW w:w="1094" w:type="pct"/>
            <w:vAlign w:val="center"/>
          </w:tcPr>
          <w:p w14:paraId="5D942A7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100</w:t>
            </w:r>
          </w:p>
        </w:tc>
        <w:tc>
          <w:tcPr>
            <w:tcW w:w="723" w:type="pct"/>
            <w:vAlign w:val="center"/>
          </w:tcPr>
          <w:p w14:paraId="14A20CC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100</w:t>
            </w:r>
          </w:p>
        </w:tc>
      </w:tr>
      <w:tr w14:paraId="01028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18" w:type="pct"/>
            <w:vAlign w:val="center"/>
          </w:tcPr>
          <w:p w14:paraId="651C2CD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7</w:t>
            </w:r>
          </w:p>
        </w:tc>
        <w:tc>
          <w:tcPr>
            <w:tcW w:w="1038" w:type="pct"/>
            <w:vAlign w:val="center"/>
          </w:tcPr>
          <w:p w14:paraId="75B44A0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镍</w:t>
            </w:r>
          </w:p>
        </w:tc>
        <w:tc>
          <w:tcPr>
            <w:tcW w:w="630" w:type="pct"/>
            <w:vAlign w:val="center"/>
          </w:tcPr>
          <w:p w14:paraId="101750F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60</w:t>
            </w:r>
          </w:p>
        </w:tc>
        <w:tc>
          <w:tcPr>
            <w:tcW w:w="1094" w:type="pct"/>
            <w:vAlign w:val="center"/>
          </w:tcPr>
          <w:p w14:paraId="3A779AD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70</w:t>
            </w:r>
          </w:p>
        </w:tc>
        <w:tc>
          <w:tcPr>
            <w:tcW w:w="1094" w:type="pct"/>
            <w:vAlign w:val="center"/>
          </w:tcPr>
          <w:p w14:paraId="5B78AFD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100</w:t>
            </w:r>
          </w:p>
        </w:tc>
        <w:tc>
          <w:tcPr>
            <w:tcW w:w="723" w:type="pct"/>
            <w:vAlign w:val="center"/>
          </w:tcPr>
          <w:p w14:paraId="294EEE7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190</w:t>
            </w:r>
          </w:p>
        </w:tc>
      </w:tr>
      <w:tr w14:paraId="046DB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14:paraId="74FA056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8</w:t>
            </w:r>
          </w:p>
        </w:tc>
        <w:tc>
          <w:tcPr>
            <w:tcW w:w="1038" w:type="pct"/>
            <w:vAlign w:val="center"/>
          </w:tcPr>
          <w:p w14:paraId="33E6475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锌</w:t>
            </w:r>
          </w:p>
        </w:tc>
        <w:tc>
          <w:tcPr>
            <w:tcW w:w="630" w:type="pct"/>
            <w:vAlign w:val="center"/>
          </w:tcPr>
          <w:p w14:paraId="16F5DC2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200</w:t>
            </w:r>
          </w:p>
        </w:tc>
        <w:tc>
          <w:tcPr>
            <w:tcW w:w="1094" w:type="pct"/>
            <w:vAlign w:val="center"/>
          </w:tcPr>
          <w:p w14:paraId="53642BA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200</w:t>
            </w:r>
          </w:p>
        </w:tc>
        <w:tc>
          <w:tcPr>
            <w:tcW w:w="1094" w:type="pct"/>
            <w:vAlign w:val="center"/>
          </w:tcPr>
          <w:p w14:paraId="0F82407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250</w:t>
            </w:r>
          </w:p>
        </w:tc>
        <w:tc>
          <w:tcPr>
            <w:tcW w:w="723" w:type="pct"/>
            <w:vAlign w:val="center"/>
          </w:tcPr>
          <w:p w14:paraId="34EDA55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300</w:t>
            </w:r>
          </w:p>
        </w:tc>
      </w:tr>
      <w:tr w14:paraId="32548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418" w:type="pct"/>
            <w:vAlign w:val="center"/>
          </w:tcPr>
          <w:p w14:paraId="14EC946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9</w:t>
            </w:r>
          </w:p>
        </w:tc>
        <w:tc>
          <w:tcPr>
            <w:tcW w:w="1038" w:type="pct"/>
            <w:vAlign w:val="center"/>
          </w:tcPr>
          <w:p w14:paraId="080D8C0F">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六六六总量</w:t>
            </w:r>
          </w:p>
        </w:tc>
        <w:tc>
          <w:tcPr>
            <w:tcW w:w="3543" w:type="pct"/>
            <w:gridSpan w:val="4"/>
            <w:vAlign w:val="center"/>
          </w:tcPr>
          <w:p w14:paraId="7CE7DC5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0.10</w:t>
            </w:r>
          </w:p>
        </w:tc>
      </w:tr>
      <w:tr w14:paraId="63DF2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418" w:type="pct"/>
            <w:vAlign w:val="center"/>
          </w:tcPr>
          <w:p w14:paraId="059FA61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w:t>
            </w:r>
          </w:p>
        </w:tc>
        <w:tc>
          <w:tcPr>
            <w:tcW w:w="1038" w:type="pct"/>
            <w:vAlign w:val="center"/>
          </w:tcPr>
          <w:p w14:paraId="542B74B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滴滴涕总量</w:t>
            </w:r>
          </w:p>
        </w:tc>
        <w:tc>
          <w:tcPr>
            <w:tcW w:w="3543" w:type="pct"/>
            <w:gridSpan w:val="4"/>
            <w:vAlign w:val="center"/>
          </w:tcPr>
          <w:p w14:paraId="329CFE4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0.10</w:t>
            </w:r>
          </w:p>
        </w:tc>
      </w:tr>
    </w:tbl>
    <w:p w14:paraId="4CBEB9CA">
      <w:pPr>
        <w:keepNext w:val="0"/>
        <w:keepLines w:val="0"/>
        <w:pageBreakBefore w:val="0"/>
        <w:widowControl w:val="0"/>
        <w:kinsoku/>
        <w:wordWrap/>
        <w:overflowPunct/>
        <w:topLinePunct w:val="0"/>
        <w:autoSpaceDE/>
        <w:autoSpaceDN/>
        <w:bidi w:val="0"/>
        <w:adjustRightInd/>
        <w:snapToGrid/>
        <w:spacing w:line="214" w:lineRule="auto"/>
        <w:ind w:left="0" w:firstLine="0" w:firstLineChars="0"/>
        <w:jc w:val="center"/>
        <w:textAlignment w:val="auto"/>
        <w:rPr>
          <w:rFonts w:hint="eastAsia" w:ascii="Times New Roman" w:hAnsi="Times New Roman" w:eastAsia="宋体" w:cstheme="majorBidi"/>
          <w:b/>
          <w:color w:val="auto"/>
          <w:sz w:val="21"/>
          <w:highlight w:val="none"/>
          <w:lang w:val="en-US" w:eastAsia="zh-CN" w:bidi="ar-SA"/>
        </w:rPr>
      </w:pPr>
      <w:r>
        <w:rPr>
          <w:rFonts w:hint="eastAsia" w:ascii="Times New Roman" w:hAnsi="Times New Roman" w:eastAsia="宋体" w:cstheme="majorBidi"/>
          <w:b/>
          <w:color w:val="auto"/>
          <w:sz w:val="21"/>
          <w:highlight w:val="none"/>
          <w:lang w:val="en-US" w:eastAsia="zh-CN" w:bidi="ar-SA"/>
        </w:rPr>
        <w:t>表2.5-5HJ568-2010畜禽养殖产地环境评价规范</w:t>
      </w:r>
    </w:p>
    <w:tbl>
      <w:tblPr>
        <w:tblStyle w:val="17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03"/>
        <w:gridCol w:w="2608"/>
        <w:gridCol w:w="4299"/>
      </w:tblGrid>
      <w:tr w14:paraId="38799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44" w:type="pct"/>
            <w:vAlign w:val="top"/>
          </w:tcPr>
          <w:p w14:paraId="7E89C67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序号</w:t>
            </w:r>
          </w:p>
        </w:tc>
        <w:tc>
          <w:tcPr>
            <w:tcW w:w="1569" w:type="pct"/>
            <w:vAlign w:val="top"/>
          </w:tcPr>
          <w:p w14:paraId="0B72C1D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污染物项目</w:t>
            </w:r>
          </w:p>
        </w:tc>
        <w:tc>
          <w:tcPr>
            <w:tcW w:w="2586" w:type="pct"/>
            <w:vAlign w:val="top"/>
          </w:tcPr>
          <w:p w14:paraId="1848EE6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标准限值</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mg/kg</w:t>
            </w:r>
            <w:r>
              <w:rPr>
                <w:rFonts w:hint="eastAsia" w:cs="宋体"/>
                <w:color w:val="auto"/>
                <w:spacing w:val="0"/>
                <w:sz w:val="21"/>
                <w:szCs w:val="21"/>
                <w:highlight w:val="none"/>
                <w:lang w:eastAsia="zh-CN"/>
              </w:rPr>
              <w:t>）</w:t>
            </w:r>
          </w:p>
        </w:tc>
      </w:tr>
      <w:tr w14:paraId="500EE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vAlign w:val="top"/>
          </w:tcPr>
          <w:p w14:paraId="20FC81C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w:t>
            </w:r>
          </w:p>
        </w:tc>
        <w:tc>
          <w:tcPr>
            <w:tcW w:w="1569" w:type="pct"/>
            <w:vAlign w:val="top"/>
          </w:tcPr>
          <w:p w14:paraId="5B73552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镉</w:t>
            </w:r>
          </w:p>
        </w:tc>
        <w:tc>
          <w:tcPr>
            <w:tcW w:w="2586" w:type="pct"/>
            <w:vAlign w:val="top"/>
          </w:tcPr>
          <w:p w14:paraId="603F63A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w:t>
            </w:r>
          </w:p>
        </w:tc>
      </w:tr>
      <w:tr w14:paraId="44180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vAlign w:val="top"/>
          </w:tcPr>
          <w:p w14:paraId="5965C09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w:t>
            </w:r>
          </w:p>
        </w:tc>
        <w:tc>
          <w:tcPr>
            <w:tcW w:w="1569" w:type="pct"/>
            <w:vAlign w:val="top"/>
          </w:tcPr>
          <w:p w14:paraId="2D25DD2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汞</w:t>
            </w:r>
          </w:p>
        </w:tc>
        <w:tc>
          <w:tcPr>
            <w:tcW w:w="2586" w:type="pct"/>
            <w:vAlign w:val="top"/>
          </w:tcPr>
          <w:p w14:paraId="63B7C3B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1.5</w:t>
            </w:r>
          </w:p>
        </w:tc>
      </w:tr>
      <w:tr w14:paraId="17A0D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4" w:type="pct"/>
            <w:vAlign w:val="top"/>
          </w:tcPr>
          <w:p w14:paraId="7E9D6F1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w:t>
            </w:r>
          </w:p>
        </w:tc>
        <w:tc>
          <w:tcPr>
            <w:tcW w:w="1569" w:type="pct"/>
            <w:vAlign w:val="top"/>
          </w:tcPr>
          <w:p w14:paraId="3BB8D63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砷</w:t>
            </w:r>
          </w:p>
        </w:tc>
        <w:tc>
          <w:tcPr>
            <w:tcW w:w="2586" w:type="pct"/>
            <w:vAlign w:val="top"/>
          </w:tcPr>
          <w:p w14:paraId="0654CE5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40</w:t>
            </w:r>
          </w:p>
        </w:tc>
      </w:tr>
      <w:tr w14:paraId="59493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vAlign w:val="top"/>
          </w:tcPr>
          <w:p w14:paraId="14559DD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w:t>
            </w:r>
          </w:p>
        </w:tc>
        <w:tc>
          <w:tcPr>
            <w:tcW w:w="1569" w:type="pct"/>
            <w:vAlign w:val="top"/>
          </w:tcPr>
          <w:p w14:paraId="3481985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铜</w:t>
            </w:r>
          </w:p>
        </w:tc>
        <w:tc>
          <w:tcPr>
            <w:tcW w:w="2586" w:type="pct"/>
            <w:vAlign w:val="top"/>
          </w:tcPr>
          <w:p w14:paraId="49BA740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400</w:t>
            </w:r>
          </w:p>
        </w:tc>
      </w:tr>
      <w:tr w14:paraId="10FCE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vAlign w:val="top"/>
          </w:tcPr>
          <w:p w14:paraId="5DEBCB3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w:t>
            </w:r>
          </w:p>
        </w:tc>
        <w:tc>
          <w:tcPr>
            <w:tcW w:w="1569" w:type="pct"/>
            <w:vAlign w:val="top"/>
          </w:tcPr>
          <w:p w14:paraId="0F99DC9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铅</w:t>
            </w:r>
          </w:p>
        </w:tc>
        <w:tc>
          <w:tcPr>
            <w:tcW w:w="2586" w:type="pct"/>
            <w:vAlign w:val="top"/>
          </w:tcPr>
          <w:p w14:paraId="7156547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500</w:t>
            </w:r>
          </w:p>
        </w:tc>
      </w:tr>
      <w:tr w14:paraId="756AD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4" w:type="pct"/>
            <w:vAlign w:val="top"/>
          </w:tcPr>
          <w:p w14:paraId="37D4ADD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6</w:t>
            </w:r>
          </w:p>
        </w:tc>
        <w:tc>
          <w:tcPr>
            <w:tcW w:w="1569" w:type="pct"/>
            <w:vAlign w:val="top"/>
          </w:tcPr>
          <w:p w14:paraId="08F1A21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铬</w:t>
            </w:r>
          </w:p>
        </w:tc>
        <w:tc>
          <w:tcPr>
            <w:tcW w:w="2586" w:type="pct"/>
            <w:vAlign w:val="top"/>
          </w:tcPr>
          <w:p w14:paraId="4829795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300</w:t>
            </w:r>
          </w:p>
        </w:tc>
      </w:tr>
      <w:tr w14:paraId="6E0E8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vAlign w:val="top"/>
          </w:tcPr>
          <w:p w14:paraId="2E0491C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7</w:t>
            </w:r>
          </w:p>
        </w:tc>
        <w:tc>
          <w:tcPr>
            <w:tcW w:w="1569" w:type="pct"/>
            <w:vAlign w:val="top"/>
          </w:tcPr>
          <w:p w14:paraId="34750D6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锌</w:t>
            </w:r>
          </w:p>
        </w:tc>
        <w:tc>
          <w:tcPr>
            <w:tcW w:w="2586" w:type="pct"/>
            <w:vAlign w:val="top"/>
          </w:tcPr>
          <w:p w14:paraId="2E9AA00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500</w:t>
            </w:r>
          </w:p>
        </w:tc>
      </w:tr>
      <w:tr w14:paraId="618FE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44" w:type="pct"/>
            <w:vAlign w:val="top"/>
          </w:tcPr>
          <w:p w14:paraId="6BFEBF3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8</w:t>
            </w:r>
          </w:p>
        </w:tc>
        <w:tc>
          <w:tcPr>
            <w:tcW w:w="1569" w:type="pct"/>
            <w:vAlign w:val="top"/>
          </w:tcPr>
          <w:p w14:paraId="7CE5767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镍</w:t>
            </w:r>
          </w:p>
        </w:tc>
        <w:tc>
          <w:tcPr>
            <w:tcW w:w="2586" w:type="pct"/>
            <w:vAlign w:val="top"/>
          </w:tcPr>
          <w:p w14:paraId="49D8B08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200</w:t>
            </w:r>
          </w:p>
        </w:tc>
      </w:tr>
      <w:tr w14:paraId="533F0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44" w:type="pct"/>
            <w:vAlign w:val="top"/>
          </w:tcPr>
          <w:p w14:paraId="71A8EFF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9</w:t>
            </w:r>
          </w:p>
        </w:tc>
        <w:tc>
          <w:tcPr>
            <w:tcW w:w="1569" w:type="pct"/>
            <w:vAlign w:val="top"/>
          </w:tcPr>
          <w:p w14:paraId="2A2782D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六六六</w:t>
            </w:r>
          </w:p>
        </w:tc>
        <w:tc>
          <w:tcPr>
            <w:tcW w:w="2586" w:type="pct"/>
            <w:vAlign w:val="top"/>
          </w:tcPr>
          <w:p w14:paraId="7DD3C10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w:t>
            </w:r>
          </w:p>
        </w:tc>
      </w:tr>
      <w:tr w14:paraId="3B7EF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44" w:type="pct"/>
            <w:vAlign w:val="top"/>
          </w:tcPr>
          <w:p w14:paraId="7BC51BA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w:t>
            </w:r>
          </w:p>
        </w:tc>
        <w:tc>
          <w:tcPr>
            <w:tcW w:w="1569" w:type="pct"/>
            <w:vAlign w:val="top"/>
          </w:tcPr>
          <w:p w14:paraId="2308AA0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滴滴涕</w:t>
            </w:r>
          </w:p>
        </w:tc>
        <w:tc>
          <w:tcPr>
            <w:tcW w:w="2586" w:type="pct"/>
            <w:vAlign w:val="top"/>
          </w:tcPr>
          <w:p w14:paraId="4B8D40E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1.0</w:t>
            </w:r>
          </w:p>
        </w:tc>
      </w:tr>
    </w:tbl>
    <w:p w14:paraId="56593965">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2.5.2.2污染物排放标准</w:t>
      </w:r>
    </w:p>
    <w:p w14:paraId="4CC2D5C0">
      <w:pPr>
        <w:ind w:firstLine="480"/>
        <w:rPr>
          <w:rFonts w:ascii="Times New Roman" w:hAnsi="Times New Roman" w:eastAsia="宋体"/>
          <w:color w:val="auto"/>
          <w:highlight w:val="none"/>
        </w:rPr>
      </w:pPr>
      <w:r>
        <w:rPr>
          <w:rFonts w:hint="eastAsia" w:ascii="Times New Roman" w:hAnsi="Times New Roman" w:eastAsia="宋体"/>
          <w:color w:val="auto"/>
          <w:highlight w:val="none"/>
        </w:rPr>
        <w:t>（1）废气</w:t>
      </w:r>
    </w:p>
    <w:p w14:paraId="32048C76">
      <w:pPr>
        <w:ind w:firstLine="480"/>
        <w:rPr>
          <w:rFonts w:ascii="Times New Roman" w:hAnsi="Times New Roman" w:eastAsia="宋体"/>
          <w:color w:val="auto"/>
          <w:highlight w:val="none"/>
        </w:rPr>
      </w:pPr>
      <w:r>
        <w:rPr>
          <w:rFonts w:hint="eastAsia"/>
          <w:color w:val="auto"/>
          <w:highlight w:val="none"/>
          <w:lang w:val="en-US" w:eastAsia="zh-CN"/>
        </w:rPr>
        <w:t>①</w:t>
      </w:r>
      <w:r>
        <w:rPr>
          <w:rFonts w:hint="eastAsia" w:ascii="Times New Roman" w:hAnsi="Times New Roman" w:eastAsia="宋体"/>
          <w:color w:val="auto"/>
          <w:highlight w:val="none"/>
        </w:rPr>
        <w:t>施工期</w:t>
      </w:r>
    </w:p>
    <w:p w14:paraId="0241C660">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项目施工期施工场地扬尘排放执行《大气污染物综合排放标准》（GB16297-1996）表2中无组织排放监控浓度限值（周界外浓度最高点≤1.0mg/m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14:paraId="75DB0EA4">
      <w:pPr>
        <w:ind w:firstLine="480"/>
        <w:rPr>
          <w:rFonts w:ascii="Times New Roman" w:hAnsi="Times New Roman" w:eastAsia="宋体"/>
          <w:color w:val="auto"/>
          <w:highlight w:val="none"/>
        </w:rPr>
      </w:pPr>
      <w:r>
        <w:rPr>
          <w:rFonts w:hint="eastAsia"/>
          <w:color w:val="auto"/>
          <w:highlight w:val="none"/>
          <w:lang w:val="en-US" w:eastAsia="zh-CN"/>
        </w:rPr>
        <w:t>②</w:t>
      </w:r>
      <w:r>
        <w:rPr>
          <w:rFonts w:hint="eastAsia" w:ascii="Times New Roman" w:hAnsi="Times New Roman" w:eastAsia="宋体"/>
          <w:color w:val="auto"/>
          <w:highlight w:val="none"/>
        </w:rPr>
        <w:t>运营期</w:t>
      </w:r>
    </w:p>
    <w:p w14:paraId="50C4EE15">
      <w:pPr>
        <w:ind w:firstLine="48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养殖场</w:t>
      </w:r>
      <w:r>
        <w:rPr>
          <w:rFonts w:hint="eastAsia" w:ascii="Times New Roman" w:hAnsi="Times New Roman" w:eastAsia="宋体"/>
          <w:color w:val="auto"/>
          <w:highlight w:val="none"/>
        </w:rPr>
        <w:t>界恶臭污染物排放标准执行《恶臭污染物排放标准》（GB14554-1993）表1恶臭污染物厂界标准二级标准；臭气浓度无组织排放执行《畜禽养殖业污染物排放标准》（GB18596-2001）中集约化畜禽养殖业恶臭污染物排放标准；</w:t>
      </w:r>
    </w:p>
    <w:p w14:paraId="6D23F3E9">
      <w:pPr>
        <w:ind w:firstLine="480"/>
        <w:rPr>
          <w:rFonts w:ascii="Times New Roman" w:hAnsi="Times New Roman" w:eastAsia="宋体"/>
          <w:color w:val="auto"/>
          <w:highlight w:val="none"/>
        </w:rPr>
      </w:pPr>
      <w:r>
        <w:rPr>
          <w:rFonts w:hint="eastAsia" w:ascii="Times New Roman" w:hAnsi="Times New Roman" w:eastAsia="宋体"/>
          <w:color w:val="auto"/>
          <w:highlight w:val="none"/>
        </w:rPr>
        <w:t>大气污染物排放限值见表2.5-</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w:t>
      </w:r>
    </w:p>
    <w:p w14:paraId="6140FCD9">
      <w:pPr>
        <w:pStyle w:val="10"/>
        <w:rPr>
          <w:rFonts w:ascii="Times New Roman" w:hAnsi="Times New Roman" w:eastAsia="宋体"/>
          <w:color w:val="auto"/>
          <w:highlight w:val="none"/>
        </w:rPr>
      </w:pPr>
      <w:r>
        <w:rPr>
          <w:rFonts w:hint="eastAsia" w:ascii="Times New Roman" w:hAnsi="Times New Roman" w:eastAsia="宋体"/>
          <w:color w:val="auto"/>
          <w:highlight w:val="none"/>
        </w:rPr>
        <w:t>表2.5-</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大气污染物排放限值</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3826"/>
        <w:gridCol w:w="2746"/>
      </w:tblGrid>
      <w:tr w14:paraId="6BE3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pct"/>
            <w:vMerge w:val="restart"/>
            <w:vAlign w:val="center"/>
          </w:tcPr>
          <w:p w14:paraId="0E72767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污染物种类</w:t>
            </w:r>
          </w:p>
        </w:tc>
        <w:tc>
          <w:tcPr>
            <w:tcW w:w="3855" w:type="pct"/>
            <w:gridSpan w:val="2"/>
            <w:vAlign w:val="center"/>
          </w:tcPr>
          <w:p w14:paraId="2BD9B9B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国家或地方污染物排放标准</w:t>
            </w:r>
          </w:p>
        </w:tc>
      </w:tr>
      <w:tr w14:paraId="16A7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Merge w:val="continue"/>
            <w:vAlign w:val="center"/>
          </w:tcPr>
          <w:p w14:paraId="26AB9029">
            <w:pPr>
              <w:spacing w:line="240" w:lineRule="auto"/>
              <w:ind w:firstLine="0" w:firstLineChars="0"/>
              <w:jc w:val="center"/>
              <w:rPr>
                <w:rFonts w:ascii="Times New Roman" w:hAnsi="Times New Roman" w:eastAsia="宋体"/>
                <w:color w:val="auto"/>
                <w:sz w:val="21"/>
                <w:szCs w:val="21"/>
                <w:highlight w:val="none"/>
              </w:rPr>
            </w:pPr>
          </w:p>
        </w:tc>
        <w:tc>
          <w:tcPr>
            <w:tcW w:w="2244" w:type="pct"/>
            <w:vAlign w:val="center"/>
          </w:tcPr>
          <w:p w14:paraId="10C8AA3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名称</w:t>
            </w:r>
          </w:p>
        </w:tc>
        <w:tc>
          <w:tcPr>
            <w:tcW w:w="1610" w:type="pct"/>
            <w:vAlign w:val="center"/>
          </w:tcPr>
          <w:p w14:paraId="42A79D3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浓度限值</w:t>
            </w:r>
          </w:p>
          <w:p w14:paraId="17937B7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（mg/m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w:t>
            </w:r>
          </w:p>
        </w:tc>
      </w:tr>
      <w:tr w14:paraId="1713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pct"/>
            <w:vAlign w:val="center"/>
          </w:tcPr>
          <w:p w14:paraId="2C86876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臭气浓度</w:t>
            </w:r>
          </w:p>
        </w:tc>
        <w:tc>
          <w:tcPr>
            <w:tcW w:w="2244" w:type="pct"/>
            <w:vAlign w:val="center"/>
          </w:tcPr>
          <w:p w14:paraId="5CEFC59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《畜禽养殖业污染物排放标准》（GB18596-2001）表7中的标准</w:t>
            </w:r>
          </w:p>
        </w:tc>
        <w:tc>
          <w:tcPr>
            <w:tcW w:w="1610" w:type="pct"/>
            <w:vAlign w:val="center"/>
          </w:tcPr>
          <w:p w14:paraId="56F03E8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70（无量纲）</w:t>
            </w:r>
          </w:p>
        </w:tc>
      </w:tr>
      <w:tr w14:paraId="734F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pct"/>
            <w:vAlign w:val="center"/>
          </w:tcPr>
          <w:p w14:paraId="57B8FD77">
            <w:pPr>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H</w:t>
            </w:r>
            <w:r>
              <w:rPr>
                <w:rFonts w:ascii="Times New Roman" w:hAnsi="Times New Roman" w:eastAsia="宋体"/>
                <w:color w:val="auto"/>
                <w:sz w:val="21"/>
                <w:szCs w:val="21"/>
                <w:highlight w:val="none"/>
                <w:vertAlign w:val="subscript"/>
              </w:rPr>
              <w:t>2</w:t>
            </w:r>
            <w:r>
              <w:rPr>
                <w:rFonts w:ascii="Times New Roman" w:hAnsi="Times New Roman" w:eastAsia="宋体"/>
                <w:color w:val="auto"/>
                <w:sz w:val="21"/>
                <w:szCs w:val="21"/>
                <w:highlight w:val="none"/>
              </w:rPr>
              <w:t>S</w:t>
            </w:r>
            <w:r>
              <w:rPr>
                <w:rFonts w:hint="eastAsia" w:ascii="Times New Roman" w:hAnsi="Times New Roman" w:eastAsia="宋体"/>
                <w:color w:val="auto"/>
                <w:sz w:val="21"/>
                <w:szCs w:val="21"/>
                <w:highlight w:val="none"/>
              </w:rPr>
              <w:t>（厂界）</w:t>
            </w:r>
          </w:p>
        </w:tc>
        <w:tc>
          <w:tcPr>
            <w:tcW w:w="2244" w:type="pct"/>
            <w:vMerge w:val="restart"/>
            <w:vAlign w:val="center"/>
          </w:tcPr>
          <w:p w14:paraId="6DE25A34">
            <w:pPr>
              <w:spacing w:line="240" w:lineRule="auto"/>
              <w:ind w:firstLine="42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《恶臭污染物排放标准》（GB14554-1993）表1中二级新改扩建标准</w:t>
            </w:r>
          </w:p>
        </w:tc>
        <w:tc>
          <w:tcPr>
            <w:tcW w:w="1610" w:type="pct"/>
            <w:vAlign w:val="center"/>
          </w:tcPr>
          <w:p w14:paraId="314B1D17">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0.06</w:t>
            </w:r>
          </w:p>
        </w:tc>
      </w:tr>
      <w:tr w14:paraId="1A65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4" w:type="pct"/>
            <w:vAlign w:val="center"/>
          </w:tcPr>
          <w:p w14:paraId="542583BC">
            <w:pPr>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NH</w:t>
            </w:r>
            <w:r>
              <w:rPr>
                <w:rFonts w:ascii="Times New Roman" w:hAnsi="Times New Roman" w:eastAsia="宋体"/>
                <w:color w:val="auto"/>
                <w:sz w:val="21"/>
                <w:szCs w:val="21"/>
                <w:highlight w:val="none"/>
                <w:vertAlign w:val="subscript"/>
              </w:rPr>
              <w:t>3</w:t>
            </w:r>
            <w:r>
              <w:rPr>
                <w:rFonts w:hint="eastAsia" w:ascii="Times New Roman" w:hAnsi="Times New Roman" w:eastAsia="宋体"/>
                <w:color w:val="auto"/>
                <w:sz w:val="21"/>
                <w:szCs w:val="21"/>
                <w:highlight w:val="none"/>
              </w:rPr>
              <w:t>（厂界）</w:t>
            </w:r>
          </w:p>
        </w:tc>
        <w:tc>
          <w:tcPr>
            <w:tcW w:w="2244" w:type="pct"/>
            <w:vMerge w:val="continue"/>
            <w:vAlign w:val="center"/>
          </w:tcPr>
          <w:p w14:paraId="51B569ED">
            <w:pPr>
              <w:spacing w:line="240" w:lineRule="auto"/>
              <w:ind w:firstLine="420"/>
              <w:jc w:val="center"/>
              <w:rPr>
                <w:rFonts w:ascii="Times New Roman" w:hAnsi="Times New Roman" w:eastAsia="宋体"/>
                <w:color w:val="auto"/>
                <w:sz w:val="21"/>
                <w:szCs w:val="21"/>
                <w:highlight w:val="none"/>
              </w:rPr>
            </w:pPr>
          </w:p>
        </w:tc>
        <w:tc>
          <w:tcPr>
            <w:tcW w:w="1610" w:type="pct"/>
            <w:vAlign w:val="center"/>
          </w:tcPr>
          <w:p w14:paraId="5B8B74E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1.5</w:t>
            </w:r>
          </w:p>
        </w:tc>
      </w:tr>
    </w:tbl>
    <w:p w14:paraId="277BC457">
      <w:pPr>
        <w:ind w:firstLine="480"/>
        <w:rPr>
          <w:rFonts w:ascii="Times New Roman" w:hAnsi="Times New Roman" w:eastAsia="宋体"/>
          <w:color w:val="auto"/>
          <w:highlight w:val="none"/>
        </w:rPr>
      </w:pPr>
      <w:r>
        <w:rPr>
          <w:rFonts w:hint="eastAsia" w:ascii="Times New Roman" w:hAnsi="Times New Roman" w:eastAsia="宋体"/>
          <w:color w:val="auto"/>
          <w:highlight w:val="none"/>
        </w:rPr>
        <w:t>（2）废水污染物排放标准</w:t>
      </w:r>
    </w:p>
    <w:p w14:paraId="4DAB96F7">
      <w:pPr>
        <w:ind w:firstLine="480"/>
        <w:rPr>
          <w:rFonts w:ascii="Times New Roman" w:hAnsi="Times New Roman" w:eastAsia="宋体"/>
          <w:color w:val="auto"/>
          <w:highlight w:val="none"/>
        </w:rPr>
      </w:pPr>
      <w:r>
        <w:rPr>
          <w:rFonts w:ascii="Times New Roman" w:hAnsi="Times New Roman" w:eastAsia="宋体"/>
          <w:color w:val="auto"/>
          <w:highlight w:val="none"/>
        </w:rPr>
        <w:t>生活污水直接排入下水管网，最终进入玛纳斯县城污水处理厂；鸡舍冲洗废水排入</w:t>
      </w:r>
      <w:r>
        <w:rPr>
          <w:rFonts w:hint="eastAsia"/>
          <w:color w:val="auto"/>
          <w:highlight w:val="none"/>
          <w:lang w:val="en-US" w:eastAsia="zh-CN"/>
        </w:rPr>
        <w:t>废水收集池经过预处理处理后用作农肥</w:t>
      </w:r>
      <w:r>
        <w:rPr>
          <w:rFonts w:ascii="Times New Roman" w:hAnsi="Times New Roman" w:eastAsia="宋体"/>
          <w:color w:val="auto"/>
          <w:highlight w:val="none"/>
        </w:rPr>
        <w:t>。</w:t>
      </w:r>
    </w:p>
    <w:p w14:paraId="4026E995">
      <w:pPr>
        <w:ind w:firstLine="480"/>
        <w:rPr>
          <w:rFonts w:ascii="Times New Roman" w:hAnsi="Times New Roman" w:eastAsia="宋体"/>
          <w:color w:val="auto"/>
          <w:highlight w:val="none"/>
        </w:rPr>
      </w:pPr>
      <w:r>
        <w:rPr>
          <w:rFonts w:hint="eastAsia" w:ascii="Times New Roman" w:hAnsi="Times New Roman" w:eastAsia="宋体"/>
          <w:color w:val="auto"/>
          <w:highlight w:val="none"/>
        </w:rPr>
        <w:t>（3）噪声排放标准</w:t>
      </w:r>
    </w:p>
    <w:p w14:paraId="294C341F">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本项目运营期厂界噪声排放执行《工业企业厂界环境噪声排放标准》（GB12348-2008）</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类标准；建设期施工噪声排放执行《建筑施工厂界环境噪声排放标准》（GB12523-2011）。标准限值见表2.5-</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w:t>
      </w:r>
    </w:p>
    <w:p w14:paraId="78966236">
      <w:pPr>
        <w:pStyle w:val="10"/>
        <w:rPr>
          <w:rFonts w:ascii="Times New Roman" w:hAnsi="Times New Roman" w:eastAsia="宋体"/>
          <w:color w:val="auto"/>
          <w:highlight w:val="none"/>
        </w:rPr>
      </w:pPr>
      <w:r>
        <w:rPr>
          <w:rFonts w:hint="eastAsia" w:ascii="Times New Roman" w:hAnsi="Times New Roman" w:eastAsia="宋体"/>
          <w:color w:val="auto"/>
          <w:highlight w:val="none"/>
        </w:rPr>
        <w:t>表2.5-</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噪声排放标准单位：dB（A）</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1319"/>
        <w:gridCol w:w="3457"/>
        <w:gridCol w:w="1231"/>
        <w:gridCol w:w="1229"/>
      </w:tblGrid>
      <w:tr w14:paraId="1C53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vMerge w:val="restart"/>
            <w:vAlign w:val="center"/>
          </w:tcPr>
          <w:p w14:paraId="17724E6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排放口/源</w:t>
            </w:r>
          </w:p>
          <w:p w14:paraId="22C5012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名称</w:t>
            </w:r>
          </w:p>
        </w:tc>
        <w:tc>
          <w:tcPr>
            <w:tcW w:w="774" w:type="pct"/>
            <w:vMerge w:val="restart"/>
            <w:vAlign w:val="center"/>
          </w:tcPr>
          <w:p w14:paraId="21F5744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污染物种类</w:t>
            </w:r>
          </w:p>
        </w:tc>
        <w:tc>
          <w:tcPr>
            <w:tcW w:w="3472" w:type="pct"/>
            <w:gridSpan w:val="3"/>
            <w:vAlign w:val="center"/>
          </w:tcPr>
          <w:p w14:paraId="4E6734E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国家或地方污染物排放标准</w:t>
            </w:r>
          </w:p>
        </w:tc>
      </w:tr>
      <w:tr w14:paraId="3809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55" w:type="pct"/>
            <w:vMerge w:val="continue"/>
            <w:vAlign w:val="center"/>
          </w:tcPr>
          <w:p w14:paraId="01A31981">
            <w:pPr>
              <w:spacing w:line="240" w:lineRule="auto"/>
              <w:ind w:firstLine="0" w:firstLineChars="0"/>
              <w:jc w:val="center"/>
              <w:rPr>
                <w:rFonts w:ascii="Times New Roman" w:hAnsi="Times New Roman" w:eastAsia="宋体"/>
                <w:color w:val="auto"/>
                <w:sz w:val="21"/>
                <w:szCs w:val="21"/>
                <w:highlight w:val="none"/>
              </w:rPr>
            </w:pPr>
          </w:p>
        </w:tc>
        <w:tc>
          <w:tcPr>
            <w:tcW w:w="774" w:type="pct"/>
            <w:vMerge w:val="continue"/>
            <w:vAlign w:val="center"/>
          </w:tcPr>
          <w:p w14:paraId="17C69B93">
            <w:pPr>
              <w:spacing w:line="240" w:lineRule="auto"/>
              <w:ind w:firstLine="0" w:firstLineChars="0"/>
              <w:jc w:val="center"/>
              <w:rPr>
                <w:rFonts w:ascii="Times New Roman" w:hAnsi="Times New Roman" w:eastAsia="宋体"/>
                <w:color w:val="auto"/>
                <w:sz w:val="21"/>
                <w:szCs w:val="21"/>
                <w:highlight w:val="none"/>
              </w:rPr>
            </w:pPr>
          </w:p>
        </w:tc>
        <w:tc>
          <w:tcPr>
            <w:tcW w:w="2028" w:type="pct"/>
            <w:vMerge w:val="restart"/>
            <w:vAlign w:val="center"/>
          </w:tcPr>
          <w:p w14:paraId="6491C1E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名称</w:t>
            </w:r>
          </w:p>
        </w:tc>
        <w:tc>
          <w:tcPr>
            <w:tcW w:w="1443" w:type="pct"/>
            <w:gridSpan w:val="2"/>
            <w:vAlign w:val="center"/>
          </w:tcPr>
          <w:p w14:paraId="6CC1A30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标准限值</w:t>
            </w:r>
          </w:p>
        </w:tc>
      </w:tr>
      <w:tr w14:paraId="747F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55" w:type="pct"/>
            <w:vMerge w:val="continue"/>
            <w:vAlign w:val="center"/>
          </w:tcPr>
          <w:p w14:paraId="4FD5EA38">
            <w:pPr>
              <w:spacing w:line="240" w:lineRule="auto"/>
              <w:ind w:firstLine="0" w:firstLineChars="0"/>
              <w:jc w:val="center"/>
              <w:rPr>
                <w:rFonts w:ascii="Times New Roman" w:hAnsi="Times New Roman" w:eastAsia="宋体"/>
                <w:color w:val="auto"/>
                <w:sz w:val="21"/>
                <w:szCs w:val="21"/>
                <w:highlight w:val="none"/>
              </w:rPr>
            </w:pPr>
          </w:p>
        </w:tc>
        <w:tc>
          <w:tcPr>
            <w:tcW w:w="774" w:type="pct"/>
            <w:vMerge w:val="continue"/>
            <w:vAlign w:val="center"/>
          </w:tcPr>
          <w:p w14:paraId="1EB3C14B">
            <w:pPr>
              <w:spacing w:line="240" w:lineRule="auto"/>
              <w:ind w:firstLine="0" w:firstLineChars="0"/>
              <w:jc w:val="center"/>
              <w:rPr>
                <w:rFonts w:ascii="Times New Roman" w:hAnsi="Times New Roman" w:eastAsia="宋体"/>
                <w:color w:val="auto"/>
                <w:sz w:val="21"/>
                <w:szCs w:val="21"/>
                <w:highlight w:val="none"/>
              </w:rPr>
            </w:pPr>
          </w:p>
        </w:tc>
        <w:tc>
          <w:tcPr>
            <w:tcW w:w="2028" w:type="pct"/>
            <w:vMerge w:val="continue"/>
            <w:vAlign w:val="center"/>
          </w:tcPr>
          <w:p w14:paraId="594884A7">
            <w:pPr>
              <w:spacing w:line="240" w:lineRule="auto"/>
              <w:ind w:firstLine="0" w:firstLineChars="0"/>
              <w:jc w:val="center"/>
              <w:rPr>
                <w:rFonts w:ascii="Times New Roman" w:hAnsi="Times New Roman" w:eastAsia="宋体"/>
                <w:color w:val="auto"/>
                <w:sz w:val="21"/>
                <w:szCs w:val="21"/>
                <w:highlight w:val="none"/>
              </w:rPr>
            </w:pPr>
          </w:p>
        </w:tc>
        <w:tc>
          <w:tcPr>
            <w:tcW w:w="722" w:type="pct"/>
            <w:vAlign w:val="center"/>
          </w:tcPr>
          <w:p w14:paraId="4C640D6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昼间</w:t>
            </w:r>
          </w:p>
        </w:tc>
        <w:tc>
          <w:tcPr>
            <w:tcW w:w="721" w:type="pct"/>
            <w:vAlign w:val="center"/>
          </w:tcPr>
          <w:p w14:paraId="42F7DE8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夜间</w:t>
            </w:r>
          </w:p>
        </w:tc>
      </w:tr>
      <w:tr w14:paraId="4A61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55" w:type="pct"/>
            <w:vMerge w:val="restart"/>
            <w:tcBorders>
              <w:bottom w:val="single" w:color="auto" w:sz="4" w:space="0"/>
            </w:tcBorders>
            <w:vAlign w:val="center"/>
          </w:tcPr>
          <w:p w14:paraId="524E1F2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厂界噪声</w:t>
            </w:r>
          </w:p>
        </w:tc>
        <w:tc>
          <w:tcPr>
            <w:tcW w:w="774" w:type="pct"/>
            <w:vAlign w:val="center"/>
          </w:tcPr>
          <w:p w14:paraId="49126E7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噪声</w:t>
            </w:r>
          </w:p>
        </w:tc>
        <w:tc>
          <w:tcPr>
            <w:tcW w:w="2028" w:type="pct"/>
            <w:tcBorders>
              <w:bottom w:val="single" w:color="auto" w:sz="4" w:space="0"/>
            </w:tcBorders>
            <w:vAlign w:val="center"/>
          </w:tcPr>
          <w:p w14:paraId="1E4E349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《建筑施工场界环境噪声排放标准》（GB12523-2011）</w:t>
            </w:r>
          </w:p>
        </w:tc>
        <w:tc>
          <w:tcPr>
            <w:tcW w:w="722" w:type="pct"/>
            <w:tcBorders>
              <w:bottom w:val="single" w:color="auto" w:sz="4" w:space="0"/>
            </w:tcBorders>
            <w:vAlign w:val="center"/>
          </w:tcPr>
          <w:p w14:paraId="1AECEBC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70</w:t>
            </w:r>
          </w:p>
        </w:tc>
        <w:tc>
          <w:tcPr>
            <w:tcW w:w="721" w:type="pct"/>
            <w:tcBorders>
              <w:bottom w:val="single" w:color="auto" w:sz="4" w:space="0"/>
            </w:tcBorders>
            <w:vAlign w:val="center"/>
          </w:tcPr>
          <w:p w14:paraId="3E90CC0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55</w:t>
            </w:r>
          </w:p>
        </w:tc>
      </w:tr>
      <w:tr w14:paraId="3FA6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Merge w:val="continue"/>
            <w:vAlign w:val="center"/>
          </w:tcPr>
          <w:p w14:paraId="188F4DEC">
            <w:pPr>
              <w:spacing w:line="240" w:lineRule="auto"/>
              <w:ind w:firstLine="0" w:firstLineChars="0"/>
              <w:jc w:val="center"/>
              <w:rPr>
                <w:rFonts w:ascii="Times New Roman" w:hAnsi="Times New Roman" w:eastAsia="宋体"/>
                <w:color w:val="auto"/>
                <w:sz w:val="21"/>
                <w:szCs w:val="21"/>
                <w:highlight w:val="none"/>
              </w:rPr>
            </w:pPr>
          </w:p>
        </w:tc>
        <w:tc>
          <w:tcPr>
            <w:tcW w:w="774" w:type="pct"/>
            <w:vAlign w:val="center"/>
          </w:tcPr>
          <w:p w14:paraId="4D43335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噪声</w:t>
            </w:r>
          </w:p>
        </w:tc>
        <w:tc>
          <w:tcPr>
            <w:tcW w:w="2028" w:type="pct"/>
            <w:vAlign w:val="center"/>
          </w:tcPr>
          <w:p w14:paraId="66585CD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《工业企业厂界环境噪声排放标准》（GB12348-2008）中</w:t>
            </w: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类标准</w:t>
            </w:r>
          </w:p>
        </w:tc>
        <w:tc>
          <w:tcPr>
            <w:tcW w:w="722" w:type="pct"/>
            <w:vAlign w:val="center"/>
          </w:tcPr>
          <w:p w14:paraId="5D390128">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60</w:t>
            </w:r>
          </w:p>
        </w:tc>
        <w:tc>
          <w:tcPr>
            <w:tcW w:w="721" w:type="pct"/>
            <w:vAlign w:val="center"/>
          </w:tcPr>
          <w:p w14:paraId="4C30678F">
            <w:pPr>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r>
    </w:tbl>
    <w:p w14:paraId="5A4301ED">
      <w:pPr>
        <w:ind w:firstLine="480"/>
        <w:rPr>
          <w:rFonts w:ascii="Times New Roman" w:hAnsi="Times New Roman" w:eastAsia="宋体"/>
          <w:color w:val="auto"/>
          <w:highlight w:val="none"/>
        </w:rPr>
      </w:pPr>
      <w:r>
        <w:rPr>
          <w:rFonts w:hint="eastAsia" w:ascii="Times New Roman" w:hAnsi="Times New Roman" w:eastAsia="宋体"/>
          <w:color w:val="auto"/>
          <w:highlight w:val="none"/>
        </w:rPr>
        <w:t>（4）固体废物</w:t>
      </w:r>
    </w:p>
    <w:p w14:paraId="5F5FBA5D">
      <w:pPr>
        <w:ind w:firstLine="480"/>
        <w:rPr>
          <w:rFonts w:ascii="Times New Roman" w:hAnsi="Times New Roman" w:eastAsia="宋体"/>
          <w:color w:val="auto"/>
          <w:highlight w:val="none"/>
        </w:rPr>
      </w:pPr>
      <w:r>
        <w:rPr>
          <w:rFonts w:ascii="Times New Roman" w:hAnsi="Times New Roman" w:eastAsia="宋体"/>
          <w:color w:val="auto"/>
          <w:highlight w:val="none"/>
        </w:rPr>
        <w:t>一般工业固体废物执行《一般工业固体废物贮存和填埋污染控制标准》</w:t>
      </w:r>
      <w:r>
        <w:rPr>
          <w:rFonts w:hint="eastAsia"/>
          <w:color w:val="auto"/>
          <w:highlight w:val="none"/>
          <w:lang w:eastAsia="zh-CN"/>
        </w:rPr>
        <w:t>（</w:t>
      </w:r>
      <w:r>
        <w:rPr>
          <w:rFonts w:ascii="Times New Roman" w:hAnsi="Times New Roman" w:eastAsia="宋体"/>
          <w:color w:val="auto"/>
          <w:highlight w:val="none"/>
        </w:rPr>
        <w:t>GB18599-2020</w:t>
      </w:r>
      <w:r>
        <w:rPr>
          <w:rFonts w:hint="eastAsia"/>
          <w:color w:val="auto"/>
          <w:highlight w:val="none"/>
          <w:lang w:eastAsia="zh-CN"/>
        </w:rPr>
        <w:t>）</w:t>
      </w:r>
      <w:r>
        <w:rPr>
          <w:rFonts w:ascii="Times New Roman" w:hAnsi="Times New Roman" w:eastAsia="宋体"/>
          <w:color w:val="auto"/>
          <w:highlight w:val="none"/>
        </w:rPr>
        <w:t>中有关规定。危险废物执行《危险废物贮存污染控制标准》</w:t>
      </w:r>
      <w:r>
        <w:rPr>
          <w:rFonts w:hint="eastAsia"/>
          <w:color w:val="auto"/>
          <w:highlight w:val="none"/>
          <w:lang w:eastAsia="zh-CN"/>
        </w:rPr>
        <w:t>（</w:t>
      </w:r>
      <w:r>
        <w:rPr>
          <w:rFonts w:ascii="Times New Roman" w:hAnsi="Times New Roman" w:eastAsia="宋体"/>
          <w:color w:val="auto"/>
          <w:highlight w:val="none"/>
        </w:rPr>
        <w:t>GB18597-</w:t>
      </w:r>
      <w:r>
        <w:rPr>
          <w:rFonts w:hint="eastAsia" w:ascii="Times New Roman" w:hAnsi="Times New Roman" w:eastAsia="宋体"/>
          <w:color w:val="auto"/>
          <w:highlight w:val="none"/>
          <w:lang w:val="en-US" w:eastAsia="zh-CN"/>
        </w:rPr>
        <w:t>2023</w:t>
      </w:r>
      <w:r>
        <w:rPr>
          <w:rFonts w:hint="eastAsia"/>
          <w:color w:val="auto"/>
          <w:highlight w:val="none"/>
          <w:lang w:eastAsia="zh-CN"/>
        </w:rPr>
        <w:t>）</w:t>
      </w:r>
      <w:r>
        <w:rPr>
          <w:rFonts w:ascii="Times New Roman" w:hAnsi="Times New Roman" w:eastAsia="宋体"/>
          <w:color w:val="auto"/>
          <w:highlight w:val="none"/>
        </w:rPr>
        <w:t>中要求。</w:t>
      </w:r>
    </w:p>
    <w:p w14:paraId="5B9AA6B7">
      <w:pPr>
        <w:ind w:firstLine="480"/>
        <w:rPr>
          <w:rFonts w:ascii="Times New Roman" w:hAnsi="Times New Roman" w:eastAsia="宋体"/>
          <w:color w:val="auto"/>
          <w:highlight w:val="none"/>
        </w:rPr>
      </w:pPr>
      <w:r>
        <w:rPr>
          <w:rFonts w:ascii="Times New Roman" w:hAnsi="Times New Roman" w:eastAsia="宋体"/>
          <w:color w:val="auto"/>
          <w:highlight w:val="none"/>
        </w:rPr>
        <w:t>病死鸡只参照执行《畜禽养殖业污染防治技术规范》</w:t>
      </w:r>
      <w:r>
        <w:rPr>
          <w:rFonts w:hint="eastAsia"/>
          <w:color w:val="auto"/>
          <w:highlight w:val="none"/>
          <w:lang w:eastAsia="zh-CN"/>
        </w:rPr>
        <w:t>（</w:t>
      </w:r>
      <w:r>
        <w:rPr>
          <w:rFonts w:ascii="Times New Roman" w:hAnsi="Times New Roman" w:eastAsia="宋体"/>
          <w:color w:val="auto"/>
          <w:highlight w:val="none"/>
        </w:rPr>
        <w:t>HJ/T81-2001</w:t>
      </w:r>
      <w:r>
        <w:rPr>
          <w:rFonts w:hint="eastAsia"/>
          <w:color w:val="auto"/>
          <w:highlight w:val="none"/>
          <w:lang w:eastAsia="zh-CN"/>
        </w:rPr>
        <w:t>）</w:t>
      </w:r>
      <w:r>
        <w:rPr>
          <w:rFonts w:ascii="Times New Roman" w:hAnsi="Times New Roman" w:eastAsia="宋体"/>
          <w:color w:val="auto"/>
          <w:highlight w:val="none"/>
        </w:rPr>
        <w:t>和《病死及病害动物无害化处理技术规范》</w:t>
      </w:r>
      <w:r>
        <w:rPr>
          <w:rFonts w:hint="eastAsia"/>
          <w:color w:val="auto"/>
          <w:highlight w:val="none"/>
          <w:lang w:eastAsia="zh-CN"/>
        </w:rPr>
        <w:t>（</w:t>
      </w:r>
      <w:r>
        <w:rPr>
          <w:rFonts w:ascii="Times New Roman" w:hAnsi="Times New Roman" w:eastAsia="宋体"/>
          <w:color w:val="auto"/>
          <w:highlight w:val="none"/>
        </w:rPr>
        <w:t>农医发〔2017〕25号</w:t>
      </w:r>
      <w:r>
        <w:rPr>
          <w:rFonts w:hint="eastAsia"/>
          <w:color w:val="auto"/>
          <w:highlight w:val="none"/>
          <w:lang w:eastAsia="zh-CN"/>
        </w:rPr>
        <w:t>）</w:t>
      </w:r>
      <w:r>
        <w:rPr>
          <w:rFonts w:ascii="Times New Roman" w:hAnsi="Times New Roman" w:eastAsia="宋体"/>
          <w:color w:val="auto"/>
          <w:highlight w:val="none"/>
        </w:rPr>
        <w:t>中相关规定。</w:t>
      </w:r>
    </w:p>
    <w:p w14:paraId="361AEADF">
      <w:pPr>
        <w:pStyle w:val="4"/>
        <w:rPr>
          <w:rFonts w:ascii="Times New Roman" w:hAnsi="Times New Roman" w:eastAsia="宋体"/>
          <w:color w:val="auto"/>
          <w:highlight w:val="none"/>
        </w:rPr>
      </w:pPr>
      <w:bookmarkStart w:id="54" w:name="_Toc89619329"/>
      <w:bookmarkStart w:id="55" w:name="_Toc106663441"/>
      <w:r>
        <w:rPr>
          <w:rFonts w:hint="eastAsia" w:ascii="Times New Roman" w:hAnsi="Times New Roman" w:eastAsia="宋体"/>
          <w:color w:val="auto"/>
          <w:highlight w:val="none"/>
        </w:rPr>
        <w:t>2.6评价等级及评价范围</w:t>
      </w:r>
      <w:bookmarkEnd w:id="54"/>
      <w:bookmarkEnd w:id="55"/>
    </w:p>
    <w:p w14:paraId="1FA4CD50">
      <w:pPr>
        <w:pStyle w:val="5"/>
        <w:rPr>
          <w:rFonts w:ascii="Times New Roman" w:hAnsi="Times New Roman" w:eastAsia="宋体"/>
          <w:color w:val="auto"/>
          <w:highlight w:val="none"/>
        </w:rPr>
      </w:pPr>
      <w:bookmarkStart w:id="56" w:name="_Toc106663442"/>
      <w:r>
        <w:rPr>
          <w:rFonts w:hint="eastAsia" w:ascii="Times New Roman" w:hAnsi="Times New Roman" w:eastAsia="宋体"/>
          <w:color w:val="auto"/>
          <w:highlight w:val="none"/>
        </w:rPr>
        <w:t>2.6.1评价等级</w:t>
      </w:r>
      <w:bookmarkEnd w:id="56"/>
    </w:p>
    <w:p w14:paraId="09D21399">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2.6.1.1大气环境影响评价等级</w:t>
      </w:r>
    </w:p>
    <w:p w14:paraId="188E870C">
      <w:pPr>
        <w:ind w:firstLine="480"/>
        <w:rPr>
          <w:rFonts w:ascii="Times New Roman" w:hAnsi="Times New Roman" w:eastAsia="宋体"/>
          <w:color w:val="auto"/>
          <w:highlight w:val="none"/>
        </w:rPr>
      </w:pPr>
      <w:r>
        <w:rPr>
          <w:rFonts w:hint="eastAsia" w:ascii="Times New Roman" w:hAnsi="Times New Roman" w:eastAsia="宋体"/>
          <w:color w:val="auto"/>
          <w:highlight w:val="none"/>
        </w:rPr>
        <w:t>（1）判定依据</w:t>
      </w:r>
    </w:p>
    <w:p w14:paraId="50C22C0A">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根据《环境影响评价技术导则大气环境》（HJ2.2-2018）中</w:t>
      </w:r>
      <w:r>
        <w:rPr>
          <w:rFonts w:hint="eastAsia"/>
          <w:color w:val="auto"/>
          <w:highlight w:val="none"/>
          <w:lang w:eastAsia="zh-CN"/>
        </w:rPr>
        <w:t>”</w:t>
      </w:r>
      <w:r>
        <w:rPr>
          <w:rFonts w:hint="eastAsia" w:ascii="Times New Roman" w:hAnsi="Times New Roman" w:eastAsia="宋体"/>
          <w:color w:val="auto"/>
          <w:highlight w:val="none"/>
        </w:rPr>
        <w:t>5.3评价标准确定</w:t>
      </w:r>
      <w:r>
        <w:rPr>
          <w:rFonts w:hint="eastAsia"/>
          <w:color w:val="auto"/>
          <w:highlight w:val="none"/>
          <w:lang w:eastAsia="zh-CN"/>
        </w:rPr>
        <w:t>”</w:t>
      </w:r>
      <w:r>
        <w:rPr>
          <w:rFonts w:hint="eastAsia" w:ascii="Times New Roman" w:hAnsi="Times New Roman" w:eastAsia="宋体"/>
          <w:color w:val="auto"/>
          <w:highlight w:val="none"/>
        </w:rPr>
        <w:t>的规定，选择项目污染源正常排放的主要污染物及排放参数，采用附录A推荐模型中估算模型分别计算项目污染源的最大环境影响，然后按评价工作分级判据进行分级。</w:t>
      </w:r>
    </w:p>
    <w:p w14:paraId="753488E4">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根据项目污染源初步调查结果，计算项目排放主要污染物的最大地面空气质量浓度占标率P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w:t>
      </w:r>
    </w:p>
    <w:p w14:paraId="7B6A6D8F">
      <w:pPr>
        <w:ind w:firstLine="0" w:firstLineChars="0"/>
        <w:jc w:val="center"/>
        <w:rPr>
          <w:rFonts w:ascii="Times New Roman" w:hAnsi="Times New Roman" w:eastAsia="宋体"/>
          <w:color w:val="auto"/>
          <w:highlight w:val="none"/>
        </w:rPr>
      </w:pPr>
      <w:r>
        <w:rPr>
          <w:rFonts w:ascii="Times New Roman" w:hAnsi="Times New Roman" w:eastAsia="宋体"/>
          <w:color w:val="auto"/>
          <w:position w:val="-27"/>
          <w:highlight w:val="none"/>
        </w:rPr>
        <w:object>
          <v:shape id="_x0000_i1026" o:spt="75" type="#_x0000_t75" style="height:34.1pt;width:88.25pt;" o:ole="t" filled="f" o:preferrelative="t" stroked="f" coordsize="21600,21600">
            <v:path/>
            <v:fill on="f" focussize="0,0"/>
            <v:stroke on="f" joinstyle="miter"/>
            <v:imagedata r:id="rId34" o:title=""/>
            <o:lock v:ext="edit" aspectratio="t"/>
            <w10:wrap type="none"/>
            <w10:anchorlock/>
          </v:shape>
          <o:OLEObject Type="Embed" ProgID="Equation.AxMath" ShapeID="_x0000_i1026" DrawAspect="Content" ObjectID="_1468075726" r:id="rId33">
            <o:LockedField>false</o:LockedField>
          </o:OLEObject>
        </w:object>
      </w:r>
    </w:p>
    <w:p w14:paraId="4765CE99">
      <w:pPr>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式中：P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——第i个污染物的最大地面空气质量浓度占标率，%；</w:t>
      </w:r>
    </w:p>
    <w:p w14:paraId="650656EA">
      <w:pPr>
        <w:ind w:firstLine="708" w:firstLineChars="295"/>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——采用估算模型计算出的第i个污染物的最大1h地面空气质量浓度，</w:t>
      </w:r>
      <w:r>
        <w:rPr>
          <w:rFonts w:ascii="Times New Roman" w:hAnsi="Times New Roman" w:eastAsia="宋体"/>
          <w:color w:val="auto"/>
          <w:highlight w:val="none"/>
        </w:rPr>
        <w:t>μg/m</w:t>
      </w:r>
      <w:r>
        <w:rPr>
          <w:rFonts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14:paraId="192F079F">
      <w:pPr>
        <w:ind w:firstLine="708" w:firstLineChars="295"/>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0i</w:t>
      </w:r>
      <w:r>
        <w:rPr>
          <w:rFonts w:hint="eastAsia" w:ascii="Times New Roman" w:hAnsi="Times New Roman" w:eastAsia="宋体"/>
          <w:color w:val="auto"/>
          <w:highlight w:val="none"/>
        </w:rPr>
        <w:t>——第i个污染物的环境空气质量浓度标准，μg/m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一般选用GB3095中1h平均质量浓度的二级浓度限值，如项目位于一类环境空气功能区，应选择相应的一级浓度限值；对该标准中未包含的污染物，使用《环境影响评价技术导则大气环境》（HJ2.2-2018）中5.2确定的各评价因子1h平均质量浓度限值。对仅有8h平均质量浓度限值、日平均质量浓度限值或年平均质量浓度限值的，可分别按2倍、3倍、6倍折算为1h平均质量浓度限值。</w:t>
      </w:r>
    </w:p>
    <w:p w14:paraId="175DAC2E">
      <w:pPr>
        <w:ind w:firstLine="480"/>
        <w:rPr>
          <w:rFonts w:ascii="Times New Roman" w:hAnsi="Times New Roman" w:eastAsia="宋体"/>
          <w:color w:val="auto"/>
          <w:highlight w:val="none"/>
        </w:rPr>
      </w:pPr>
      <w:r>
        <w:rPr>
          <w:rFonts w:hint="eastAsia" w:ascii="Times New Roman" w:hAnsi="Times New Roman" w:eastAsia="宋体"/>
          <w:color w:val="auto"/>
          <w:highlight w:val="none"/>
        </w:rPr>
        <w:t>评价等级按表2.6-1的分级判据进行划分，如污染物数i大于1，取P值中最大者P</w:t>
      </w:r>
      <w:r>
        <w:rPr>
          <w:rFonts w:hint="eastAsia" w:ascii="Times New Roman" w:hAnsi="Times New Roman" w:eastAsia="宋体"/>
          <w:color w:val="auto"/>
          <w:highlight w:val="none"/>
          <w:vertAlign w:val="subscript"/>
        </w:rPr>
        <w:t>max</w:t>
      </w:r>
      <w:r>
        <w:rPr>
          <w:rFonts w:hint="eastAsia" w:ascii="Times New Roman" w:hAnsi="Times New Roman" w:eastAsia="宋体"/>
          <w:color w:val="auto"/>
          <w:highlight w:val="none"/>
        </w:rPr>
        <w:t>。</w:t>
      </w:r>
    </w:p>
    <w:p w14:paraId="77E40585">
      <w:pPr>
        <w:pStyle w:val="10"/>
        <w:rPr>
          <w:rFonts w:ascii="Times New Roman" w:hAnsi="Times New Roman" w:eastAsia="宋体"/>
          <w:color w:val="auto"/>
          <w:highlight w:val="none"/>
        </w:rPr>
      </w:pPr>
      <w:r>
        <w:rPr>
          <w:rFonts w:hint="eastAsia" w:ascii="Times New Roman" w:hAnsi="Times New Roman" w:eastAsia="宋体"/>
          <w:color w:val="auto"/>
          <w:highlight w:val="none"/>
        </w:rPr>
        <w:t>表2.6-1评价等级判别表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5295"/>
      </w:tblGrid>
      <w:tr w14:paraId="428A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vAlign w:val="center"/>
          </w:tcPr>
          <w:p w14:paraId="56D31C0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评价工作等级</w:t>
            </w:r>
          </w:p>
        </w:tc>
        <w:tc>
          <w:tcPr>
            <w:tcW w:w="5295" w:type="dxa"/>
            <w:vAlign w:val="center"/>
          </w:tcPr>
          <w:p w14:paraId="5C94D96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评价工作分级判据</w:t>
            </w:r>
          </w:p>
        </w:tc>
      </w:tr>
      <w:tr w14:paraId="0E5A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vAlign w:val="center"/>
          </w:tcPr>
          <w:p w14:paraId="44DA96E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一级评价</w:t>
            </w:r>
          </w:p>
        </w:tc>
        <w:tc>
          <w:tcPr>
            <w:tcW w:w="5295" w:type="dxa"/>
            <w:vAlign w:val="center"/>
          </w:tcPr>
          <w:p w14:paraId="0A52044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w:t>
            </w:r>
            <w:r>
              <w:rPr>
                <w:rFonts w:hint="eastAsia" w:ascii="Times New Roman" w:hAnsi="Times New Roman" w:eastAsia="宋体"/>
                <w:color w:val="auto"/>
                <w:sz w:val="21"/>
                <w:szCs w:val="21"/>
                <w:highlight w:val="none"/>
                <w:vertAlign w:val="subscript"/>
              </w:rPr>
              <w:t>max</w:t>
            </w:r>
            <w:r>
              <w:rPr>
                <w:rFonts w:hint="eastAsia" w:ascii="Times New Roman" w:hAnsi="Times New Roman" w:eastAsia="宋体"/>
                <w:color w:val="auto"/>
                <w:sz w:val="21"/>
                <w:szCs w:val="21"/>
                <w:highlight w:val="none"/>
              </w:rPr>
              <w:t>≥10%</w:t>
            </w:r>
          </w:p>
        </w:tc>
      </w:tr>
      <w:tr w14:paraId="63B1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vAlign w:val="center"/>
          </w:tcPr>
          <w:p w14:paraId="4A41B28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二级评价</w:t>
            </w:r>
          </w:p>
        </w:tc>
        <w:tc>
          <w:tcPr>
            <w:tcW w:w="5295" w:type="dxa"/>
            <w:vAlign w:val="center"/>
          </w:tcPr>
          <w:p w14:paraId="4552F39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1%≤P</w:t>
            </w:r>
            <w:r>
              <w:rPr>
                <w:rFonts w:hint="eastAsia" w:ascii="Times New Roman" w:hAnsi="Times New Roman" w:eastAsia="宋体"/>
                <w:color w:val="auto"/>
                <w:sz w:val="21"/>
                <w:szCs w:val="21"/>
                <w:highlight w:val="none"/>
                <w:vertAlign w:val="subscript"/>
              </w:rPr>
              <w:t>max</w:t>
            </w:r>
            <w:r>
              <w:rPr>
                <w:rFonts w:hint="eastAsia" w:ascii="Times New Roman" w:hAnsi="Times New Roman" w:eastAsia="宋体"/>
                <w:color w:val="auto"/>
                <w:sz w:val="21"/>
                <w:szCs w:val="21"/>
                <w:highlight w:val="none"/>
              </w:rPr>
              <w:t>&lt;10%</w:t>
            </w:r>
          </w:p>
        </w:tc>
      </w:tr>
      <w:tr w14:paraId="7D47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7" w:type="dxa"/>
            <w:vAlign w:val="center"/>
          </w:tcPr>
          <w:p w14:paraId="0AEC7D3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三级评价</w:t>
            </w:r>
          </w:p>
        </w:tc>
        <w:tc>
          <w:tcPr>
            <w:tcW w:w="5295" w:type="dxa"/>
            <w:vAlign w:val="center"/>
          </w:tcPr>
          <w:p w14:paraId="3ED73E1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P</w:t>
            </w:r>
            <w:r>
              <w:rPr>
                <w:rFonts w:hint="eastAsia" w:ascii="Times New Roman" w:hAnsi="Times New Roman" w:eastAsia="宋体"/>
                <w:color w:val="auto"/>
                <w:sz w:val="21"/>
                <w:szCs w:val="21"/>
                <w:highlight w:val="none"/>
                <w:vertAlign w:val="subscript"/>
              </w:rPr>
              <w:t>max</w:t>
            </w:r>
            <w:r>
              <w:rPr>
                <w:rFonts w:hint="eastAsia" w:ascii="Times New Roman" w:hAnsi="Times New Roman" w:eastAsia="宋体"/>
                <w:color w:val="auto"/>
                <w:sz w:val="21"/>
                <w:szCs w:val="21"/>
                <w:highlight w:val="none"/>
              </w:rPr>
              <w:t>﹤1%</w:t>
            </w:r>
          </w:p>
        </w:tc>
      </w:tr>
    </w:tbl>
    <w:p w14:paraId="743E1FCF">
      <w:pPr>
        <w:ind w:firstLine="480"/>
        <w:rPr>
          <w:rFonts w:ascii="Times New Roman" w:hAnsi="Times New Roman" w:eastAsia="宋体"/>
          <w:color w:val="auto"/>
          <w:highlight w:val="none"/>
        </w:rPr>
      </w:pPr>
      <w:r>
        <w:rPr>
          <w:rFonts w:hint="eastAsia" w:ascii="Times New Roman" w:hAnsi="Times New Roman" w:eastAsia="宋体"/>
          <w:color w:val="auto"/>
          <w:highlight w:val="none"/>
        </w:rPr>
        <w:t>评价等级的确定还应符合以下规定：</w:t>
      </w:r>
    </w:p>
    <w:p w14:paraId="4580BEFC">
      <w:pPr>
        <w:ind w:firstLine="480"/>
        <w:rPr>
          <w:rFonts w:ascii="Times New Roman" w:hAnsi="Times New Roman" w:eastAsia="宋体"/>
          <w:color w:val="auto"/>
          <w:highlight w:val="none"/>
        </w:rPr>
      </w:pPr>
      <w:r>
        <w:rPr>
          <w:rFonts w:hint="eastAsia" w:ascii="Times New Roman" w:hAnsi="Times New Roman" w:eastAsia="宋体"/>
          <w:color w:val="auto"/>
          <w:highlight w:val="none"/>
        </w:rPr>
        <w:t>同一项目有多个污染源（两个及以上）时，则按各污染源分别确定评价等级，并取评价等级最高者作为项目的评价等级。</w:t>
      </w:r>
    </w:p>
    <w:p w14:paraId="08B30AD5">
      <w:pPr>
        <w:ind w:firstLine="480"/>
        <w:rPr>
          <w:rFonts w:ascii="Times New Roman" w:hAnsi="Times New Roman" w:eastAsia="宋体"/>
          <w:color w:val="auto"/>
          <w:highlight w:val="none"/>
        </w:rPr>
      </w:pPr>
      <w:r>
        <w:rPr>
          <w:rFonts w:hint="eastAsia" w:ascii="Times New Roman" w:hAnsi="Times New Roman" w:eastAsia="宋体"/>
          <w:color w:val="auto"/>
          <w:highlight w:val="none"/>
        </w:rPr>
        <w:t>（2）判别估算过程</w:t>
      </w:r>
    </w:p>
    <w:p w14:paraId="3061D5B9">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本次评价预测采用《环境影响评价技术导则大气环境》（HJ2.2-2018）推荐的ARESCREEN估算模式，估算污染物的最大落地浓度和距离，估算模型参数见表2.6-2。</w:t>
      </w:r>
    </w:p>
    <w:p w14:paraId="3FD97782">
      <w:pPr>
        <w:pStyle w:val="10"/>
        <w:rPr>
          <w:rFonts w:ascii="Times New Roman" w:hAnsi="Times New Roman" w:eastAsia="宋体"/>
          <w:color w:val="auto"/>
          <w:highlight w:val="none"/>
        </w:rPr>
      </w:pPr>
      <w:r>
        <w:rPr>
          <w:rFonts w:hint="eastAsia" w:ascii="Times New Roman" w:hAnsi="Times New Roman" w:eastAsia="宋体"/>
          <w:color w:val="auto"/>
          <w:highlight w:val="none"/>
        </w:rPr>
        <w:t>表2.6-2估算模型参数表</w:t>
      </w:r>
    </w:p>
    <w:tbl>
      <w:tblPr>
        <w:tblStyle w:val="176"/>
        <w:tblW w:w="500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14"/>
        <w:gridCol w:w="191"/>
        <w:gridCol w:w="2375"/>
        <w:gridCol w:w="3735"/>
      </w:tblGrid>
      <w:tr w14:paraId="2A146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2754" w:type="pct"/>
            <w:gridSpan w:val="3"/>
            <w:tcBorders>
              <w:tl2br w:val="nil"/>
              <w:tr2bl w:val="nil"/>
            </w:tcBorders>
            <w:vAlign w:val="center"/>
          </w:tcPr>
          <w:p w14:paraId="3104072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参数</w:t>
            </w:r>
          </w:p>
        </w:tc>
        <w:tc>
          <w:tcPr>
            <w:tcW w:w="2245" w:type="pct"/>
            <w:tcBorders>
              <w:tl2br w:val="nil"/>
              <w:tr2bl w:val="nil"/>
            </w:tcBorders>
            <w:vAlign w:val="center"/>
          </w:tcPr>
          <w:p w14:paraId="72C4664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取值</w:t>
            </w:r>
          </w:p>
        </w:tc>
      </w:tr>
      <w:tr w14:paraId="0BCFE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326" w:type="pct"/>
            <w:gridSpan w:val="2"/>
            <w:vMerge w:val="restart"/>
            <w:tcBorders>
              <w:tl2br w:val="nil"/>
              <w:tr2bl w:val="nil"/>
            </w:tcBorders>
            <w:vAlign w:val="center"/>
          </w:tcPr>
          <w:p w14:paraId="2949048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城市</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农村选项</w:t>
            </w:r>
          </w:p>
        </w:tc>
        <w:tc>
          <w:tcPr>
            <w:tcW w:w="1428" w:type="pct"/>
            <w:tcBorders>
              <w:tl2br w:val="nil"/>
              <w:tr2bl w:val="nil"/>
            </w:tcBorders>
            <w:vAlign w:val="center"/>
          </w:tcPr>
          <w:p w14:paraId="1B891F4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城市</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农村</w:t>
            </w:r>
          </w:p>
        </w:tc>
        <w:tc>
          <w:tcPr>
            <w:tcW w:w="2245" w:type="pct"/>
            <w:tcBorders>
              <w:tl2br w:val="nil"/>
              <w:tr2bl w:val="nil"/>
            </w:tcBorders>
            <w:vAlign w:val="center"/>
          </w:tcPr>
          <w:p w14:paraId="79A538E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农村</w:t>
            </w:r>
          </w:p>
        </w:tc>
      </w:tr>
      <w:tr w14:paraId="16B69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326" w:type="pct"/>
            <w:gridSpan w:val="2"/>
            <w:vMerge w:val="continue"/>
            <w:tcBorders>
              <w:tl2br w:val="nil"/>
              <w:tr2bl w:val="nil"/>
            </w:tcBorders>
            <w:vAlign w:val="center"/>
          </w:tcPr>
          <w:p w14:paraId="18C20AC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1428" w:type="pct"/>
            <w:tcBorders>
              <w:tl2br w:val="nil"/>
              <w:tr2bl w:val="nil"/>
            </w:tcBorders>
            <w:vAlign w:val="center"/>
          </w:tcPr>
          <w:p w14:paraId="04A01E2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人口数</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城市选项时</w:t>
            </w:r>
            <w:r>
              <w:rPr>
                <w:rFonts w:hint="eastAsia" w:cs="宋体"/>
                <w:color w:val="auto"/>
                <w:spacing w:val="0"/>
                <w:sz w:val="21"/>
                <w:szCs w:val="21"/>
                <w:highlight w:val="none"/>
                <w:lang w:eastAsia="zh-CN"/>
              </w:rPr>
              <w:t>）</w:t>
            </w:r>
          </w:p>
        </w:tc>
        <w:tc>
          <w:tcPr>
            <w:tcW w:w="2245" w:type="pct"/>
            <w:tcBorders>
              <w:tl2br w:val="nil"/>
              <w:tr2bl w:val="nil"/>
            </w:tcBorders>
            <w:vAlign w:val="center"/>
          </w:tcPr>
          <w:p w14:paraId="0B59DA0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r w14:paraId="71846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754" w:type="pct"/>
            <w:gridSpan w:val="3"/>
            <w:tcBorders>
              <w:tl2br w:val="nil"/>
              <w:tr2bl w:val="nil"/>
            </w:tcBorders>
            <w:vAlign w:val="center"/>
          </w:tcPr>
          <w:p w14:paraId="2007EF0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最高环境温度</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w:t>
            </w:r>
          </w:p>
        </w:tc>
        <w:tc>
          <w:tcPr>
            <w:tcW w:w="2245" w:type="pct"/>
            <w:tcBorders>
              <w:tl2br w:val="nil"/>
              <w:tr2bl w:val="nil"/>
            </w:tcBorders>
            <w:vAlign w:val="center"/>
          </w:tcPr>
          <w:p w14:paraId="01E8FFA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42</w:t>
            </w:r>
          </w:p>
        </w:tc>
      </w:tr>
      <w:tr w14:paraId="0AB8C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754" w:type="pct"/>
            <w:gridSpan w:val="3"/>
            <w:tcBorders>
              <w:tl2br w:val="nil"/>
              <w:tr2bl w:val="nil"/>
            </w:tcBorders>
            <w:vAlign w:val="center"/>
          </w:tcPr>
          <w:p w14:paraId="3654F12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最低环境温度</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w:t>
            </w:r>
          </w:p>
        </w:tc>
        <w:tc>
          <w:tcPr>
            <w:tcW w:w="2245" w:type="pct"/>
            <w:tcBorders>
              <w:tl2br w:val="nil"/>
              <w:tr2bl w:val="nil"/>
            </w:tcBorders>
            <w:vAlign w:val="center"/>
          </w:tcPr>
          <w:p w14:paraId="3C1A43E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-36.8</w:t>
            </w:r>
          </w:p>
        </w:tc>
      </w:tr>
      <w:tr w14:paraId="77361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754" w:type="pct"/>
            <w:gridSpan w:val="3"/>
            <w:tcBorders>
              <w:tl2br w:val="nil"/>
              <w:tr2bl w:val="nil"/>
            </w:tcBorders>
            <w:vAlign w:val="center"/>
          </w:tcPr>
          <w:p w14:paraId="2A870AF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土地利用类型</w:t>
            </w:r>
          </w:p>
        </w:tc>
        <w:tc>
          <w:tcPr>
            <w:tcW w:w="2245" w:type="pct"/>
            <w:tcBorders>
              <w:tl2br w:val="nil"/>
              <w:tr2bl w:val="nil"/>
            </w:tcBorders>
            <w:vAlign w:val="center"/>
          </w:tcPr>
          <w:p w14:paraId="0F0EEC0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农作地</w:t>
            </w:r>
          </w:p>
        </w:tc>
      </w:tr>
      <w:tr w14:paraId="72EB4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754" w:type="pct"/>
            <w:gridSpan w:val="3"/>
            <w:tcBorders>
              <w:tl2br w:val="nil"/>
              <w:tr2bl w:val="nil"/>
            </w:tcBorders>
            <w:vAlign w:val="center"/>
          </w:tcPr>
          <w:p w14:paraId="7AFB93A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区域湿度条件</w:t>
            </w:r>
          </w:p>
        </w:tc>
        <w:tc>
          <w:tcPr>
            <w:tcW w:w="2245" w:type="pct"/>
            <w:tcBorders>
              <w:tl2br w:val="nil"/>
              <w:tr2bl w:val="nil"/>
            </w:tcBorders>
            <w:vAlign w:val="center"/>
          </w:tcPr>
          <w:p w14:paraId="1EF949F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干燥气候</w:t>
            </w:r>
          </w:p>
        </w:tc>
      </w:tr>
      <w:tr w14:paraId="55743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326" w:type="pct"/>
            <w:gridSpan w:val="2"/>
            <w:tcBorders>
              <w:tl2br w:val="nil"/>
              <w:tr2bl w:val="nil"/>
            </w:tcBorders>
            <w:vAlign w:val="center"/>
          </w:tcPr>
          <w:p w14:paraId="7ABF6A2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是否考虑地形</w:t>
            </w:r>
          </w:p>
        </w:tc>
        <w:tc>
          <w:tcPr>
            <w:tcW w:w="1428" w:type="pct"/>
            <w:tcBorders>
              <w:tl2br w:val="nil"/>
              <w:tr2bl w:val="nil"/>
            </w:tcBorders>
            <w:vAlign w:val="center"/>
          </w:tcPr>
          <w:p w14:paraId="42163F6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考虑地形</w:t>
            </w:r>
          </w:p>
        </w:tc>
        <w:tc>
          <w:tcPr>
            <w:tcW w:w="2245" w:type="pct"/>
            <w:tcBorders>
              <w:tl2br w:val="nil"/>
              <w:tr2bl w:val="nil"/>
            </w:tcBorders>
            <w:vAlign w:val="center"/>
          </w:tcPr>
          <w:p w14:paraId="61074C3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MS Gothic"/>
                <w:color w:val="auto"/>
                <w:spacing w:val="0"/>
                <w:sz w:val="21"/>
                <w:szCs w:val="21"/>
                <w:highlight w:val="none"/>
              </w:rPr>
              <w:t>☑</w:t>
            </w:r>
            <w:r>
              <w:rPr>
                <w:rFonts w:ascii="Times New Roman" w:hAnsi="Times New Roman" w:eastAsia="宋体" w:cs="宋体"/>
                <w:color w:val="auto"/>
                <w:spacing w:val="0"/>
                <w:sz w:val="21"/>
                <w:szCs w:val="21"/>
                <w:highlight w:val="none"/>
              </w:rPr>
              <w:t>是□否</w:t>
            </w:r>
          </w:p>
        </w:tc>
      </w:tr>
      <w:tr w14:paraId="16ACA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211" w:type="pct"/>
            <w:vMerge w:val="restart"/>
            <w:tcBorders>
              <w:tl2br w:val="nil"/>
              <w:tr2bl w:val="nil"/>
            </w:tcBorders>
            <w:vAlign w:val="center"/>
          </w:tcPr>
          <w:p w14:paraId="661E2BF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是否考虑岸线熏烟</w:t>
            </w:r>
          </w:p>
        </w:tc>
        <w:tc>
          <w:tcPr>
            <w:tcW w:w="1542" w:type="pct"/>
            <w:gridSpan w:val="2"/>
            <w:tcBorders>
              <w:tl2br w:val="nil"/>
              <w:tr2bl w:val="nil"/>
            </w:tcBorders>
            <w:vAlign w:val="center"/>
          </w:tcPr>
          <w:p w14:paraId="0164F60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地形数据分辨率</w:t>
            </w:r>
          </w:p>
        </w:tc>
        <w:tc>
          <w:tcPr>
            <w:tcW w:w="2245" w:type="pct"/>
            <w:tcBorders>
              <w:tl2br w:val="nil"/>
              <w:tr2bl w:val="nil"/>
            </w:tcBorders>
            <w:vAlign w:val="center"/>
          </w:tcPr>
          <w:p w14:paraId="206C80F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90m</w:t>
            </w:r>
          </w:p>
        </w:tc>
      </w:tr>
      <w:tr w14:paraId="259DF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211" w:type="pct"/>
            <w:vMerge w:val="continue"/>
            <w:tcBorders>
              <w:tl2br w:val="nil"/>
              <w:tr2bl w:val="nil"/>
            </w:tcBorders>
            <w:vAlign w:val="center"/>
          </w:tcPr>
          <w:p w14:paraId="1FEC157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p>
        </w:tc>
        <w:tc>
          <w:tcPr>
            <w:tcW w:w="1542" w:type="pct"/>
            <w:gridSpan w:val="2"/>
            <w:tcBorders>
              <w:tl2br w:val="nil"/>
              <w:tr2bl w:val="nil"/>
            </w:tcBorders>
            <w:vAlign w:val="center"/>
          </w:tcPr>
          <w:p w14:paraId="7930A60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考虑岸线熏烟</w:t>
            </w:r>
          </w:p>
        </w:tc>
        <w:tc>
          <w:tcPr>
            <w:tcW w:w="2245" w:type="pct"/>
            <w:tcBorders>
              <w:tl2br w:val="nil"/>
              <w:tr2bl w:val="nil"/>
            </w:tcBorders>
            <w:vAlign w:val="center"/>
          </w:tcPr>
          <w:p w14:paraId="0889602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□是</w:t>
            </w:r>
            <w:r>
              <w:rPr>
                <w:rFonts w:ascii="Times New Roman" w:hAnsi="Times New Roman" w:eastAsia="宋体" w:cs="MS Gothic"/>
                <w:color w:val="auto"/>
                <w:spacing w:val="0"/>
                <w:sz w:val="21"/>
                <w:szCs w:val="21"/>
                <w:highlight w:val="none"/>
              </w:rPr>
              <w:t>☑</w:t>
            </w:r>
            <w:r>
              <w:rPr>
                <w:rFonts w:ascii="Times New Roman" w:hAnsi="Times New Roman" w:eastAsia="宋体" w:cs="宋体"/>
                <w:color w:val="auto"/>
                <w:spacing w:val="0"/>
                <w:sz w:val="21"/>
                <w:szCs w:val="21"/>
                <w:highlight w:val="none"/>
              </w:rPr>
              <w:t>否</w:t>
            </w:r>
          </w:p>
        </w:tc>
      </w:tr>
      <w:tr w14:paraId="6C44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211" w:type="pct"/>
            <w:vMerge w:val="continue"/>
            <w:tcBorders>
              <w:tl2br w:val="nil"/>
              <w:tr2bl w:val="nil"/>
            </w:tcBorders>
            <w:vAlign w:val="center"/>
          </w:tcPr>
          <w:p w14:paraId="4E362A6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1542" w:type="pct"/>
            <w:gridSpan w:val="2"/>
            <w:tcBorders>
              <w:tl2br w:val="nil"/>
              <w:tr2bl w:val="nil"/>
            </w:tcBorders>
            <w:vAlign w:val="center"/>
          </w:tcPr>
          <w:p w14:paraId="7B3BCCD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岸线距离</w:t>
            </w:r>
            <w:r>
              <w:rPr>
                <w:rFonts w:ascii="Times New Roman" w:hAnsi="Times New Roman" w:eastAsia="宋体" w:cs="Times New Roman"/>
                <w:color w:val="auto"/>
                <w:spacing w:val="0"/>
                <w:sz w:val="21"/>
                <w:szCs w:val="21"/>
                <w:highlight w:val="none"/>
              </w:rPr>
              <w:t>/m</w:t>
            </w:r>
          </w:p>
        </w:tc>
        <w:tc>
          <w:tcPr>
            <w:tcW w:w="2245" w:type="pct"/>
            <w:tcBorders>
              <w:tl2br w:val="nil"/>
              <w:tr2bl w:val="nil"/>
            </w:tcBorders>
            <w:vAlign w:val="center"/>
          </w:tcPr>
          <w:p w14:paraId="40E9011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r w14:paraId="770B8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211" w:type="pct"/>
            <w:vMerge w:val="continue"/>
            <w:tcBorders>
              <w:tl2br w:val="nil"/>
              <w:tr2bl w:val="nil"/>
            </w:tcBorders>
            <w:vAlign w:val="center"/>
          </w:tcPr>
          <w:p w14:paraId="6AA6E12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1542" w:type="pct"/>
            <w:gridSpan w:val="2"/>
            <w:tcBorders>
              <w:tl2br w:val="nil"/>
              <w:tr2bl w:val="nil"/>
            </w:tcBorders>
            <w:vAlign w:val="center"/>
          </w:tcPr>
          <w:p w14:paraId="090088D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岸线方向</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w:t>
            </w:r>
          </w:p>
        </w:tc>
        <w:tc>
          <w:tcPr>
            <w:tcW w:w="2245" w:type="pct"/>
            <w:tcBorders>
              <w:tl2br w:val="nil"/>
              <w:tr2bl w:val="nil"/>
            </w:tcBorders>
            <w:vAlign w:val="center"/>
          </w:tcPr>
          <w:p w14:paraId="2A8C0B5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bl>
    <w:p w14:paraId="3493C064">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本项目无组织废气污染源一览表见表2.6-</w:t>
      </w:r>
      <w:r>
        <w:rPr>
          <w:rFonts w:ascii="Times New Roman" w:hAnsi="Times New Roman" w:eastAsia="宋体"/>
          <w:color w:val="auto"/>
          <w:highlight w:val="none"/>
        </w:rPr>
        <w:t>3</w:t>
      </w:r>
      <w:r>
        <w:rPr>
          <w:rFonts w:hint="eastAsia" w:ascii="Times New Roman" w:hAnsi="Times New Roman" w:eastAsia="宋体"/>
          <w:color w:val="auto"/>
          <w:highlight w:val="none"/>
        </w:rPr>
        <w:t>。</w:t>
      </w:r>
    </w:p>
    <w:p w14:paraId="54685EF7">
      <w:pPr>
        <w:pStyle w:val="1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表2.6-</w:t>
      </w:r>
      <w:r>
        <w:rPr>
          <w:rFonts w:ascii="Times New Roman" w:hAnsi="Times New Roman" w:eastAsia="宋体"/>
          <w:color w:val="auto"/>
          <w:highlight w:val="none"/>
        </w:rPr>
        <w:t>3</w:t>
      </w:r>
      <w:r>
        <w:rPr>
          <w:rFonts w:hint="eastAsia" w:ascii="Times New Roman" w:hAnsi="Times New Roman" w:eastAsia="宋体"/>
          <w:color w:val="auto"/>
          <w:highlight w:val="none"/>
        </w:rPr>
        <w:t>无组织废气污染源一览表</w:t>
      </w:r>
      <w:r>
        <w:rPr>
          <w:rFonts w:hint="eastAsia"/>
          <w:color w:val="auto"/>
          <w:highlight w:val="none"/>
          <w:lang w:eastAsia="zh-CN"/>
        </w:rPr>
        <w:t>（</w:t>
      </w:r>
      <w:r>
        <w:rPr>
          <w:rFonts w:hint="eastAsia" w:ascii="Times New Roman" w:hAnsi="Times New Roman" w:eastAsia="宋体"/>
          <w:color w:val="auto"/>
          <w:highlight w:val="none"/>
        </w:rPr>
        <w:t>面源</w:t>
      </w:r>
      <w:r>
        <w:rPr>
          <w:rFonts w:hint="eastAsia"/>
          <w:color w:val="auto"/>
          <w:highlight w:val="none"/>
          <w:lang w:eastAsia="zh-CN"/>
        </w:rPr>
        <w:t>）</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341"/>
        <w:gridCol w:w="1534"/>
        <w:gridCol w:w="4435"/>
      </w:tblGrid>
      <w:tr w14:paraId="5FC2D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2331" w:type="pct"/>
            <w:gridSpan w:val="2"/>
            <w:vAlign w:val="center"/>
          </w:tcPr>
          <w:p w14:paraId="1763349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污染源名称</w:t>
            </w:r>
          </w:p>
        </w:tc>
        <w:tc>
          <w:tcPr>
            <w:tcW w:w="2668" w:type="pct"/>
            <w:vAlign w:val="center"/>
          </w:tcPr>
          <w:p w14:paraId="0560853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厂区</w:t>
            </w:r>
          </w:p>
        </w:tc>
      </w:tr>
      <w:tr w14:paraId="1DA20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408" w:type="pct"/>
            <w:vMerge w:val="restart"/>
            <w:tcBorders>
              <w:bottom w:val="nil"/>
            </w:tcBorders>
            <w:vAlign w:val="center"/>
          </w:tcPr>
          <w:p w14:paraId="45A6646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面源中心坐标</w:t>
            </w:r>
            <w:r>
              <w:rPr>
                <w:rFonts w:ascii="Times New Roman" w:hAnsi="Times New Roman" w:eastAsia="宋体" w:cs="Times New Roman"/>
                <w:color w:val="auto"/>
                <w:spacing w:val="0"/>
                <w:sz w:val="21"/>
                <w:szCs w:val="21"/>
                <w:highlight w:val="none"/>
              </w:rPr>
              <w:t>/m</w:t>
            </w:r>
          </w:p>
        </w:tc>
        <w:tc>
          <w:tcPr>
            <w:tcW w:w="922" w:type="pct"/>
            <w:vAlign w:val="center"/>
          </w:tcPr>
          <w:p w14:paraId="001405A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X</w:t>
            </w:r>
          </w:p>
        </w:tc>
        <w:tc>
          <w:tcPr>
            <w:tcW w:w="2668" w:type="pct"/>
            <w:vAlign w:val="center"/>
          </w:tcPr>
          <w:p w14:paraId="5216700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446728</w:t>
            </w:r>
          </w:p>
        </w:tc>
      </w:tr>
      <w:tr w14:paraId="2A775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408" w:type="pct"/>
            <w:vMerge w:val="continue"/>
            <w:tcBorders>
              <w:top w:val="nil"/>
            </w:tcBorders>
            <w:vAlign w:val="center"/>
          </w:tcPr>
          <w:p w14:paraId="7DB4C27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922" w:type="pct"/>
            <w:vAlign w:val="center"/>
          </w:tcPr>
          <w:p w14:paraId="295814A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Y</w:t>
            </w:r>
          </w:p>
        </w:tc>
        <w:tc>
          <w:tcPr>
            <w:tcW w:w="2668" w:type="pct"/>
            <w:vAlign w:val="center"/>
          </w:tcPr>
          <w:p w14:paraId="2365524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4910317</w:t>
            </w:r>
          </w:p>
        </w:tc>
      </w:tr>
      <w:tr w14:paraId="7311E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1" w:type="pct"/>
            <w:gridSpan w:val="2"/>
            <w:vAlign w:val="center"/>
          </w:tcPr>
          <w:p w14:paraId="78BE3EA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面源中心海拔高度</w:t>
            </w:r>
            <w:r>
              <w:rPr>
                <w:rFonts w:ascii="Times New Roman" w:hAnsi="Times New Roman" w:eastAsia="宋体" w:cs="Times New Roman"/>
                <w:color w:val="auto"/>
                <w:spacing w:val="0"/>
                <w:sz w:val="21"/>
                <w:szCs w:val="21"/>
                <w:highlight w:val="none"/>
              </w:rPr>
              <w:t>/m</w:t>
            </w:r>
          </w:p>
        </w:tc>
        <w:tc>
          <w:tcPr>
            <w:tcW w:w="2668" w:type="pct"/>
            <w:vAlign w:val="center"/>
          </w:tcPr>
          <w:p w14:paraId="2ACC70F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434</w:t>
            </w:r>
          </w:p>
        </w:tc>
      </w:tr>
      <w:tr w14:paraId="37538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1" w:type="pct"/>
            <w:gridSpan w:val="2"/>
            <w:vAlign w:val="center"/>
          </w:tcPr>
          <w:p w14:paraId="6189770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面源长度</w:t>
            </w:r>
            <w:r>
              <w:rPr>
                <w:rFonts w:ascii="Times New Roman" w:hAnsi="Times New Roman" w:eastAsia="宋体" w:cs="Times New Roman"/>
                <w:color w:val="auto"/>
                <w:spacing w:val="0"/>
                <w:sz w:val="21"/>
                <w:szCs w:val="21"/>
                <w:highlight w:val="none"/>
              </w:rPr>
              <w:t>/m</w:t>
            </w:r>
          </w:p>
        </w:tc>
        <w:tc>
          <w:tcPr>
            <w:tcW w:w="2668" w:type="pct"/>
            <w:vAlign w:val="center"/>
          </w:tcPr>
          <w:p w14:paraId="330DF52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566</w:t>
            </w:r>
          </w:p>
        </w:tc>
      </w:tr>
      <w:tr w14:paraId="1DC07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331" w:type="pct"/>
            <w:gridSpan w:val="2"/>
            <w:vAlign w:val="center"/>
          </w:tcPr>
          <w:p w14:paraId="0A30FCB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面源宽度</w:t>
            </w:r>
            <w:r>
              <w:rPr>
                <w:rFonts w:ascii="Times New Roman" w:hAnsi="Times New Roman" w:eastAsia="宋体" w:cs="Times New Roman"/>
                <w:color w:val="auto"/>
                <w:spacing w:val="0"/>
                <w:sz w:val="21"/>
                <w:szCs w:val="21"/>
                <w:highlight w:val="none"/>
              </w:rPr>
              <w:t>/m</w:t>
            </w:r>
          </w:p>
        </w:tc>
        <w:tc>
          <w:tcPr>
            <w:tcW w:w="2668" w:type="pct"/>
            <w:vAlign w:val="center"/>
          </w:tcPr>
          <w:p w14:paraId="5638203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134</w:t>
            </w:r>
          </w:p>
        </w:tc>
      </w:tr>
      <w:tr w14:paraId="7DF46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1" w:type="pct"/>
            <w:gridSpan w:val="2"/>
            <w:vAlign w:val="center"/>
          </w:tcPr>
          <w:p w14:paraId="7857F24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面源有效排放高度</w:t>
            </w:r>
            <w:r>
              <w:rPr>
                <w:rFonts w:ascii="Times New Roman" w:hAnsi="Times New Roman" w:eastAsia="宋体" w:cs="Times New Roman"/>
                <w:color w:val="auto"/>
                <w:spacing w:val="0"/>
                <w:sz w:val="21"/>
                <w:szCs w:val="21"/>
                <w:highlight w:val="none"/>
              </w:rPr>
              <w:t>/m</w:t>
            </w:r>
          </w:p>
        </w:tc>
        <w:tc>
          <w:tcPr>
            <w:tcW w:w="2668" w:type="pct"/>
            <w:vAlign w:val="center"/>
          </w:tcPr>
          <w:p w14:paraId="3A247E5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w:t>
            </w:r>
          </w:p>
        </w:tc>
      </w:tr>
      <w:tr w14:paraId="736A3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1" w:type="pct"/>
            <w:gridSpan w:val="2"/>
            <w:vAlign w:val="center"/>
          </w:tcPr>
          <w:p w14:paraId="199DC14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与正北方向夹角</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w:t>
            </w:r>
          </w:p>
        </w:tc>
        <w:tc>
          <w:tcPr>
            <w:tcW w:w="2668" w:type="pct"/>
            <w:vAlign w:val="center"/>
          </w:tcPr>
          <w:p w14:paraId="67C48B0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340</w:t>
            </w:r>
          </w:p>
        </w:tc>
      </w:tr>
      <w:tr w14:paraId="10FB0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331" w:type="pct"/>
            <w:gridSpan w:val="2"/>
            <w:vAlign w:val="center"/>
          </w:tcPr>
          <w:p w14:paraId="511A844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年排放小时</w:t>
            </w:r>
            <w:r>
              <w:rPr>
                <w:rFonts w:ascii="Times New Roman" w:hAnsi="Times New Roman" w:eastAsia="宋体" w:cs="Times New Roman"/>
                <w:color w:val="auto"/>
                <w:spacing w:val="0"/>
                <w:sz w:val="21"/>
                <w:szCs w:val="21"/>
                <w:highlight w:val="none"/>
              </w:rPr>
              <w:t>/h</w:t>
            </w:r>
          </w:p>
        </w:tc>
        <w:tc>
          <w:tcPr>
            <w:tcW w:w="2668" w:type="pct"/>
            <w:vAlign w:val="center"/>
          </w:tcPr>
          <w:p w14:paraId="76AA616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8064</w:t>
            </w:r>
          </w:p>
        </w:tc>
      </w:tr>
      <w:tr w14:paraId="12D79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1" w:type="pct"/>
            <w:gridSpan w:val="2"/>
            <w:vAlign w:val="center"/>
          </w:tcPr>
          <w:p w14:paraId="7865284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排放工况</w:t>
            </w:r>
          </w:p>
        </w:tc>
        <w:tc>
          <w:tcPr>
            <w:tcW w:w="2668" w:type="pct"/>
            <w:vAlign w:val="center"/>
          </w:tcPr>
          <w:p w14:paraId="1BFE6E2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正常</w:t>
            </w:r>
          </w:p>
        </w:tc>
      </w:tr>
      <w:tr w14:paraId="285B5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408" w:type="pct"/>
            <w:vMerge w:val="restart"/>
            <w:tcBorders>
              <w:bottom w:val="nil"/>
            </w:tcBorders>
            <w:vAlign w:val="center"/>
          </w:tcPr>
          <w:p w14:paraId="69276E0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污染物排放速率</w:t>
            </w:r>
          </w:p>
          <w:p w14:paraId="6B4A12A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kg/h</w:t>
            </w:r>
            <w:r>
              <w:rPr>
                <w:rFonts w:hint="eastAsia" w:cs="宋体"/>
                <w:color w:val="auto"/>
                <w:spacing w:val="0"/>
                <w:sz w:val="21"/>
                <w:szCs w:val="21"/>
                <w:highlight w:val="none"/>
                <w:lang w:eastAsia="zh-CN"/>
              </w:rPr>
              <w:t>）</w:t>
            </w:r>
          </w:p>
        </w:tc>
        <w:tc>
          <w:tcPr>
            <w:tcW w:w="922" w:type="pct"/>
            <w:vAlign w:val="center"/>
          </w:tcPr>
          <w:p w14:paraId="3FE07A1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2668" w:type="pct"/>
            <w:vAlign w:val="center"/>
          </w:tcPr>
          <w:p w14:paraId="2E936E4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0.071</w:t>
            </w:r>
          </w:p>
        </w:tc>
      </w:tr>
      <w:tr w14:paraId="04D41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408" w:type="pct"/>
            <w:vMerge w:val="continue"/>
            <w:tcBorders>
              <w:top w:val="nil"/>
            </w:tcBorders>
            <w:vAlign w:val="center"/>
          </w:tcPr>
          <w:p w14:paraId="0EBC5E3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922" w:type="pct"/>
            <w:vAlign w:val="center"/>
          </w:tcPr>
          <w:p w14:paraId="1BAC305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2668" w:type="pct"/>
            <w:vAlign w:val="center"/>
          </w:tcPr>
          <w:p w14:paraId="1CAE786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0.007</w:t>
            </w:r>
          </w:p>
        </w:tc>
      </w:tr>
    </w:tbl>
    <w:p w14:paraId="34501DDF">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本项目选取主要的面源废气污染物作为等级判定的依据，其最大地面浓度占标率P</w:t>
      </w:r>
      <w:r>
        <w:rPr>
          <w:rFonts w:hint="eastAsia" w:ascii="Times New Roman" w:hAnsi="Times New Roman" w:eastAsia="宋体"/>
          <w:color w:val="auto"/>
          <w:highlight w:val="none"/>
          <w:vertAlign w:val="subscript"/>
        </w:rPr>
        <w:t>max</w:t>
      </w:r>
      <w:r>
        <w:rPr>
          <w:rFonts w:hint="eastAsia" w:ascii="Times New Roman" w:hAnsi="Times New Roman" w:eastAsia="宋体"/>
          <w:color w:val="auto"/>
          <w:highlight w:val="none"/>
        </w:rPr>
        <w:t>计算结果见表2.6-</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rPr>
        <w:t>。</w:t>
      </w:r>
    </w:p>
    <w:p w14:paraId="0D9C9F46">
      <w:pPr>
        <w:pStyle w:val="10"/>
        <w:rPr>
          <w:rFonts w:ascii="Times New Roman" w:hAnsi="Times New Roman" w:eastAsia="宋体"/>
          <w:color w:val="auto"/>
          <w:highlight w:val="none"/>
        </w:rPr>
      </w:pPr>
      <w:r>
        <w:rPr>
          <w:rFonts w:hint="eastAsia" w:ascii="Times New Roman" w:hAnsi="Times New Roman" w:eastAsia="宋体"/>
          <w:color w:val="auto"/>
          <w:highlight w:val="none"/>
        </w:rPr>
        <w:t>表2.6-</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rPr>
        <w:t>各污染物Pi计算结果</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42"/>
        <w:gridCol w:w="1987"/>
        <w:gridCol w:w="1701"/>
        <w:gridCol w:w="1416"/>
        <w:gridCol w:w="1363"/>
      </w:tblGrid>
      <w:tr w14:paraId="7119F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jc w:val="center"/>
        </w:trPr>
        <w:tc>
          <w:tcPr>
            <w:tcW w:w="2303" w:type="pct"/>
            <w:gridSpan w:val="2"/>
            <w:vAlign w:val="center"/>
          </w:tcPr>
          <w:p w14:paraId="77A2BDB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参数名称</w:t>
            </w:r>
          </w:p>
        </w:tc>
        <w:tc>
          <w:tcPr>
            <w:tcW w:w="1023" w:type="pct"/>
            <w:vAlign w:val="center"/>
          </w:tcPr>
          <w:p w14:paraId="005B716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最大落地浓度</w:t>
            </w:r>
          </w:p>
        </w:tc>
        <w:tc>
          <w:tcPr>
            <w:tcW w:w="852" w:type="pct"/>
            <w:vAlign w:val="center"/>
          </w:tcPr>
          <w:p w14:paraId="6A654F5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P</w:t>
            </w:r>
            <w:r>
              <w:rPr>
                <w:rFonts w:ascii="Times New Roman" w:hAnsi="Times New Roman" w:eastAsia="宋体" w:cs="Times New Roman"/>
                <w:color w:val="auto"/>
                <w:spacing w:val="0"/>
                <w:sz w:val="21"/>
                <w:szCs w:val="21"/>
                <w:highlight w:val="none"/>
                <w:vertAlign w:val="subscript"/>
              </w:rPr>
              <w:t>max</w:t>
            </w:r>
          </w:p>
        </w:tc>
        <w:tc>
          <w:tcPr>
            <w:tcW w:w="820" w:type="pct"/>
            <w:vAlign w:val="center"/>
          </w:tcPr>
          <w:p w14:paraId="7FB96B0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最大落地点</w:t>
            </w:r>
          </w:p>
        </w:tc>
      </w:tr>
      <w:tr w14:paraId="53976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108" w:type="pct"/>
            <w:vAlign w:val="center"/>
          </w:tcPr>
          <w:p w14:paraId="5EC6F2E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污染源</w:t>
            </w:r>
          </w:p>
        </w:tc>
        <w:tc>
          <w:tcPr>
            <w:tcW w:w="1194" w:type="pct"/>
            <w:vAlign w:val="center"/>
          </w:tcPr>
          <w:p w14:paraId="687008E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污染物</w:t>
            </w:r>
          </w:p>
        </w:tc>
        <w:tc>
          <w:tcPr>
            <w:tcW w:w="1023" w:type="pct"/>
            <w:vAlign w:val="center"/>
          </w:tcPr>
          <w:p w14:paraId="1C3BD8C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Times New Roman"/>
                <w:color w:val="auto"/>
                <w:spacing w:val="0"/>
                <w:sz w:val="21"/>
                <w:szCs w:val="14"/>
                <w:highlight w:val="none"/>
                <w:vertAlign w:val="superscript"/>
                <w:lang w:val="en-US" w:eastAsia="zh-CN"/>
              </w:rPr>
            </w:pPr>
            <w:r>
              <w:rPr>
                <w:rFonts w:hint="eastAsia" w:cs="Times New Roman"/>
                <w:color w:val="auto"/>
                <w:spacing w:val="0"/>
                <w:sz w:val="21"/>
                <w:szCs w:val="21"/>
                <w:highlight w:val="none"/>
                <w:lang w:val="en-US" w:eastAsia="zh-CN"/>
              </w:rPr>
              <w:t>u</w:t>
            </w:r>
            <w:r>
              <w:rPr>
                <w:rFonts w:ascii="Times New Roman" w:hAnsi="Times New Roman" w:eastAsia="宋体" w:cs="Times New Roman"/>
                <w:color w:val="auto"/>
                <w:spacing w:val="0"/>
                <w:sz w:val="21"/>
                <w:szCs w:val="21"/>
                <w:highlight w:val="none"/>
              </w:rPr>
              <w:t>g/m</w:t>
            </w:r>
            <w:r>
              <w:rPr>
                <w:rFonts w:hint="eastAsia" w:ascii="Times New Roman" w:hAnsi="Times New Roman" w:eastAsia="宋体" w:cs="Times New Roman"/>
                <w:color w:val="auto"/>
                <w:spacing w:val="0"/>
                <w:sz w:val="21"/>
                <w:szCs w:val="21"/>
                <w:highlight w:val="none"/>
                <w:vertAlign w:val="superscript"/>
                <w:lang w:val="en-US" w:eastAsia="zh-CN"/>
              </w:rPr>
              <w:t>3</w:t>
            </w:r>
          </w:p>
        </w:tc>
        <w:tc>
          <w:tcPr>
            <w:tcW w:w="852" w:type="pct"/>
            <w:vAlign w:val="center"/>
          </w:tcPr>
          <w:p w14:paraId="74C91EAF">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c>
          <w:tcPr>
            <w:tcW w:w="820" w:type="pct"/>
            <w:vAlign w:val="center"/>
          </w:tcPr>
          <w:p w14:paraId="361EDB1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m</w:t>
            </w:r>
          </w:p>
        </w:tc>
      </w:tr>
      <w:tr w14:paraId="16E53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108" w:type="pct"/>
            <w:vMerge w:val="restart"/>
            <w:tcBorders>
              <w:bottom w:val="nil"/>
            </w:tcBorders>
            <w:vAlign w:val="center"/>
          </w:tcPr>
          <w:p w14:paraId="1C796DE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无组织</w:t>
            </w:r>
          </w:p>
        </w:tc>
        <w:tc>
          <w:tcPr>
            <w:tcW w:w="1194" w:type="pct"/>
            <w:vAlign w:val="center"/>
          </w:tcPr>
          <w:p w14:paraId="6A9B6F5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1023" w:type="pct"/>
            <w:vAlign w:val="center"/>
          </w:tcPr>
          <w:p w14:paraId="029C778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11.68</w:t>
            </w:r>
          </w:p>
        </w:tc>
        <w:tc>
          <w:tcPr>
            <w:tcW w:w="852" w:type="pct"/>
            <w:vAlign w:val="center"/>
          </w:tcPr>
          <w:p w14:paraId="270A25E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5.84</w:t>
            </w:r>
          </w:p>
        </w:tc>
        <w:tc>
          <w:tcPr>
            <w:tcW w:w="820" w:type="pct"/>
            <w:vAlign w:val="center"/>
          </w:tcPr>
          <w:p w14:paraId="576F8E6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400</w:t>
            </w:r>
          </w:p>
        </w:tc>
      </w:tr>
      <w:tr w14:paraId="676B5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108" w:type="pct"/>
            <w:vMerge w:val="continue"/>
            <w:tcBorders>
              <w:top w:val="nil"/>
            </w:tcBorders>
            <w:vAlign w:val="center"/>
          </w:tcPr>
          <w:p w14:paraId="670772A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1194" w:type="pct"/>
            <w:vAlign w:val="center"/>
          </w:tcPr>
          <w:p w14:paraId="2010EA3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14"/>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1023" w:type="pct"/>
            <w:vAlign w:val="center"/>
          </w:tcPr>
          <w:p w14:paraId="760F737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0.93</w:t>
            </w:r>
          </w:p>
        </w:tc>
        <w:tc>
          <w:tcPr>
            <w:tcW w:w="852" w:type="pct"/>
            <w:vAlign w:val="center"/>
          </w:tcPr>
          <w:p w14:paraId="7264FA3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9.3</w:t>
            </w:r>
          </w:p>
        </w:tc>
        <w:tc>
          <w:tcPr>
            <w:tcW w:w="820" w:type="pct"/>
            <w:vAlign w:val="center"/>
          </w:tcPr>
          <w:p w14:paraId="63BEC5D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400</w:t>
            </w:r>
          </w:p>
        </w:tc>
      </w:tr>
    </w:tbl>
    <w:p w14:paraId="2629709B">
      <w:pPr>
        <w:ind w:firstLine="480"/>
        <w:rPr>
          <w:rFonts w:ascii="Times New Roman" w:hAnsi="Times New Roman" w:eastAsia="宋体"/>
          <w:color w:val="auto"/>
          <w:highlight w:val="none"/>
        </w:rPr>
      </w:pPr>
      <w:r>
        <w:rPr>
          <w:rFonts w:hint="eastAsia" w:ascii="Times New Roman" w:hAnsi="Times New Roman" w:eastAsia="宋体"/>
          <w:color w:val="auto"/>
          <w:highlight w:val="none"/>
        </w:rPr>
        <w:t>（3）确定评价等级</w:t>
      </w:r>
    </w:p>
    <w:p w14:paraId="2781A8BD">
      <w:pPr>
        <w:ind w:firstLine="480"/>
        <w:rPr>
          <w:rFonts w:ascii="Times New Roman" w:hAnsi="Times New Roman" w:eastAsia="宋体"/>
          <w:color w:val="auto"/>
          <w:highlight w:val="none"/>
        </w:rPr>
      </w:pPr>
      <w:r>
        <w:rPr>
          <w:rFonts w:ascii="Times New Roman" w:hAnsi="Times New Roman" w:eastAsia="宋体"/>
          <w:color w:val="auto"/>
          <w:highlight w:val="none"/>
        </w:rPr>
        <w:t>根据估算结果表明，NH</w:t>
      </w:r>
      <w:r>
        <w:rPr>
          <w:rFonts w:ascii="Times New Roman" w:hAnsi="Times New Roman" w:eastAsia="宋体"/>
          <w:color w:val="auto"/>
          <w:highlight w:val="none"/>
          <w:vertAlign w:val="subscript"/>
        </w:rPr>
        <w:t>3</w:t>
      </w:r>
      <w:r>
        <w:rPr>
          <w:rFonts w:ascii="Times New Roman" w:hAnsi="Times New Roman" w:eastAsia="宋体"/>
          <w:color w:val="auto"/>
          <w:highlight w:val="none"/>
        </w:rPr>
        <w:t>最大地面空气质量浓度占标率为</w:t>
      </w:r>
      <w:r>
        <w:rPr>
          <w:rFonts w:hint="eastAsia"/>
          <w:color w:val="auto"/>
          <w:highlight w:val="none"/>
          <w:lang w:val="en-US" w:eastAsia="zh-CN"/>
        </w:rPr>
        <w:t>5.84</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S最大地面空气质量浓度占标率为</w:t>
      </w:r>
      <w:r>
        <w:rPr>
          <w:rFonts w:hint="eastAsia"/>
          <w:color w:val="auto"/>
          <w:highlight w:val="none"/>
          <w:lang w:val="en-US" w:eastAsia="zh-CN"/>
        </w:rPr>
        <w:t>9.3</w:t>
      </w:r>
      <w:r>
        <w:rPr>
          <w:rFonts w:ascii="Times New Roman" w:hAnsi="Times New Roman" w:eastAsia="宋体"/>
          <w:color w:val="auto"/>
          <w:highlight w:val="none"/>
        </w:rPr>
        <w:t>%，根据表</w:t>
      </w:r>
      <w:r>
        <w:rPr>
          <w:rFonts w:hint="eastAsia" w:ascii="Times New Roman" w:hAnsi="Times New Roman" w:eastAsia="宋体"/>
          <w:color w:val="auto"/>
          <w:highlight w:val="none"/>
          <w:lang w:val="en-US" w:eastAsia="zh-CN"/>
        </w:rPr>
        <w:t>2.6-1</w:t>
      </w:r>
      <w:r>
        <w:rPr>
          <w:rFonts w:ascii="Times New Roman" w:hAnsi="Times New Roman" w:eastAsia="宋体"/>
          <w:color w:val="auto"/>
          <w:highlight w:val="none"/>
        </w:rPr>
        <w:t>评价等级判别表，确定本项目大气环境评价等级为二级。</w:t>
      </w:r>
    </w:p>
    <w:p w14:paraId="02242EEE">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2.6.1.2水环境评价等级</w:t>
      </w:r>
    </w:p>
    <w:p w14:paraId="58EF0378">
      <w:pPr>
        <w:ind w:firstLine="480"/>
        <w:rPr>
          <w:rFonts w:ascii="Times New Roman" w:hAnsi="Times New Roman" w:eastAsia="宋体"/>
          <w:color w:val="auto"/>
          <w:highlight w:val="none"/>
        </w:rPr>
      </w:pPr>
      <w:r>
        <w:rPr>
          <w:rFonts w:hint="eastAsia" w:ascii="Times New Roman" w:hAnsi="Times New Roman" w:eastAsia="宋体"/>
          <w:color w:val="auto"/>
          <w:highlight w:val="none"/>
        </w:rPr>
        <w:t>（1）地表水</w:t>
      </w:r>
    </w:p>
    <w:p w14:paraId="62C32304">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根据《环境影响评价技术导则地表水环境》（HJ2.3-2018），地表水评价等级分级表见表2.6-</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rPr>
        <w:t>。</w:t>
      </w:r>
    </w:p>
    <w:p w14:paraId="541AEF5B">
      <w:pPr>
        <w:pStyle w:val="10"/>
        <w:rPr>
          <w:rFonts w:ascii="Times New Roman" w:hAnsi="Times New Roman" w:eastAsia="宋体"/>
          <w:color w:val="auto"/>
          <w:highlight w:val="none"/>
        </w:rPr>
      </w:pPr>
      <w:r>
        <w:rPr>
          <w:rFonts w:hint="eastAsia" w:ascii="Times New Roman" w:hAnsi="Times New Roman" w:eastAsia="宋体"/>
          <w:color w:val="auto"/>
          <w:highlight w:val="none"/>
        </w:rPr>
        <w:t>表2.6-</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rPr>
        <w:t>地表水评价等级分级表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2269"/>
        <w:gridCol w:w="4445"/>
      </w:tblGrid>
      <w:tr w14:paraId="72FE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Merge w:val="restart"/>
            <w:vAlign w:val="center"/>
          </w:tcPr>
          <w:p w14:paraId="68B43B9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评价等级</w:t>
            </w:r>
          </w:p>
        </w:tc>
        <w:tc>
          <w:tcPr>
            <w:tcW w:w="3939" w:type="pct"/>
            <w:gridSpan w:val="2"/>
            <w:vAlign w:val="center"/>
          </w:tcPr>
          <w:p w14:paraId="067BDE5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判定依据</w:t>
            </w:r>
          </w:p>
        </w:tc>
      </w:tr>
      <w:tr w14:paraId="1CFB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Merge w:val="continue"/>
            <w:vAlign w:val="center"/>
          </w:tcPr>
          <w:p w14:paraId="55AD6EE8">
            <w:pPr>
              <w:spacing w:line="240" w:lineRule="auto"/>
              <w:ind w:firstLine="0" w:firstLineChars="0"/>
              <w:jc w:val="center"/>
              <w:rPr>
                <w:rFonts w:ascii="Times New Roman" w:hAnsi="Times New Roman" w:eastAsia="宋体"/>
                <w:color w:val="auto"/>
                <w:sz w:val="21"/>
                <w:szCs w:val="21"/>
                <w:highlight w:val="none"/>
              </w:rPr>
            </w:pPr>
          </w:p>
        </w:tc>
        <w:tc>
          <w:tcPr>
            <w:tcW w:w="1331" w:type="pct"/>
            <w:vAlign w:val="center"/>
          </w:tcPr>
          <w:p w14:paraId="2E39C36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排放方式</w:t>
            </w:r>
          </w:p>
        </w:tc>
        <w:tc>
          <w:tcPr>
            <w:tcW w:w="2608" w:type="pct"/>
            <w:vAlign w:val="center"/>
          </w:tcPr>
          <w:p w14:paraId="39F2E23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废水排放量Q/（m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d）；</w:t>
            </w:r>
          </w:p>
          <w:p w14:paraId="08A2D67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水污染物当量数W/（量纲一）</w:t>
            </w:r>
          </w:p>
        </w:tc>
      </w:tr>
      <w:tr w14:paraId="237F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14:paraId="1567401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1331" w:type="pct"/>
            <w:vAlign w:val="center"/>
          </w:tcPr>
          <w:p w14:paraId="752EA57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直接排放</w:t>
            </w:r>
          </w:p>
        </w:tc>
        <w:tc>
          <w:tcPr>
            <w:tcW w:w="2608" w:type="pct"/>
            <w:vAlign w:val="center"/>
          </w:tcPr>
          <w:p w14:paraId="2EB7CCE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Q≥20000或W≥600000</w:t>
            </w:r>
          </w:p>
        </w:tc>
      </w:tr>
      <w:tr w14:paraId="5619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14:paraId="639BA82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1331" w:type="pct"/>
            <w:vAlign w:val="center"/>
          </w:tcPr>
          <w:p w14:paraId="1EE3A91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直接排放</w:t>
            </w:r>
          </w:p>
        </w:tc>
        <w:tc>
          <w:tcPr>
            <w:tcW w:w="2608" w:type="pct"/>
            <w:vAlign w:val="center"/>
          </w:tcPr>
          <w:p w14:paraId="31ABB95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其他</w:t>
            </w:r>
          </w:p>
        </w:tc>
      </w:tr>
      <w:tr w14:paraId="6BDF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14:paraId="60F79DD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三级A</w:t>
            </w:r>
          </w:p>
        </w:tc>
        <w:tc>
          <w:tcPr>
            <w:tcW w:w="1331" w:type="pct"/>
            <w:vAlign w:val="center"/>
          </w:tcPr>
          <w:p w14:paraId="7DDC709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直接排放</w:t>
            </w:r>
          </w:p>
        </w:tc>
        <w:tc>
          <w:tcPr>
            <w:tcW w:w="2608" w:type="pct"/>
            <w:vAlign w:val="center"/>
          </w:tcPr>
          <w:p w14:paraId="4E4B1B9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Q＜200且W＜6000</w:t>
            </w:r>
          </w:p>
        </w:tc>
      </w:tr>
      <w:tr w14:paraId="4440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1" w:type="pct"/>
            <w:vAlign w:val="center"/>
          </w:tcPr>
          <w:p w14:paraId="2028CEF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三级B</w:t>
            </w:r>
          </w:p>
        </w:tc>
        <w:tc>
          <w:tcPr>
            <w:tcW w:w="1331" w:type="pct"/>
            <w:vAlign w:val="center"/>
          </w:tcPr>
          <w:p w14:paraId="5044EFA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间接排放</w:t>
            </w:r>
          </w:p>
        </w:tc>
        <w:tc>
          <w:tcPr>
            <w:tcW w:w="2608" w:type="pct"/>
            <w:vAlign w:val="center"/>
          </w:tcPr>
          <w:p w14:paraId="6561A50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14:paraId="728D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3CBFCF64">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注：建设项目生产工艺中有废水产生，但作为回水利用，不排放到外环境的，按三级B评价</w:t>
            </w:r>
          </w:p>
        </w:tc>
      </w:tr>
    </w:tbl>
    <w:p w14:paraId="5543D351">
      <w:pPr>
        <w:ind w:firstLine="480"/>
        <w:rPr>
          <w:rFonts w:ascii="Times New Roman" w:hAnsi="Times New Roman" w:eastAsia="宋体"/>
          <w:color w:val="auto"/>
          <w:highlight w:val="none"/>
        </w:rPr>
      </w:pPr>
      <w:r>
        <w:rPr>
          <w:rFonts w:ascii="Times New Roman" w:hAnsi="Times New Roman" w:eastAsia="宋体"/>
          <w:color w:val="auto"/>
          <w:highlight w:val="none"/>
        </w:rPr>
        <w:t>本项目生活污水直接排入下水管网，最终进入玛纳斯县城污水处理厂；鸡舍冲洗废水排入</w:t>
      </w:r>
      <w:r>
        <w:rPr>
          <w:rFonts w:hint="eastAsia"/>
          <w:color w:val="auto"/>
          <w:highlight w:val="none"/>
          <w:lang w:val="en-US" w:eastAsia="zh-CN"/>
        </w:rPr>
        <w:t>废水收集池经过预处理后用作农肥</w:t>
      </w:r>
      <w:r>
        <w:rPr>
          <w:rFonts w:ascii="Times New Roman" w:hAnsi="Times New Roman" w:eastAsia="宋体"/>
          <w:color w:val="auto"/>
          <w:highlight w:val="none"/>
        </w:rPr>
        <w:t>。评价范围内无地表水径流，与地表水体不发生水力联系。因此判定本项目地面水环境影响评价工作等级为三级B。</w:t>
      </w:r>
    </w:p>
    <w:p w14:paraId="44116C92">
      <w:pPr>
        <w:ind w:firstLine="480"/>
        <w:rPr>
          <w:rFonts w:ascii="Times New Roman" w:hAnsi="Times New Roman" w:eastAsia="宋体"/>
          <w:color w:val="auto"/>
          <w:highlight w:val="none"/>
        </w:rPr>
      </w:pPr>
      <w:r>
        <w:rPr>
          <w:rFonts w:hint="eastAsia" w:ascii="Times New Roman" w:hAnsi="Times New Roman" w:eastAsia="宋体"/>
          <w:color w:val="auto"/>
          <w:highlight w:val="none"/>
        </w:rPr>
        <w:t>参照《环境影响评价技术导则地表水环境》（HJ2.3-2018）中地表水环境影响评价范围要求，根据评价等级、工程特点、影响方式及程度、地表水环境质量管理要求等确定。项目运营期间生活污水、生产废水不外排。因此，本项目地表水评价不设评价范围，重点分析项目生产废水、生活污水的处理及去向等的可行性。</w:t>
      </w:r>
    </w:p>
    <w:p w14:paraId="4238B9EB">
      <w:pPr>
        <w:ind w:firstLine="480"/>
        <w:rPr>
          <w:rFonts w:ascii="Times New Roman" w:hAnsi="Times New Roman" w:eastAsia="宋体"/>
          <w:color w:val="auto"/>
          <w:highlight w:val="none"/>
        </w:rPr>
      </w:pPr>
      <w:r>
        <w:rPr>
          <w:rFonts w:hint="eastAsia" w:ascii="Times New Roman" w:hAnsi="Times New Roman" w:eastAsia="宋体"/>
          <w:color w:val="auto"/>
          <w:highlight w:val="none"/>
        </w:rPr>
        <w:t>（2）地下水</w:t>
      </w:r>
    </w:p>
    <w:p w14:paraId="2913F9FA">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根据《环境影响技术评价技术导则地下水环境》（HJ610-2016）附录A地下水环境影响评价行业分类表，本项目属于</w:t>
      </w:r>
      <w:r>
        <w:rPr>
          <w:rFonts w:hint="eastAsia"/>
          <w:color w:val="auto"/>
          <w:highlight w:val="none"/>
          <w:lang w:eastAsia="zh-CN"/>
        </w:rPr>
        <w:t>”</w:t>
      </w:r>
      <w:r>
        <w:rPr>
          <w:rFonts w:hint="eastAsia" w:ascii="Times New Roman" w:hAnsi="Times New Roman" w:eastAsia="宋体"/>
          <w:color w:val="auto"/>
          <w:highlight w:val="none"/>
        </w:rPr>
        <w:t>B、农、林、牧、渔、海洋——14、畜禽养殖场、养殖小区</w:t>
      </w:r>
      <w:r>
        <w:rPr>
          <w:rFonts w:hint="eastAsia"/>
          <w:color w:val="auto"/>
          <w:highlight w:val="none"/>
          <w:lang w:eastAsia="zh-CN"/>
        </w:rPr>
        <w:t>”</w:t>
      </w:r>
      <w:r>
        <w:rPr>
          <w:rFonts w:hint="eastAsia" w:ascii="Times New Roman" w:hAnsi="Times New Roman" w:eastAsia="宋体"/>
          <w:color w:val="auto"/>
          <w:highlight w:val="none"/>
        </w:rPr>
        <w:t>，故本项目属于Ⅲ类项目。</w:t>
      </w:r>
    </w:p>
    <w:p w14:paraId="2003C7B8">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根据《环境影响技术评价技术导则地下水环境》（HJ610-2016）中6.2表1地下水环境敏感程度分级表，地下水环境敏感程度分级表见表2.6-</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w:t>
      </w:r>
    </w:p>
    <w:p w14:paraId="76FA8226">
      <w:pPr>
        <w:pStyle w:val="10"/>
        <w:rPr>
          <w:rFonts w:ascii="Times New Roman" w:hAnsi="Times New Roman" w:eastAsia="宋体"/>
          <w:color w:val="auto"/>
          <w:highlight w:val="none"/>
        </w:rPr>
      </w:pPr>
      <w:r>
        <w:rPr>
          <w:rFonts w:hint="eastAsia" w:ascii="Times New Roman" w:hAnsi="Times New Roman" w:eastAsia="宋体"/>
          <w:color w:val="auto"/>
          <w:highlight w:val="none"/>
        </w:rPr>
        <w:t>表2.6-</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地下水环境敏感程度分级表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80"/>
      </w:tblGrid>
      <w:tr w14:paraId="1A57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vAlign w:val="center"/>
          </w:tcPr>
          <w:p w14:paraId="60DED21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敏感程度</w:t>
            </w:r>
          </w:p>
        </w:tc>
        <w:tc>
          <w:tcPr>
            <w:tcW w:w="7280" w:type="dxa"/>
            <w:vAlign w:val="center"/>
          </w:tcPr>
          <w:p w14:paraId="364E882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地下水环境敏感特征</w:t>
            </w:r>
          </w:p>
        </w:tc>
      </w:tr>
      <w:tr w14:paraId="114F6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247CC33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w:t>
            </w:r>
          </w:p>
        </w:tc>
        <w:tc>
          <w:tcPr>
            <w:tcW w:w="7280" w:type="dxa"/>
            <w:vAlign w:val="center"/>
          </w:tcPr>
          <w:p w14:paraId="33DB322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207E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26D3256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较敏感</w:t>
            </w:r>
          </w:p>
        </w:tc>
        <w:tc>
          <w:tcPr>
            <w:tcW w:w="7280" w:type="dxa"/>
            <w:vAlign w:val="center"/>
          </w:tcPr>
          <w:p w14:paraId="646B900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14:paraId="5835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Align w:val="center"/>
          </w:tcPr>
          <w:p w14:paraId="77A3AE5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不敏感</w:t>
            </w:r>
          </w:p>
        </w:tc>
        <w:tc>
          <w:tcPr>
            <w:tcW w:w="7280" w:type="dxa"/>
            <w:vAlign w:val="center"/>
          </w:tcPr>
          <w:p w14:paraId="031BC19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上述地区之外的其它地区。</w:t>
            </w:r>
          </w:p>
        </w:tc>
      </w:tr>
      <w:tr w14:paraId="5882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14:paraId="7DB5FFFD">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注：a</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环境敏感区</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是指《建设项目环境影响评价分类管理名录》中所界定的涉及地下水的环境敏感区。</w:t>
            </w:r>
          </w:p>
        </w:tc>
      </w:tr>
    </w:tbl>
    <w:p w14:paraId="5CE6A9F7">
      <w:pPr>
        <w:ind w:firstLine="480"/>
        <w:rPr>
          <w:rFonts w:ascii="Times New Roman" w:hAnsi="Times New Roman" w:eastAsia="宋体"/>
          <w:color w:val="auto"/>
          <w:highlight w:val="none"/>
        </w:rPr>
      </w:pPr>
      <w:r>
        <w:rPr>
          <w:rFonts w:hint="eastAsia" w:ascii="Times New Roman" w:hAnsi="Times New Roman" w:eastAsia="宋体"/>
          <w:color w:val="auto"/>
          <w:highlight w:val="none"/>
        </w:rPr>
        <w:t>地下水评价工作等级分级表见表2.6-</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w:t>
      </w:r>
    </w:p>
    <w:p w14:paraId="40D3E4CB">
      <w:pPr>
        <w:pStyle w:val="10"/>
        <w:rPr>
          <w:rFonts w:ascii="Times New Roman" w:hAnsi="Times New Roman" w:eastAsia="宋体"/>
          <w:color w:val="auto"/>
          <w:highlight w:val="none"/>
        </w:rPr>
      </w:pPr>
      <w:r>
        <w:rPr>
          <w:rFonts w:hint="eastAsia" w:ascii="Times New Roman" w:hAnsi="Times New Roman" w:eastAsia="宋体"/>
          <w:color w:val="auto"/>
          <w:highlight w:val="none"/>
        </w:rPr>
        <w:t>表2.6-</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评价工作等级分级表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180D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l2br w:val="single" w:color="auto" w:sz="4" w:space="0"/>
            </w:tcBorders>
            <w:vAlign w:val="center"/>
          </w:tcPr>
          <w:p w14:paraId="625746AB">
            <w:pPr>
              <w:spacing w:line="240" w:lineRule="auto"/>
              <w:ind w:firstLine="0" w:firstLineChars="0"/>
              <w:jc w:val="right"/>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项目类别</w:t>
            </w:r>
          </w:p>
          <w:p w14:paraId="3D3DE1DD">
            <w:pPr>
              <w:spacing w:line="240" w:lineRule="auto"/>
              <w:ind w:firstLine="0" w:firstLineChars="0"/>
              <w:jc w:val="left"/>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环境敏感程度</w:t>
            </w:r>
          </w:p>
        </w:tc>
        <w:tc>
          <w:tcPr>
            <w:tcW w:w="2130" w:type="dxa"/>
            <w:vAlign w:val="center"/>
          </w:tcPr>
          <w:p w14:paraId="1B943A6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Ⅰ类项目</w:t>
            </w:r>
          </w:p>
        </w:tc>
        <w:tc>
          <w:tcPr>
            <w:tcW w:w="2131" w:type="dxa"/>
            <w:vAlign w:val="center"/>
          </w:tcPr>
          <w:p w14:paraId="40E70F5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Ⅱ类项目</w:t>
            </w:r>
          </w:p>
        </w:tc>
        <w:tc>
          <w:tcPr>
            <w:tcW w:w="2131" w:type="dxa"/>
            <w:vAlign w:val="center"/>
          </w:tcPr>
          <w:p w14:paraId="0928C85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Ⅲ类项目</w:t>
            </w:r>
          </w:p>
        </w:tc>
      </w:tr>
      <w:tr w14:paraId="74C0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5FF7B7E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w:t>
            </w:r>
          </w:p>
        </w:tc>
        <w:tc>
          <w:tcPr>
            <w:tcW w:w="2130" w:type="dxa"/>
            <w:vAlign w:val="center"/>
          </w:tcPr>
          <w:p w14:paraId="39D30BE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w:t>
            </w:r>
          </w:p>
        </w:tc>
        <w:tc>
          <w:tcPr>
            <w:tcW w:w="2131" w:type="dxa"/>
            <w:vAlign w:val="center"/>
          </w:tcPr>
          <w:p w14:paraId="44B92E3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w:t>
            </w:r>
          </w:p>
        </w:tc>
        <w:tc>
          <w:tcPr>
            <w:tcW w:w="2131" w:type="dxa"/>
            <w:vAlign w:val="center"/>
          </w:tcPr>
          <w:p w14:paraId="6F21165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w:t>
            </w:r>
          </w:p>
        </w:tc>
      </w:tr>
      <w:tr w14:paraId="6BA0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05B31F6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较敏感</w:t>
            </w:r>
          </w:p>
        </w:tc>
        <w:tc>
          <w:tcPr>
            <w:tcW w:w="2130" w:type="dxa"/>
            <w:vAlign w:val="center"/>
          </w:tcPr>
          <w:p w14:paraId="46D971F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w:t>
            </w:r>
          </w:p>
        </w:tc>
        <w:tc>
          <w:tcPr>
            <w:tcW w:w="2131" w:type="dxa"/>
            <w:vAlign w:val="center"/>
          </w:tcPr>
          <w:p w14:paraId="6373681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w:t>
            </w:r>
          </w:p>
        </w:tc>
        <w:tc>
          <w:tcPr>
            <w:tcW w:w="2131" w:type="dxa"/>
            <w:vAlign w:val="center"/>
          </w:tcPr>
          <w:p w14:paraId="748ECA2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w:t>
            </w:r>
          </w:p>
        </w:tc>
      </w:tr>
      <w:tr w14:paraId="326E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7D3C683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不敏感</w:t>
            </w:r>
          </w:p>
        </w:tc>
        <w:tc>
          <w:tcPr>
            <w:tcW w:w="2130" w:type="dxa"/>
            <w:vAlign w:val="center"/>
          </w:tcPr>
          <w:p w14:paraId="32A8491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w:t>
            </w:r>
          </w:p>
        </w:tc>
        <w:tc>
          <w:tcPr>
            <w:tcW w:w="2131" w:type="dxa"/>
            <w:vAlign w:val="center"/>
          </w:tcPr>
          <w:p w14:paraId="267507F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w:t>
            </w:r>
          </w:p>
        </w:tc>
        <w:tc>
          <w:tcPr>
            <w:tcW w:w="2131" w:type="dxa"/>
            <w:vAlign w:val="center"/>
          </w:tcPr>
          <w:p w14:paraId="700ACC3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w:t>
            </w:r>
          </w:p>
        </w:tc>
      </w:tr>
    </w:tbl>
    <w:p w14:paraId="24ED9E61">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工程不在集中式饮用水水源（包括已建成的在用、备用、应急水源，在建和规划的饮用水水源）准保护区；除集中式饮用水水源以外的国家或地方政府设定的与地下水环境相关的其它保护区，如热水、矿泉水、温泉等特殊地下水资源保护区。不在未划定准保护区的集中水式饮用水水源，其保护区以外的补给径流区；分散式饮用水水源地；特殊地下水资源（如矿泉水、温泉等）保护区以外的分布区等其他未列入上述敏感分级的环境敏感区。本项目地下水环境为不敏感。根据《环境影响技术评价技术导则地下水环境》（HJ610-2016）确定本项目评价工作等级为三级。</w:t>
      </w:r>
    </w:p>
    <w:p w14:paraId="4B053EF4">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2.6.1.3声环境评价等级</w:t>
      </w:r>
    </w:p>
    <w:p w14:paraId="68AE140C">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根据《环境影响评价技术导则声环境》</w:t>
      </w:r>
      <w:r>
        <w:rPr>
          <w:rFonts w:hint="eastAsia"/>
          <w:color w:val="auto"/>
          <w:highlight w:val="none"/>
          <w:lang w:eastAsia="zh-CN"/>
        </w:rPr>
        <w:t>（</w:t>
      </w:r>
      <w:r>
        <w:rPr>
          <w:rFonts w:hint="eastAsia" w:ascii="Times New Roman" w:hAnsi="Times New Roman" w:eastAsia="宋体"/>
          <w:color w:val="auto"/>
          <w:highlight w:val="none"/>
        </w:rPr>
        <w:t>HJ2.4-2021</w:t>
      </w:r>
      <w:r>
        <w:rPr>
          <w:rFonts w:hint="eastAsia"/>
          <w:color w:val="auto"/>
          <w:highlight w:val="none"/>
          <w:lang w:eastAsia="zh-CN"/>
        </w:rPr>
        <w:t>）</w:t>
      </w:r>
      <w:r>
        <w:rPr>
          <w:rFonts w:hint="eastAsia" w:ascii="Times New Roman" w:hAnsi="Times New Roman" w:eastAsia="宋体"/>
          <w:color w:val="auto"/>
          <w:highlight w:val="none"/>
        </w:rPr>
        <w:t>规定，声环境影响评价工作等级一般分为三级，一级为详细评价，二级为一般性评价，三级为简要评价。</w:t>
      </w:r>
    </w:p>
    <w:p w14:paraId="4BA5551D">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建设项目所处的声环境功能区为GB3096规定的1类、2类地区，或建设项目建设前后评价范围内敏感目标噪声级增高量达3~5dB</w:t>
      </w:r>
      <w:r>
        <w:rPr>
          <w:rFonts w:hint="eastAsia"/>
          <w:color w:val="auto"/>
          <w:highlight w:val="none"/>
          <w:lang w:eastAsia="zh-CN"/>
        </w:rPr>
        <w:t>（</w:t>
      </w:r>
      <w:r>
        <w:rPr>
          <w:rFonts w:hint="eastAsia"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[含5dB</w:t>
      </w:r>
      <w:r>
        <w:rPr>
          <w:rFonts w:hint="eastAsia"/>
          <w:color w:val="auto"/>
          <w:highlight w:val="none"/>
          <w:lang w:eastAsia="zh-CN"/>
        </w:rPr>
        <w:t>（</w:t>
      </w:r>
      <w:r>
        <w:rPr>
          <w:rFonts w:hint="eastAsia"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或受影响人口数量增加较多时，按二级评价。评价范围内有适用于GB3096规定的0类声环境功能区域，或建设项目建设前后评价范围内声环境保护目标噪声级增量达5dB（A）以上（不含5dB（A）），或受影响人口数量显著增加时，按一级评价。</w:t>
      </w:r>
    </w:p>
    <w:p w14:paraId="28436F24">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建设项目所处的声环境功能区为</w:t>
      </w:r>
      <w:r>
        <w:rPr>
          <w:rFonts w:ascii="Times New Roman" w:hAnsi="Times New Roman" w:eastAsia="宋体"/>
          <w:color w:val="auto"/>
          <w:highlight w:val="none"/>
        </w:rPr>
        <w:t>GB3096</w:t>
      </w:r>
      <w:r>
        <w:rPr>
          <w:rFonts w:hint="eastAsia" w:ascii="Times New Roman" w:hAnsi="Times New Roman" w:eastAsia="宋体"/>
          <w:color w:val="auto"/>
          <w:highlight w:val="none"/>
        </w:rPr>
        <w:t>规定的</w:t>
      </w:r>
      <w:r>
        <w:rPr>
          <w:rFonts w:ascii="Times New Roman" w:hAnsi="Times New Roman" w:eastAsia="宋体"/>
          <w:color w:val="auto"/>
          <w:highlight w:val="none"/>
        </w:rPr>
        <w:t>1</w:t>
      </w:r>
      <w:r>
        <w:rPr>
          <w:rFonts w:hint="eastAsia" w:ascii="Times New Roman" w:hAnsi="Times New Roman" w:eastAsia="宋体"/>
          <w:color w:val="auto"/>
          <w:highlight w:val="none"/>
        </w:rPr>
        <w:t>类、</w:t>
      </w:r>
      <w:r>
        <w:rPr>
          <w:rFonts w:ascii="Times New Roman" w:hAnsi="Times New Roman" w:eastAsia="宋体"/>
          <w:color w:val="auto"/>
          <w:highlight w:val="none"/>
        </w:rPr>
        <w:t>2</w:t>
      </w:r>
      <w:r>
        <w:rPr>
          <w:rFonts w:hint="eastAsia" w:ascii="Times New Roman" w:hAnsi="Times New Roman" w:eastAsia="宋体"/>
          <w:color w:val="auto"/>
          <w:highlight w:val="none"/>
        </w:rPr>
        <w:t>类地区，或建设项目建设前后评价范围内声环境保护目标噪声级增量达</w:t>
      </w:r>
      <w:r>
        <w:rPr>
          <w:rFonts w:ascii="Times New Roman" w:hAnsi="Times New Roman" w:eastAsia="宋体"/>
          <w:color w:val="auto"/>
          <w:highlight w:val="none"/>
        </w:rPr>
        <w:t>3dB</w:t>
      </w:r>
      <w:r>
        <w:rPr>
          <w:rFonts w:hint="eastAsia" w:ascii="Times New Roman" w:hAnsi="Times New Roman" w:eastAsia="宋体"/>
          <w:color w:val="auto"/>
          <w:highlight w:val="none"/>
        </w:rPr>
        <w:t>（</w:t>
      </w:r>
      <w:r>
        <w:rPr>
          <w:rFonts w:ascii="Times New Roman" w:hAnsi="Times New Roman" w:eastAsia="宋体"/>
          <w:color w:val="auto"/>
          <w:highlight w:val="none"/>
        </w:rPr>
        <w:t>A</w:t>
      </w:r>
      <w:r>
        <w:rPr>
          <w:rFonts w:hint="eastAsia" w:ascii="Times New Roman" w:hAnsi="Times New Roman" w:eastAsia="宋体"/>
          <w:color w:val="auto"/>
          <w:highlight w:val="none"/>
        </w:rPr>
        <w:t>）</w:t>
      </w:r>
      <w:r>
        <w:rPr>
          <w:rFonts w:hint="eastAsia" w:ascii="Times New Roman" w:hAnsi="Times New Roman" w:eastAsia="宋体" w:cs="微软雅黑"/>
          <w:color w:val="auto"/>
          <w:highlight w:val="none"/>
        </w:rPr>
        <w:t>〜</w:t>
      </w:r>
      <w:r>
        <w:rPr>
          <w:rFonts w:ascii="Times New Roman" w:hAnsi="Times New Roman" w:eastAsia="宋体"/>
          <w:color w:val="auto"/>
          <w:highlight w:val="none"/>
        </w:rPr>
        <w:t>5dB</w:t>
      </w:r>
      <w:r>
        <w:rPr>
          <w:rFonts w:hint="eastAsia" w:ascii="Times New Roman" w:hAnsi="Times New Roman" w:eastAsia="宋体"/>
          <w:color w:val="auto"/>
          <w:highlight w:val="none"/>
        </w:rPr>
        <w:t>（</w:t>
      </w:r>
      <w:r>
        <w:rPr>
          <w:rFonts w:ascii="Times New Roman" w:hAnsi="Times New Roman" w:eastAsia="宋体"/>
          <w:color w:val="auto"/>
          <w:highlight w:val="none"/>
        </w:rPr>
        <w:t>A</w:t>
      </w:r>
      <w:r>
        <w:rPr>
          <w:rFonts w:hint="eastAsia" w:ascii="Times New Roman" w:hAnsi="Times New Roman" w:eastAsia="宋体"/>
          <w:color w:val="auto"/>
          <w:highlight w:val="none"/>
        </w:rPr>
        <w:t>），或受噪声影响人口数量增加较多时，按二级评价。</w:t>
      </w:r>
    </w:p>
    <w:p w14:paraId="7D9BE526">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建设项目所处的声环境功能区为GB3096规定的3类、4类地区，或建设项目建设前后评价范围内声环境保护目标噪声级增量在3dB（A）以下（不含3dB（A）），且受影响人口数量变化不大时，按三级评价。</w:t>
      </w:r>
    </w:p>
    <w:p w14:paraId="5D4BBE98">
      <w:pPr>
        <w:ind w:firstLine="480"/>
        <w:rPr>
          <w:rFonts w:ascii="Times New Roman" w:hAnsi="Times New Roman" w:eastAsia="宋体"/>
          <w:color w:val="auto"/>
          <w:highlight w:val="none"/>
        </w:rPr>
      </w:pPr>
      <w:r>
        <w:rPr>
          <w:rFonts w:hint="eastAsia" w:ascii="Times New Roman" w:hAnsi="Times New Roman" w:eastAsia="宋体"/>
          <w:color w:val="auto"/>
          <w:highlight w:val="none"/>
        </w:rPr>
        <w:t>在确定评价等级时，如果建设项目符合两个等级的划分原则，按较高等级评价。</w:t>
      </w:r>
    </w:p>
    <w:p w14:paraId="6BAFA86C">
      <w:pPr>
        <w:ind w:firstLine="480"/>
        <w:rPr>
          <w:rFonts w:ascii="Times New Roman" w:hAnsi="Times New Roman" w:eastAsia="宋体"/>
          <w:color w:val="auto"/>
          <w:highlight w:val="none"/>
        </w:rPr>
      </w:pPr>
      <w:r>
        <w:rPr>
          <w:rFonts w:hint="eastAsia" w:ascii="Times New Roman" w:hAnsi="Times New Roman" w:eastAsia="宋体"/>
          <w:color w:val="auto"/>
          <w:highlight w:val="none"/>
        </w:rPr>
        <w:t>机场建设项目航空器噪声影响评价等级为一级。</w:t>
      </w:r>
    </w:p>
    <w:p w14:paraId="426B76BE">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根据《声环境质量标准》（GB3096-2008）声环境功能区分类，本项目所在地为声环境功能区</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类地区。根据《环境影响评价技术导则声环境》</w:t>
      </w:r>
      <w:r>
        <w:rPr>
          <w:rFonts w:hint="eastAsia"/>
          <w:color w:val="auto"/>
          <w:highlight w:val="none"/>
          <w:lang w:eastAsia="zh-CN"/>
        </w:rPr>
        <w:t>（</w:t>
      </w:r>
      <w:r>
        <w:rPr>
          <w:rFonts w:hint="eastAsia" w:ascii="Times New Roman" w:hAnsi="Times New Roman" w:eastAsia="宋体"/>
          <w:color w:val="auto"/>
          <w:highlight w:val="none"/>
        </w:rPr>
        <w:t>HJ2.4-2021</w:t>
      </w:r>
      <w:r>
        <w:rPr>
          <w:rFonts w:hint="eastAsia"/>
          <w:color w:val="auto"/>
          <w:highlight w:val="none"/>
          <w:lang w:eastAsia="zh-CN"/>
        </w:rPr>
        <w:t>）</w:t>
      </w:r>
      <w:r>
        <w:rPr>
          <w:rFonts w:hint="eastAsia" w:ascii="Times New Roman" w:hAnsi="Times New Roman" w:eastAsia="宋体"/>
          <w:color w:val="auto"/>
          <w:highlight w:val="none"/>
        </w:rPr>
        <w:t>规定，确定声环境评价工作等级为二级评价。</w:t>
      </w:r>
    </w:p>
    <w:p w14:paraId="6131A066">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2.6.1.4土壤环境评价等级</w:t>
      </w:r>
    </w:p>
    <w:p w14:paraId="08AD7B70">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根据《环境影响评价技术导则土壤环境（试行）》（HJ964-2018）评价工作分级规定，项目属于污染影响型，根据污染影响型建设项目类别判定评价等级。</w:t>
      </w:r>
    </w:p>
    <w:p w14:paraId="136B70E7">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项目占地面积约</w:t>
      </w:r>
      <w:r>
        <w:rPr>
          <w:rFonts w:hint="eastAsia" w:ascii="Times New Roman" w:hAnsi="Times New Roman" w:eastAsia="宋体"/>
          <w:color w:val="auto"/>
          <w:highlight w:val="none"/>
          <w:lang w:eastAsia="zh-CN"/>
        </w:rPr>
        <w:t>70119.07</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，约为</w:t>
      </w:r>
      <w:r>
        <w:rPr>
          <w:rFonts w:hint="eastAsia" w:ascii="Times New Roman" w:hAnsi="Times New Roman" w:eastAsia="宋体"/>
          <w:color w:val="auto"/>
          <w:highlight w:val="none"/>
          <w:lang w:val="en-US" w:eastAsia="zh-CN"/>
        </w:rPr>
        <w:t>7.58</w:t>
      </w:r>
      <w:r>
        <w:rPr>
          <w:rFonts w:hint="eastAsia" w:ascii="Times New Roman" w:hAnsi="Times New Roman" w:eastAsia="宋体"/>
          <w:color w:val="auto"/>
          <w:highlight w:val="none"/>
        </w:rPr>
        <w:t>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，占地规模为小型（5~50hm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）。根据《环境影响评价技术导则土壤环境（试行）》（HJ964-2018）附录A土壤环境影响评价项目类别，本项目属于</w:t>
      </w:r>
      <w:r>
        <w:rPr>
          <w:rFonts w:hint="eastAsia"/>
          <w:color w:val="auto"/>
          <w:highlight w:val="none"/>
          <w:lang w:eastAsia="zh-CN"/>
        </w:rPr>
        <w:t>”</w:t>
      </w:r>
      <w:r>
        <w:rPr>
          <w:rFonts w:hint="eastAsia" w:ascii="Times New Roman" w:hAnsi="Times New Roman" w:eastAsia="宋体"/>
          <w:color w:val="auto"/>
          <w:highlight w:val="none"/>
        </w:rPr>
        <w:t>农林牧渔业——年出栏生猪5000头（其他畜禽种类折合猪的养殖规模）及以上的畜禽养殖场或养殖小区</w:t>
      </w:r>
      <w:r>
        <w:rPr>
          <w:rFonts w:hint="eastAsia"/>
          <w:color w:val="auto"/>
          <w:highlight w:val="none"/>
          <w:lang w:eastAsia="zh-CN"/>
        </w:rPr>
        <w:t>”</w:t>
      </w:r>
      <w:r>
        <w:rPr>
          <w:rFonts w:hint="eastAsia" w:ascii="Times New Roman" w:hAnsi="Times New Roman" w:eastAsia="宋体"/>
          <w:color w:val="auto"/>
          <w:highlight w:val="none"/>
        </w:rPr>
        <w:t>，项目类别为Ⅲ类。</w:t>
      </w:r>
    </w:p>
    <w:p w14:paraId="36728CD2">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建设项目所在地周边的土壤环境敏感程度分为敏感、较敏感、不敏感，判别依据见表</w:t>
      </w:r>
      <w:r>
        <w:rPr>
          <w:rFonts w:ascii="Times New Roman" w:hAnsi="Times New Roman" w:eastAsia="宋体"/>
          <w:color w:val="auto"/>
          <w:highlight w:val="none"/>
        </w:rPr>
        <w:t>2.6</w:t>
      </w:r>
      <w:r>
        <w:rPr>
          <w:rFonts w:hint="eastAsia" w:ascii="Times New Roman" w:hAnsi="Times New Roman" w:eastAsia="宋体"/>
          <w:color w:val="auto"/>
          <w:highlight w:val="none"/>
          <w:lang w:val="en-US" w:eastAsia="zh-CN"/>
        </w:rPr>
        <w:t>-8</w:t>
      </w:r>
      <w:r>
        <w:rPr>
          <w:rFonts w:hint="eastAsia" w:ascii="Times New Roman" w:hAnsi="Times New Roman" w:eastAsia="宋体"/>
          <w:color w:val="auto"/>
          <w:highlight w:val="none"/>
        </w:rPr>
        <w:t>所示。</w:t>
      </w:r>
    </w:p>
    <w:p w14:paraId="77C3D151">
      <w:pPr>
        <w:pStyle w:val="10"/>
        <w:rPr>
          <w:rFonts w:ascii="Times New Roman" w:hAnsi="Times New Roman" w:eastAsia="宋体"/>
          <w:color w:val="auto"/>
          <w:highlight w:val="none"/>
        </w:rPr>
      </w:pPr>
      <w:r>
        <w:rPr>
          <w:rFonts w:hint="eastAsia" w:ascii="Times New Roman" w:hAnsi="Times New Roman" w:eastAsia="宋体"/>
          <w:color w:val="auto"/>
          <w:highlight w:val="none"/>
        </w:rPr>
        <w:t>表2.6-</w:t>
      </w:r>
      <w:r>
        <w:rPr>
          <w:rFonts w:hint="eastAsia" w:ascii="Times New Roman" w:hAnsi="Times New Roman" w:eastAsia="宋体"/>
          <w:color w:val="auto"/>
          <w:highlight w:val="none"/>
          <w:lang w:val="en-US" w:eastAsia="zh-CN"/>
        </w:rPr>
        <w:t>8</w:t>
      </w:r>
      <w:r>
        <w:rPr>
          <w:rFonts w:hint="eastAsia" w:ascii="Times New Roman" w:hAnsi="Times New Roman" w:eastAsia="宋体"/>
          <w:color w:val="auto"/>
          <w:highlight w:val="none"/>
        </w:rPr>
        <w:t>污染影响性敏感程度分级表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80"/>
      </w:tblGrid>
      <w:tr w14:paraId="7CEBC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vAlign w:val="center"/>
          </w:tcPr>
          <w:p w14:paraId="508DE12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敏感程度</w:t>
            </w:r>
          </w:p>
        </w:tc>
        <w:tc>
          <w:tcPr>
            <w:tcW w:w="7280" w:type="dxa"/>
            <w:vAlign w:val="center"/>
          </w:tcPr>
          <w:p w14:paraId="6652603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判别依据</w:t>
            </w:r>
          </w:p>
        </w:tc>
      </w:tr>
      <w:tr w14:paraId="1494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2" w:type="dxa"/>
            <w:vAlign w:val="center"/>
          </w:tcPr>
          <w:p w14:paraId="2D9B25C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w:t>
            </w:r>
          </w:p>
        </w:tc>
        <w:tc>
          <w:tcPr>
            <w:tcW w:w="7280" w:type="dxa"/>
            <w:vAlign w:val="center"/>
          </w:tcPr>
          <w:p w14:paraId="2D458A01">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建设项目周边存在耕地、园地、牧草地、饮用水源地或居民区、学校、医院、疗养院、养老院等土壤环境敏感目标的</w:t>
            </w:r>
          </w:p>
        </w:tc>
      </w:tr>
      <w:tr w14:paraId="61CB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16DB031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较敏感</w:t>
            </w:r>
          </w:p>
        </w:tc>
        <w:tc>
          <w:tcPr>
            <w:tcW w:w="7280" w:type="dxa"/>
            <w:vAlign w:val="center"/>
          </w:tcPr>
          <w:p w14:paraId="704B17E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建设项目周边存在其他土壤环境敏感目标的</w:t>
            </w:r>
          </w:p>
        </w:tc>
      </w:tr>
      <w:tr w14:paraId="6ABD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6D98EAA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不敏感</w:t>
            </w:r>
          </w:p>
        </w:tc>
        <w:tc>
          <w:tcPr>
            <w:tcW w:w="7280" w:type="dxa"/>
            <w:vAlign w:val="center"/>
          </w:tcPr>
          <w:p w14:paraId="49618DC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其他情况</w:t>
            </w:r>
          </w:p>
        </w:tc>
      </w:tr>
    </w:tbl>
    <w:p w14:paraId="2C40F776">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本项目四周均为农田（种植经济作物），敏感程度判别为敏感。</w:t>
      </w:r>
    </w:p>
    <w:p w14:paraId="2B55BDC1">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根据《环境影响评价技术导则土壤环境（试行）》（HJ964-2018），污染影响型评价工作等级划分表见表2.6-</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rPr>
        <w:t>。</w:t>
      </w:r>
    </w:p>
    <w:p w14:paraId="0BBA4641">
      <w:pPr>
        <w:pStyle w:val="10"/>
        <w:rPr>
          <w:rFonts w:ascii="Times New Roman" w:hAnsi="Times New Roman" w:eastAsia="宋体"/>
          <w:color w:val="auto"/>
          <w:highlight w:val="none"/>
        </w:rPr>
      </w:pPr>
      <w:r>
        <w:rPr>
          <w:rFonts w:hint="eastAsia" w:ascii="Times New Roman" w:hAnsi="Times New Roman" w:eastAsia="宋体"/>
          <w:color w:val="auto"/>
          <w:highlight w:val="none"/>
        </w:rPr>
        <w:t>表2.6-</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rPr>
        <w:t>污染影响型评价工作等级划分表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04"/>
        <w:gridCol w:w="810"/>
        <w:gridCol w:w="811"/>
        <w:gridCol w:w="810"/>
        <w:gridCol w:w="808"/>
        <w:gridCol w:w="811"/>
        <w:gridCol w:w="808"/>
        <w:gridCol w:w="810"/>
        <w:gridCol w:w="808"/>
      </w:tblGrid>
      <w:tr w14:paraId="4DF1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Merge w:val="restart"/>
            <w:vAlign w:val="center"/>
          </w:tcPr>
          <w:p w14:paraId="47675AF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占地规模</w:t>
            </w:r>
          </w:p>
        </w:tc>
        <w:tc>
          <w:tcPr>
            <w:tcW w:w="1423" w:type="pct"/>
            <w:gridSpan w:val="3"/>
            <w:vAlign w:val="center"/>
          </w:tcPr>
          <w:p w14:paraId="2A03EBC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I类</w:t>
            </w:r>
          </w:p>
        </w:tc>
        <w:tc>
          <w:tcPr>
            <w:tcW w:w="1425" w:type="pct"/>
            <w:gridSpan w:val="3"/>
            <w:vAlign w:val="center"/>
          </w:tcPr>
          <w:p w14:paraId="70F602F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II类</w:t>
            </w:r>
          </w:p>
        </w:tc>
        <w:tc>
          <w:tcPr>
            <w:tcW w:w="1423" w:type="pct"/>
            <w:gridSpan w:val="3"/>
            <w:vAlign w:val="center"/>
          </w:tcPr>
          <w:p w14:paraId="35D31B1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III类</w:t>
            </w:r>
          </w:p>
        </w:tc>
      </w:tr>
      <w:tr w14:paraId="1EB7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vAlign w:val="center"/>
          </w:tcPr>
          <w:p w14:paraId="4EFAC763">
            <w:pPr>
              <w:spacing w:line="240" w:lineRule="auto"/>
              <w:ind w:firstLine="0" w:firstLineChars="0"/>
              <w:jc w:val="center"/>
              <w:rPr>
                <w:rFonts w:ascii="Times New Roman" w:hAnsi="Times New Roman" w:eastAsia="宋体"/>
                <w:color w:val="auto"/>
                <w:sz w:val="21"/>
                <w:szCs w:val="21"/>
                <w:highlight w:val="none"/>
              </w:rPr>
            </w:pPr>
          </w:p>
        </w:tc>
        <w:tc>
          <w:tcPr>
            <w:tcW w:w="472" w:type="pct"/>
            <w:vAlign w:val="center"/>
          </w:tcPr>
          <w:p w14:paraId="33E750A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大</w:t>
            </w:r>
          </w:p>
        </w:tc>
        <w:tc>
          <w:tcPr>
            <w:tcW w:w="475" w:type="pct"/>
            <w:vAlign w:val="center"/>
          </w:tcPr>
          <w:p w14:paraId="62497E1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中</w:t>
            </w:r>
          </w:p>
        </w:tc>
        <w:tc>
          <w:tcPr>
            <w:tcW w:w="476" w:type="pct"/>
            <w:vAlign w:val="center"/>
          </w:tcPr>
          <w:p w14:paraId="07D4D7B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小</w:t>
            </w:r>
          </w:p>
        </w:tc>
        <w:tc>
          <w:tcPr>
            <w:tcW w:w="475" w:type="pct"/>
            <w:vAlign w:val="center"/>
          </w:tcPr>
          <w:p w14:paraId="64D8BCC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大</w:t>
            </w:r>
          </w:p>
        </w:tc>
        <w:tc>
          <w:tcPr>
            <w:tcW w:w="474" w:type="pct"/>
            <w:vAlign w:val="center"/>
          </w:tcPr>
          <w:p w14:paraId="1C81B36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中</w:t>
            </w:r>
          </w:p>
        </w:tc>
        <w:tc>
          <w:tcPr>
            <w:tcW w:w="476" w:type="pct"/>
            <w:vAlign w:val="center"/>
          </w:tcPr>
          <w:p w14:paraId="7BD6762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小</w:t>
            </w:r>
          </w:p>
        </w:tc>
        <w:tc>
          <w:tcPr>
            <w:tcW w:w="474" w:type="pct"/>
            <w:vAlign w:val="center"/>
          </w:tcPr>
          <w:p w14:paraId="3DD2E79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大</w:t>
            </w:r>
          </w:p>
        </w:tc>
        <w:tc>
          <w:tcPr>
            <w:tcW w:w="475" w:type="pct"/>
            <w:vAlign w:val="center"/>
          </w:tcPr>
          <w:p w14:paraId="153077B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中</w:t>
            </w:r>
          </w:p>
        </w:tc>
        <w:tc>
          <w:tcPr>
            <w:tcW w:w="474" w:type="pct"/>
            <w:vAlign w:val="center"/>
          </w:tcPr>
          <w:p w14:paraId="365C8E4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小</w:t>
            </w:r>
          </w:p>
        </w:tc>
      </w:tr>
      <w:tr w14:paraId="179B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Align w:val="center"/>
          </w:tcPr>
          <w:p w14:paraId="4EA29B4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w:t>
            </w:r>
          </w:p>
        </w:tc>
        <w:tc>
          <w:tcPr>
            <w:tcW w:w="472" w:type="pct"/>
            <w:vAlign w:val="center"/>
          </w:tcPr>
          <w:p w14:paraId="33EBFFC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475" w:type="pct"/>
            <w:vAlign w:val="center"/>
          </w:tcPr>
          <w:p w14:paraId="113AD88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476" w:type="pct"/>
            <w:vAlign w:val="center"/>
          </w:tcPr>
          <w:p w14:paraId="032373D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475" w:type="pct"/>
            <w:vAlign w:val="center"/>
          </w:tcPr>
          <w:p w14:paraId="48F0B77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4" w:type="pct"/>
            <w:vAlign w:val="center"/>
          </w:tcPr>
          <w:p w14:paraId="0D5355B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6" w:type="pct"/>
            <w:vAlign w:val="center"/>
          </w:tcPr>
          <w:p w14:paraId="131CECE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4" w:type="pct"/>
            <w:vAlign w:val="center"/>
          </w:tcPr>
          <w:p w14:paraId="0A59CDC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5" w:type="pct"/>
            <w:vAlign w:val="center"/>
          </w:tcPr>
          <w:p w14:paraId="31A6CEB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4" w:type="pct"/>
            <w:vAlign w:val="center"/>
          </w:tcPr>
          <w:p w14:paraId="0F8D216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r>
      <w:tr w14:paraId="40C7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Align w:val="center"/>
          </w:tcPr>
          <w:p w14:paraId="5E84408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较敏感</w:t>
            </w:r>
          </w:p>
        </w:tc>
        <w:tc>
          <w:tcPr>
            <w:tcW w:w="472" w:type="pct"/>
            <w:vAlign w:val="center"/>
          </w:tcPr>
          <w:p w14:paraId="7136E35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475" w:type="pct"/>
            <w:vAlign w:val="center"/>
          </w:tcPr>
          <w:p w14:paraId="372972E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476" w:type="pct"/>
            <w:vAlign w:val="center"/>
          </w:tcPr>
          <w:p w14:paraId="0DA5646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5" w:type="pct"/>
            <w:vAlign w:val="center"/>
          </w:tcPr>
          <w:p w14:paraId="27F7CE6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4" w:type="pct"/>
            <w:vAlign w:val="center"/>
          </w:tcPr>
          <w:p w14:paraId="7386AA0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6" w:type="pct"/>
            <w:vAlign w:val="center"/>
          </w:tcPr>
          <w:p w14:paraId="5545F03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4" w:type="pct"/>
            <w:vAlign w:val="center"/>
          </w:tcPr>
          <w:p w14:paraId="4DA0A7B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5" w:type="pct"/>
            <w:vAlign w:val="center"/>
          </w:tcPr>
          <w:p w14:paraId="0B30FE1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4" w:type="pct"/>
            <w:vAlign w:val="center"/>
          </w:tcPr>
          <w:p w14:paraId="107E19E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14:paraId="46AC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Align w:val="center"/>
          </w:tcPr>
          <w:p w14:paraId="01A6765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不敏感</w:t>
            </w:r>
          </w:p>
        </w:tc>
        <w:tc>
          <w:tcPr>
            <w:tcW w:w="472" w:type="pct"/>
            <w:vAlign w:val="center"/>
          </w:tcPr>
          <w:p w14:paraId="7EB3930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一级</w:t>
            </w:r>
          </w:p>
        </w:tc>
        <w:tc>
          <w:tcPr>
            <w:tcW w:w="475" w:type="pct"/>
            <w:vAlign w:val="center"/>
          </w:tcPr>
          <w:p w14:paraId="7926997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6" w:type="pct"/>
            <w:vAlign w:val="center"/>
          </w:tcPr>
          <w:p w14:paraId="6E83457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5" w:type="pct"/>
            <w:vAlign w:val="center"/>
          </w:tcPr>
          <w:p w14:paraId="500B6EB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c>
          <w:tcPr>
            <w:tcW w:w="474" w:type="pct"/>
            <w:vAlign w:val="center"/>
          </w:tcPr>
          <w:p w14:paraId="0824520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6" w:type="pct"/>
            <w:vAlign w:val="center"/>
          </w:tcPr>
          <w:p w14:paraId="4E646C0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4" w:type="pct"/>
            <w:vAlign w:val="center"/>
          </w:tcPr>
          <w:p w14:paraId="0C6D4CC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c>
          <w:tcPr>
            <w:tcW w:w="475" w:type="pct"/>
            <w:vAlign w:val="center"/>
          </w:tcPr>
          <w:p w14:paraId="795643F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c>
          <w:tcPr>
            <w:tcW w:w="474" w:type="pct"/>
            <w:vAlign w:val="center"/>
          </w:tcPr>
          <w:p w14:paraId="208F708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w:t>
            </w:r>
          </w:p>
        </w:tc>
      </w:tr>
      <w:tr w14:paraId="2D41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vAlign w:val="center"/>
          </w:tcPr>
          <w:p w14:paraId="53E078F4">
            <w:pPr>
              <w:spacing w:line="240" w:lineRule="auto"/>
              <w:ind w:firstLine="0" w:firstLineChars="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注：</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w:t>
            </w:r>
            <w:r>
              <w:rPr>
                <w:rFonts w:hint="eastAsia"/>
                <w:color w:val="auto"/>
                <w:sz w:val="21"/>
                <w:szCs w:val="21"/>
                <w:highlight w:val="none"/>
                <w:lang w:eastAsia="zh-CN"/>
              </w:rPr>
              <w:t>”</w:t>
            </w:r>
            <w:r>
              <w:rPr>
                <w:rFonts w:hint="eastAsia" w:ascii="Times New Roman" w:hAnsi="Times New Roman" w:eastAsia="宋体"/>
                <w:color w:val="auto"/>
                <w:sz w:val="21"/>
                <w:szCs w:val="21"/>
                <w:highlight w:val="none"/>
              </w:rPr>
              <w:t>表示可不开展土壤环境影响评价工作</w:t>
            </w:r>
          </w:p>
        </w:tc>
      </w:tr>
    </w:tbl>
    <w:p w14:paraId="350DE8CD">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综上所述，根据《环境影响评价技术导则土壤环境（试行）》（HJ964-2018），确定本项目土壤环境评价工作等级为三级。</w:t>
      </w:r>
    </w:p>
    <w:p w14:paraId="522AB7D4">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2.6.1.5生态影响</w:t>
      </w:r>
    </w:p>
    <w:p w14:paraId="2E3733F8">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根据《环境影响评价技术导则生态影响》（HJ1.9-2022），确定生态环境评价工作等级。根据生态影响评价工作等级划分内容。生态影响评价工作等级划分如下原则确定：</w:t>
      </w:r>
    </w:p>
    <w:p w14:paraId="49CBAFBB">
      <w:pPr>
        <w:ind w:firstLine="480"/>
        <w:rPr>
          <w:rFonts w:ascii="Times New Roman" w:hAnsi="Times New Roman" w:eastAsia="宋体"/>
          <w:color w:val="auto"/>
          <w:highlight w:val="none"/>
        </w:rPr>
      </w:pPr>
      <w:bookmarkStart w:id="57" w:name="_Hlk106660903"/>
      <w:r>
        <w:rPr>
          <w:rFonts w:hint="eastAsia" w:ascii="Times New Roman" w:hAnsi="Times New Roman" w:eastAsia="宋体"/>
          <w:color w:val="auto"/>
          <w:highlight w:val="none"/>
        </w:rPr>
        <w:t>a）</w:t>
      </w:r>
      <w:r>
        <w:rPr>
          <w:rFonts w:hint="eastAsia" w:ascii="Times New Roman" w:hAnsi="Times New Roman" w:eastAsia="宋体"/>
          <w:color w:val="auto"/>
          <w:highlight w:val="none"/>
        </w:rPr>
        <w:tab/>
      </w:r>
      <w:r>
        <w:rPr>
          <w:rFonts w:hint="eastAsia" w:ascii="Times New Roman" w:hAnsi="Times New Roman" w:eastAsia="宋体"/>
          <w:color w:val="auto"/>
          <w:highlight w:val="none"/>
        </w:rPr>
        <w:t>涉及国家公园、自然保护区、世界自然遗产、重要生境时，评价等级为一级；</w:t>
      </w:r>
    </w:p>
    <w:p w14:paraId="6D0DB047">
      <w:pPr>
        <w:ind w:firstLine="480"/>
        <w:rPr>
          <w:rFonts w:ascii="Times New Roman" w:hAnsi="Times New Roman" w:eastAsia="宋体"/>
          <w:color w:val="auto"/>
          <w:highlight w:val="none"/>
        </w:rPr>
      </w:pPr>
      <w:r>
        <w:rPr>
          <w:rFonts w:hint="eastAsia" w:ascii="Times New Roman" w:hAnsi="Times New Roman" w:eastAsia="宋体"/>
          <w:color w:val="auto"/>
          <w:highlight w:val="none"/>
        </w:rPr>
        <w:t>b）涉及自然公园时，评价等级为二级；</w:t>
      </w:r>
    </w:p>
    <w:p w14:paraId="24C6D458">
      <w:pPr>
        <w:ind w:firstLine="480"/>
        <w:rPr>
          <w:rFonts w:ascii="Times New Roman" w:hAnsi="Times New Roman" w:eastAsia="宋体"/>
          <w:color w:val="auto"/>
          <w:highlight w:val="none"/>
        </w:rPr>
      </w:pPr>
      <w:r>
        <w:rPr>
          <w:rFonts w:hint="eastAsia" w:ascii="Times New Roman" w:hAnsi="Times New Roman" w:eastAsia="宋体"/>
          <w:color w:val="auto"/>
          <w:highlight w:val="none"/>
        </w:rPr>
        <w:t>c）涉及生态保护红线时，评价等级不低于二级：</w:t>
      </w:r>
    </w:p>
    <w:bookmarkEnd w:id="57"/>
    <w:p w14:paraId="18A745A1">
      <w:pPr>
        <w:ind w:firstLine="480"/>
        <w:rPr>
          <w:rFonts w:ascii="Times New Roman" w:hAnsi="Times New Roman" w:eastAsia="宋体"/>
          <w:color w:val="auto"/>
          <w:highlight w:val="none"/>
        </w:rPr>
      </w:pPr>
      <w:r>
        <w:rPr>
          <w:rFonts w:hint="eastAsia" w:ascii="Times New Roman" w:hAnsi="Times New Roman" w:eastAsia="宋体"/>
          <w:color w:val="auto"/>
          <w:highlight w:val="none"/>
        </w:rPr>
        <w:t>d）根据HJ2.3判断属于水文要素影响型且地表水评价等级不低于二级的建设项目，生态影响评价等级不低于二级；</w:t>
      </w:r>
    </w:p>
    <w:p w14:paraId="26756EA9">
      <w:pPr>
        <w:ind w:firstLine="480"/>
        <w:rPr>
          <w:rFonts w:ascii="Times New Roman" w:hAnsi="Times New Roman" w:eastAsia="宋体"/>
          <w:color w:val="auto"/>
          <w:highlight w:val="none"/>
        </w:rPr>
      </w:pPr>
      <w:r>
        <w:rPr>
          <w:rFonts w:hint="eastAsia" w:ascii="Times New Roman" w:hAnsi="Times New Roman" w:eastAsia="宋体"/>
          <w:color w:val="auto"/>
          <w:highlight w:val="none"/>
        </w:rPr>
        <w:t>e）</w:t>
      </w:r>
      <w:r>
        <w:rPr>
          <w:rFonts w:hint="eastAsia" w:ascii="Times New Roman" w:hAnsi="Times New Roman" w:eastAsia="宋体"/>
          <w:color w:val="auto"/>
          <w:highlight w:val="none"/>
        </w:rPr>
        <w:tab/>
      </w:r>
      <w:r>
        <w:rPr>
          <w:rFonts w:hint="eastAsia" w:ascii="Times New Roman" w:hAnsi="Times New Roman" w:eastAsia="宋体"/>
          <w:color w:val="auto"/>
          <w:highlight w:val="none"/>
        </w:rPr>
        <w:t>根据HJ610、HJ964判断地下水水位或土壤影响范围内分布有天然林、公益林、湿地等生态保护目标的建设项目，生态影响评价等级不低于二级；</w:t>
      </w:r>
    </w:p>
    <w:p w14:paraId="28C4CDEB">
      <w:pPr>
        <w:ind w:firstLine="480"/>
        <w:rPr>
          <w:rFonts w:ascii="Times New Roman" w:hAnsi="Times New Roman" w:eastAsia="宋体"/>
          <w:color w:val="auto"/>
          <w:highlight w:val="none"/>
        </w:rPr>
      </w:pPr>
      <w:r>
        <w:rPr>
          <w:rFonts w:hint="eastAsia" w:ascii="Times New Roman" w:hAnsi="Times New Roman" w:eastAsia="宋体"/>
          <w:color w:val="auto"/>
          <w:highlight w:val="none"/>
        </w:rPr>
        <w:t>f）</w:t>
      </w:r>
      <w:r>
        <w:rPr>
          <w:rFonts w:hint="eastAsia" w:ascii="Times New Roman" w:hAnsi="Times New Roman" w:eastAsia="宋体"/>
          <w:color w:val="auto"/>
          <w:highlight w:val="none"/>
        </w:rPr>
        <w:tab/>
      </w:r>
      <w:r>
        <w:rPr>
          <w:rFonts w:hint="eastAsia" w:ascii="Times New Roman" w:hAnsi="Times New Roman" w:eastAsia="宋体"/>
          <w:color w:val="auto"/>
          <w:highlight w:val="none"/>
        </w:rPr>
        <w:t>当工程占地规模大于20km</w:t>
      </w:r>
      <w:r>
        <w:rPr>
          <w:rFonts w:ascii="Times New Roman" w:hAnsi="Times New Roman" w:eastAsia="宋体"/>
          <w:color w:val="auto"/>
          <w:highlight w:val="none"/>
          <w:vertAlign w:val="superscript"/>
        </w:rPr>
        <w:t>2</w:t>
      </w:r>
      <w:r>
        <w:rPr>
          <w:rFonts w:hint="eastAsia" w:ascii="Times New Roman" w:hAnsi="Times New Roman" w:eastAsia="宋体"/>
          <w:color w:val="auto"/>
          <w:highlight w:val="none"/>
        </w:rPr>
        <w:t>时（包括永久和临时占用陆域和水域），评价等级不低于二级：改扩建项目的占地范围以新增占地（包括陆域和水域）确定；</w:t>
      </w:r>
    </w:p>
    <w:p w14:paraId="20AE5A73">
      <w:pPr>
        <w:ind w:firstLine="480"/>
        <w:rPr>
          <w:rFonts w:ascii="Times New Roman" w:hAnsi="Times New Roman" w:eastAsia="宋体"/>
          <w:color w:val="auto"/>
          <w:highlight w:val="none"/>
        </w:rPr>
      </w:pPr>
      <w:r>
        <w:rPr>
          <w:rFonts w:hint="eastAsia" w:ascii="Times New Roman" w:hAnsi="Times New Roman" w:eastAsia="宋体"/>
          <w:color w:val="auto"/>
          <w:highlight w:val="none"/>
        </w:rPr>
        <w:t>g）除本条a）、b）、c）、d）、e）、f）以外的情况，评价等级为三级；</w:t>
      </w:r>
    </w:p>
    <w:p w14:paraId="3A1D28FB">
      <w:pPr>
        <w:ind w:firstLine="480"/>
        <w:rPr>
          <w:rFonts w:ascii="Times New Roman" w:hAnsi="Times New Roman" w:eastAsia="宋体"/>
          <w:color w:val="auto"/>
          <w:highlight w:val="none"/>
        </w:rPr>
      </w:pPr>
      <w:r>
        <w:rPr>
          <w:rFonts w:hint="eastAsia" w:ascii="Times New Roman" w:hAnsi="Times New Roman" w:eastAsia="宋体"/>
          <w:color w:val="auto"/>
          <w:highlight w:val="none"/>
        </w:rPr>
        <w:t>h）当评价等级判定同时符合上述多种情况时，应采用其中最高的评价等级。</w:t>
      </w:r>
    </w:p>
    <w:p w14:paraId="2E62FB41">
      <w:pPr>
        <w:ind w:firstLine="480"/>
        <w:rPr>
          <w:rFonts w:ascii="Times New Roman" w:hAnsi="Times New Roman" w:eastAsia="宋体"/>
          <w:color w:val="auto"/>
          <w:highlight w:val="none"/>
        </w:rPr>
      </w:pPr>
      <w:r>
        <w:rPr>
          <w:rFonts w:hint="eastAsia" w:ascii="Times New Roman" w:hAnsi="Times New Roman" w:eastAsia="宋体"/>
          <w:color w:val="auto"/>
          <w:highlight w:val="none"/>
        </w:rPr>
        <w:t>（2）工程占地范围及环境敏感情况</w:t>
      </w:r>
    </w:p>
    <w:p w14:paraId="7BBAFBFD">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本项目总占地面积</w:t>
      </w:r>
      <w:r>
        <w:rPr>
          <w:rFonts w:hint="eastAsia" w:ascii="Times New Roman" w:hAnsi="Times New Roman" w:eastAsia="宋体"/>
          <w:color w:val="auto"/>
          <w:highlight w:val="none"/>
          <w:lang w:eastAsia="zh-CN"/>
        </w:rPr>
        <w:t>70119.07</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（折</w:t>
      </w:r>
      <w:r>
        <w:rPr>
          <w:rFonts w:hint="eastAsia" w:ascii="Times New Roman" w:hAnsi="Times New Roman" w:eastAsia="宋体"/>
          <w:color w:val="auto"/>
          <w:highlight w:val="none"/>
          <w:lang w:val="en-US" w:eastAsia="zh-CN"/>
        </w:rPr>
        <w:t>0.0757789</w:t>
      </w:r>
      <w:r>
        <w:rPr>
          <w:rFonts w:hint="eastAsia" w:ascii="Times New Roman" w:hAnsi="Times New Roman" w:eastAsia="宋体"/>
          <w:color w:val="auto"/>
          <w:highlight w:val="none"/>
        </w:rPr>
        <w:t>km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），小于2</w:t>
      </w:r>
      <w:r>
        <w:rPr>
          <w:rFonts w:ascii="Times New Roman" w:hAnsi="Times New Roman" w:eastAsia="宋体"/>
          <w:color w:val="auto"/>
          <w:highlight w:val="none"/>
        </w:rPr>
        <w:t>0</w:t>
      </w:r>
      <w:r>
        <w:rPr>
          <w:rFonts w:hint="eastAsia" w:ascii="Times New Roman" w:hAnsi="Times New Roman" w:eastAsia="宋体"/>
          <w:color w:val="auto"/>
          <w:highlight w:val="none"/>
        </w:rPr>
        <w:t>km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。本项目周边不涉及国家公园、自然保护区、世界自然遗产、重要生境时，不涉及自然公园，不涉及生态保护红线。</w:t>
      </w:r>
    </w:p>
    <w:p w14:paraId="55605713">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综上所述，本项目生态影响评价等级为三级。</w:t>
      </w:r>
    </w:p>
    <w:p w14:paraId="11D6638C">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2.6.1.6环境风险</w:t>
      </w:r>
    </w:p>
    <w:p w14:paraId="7D4F517C">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环境风险评价技术导则》（HJ169-2018）、《关于切实加强风险防范严格环境影响评价管理的通知》（环发[2012]98号）、《关于进一步加强环境影响评价管理防范环境风险的通知》（环发[2012]77号）等要求，对本项目进行环境风险评价，通过对建设项目的环境风险进行分析、预测和评估，提出环境风险预防、控制、减缓措施，明确环境风险监控及应急建议要求，为建设项目环境风险防控提出科学依据。</w:t>
      </w:r>
    </w:p>
    <w:p w14:paraId="731A7268">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环境风险评价技术导则》（HJ169-2018）环境风险评价工作等级划分为一级、二级、三级。根据建设项目涉及的物质及工艺系统危险性和所在地的环境敏感性确定环境风险潜势，确定评价工作等级。风险潜势为Ⅳ及以上，进行一级评价；风险潜势为Ⅲ，进行二级评价；风险潜势为Ⅱ，进行三级评价；风险潜势为Ⅰ，可开展简单分析。评价工作等级的划分依据具体见表2.6-1</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rPr>
        <w:t>。</w:t>
      </w:r>
    </w:p>
    <w:p w14:paraId="7F53B59B">
      <w:pPr>
        <w:pStyle w:val="10"/>
        <w:rPr>
          <w:rFonts w:ascii="Times New Roman" w:hAnsi="Times New Roman" w:eastAsia="宋体"/>
          <w:color w:val="auto"/>
          <w:highlight w:val="none"/>
        </w:rPr>
      </w:pPr>
      <w:r>
        <w:rPr>
          <w:rFonts w:hint="eastAsia" w:ascii="Times New Roman" w:hAnsi="Times New Roman" w:eastAsia="宋体"/>
          <w:color w:val="auto"/>
          <w:highlight w:val="none"/>
        </w:rPr>
        <w:t>表2.6-1</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rPr>
        <w:t>评价工作等级划分表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1D3E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shd w:val="clear" w:color="auto" w:fill="auto"/>
            <w:vAlign w:val="center"/>
          </w:tcPr>
          <w:p w14:paraId="6188E800">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环境风险潜势</w:t>
            </w:r>
          </w:p>
        </w:tc>
        <w:tc>
          <w:tcPr>
            <w:tcW w:w="1000" w:type="pct"/>
            <w:shd w:val="clear" w:color="auto" w:fill="auto"/>
            <w:vAlign w:val="center"/>
          </w:tcPr>
          <w:p w14:paraId="2B0A2D38">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Ⅳ、Ⅳ</w:t>
            </w:r>
            <w:r>
              <w:rPr>
                <w:rFonts w:hint="eastAsia" w:ascii="Times New Roman" w:hAnsi="Times New Roman" w:eastAsia="宋体"/>
                <w:color w:val="auto"/>
                <w:sz w:val="21"/>
                <w:highlight w:val="none"/>
                <w:vertAlign w:val="superscript"/>
              </w:rPr>
              <w:t>+</w:t>
            </w:r>
          </w:p>
        </w:tc>
        <w:tc>
          <w:tcPr>
            <w:tcW w:w="1000" w:type="pct"/>
            <w:shd w:val="clear" w:color="auto" w:fill="auto"/>
            <w:vAlign w:val="center"/>
          </w:tcPr>
          <w:p w14:paraId="266D16EF">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Ⅲ</w:t>
            </w:r>
          </w:p>
        </w:tc>
        <w:tc>
          <w:tcPr>
            <w:tcW w:w="1000" w:type="pct"/>
            <w:shd w:val="clear" w:color="auto" w:fill="auto"/>
            <w:vAlign w:val="center"/>
          </w:tcPr>
          <w:p w14:paraId="75A8ADDC">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Ⅱ</w:t>
            </w:r>
          </w:p>
        </w:tc>
        <w:tc>
          <w:tcPr>
            <w:tcW w:w="1001" w:type="pct"/>
            <w:shd w:val="clear" w:color="auto" w:fill="auto"/>
            <w:vAlign w:val="center"/>
          </w:tcPr>
          <w:p w14:paraId="04C87BEF">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Ⅰ</w:t>
            </w:r>
          </w:p>
        </w:tc>
      </w:tr>
      <w:tr w14:paraId="4CE2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shd w:val="clear" w:color="auto" w:fill="auto"/>
            <w:vAlign w:val="center"/>
          </w:tcPr>
          <w:p w14:paraId="2B8DAC74">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评价工作等级</w:t>
            </w:r>
          </w:p>
        </w:tc>
        <w:tc>
          <w:tcPr>
            <w:tcW w:w="1000" w:type="pct"/>
            <w:shd w:val="clear" w:color="auto" w:fill="auto"/>
            <w:vAlign w:val="center"/>
          </w:tcPr>
          <w:p w14:paraId="496316DF">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一</w:t>
            </w:r>
          </w:p>
        </w:tc>
        <w:tc>
          <w:tcPr>
            <w:tcW w:w="1000" w:type="pct"/>
            <w:shd w:val="clear" w:color="auto" w:fill="auto"/>
            <w:vAlign w:val="center"/>
          </w:tcPr>
          <w:p w14:paraId="3E6B16E7">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二</w:t>
            </w:r>
          </w:p>
        </w:tc>
        <w:tc>
          <w:tcPr>
            <w:tcW w:w="1000" w:type="pct"/>
            <w:shd w:val="clear" w:color="auto" w:fill="auto"/>
            <w:vAlign w:val="center"/>
          </w:tcPr>
          <w:p w14:paraId="0ED1A981">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三</w:t>
            </w:r>
          </w:p>
        </w:tc>
        <w:tc>
          <w:tcPr>
            <w:tcW w:w="1001" w:type="pct"/>
            <w:shd w:val="clear" w:color="auto" w:fill="auto"/>
            <w:vAlign w:val="center"/>
          </w:tcPr>
          <w:p w14:paraId="3952A33E">
            <w:pPr>
              <w:spacing w:line="240" w:lineRule="auto"/>
              <w:ind w:firstLine="0" w:firstLineChars="0"/>
              <w:jc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rPr>
              <w:t>简单分析</w:t>
            </w:r>
            <w:r>
              <w:rPr>
                <w:rFonts w:hint="eastAsia" w:ascii="Times New Roman" w:hAnsi="Times New Roman" w:eastAsia="宋体"/>
                <w:color w:val="auto"/>
                <w:sz w:val="21"/>
                <w:highlight w:val="none"/>
                <w:vertAlign w:val="superscript"/>
              </w:rPr>
              <w:t>a</w:t>
            </w:r>
          </w:p>
        </w:tc>
      </w:tr>
      <w:tr w14:paraId="0A01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000" w:type="pct"/>
            <w:gridSpan w:val="5"/>
            <w:shd w:val="clear" w:color="auto" w:fill="auto"/>
            <w:vAlign w:val="center"/>
          </w:tcPr>
          <w:p w14:paraId="1BA60CED">
            <w:pPr>
              <w:spacing w:line="240" w:lineRule="auto"/>
              <w:ind w:firstLine="0" w:firstLineChars="0"/>
              <w:rPr>
                <w:rFonts w:ascii="Times New Roman" w:hAnsi="Times New Roman" w:eastAsia="宋体"/>
                <w:color w:val="auto"/>
                <w:sz w:val="21"/>
                <w:highlight w:val="none"/>
              </w:rPr>
            </w:pPr>
            <w:r>
              <w:rPr>
                <w:rFonts w:hint="eastAsia" w:ascii="Times New Roman" w:hAnsi="Times New Roman" w:eastAsia="宋体"/>
                <w:color w:val="auto"/>
                <w:sz w:val="21"/>
                <w:highlight w:val="none"/>
              </w:rPr>
              <w:t>a是相对于详细评价工作内容而言，在描述危险物质、环境影响途径、环境危害后果、风险防范措施等方面给出定性的说明。</w:t>
            </w:r>
          </w:p>
        </w:tc>
      </w:tr>
    </w:tbl>
    <w:p w14:paraId="1E66D02E">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本项目不涉及附录B中的危险化学品，则存储量和临界量比值</w:t>
      </w:r>
      <w:r>
        <w:rPr>
          <w:rFonts w:hint="eastAsia"/>
          <w:color w:val="auto"/>
          <w:highlight w:val="none"/>
          <w:lang w:eastAsia="zh-CN"/>
        </w:rPr>
        <w:t>（</w:t>
      </w:r>
      <w:r>
        <w:rPr>
          <w:rFonts w:hint="eastAsia" w:ascii="Times New Roman" w:hAnsi="Times New Roman" w:eastAsia="宋体"/>
          <w:color w:val="auto"/>
          <w:highlight w:val="none"/>
        </w:rPr>
        <w:t>Q</w:t>
      </w:r>
      <w:r>
        <w:rPr>
          <w:rFonts w:hint="eastAsia"/>
          <w:color w:val="auto"/>
          <w:highlight w:val="none"/>
          <w:lang w:eastAsia="zh-CN"/>
        </w:rPr>
        <w:t>）</w:t>
      </w:r>
      <w:r>
        <w:rPr>
          <w:rFonts w:hint="eastAsia" w:ascii="Times New Roman" w:hAnsi="Times New Roman" w:eastAsia="宋体"/>
          <w:color w:val="auto"/>
          <w:highlight w:val="none"/>
        </w:rPr>
        <w:t>＜1，该项目环境风险潜势为I，环境风险评价工作级别确定为简单分析。</w:t>
      </w:r>
    </w:p>
    <w:p w14:paraId="253FB516">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2.6.1.7小结</w:t>
      </w:r>
    </w:p>
    <w:p w14:paraId="0BF9DCB6">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本项目环境影响评级等级见表2.6-1</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rPr>
        <w:t>。</w:t>
      </w:r>
    </w:p>
    <w:p w14:paraId="0D072F90">
      <w:pPr>
        <w:pStyle w:val="10"/>
        <w:rPr>
          <w:rFonts w:ascii="Times New Roman" w:hAnsi="Times New Roman" w:eastAsia="宋体"/>
          <w:color w:val="auto"/>
          <w:highlight w:val="none"/>
        </w:rPr>
      </w:pPr>
      <w:r>
        <w:rPr>
          <w:rFonts w:hint="eastAsia" w:ascii="Times New Roman" w:hAnsi="Times New Roman" w:eastAsia="宋体"/>
          <w:color w:val="auto"/>
          <w:highlight w:val="none"/>
        </w:rPr>
        <w:t>表2.6-1</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rPr>
        <w:t>环境影响评价等级表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3597"/>
        <w:gridCol w:w="2468"/>
        <w:gridCol w:w="1155"/>
      </w:tblGrid>
      <w:tr w14:paraId="2901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Align w:val="center"/>
          </w:tcPr>
          <w:p w14:paraId="465D9D8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专题</w:t>
            </w:r>
          </w:p>
        </w:tc>
        <w:tc>
          <w:tcPr>
            <w:tcW w:w="6065" w:type="dxa"/>
            <w:gridSpan w:val="2"/>
            <w:vAlign w:val="center"/>
          </w:tcPr>
          <w:p w14:paraId="435E2C1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等级判别依据</w:t>
            </w:r>
          </w:p>
        </w:tc>
        <w:tc>
          <w:tcPr>
            <w:tcW w:w="1155" w:type="dxa"/>
            <w:vAlign w:val="center"/>
          </w:tcPr>
          <w:p w14:paraId="27BCACF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评价等级</w:t>
            </w:r>
          </w:p>
        </w:tc>
      </w:tr>
      <w:tr w14:paraId="46CA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14:paraId="1B7A1ED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环境空气</w:t>
            </w:r>
          </w:p>
        </w:tc>
        <w:tc>
          <w:tcPr>
            <w:tcW w:w="3597" w:type="dxa"/>
            <w:vAlign w:val="center"/>
          </w:tcPr>
          <w:p w14:paraId="1540E4A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污染物最大地面质量浓度占标率</w:t>
            </w:r>
          </w:p>
        </w:tc>
        <w:tc>
          <w:tcPr>
            <w:tcW w:w="2468" w:type="dxa"/>
            <w:vAlign w:val="center"/>
          </w:tcPr>
          <w:p w14:paraId="59BE5BE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7.61</w:t>
            </w:r>
            <w:r>
              <w:rPr>
                <w:rFonts w:hint="eastAsia" w:ascii="Times New Roman" w:hAnsi="Times New Roman" w:eastAsia="宋体"/>
                <w:color w:val="auto"/>
                <w:sz w:val="21"/>
                <w:szCs w:val="21"/>
                <w:highlight w:val="none"/>
              </w:rPr>
              <w:t>%</w:t>
            </w:r>
          </w:p>
        </w:tc>
        <w:tc>
          <w:tcPr>
            <w:tcW w:w="1155" w:type="dxa"/>
            <w:vMerge w:val="restart"/>
            <w:vAlign w:val="center"/>
          </w:tcPr>
          <w:p w14:paraId="14BB1A6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二</w:t>
            </w:r>
            <w:r>
              <w:rPr>
                <w:rFonts w:hint="eastAsia" w:ascii="Times New Roman" w:hAnsi="Times New Roman" w:eastAsia="宋体"/>
                <w:color w:val="auto"/>
                <w:sz w:val="21"/>
                <w:szCs w:val="21"/>
                <w:highlight w:val="none"/>
              </w:rPr>
              <w:t>级</w:t>
            </w:r>
          </w:p>
        </w:tc>
      </w:tr>
      <w:tr w14:paraId="057B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363B5C4D">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14:paraId="77EC1FC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主要评价因子的环境质量现状</w:t>
            </w:r>
          </w:p>
        </w:tc>
        <w:tc>
          <w:tcPr>
            <w:tcW w:w="2468" w:type="dxa"/>
            <w:vAlign w:val="center"/>
          </w:tcPr>
          <w:p w14:paraId="6ABEEA3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满足（GB3095-2012）二级标准</w:t>
            </w:r>
          </w:p>
        </w:tc>
        <w:tc>
          <w:tcPr>
            <w:tcW w:w="1155" w:type="dxa"/>
            <w:vMerge w:val="continue"/>
            <w:vAlign w:val="center"/>
          </w:tcPr>
          <w:p w14:paraId="1DF2AD42">
            <w:pPr>
              <w:spacing w:line="240" w:lineRule="auto"/>
              <w:ind w:firstLine="0" w:firstLineChars="0"/>
              <w:jc w:val="center"/>
              <w:rPr>
                <w:rFonts w:ascii="Times New Roman" w:hAnsi="Times New Roman" w:eastAsia="宋体"/>
                <w:color w:val="auto"/>
                <w:sz w:val="21"/>
                <w:szCs w:val="21"/>
                <w:highlight w:val="none"/>
              </w:rPr>
            </w:pPr>
          </w:p>
        </w:tc>
      </w:tr>
      <w:tr w14:paraId="4881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03EA60C6">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14:paraId="25C48BD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当地环境空气质量功能类别</w:t>
            </w:r>
          </w:p>
        </w:tc>
        <w:tc>
          <w:tcPr>
            <w:tcW w:w="2468" w:type="dxa"/>
            <w:vAlign w:val="center"/>
          </w:tcPr>
          <w:p w14:paraId="323FC4E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二类</w:t>
            </w:r>
          </w:p>
        </w:tc>
        <w:tc>
          <w:tcPr>
            <w:tcW w:w="1155" w:type="dxa"/>
            <w:vMerge w:val="continue"/>
            <w:vAlign w:val="center"/>
          </w:tcPr>
          <w:p w14:paraId="5416B731">
            <w:pPr>
              <w:spacing w:line="240" w:lineRule="auto"/>
              <w:ind w:firstLine="0" w:firstLineChars="0"/>
              <w:jc w:val="center"/>
              <w:rPr>
                <w:rFonts w:ascii="Times New Roman" w:hAnsi="Times New Roman" w:eastAsia="宋体"/>
                <w:color w:val="auto"/>
                <w:sz w:val="21"/>
                <w:szCs w:val="21"/>
                <w:highlight w:val="none"/>
              </w:rPr>
            </w:pPr>
          </w:p>
        </w:tc>
      </w:tr>
      <w:tr w14:paraId="60F7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58B16ADF">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14:paraId="5356371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区域空气环境敏感程度</w:t>
            </w:r>
          </w:p>
        </w:tc>
        <w:tc>
          <w:tcPr>
            <w:tcW w:w="2468" w:type="dxa"/>
            <w:vAlign w:val="center"/>
          </w:tcPr>
          <w:p w14:paraId="4836911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一般</w:t>
            </w:r>
          </w:p>
        </w:tc>
        <w:tc>
          <w:tcPr>
            <w:tcW w:w="1155" w:type="dxa"/>
            <w:vMerge w:val="continue"/>
            <w:vAlign w:val="center"/>
          </w:tcPr>
          <w:p w14:paraId="3B7689D6">
            <w:pPr>
              <w:spacing w:line="240" w:lineRule="auto"/>
              <w:ind w:firstLine="0" w:firstLineChars="0"/>
              <w:jc w:val="center"/>
              <w:rPr>
                <w:rFonts w:ascii="Times New Roman" w:hAnsi="Times New Roman" w:eastAsia="宋体"/>
                <w:color w:val="auto"/>
                <w:sz w:val="21"/>
                <w:szCs w:val="21"/>
                <w:highlight w:val="none"/>
              </w:rPr>
            </w:pPr>
          </w:p>
        </w:tc>
      </w:tr>
      <w:tr w14:paraId="2F97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14:paraId="7C51E9E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地表水</w:t>
            </w:r>
          </w:p>
        </w:tc>
        <w:tc>
          <w:tcPr>
            <w:tcW w:w="3597" w:type="dxa"/>
            <w:vAlign w:val="center"/>
          </w:tcPr>
          <w:p w14:paraId="4E05F63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排放方式</w:t>
            </w:r>
          </w:p>
        </w:tc>
        <w:tc>
          <w:tcPr>
            <w:tcW w:w="2468" w:type="dxa"/>
            <w:vAlign w:val="center"/>
          </w:tcPr>
          <w:p w14:paraId="6BB3F03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间接排放</w:t>
            </w:r>
          </w:p>
        </w:tc>
        <w:tc>
          <w:tcPr>
            <w:tcW w:w="1155" w:type="dxa"/>
            <w:vMerge w:val="restart"/>
            <w:vAlign w:val="center"/>
          </w:tcPr>
          <w:p w14:paraId="7D1826C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三级B</w:t>
            </w:r>
          </w:p>
        </w:tc>
      </w:tr>
      <w:tr w14:paraId="04E1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18C733C7">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14:paraId="41E197A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生产废水</w:t>
            </w:r>
          </w:p>
        </w:tc>
        <w:tc>
          <w:tcPr>
            <w:tcW w:w="2468" w:type="dxa"/>
            <w:vAlign w:val="center"/>
          </w:tcPr>
          <w:p w14:paraId="6F4AA71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综合利用，不外排</w:t>
            </w:r>
          </w:p>
        </w:tc>
        <w:tc>
          <w:tcPr>
            <w:tcW w:w="1155" w:type="dxa"/>
            <w:vMerge w:val="continue"/>
            <w:vAlign w:val="center"/>
          </w:tcPr>
          <w:p w14:paraId="097F48C0">
            <w:pPr>
              <w:spacing w:line="240" w:lineRule="auto"/>
              <w:ind w:firstLine="0" w:firstLineChars="0"/>
              <w:jc w:val="center"/>
              <w:rPr>
                <w:rFonts w:ascii="Times New Roman" w:hAnsi="Times New Roman" w:eastAsia="宋体"/>
                <w:color w:val="auto"/>
                <w:sz w:val="21"/>
                <w:szCs w:val="21"/>
                <w:highlight w:val="none"/>
              </w:rPr>
            </w:pPr>
          </w:p>
        </w:tc>
      </w:tr>
      <w:tr w14:paraId="0B51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14:paraId="7F14A62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地下水</w:t>
            </w:r>
          </w:p>
        </w:tc>
        <w:tc>
          <w:tcPr>
            <w:tcW w:w="3597" w:type="dxa"/>
            <w:vAlign w:val="center"/>
          </w:tcPr>
          <w:p w14:paraId="2ACE2A8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建设项目行业分类</w:t>
            </w:r>
          </w:p>
        </w:tc>
        <w:tc>
          <w:tcPr>
            <w:tcW w:w="2468" w:type="dxa"/>
            <w:vAlign w:val="center"/>
          </w:tcPr>
          <w:p w14:paraId="0AE7D23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Ⅲ类行业</w:t>
            </w:r>
          </w:p>
        </w:tc>
        <w:tc>
          <w:tcPr>
            <w:tcW w:w="1155" w:type="dxa"/>
            <w:vMerge w:val="restart"/>
            <w:vAlign w:val="center"/>
          </w:tcPr>
          <w:p w14:paraId="7A2F51E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r>
      <w:tr w14:paraId="7543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0EE61556">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14:paraId="6CD9320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区域地下水敏感程度分级</w:t>
            </w:r>
          </w:p>
        </w:tc>
        <w:tc>
          <w:tcPr>
            <w:tcW w:w="2468" w:type="dxa"/>
            <w:vAlign w:val="center"/>
          </w:tcPr>
          <w:p w14:paraId="023754C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不敏感</w:t>
            </w:r>
          </w:p>
        </w:tc>
        <w:tc>
          <w:tcPr>
            <w:tcW w:w="1155" w:type="dxa"/>
            <w:vMerge w:val="continue"/>
            <w:vAlign w:val="center"/>
          </w:tcPr>
          <w:p w14:paraId="54F7A1E3">
            <w:pPr>
              <w:spacing w:line="240" w:lineRule="auto"/>
              <w:ind w:firstLine="0" w:firstLineChars="0"/>
              <w:jc w:val="center"/>
              <w:rPr>
                <w:rFonts w:ascii="Times New Roman" w:hAnsi="Times New Roman" w:eastAsia="宋体"/>
                <w:color w:val="auto"/>
                <w:sz w:val="21"/>
                <w:szCs w:val="21"/>
                <w:highlight w:val="none"/>
              </w:rPr>
            </w:pPr>
          </w:p>
        </w:tc>
      </w:tr>
      <w:tr w14:paraId="3744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14:paraId="4E8A5A0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声环境</w:t>
            </w:r>
          </w:p>
        </w:tc>
        <w:tc>
          <w:tcPr>
            <w:tcW w:w="3597" w:type="dxa"/>
            <w:vAlign w:val="center"/>
          </w:tcPr>
          <w:p w14:paraId="5813009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项目所在地声环境功能区类别</w:t>
            </w:r>
          </w:p>
        </w:tc>
        <w:tc>
          <w:tcPr>
            <w:tcW w:w="2468" w:type="dxa"/>
            <w:vAlign w:val="center"/>
          </w:tcPr>
          <w:p w14:paraId="39BC527C">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2类</w:t>
            </w:r>
          </w:p>
        </w:tc>
        <w:tc>
          <w:tcPr>
            <w:tcW w:w="1155" w:type="dxa"/>
            <w:vMerge w:val="restart"/>
            <w:vAlign w:val="center"/>
          </w:tcPr>
          <w:p w14:paraId="0B22222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二级</w:t>
            </w:r>
          </w:p>
        </w:tc>
      </w:tr>
      <w:tr w14:paraId="1A31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7E284215">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14:paraId="141370B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区域声环境敏感程度</w:t>
            </w:r>
          </w:p>
        </w:tc>
        <w:tc>
          <w:tcPr>
            <w:tcW w:w="2468" w:type="dxa"/>
            <w:vAlign w:val="center"/>
          </w:tcPr>
          <w:p w14:paraId="76F129E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一般区域</w:t>
            </w:r>
          </w:p>
        </w:tc>
        <w:tc>
          <w:tcPr>
            <w:tcW w:w="1155" w:type="dxa"/>
            <w:vMerge w:val="continue"/>
            <w:vAlign w:val="center"/>
          </w:tcPr>
          <w:p w14:paraId="2BA6206C">
            <w:pPr>
              <w:spacing w:line="240" w:lineRule="auto"/>
              <w:ind w:firstLine="0" w:firstLineChars="0"/>
              <w:jc w:val="center"/>
              <w:rPr>
                <w:rFonts w:ascii="Times New Roman" w:hAnsi="Times New Roman" w:eastAsia="宋体"/>
                <w:color w:val="auto"/>
                <w:sz w:val="21"/>
                <w:szCs w:val="21"/>
                <w:highlight w:val="none"/>
              </w:rPr>
            </w:pPr>
          </w:p>
        </w:tc>
      </w:tr>
      <w:tr w14:paraId="3E5D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021F90AE">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14:paraId="21338D9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项目建设前后敏感目标噪声级的变化程度</w:t>
            </w:r>
          </w:p>
        </w:tc>
        <w:tc>
          <w:tcPr>
            <w:tcW w:w="2468" w:type="dxa"/>
            <w:vAlign w:val="center"/>
          </w:tcPr>
          <w:p w14:paraId="374DFC7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噪声级增高量3~5dB（A）</w:t>
            </w:r>
          </w:p>
        </w:tc>
        <w:tc>
          <w:tcPr>
            <w:tcW w:w="1155" w:type="dxa"/>
            <w:vMerge w:val="continue"/>
            <w:vAlign w:val="center"/>
          </w:tcPr>
          <w:p w14:paraId="45672031">
            <w:pPr>
              <w:spacing w:line="240" w:lineRule="auto"/>
              <w:ind w:firstLine="0" w:firstLineChars="0"/>
              <w:jc w:val="center"/>
              <w:rPr>
                <w:rFonts w:ascii="Times New Roman" w:hAnsi="Times New Roman" w:eastAsia="宋体"/>
                <w:color w:val="auto"/>
                <w:sz w:val="21"/>
                <w:szCs w:val="21"/>
                <w:highlight w:val="none"/>
              </w:rPr>
            </w:pPr>
          </w:p>
        </w:tc>
      </w:tr>
      <w:tr w14:paraId="7373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14:paraId="157E99F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土壤</w:t>
            </w:r>
          </w:p>
        </w:tc>
        <w:tc>
          <w:tcPr>
            <w:tcW w:w="3597" w:type="dxa"/>
            <w:vAlign w:val="center"/>
          </w:tcPr>
          <w:p w14:paraId="15A86A59">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建设项目行业分类</w:t>
            </w:r>
          </w:p>
        </w:tc>
        <w:tc>
          <w:tcPr>
            <w:tcW w:w="2468" w:type="dxa"/>
            <w:vAlign w:val="center"/>
          </w:tcPr>
          <w:p w14:paraId="0F77892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Ⅲ类行业</w:t>
            </w:r>
          </w:p>
        </w:tc>
        <w:tc>
          <w:tcPr>
            <w:tcW w:w="1155" w:type="dxa"/>
            <w:vMerge w:val="restart"/>
            <w:vAlign w:val="center"/>
          </w:tcPr>
          <w:p w14:paraId="5A7484A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r>
      <w:tr w14:paraId="0E49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29EF499E">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14:paraId="7682A62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建设项目占地规模</w:t>
            </w:r>
          </w:p>
        </w:tc>
        <w:tc>
          <w:tcPr>
            <w:tcW w:w="2468" w:type="dxa"/>
            <w:vAlign w:val="center"/>
          </w:tcPr>
          <w:p w14:paraId="502EC86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小</w:t>
            </w:r>
            <w:r>
              <w:rPr>
                <w:rFonts w:hint="eastAsia" w:ascii="Times New Roman" w:hAnsi="Times New Roman" w:eastAsia="宋体"/>
                <w:color w:val="auto"/>
                <w:sz w:val="21"/>
                <w:szCs w:val="21"/>
                <w:highlight w:val="none"/>
              </w:rPr>
              <w:t>型</w:t>
            </w:r>
          </w:p>
        </w:tc>
        <w:tc>
          <w:tcPr>
            <w:tcW w:w="1155" w:type="dxa"/>
            <w:vMerge w:val="continue"/>
            <w:vAlign w:val="center"/>
          </w:tcPr>
          <w:p w14:paraId="6F6FF942">
            <w:pPr>
              <w:spacing w:line="240" w:lineRule="auto"/>
              <w:ind w:firstLine="0" w:firstLineChars="0"/>
              <w:jc w:val="center"/>
              <w:rPr>
                <w:rFonts w:ascii="Times New Roman" w:hAnsi="Times New Roman" w:eastAsia="宋体"/>
                <w:color w:val="auto"/>
                <w:sz w:val="21"/>
                <w:szCs w:val="21"/>
                <w:highlight w:val="none"/>
              </w:rPr>
            </w:pPr>
          </w:p>
        </w:tc>
      </w:tr>
      <w:tr w14:paraId="6A88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198C513D">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14:paraId="70C6A6D8">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区域土壤敏感程度</w:t>
            </w:r>
          </w:p>
        </w:tc>
        <w:tc>
          <w:tcPr>
            <w:tcW w:w="2468" w:type="dxa"/>
            <w:vAlign w:val="center"/>
          </w:tcPr>
          <w:p w14:paraId="21C0BF1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敏感</w:t>
            </w:r>
          </w:p>
        </w:tc>
        <w:tc>
          <w:tcPr>
            <w:tcW w:w="1155" w:type="dxa"/>
            <w:vMerge w:val="continue"/>
            <w:vAlign w:val="center"/>
          </w:tcPr>
          <w:p w14:paraId="6B05D752">
            <w:pPr>
              <w:spacing w:line="240" w:lineRule="auto"/>
              <w:ind w:firstLine="0" w:firstLineChars="0"/>
              <w:jc w:val="center"/>
              <w:rPr>
                <w:rFonts w:ascii="Times New Roman" w:hAnsi="Times New Roman" w:eastAsia="宋体"/>
                <w:color w:val="auto"/>
                <w:sz w:val="21"/>
                <w:szCs w:val="21"/>
                <w:highlight w:val="none"/>
              </w:rPr>
            </w:pPr>
          </w:p>
        </w:tc>
      </w:tr>
      <w:tr w14:paraId="4BE7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restart"/>
            <w:vAlign w:val="center"/>
          </w:tcPr>
          <w:p w14:paraId="54917CFD">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生态环境</w:t>
            </w:r>
          </w:p>
        </w:tc>
        <w:tc>
          <w:tcPr>
            <w:tcW w:w="3597" w:type="dxa"/>
            <w:vAlign w:val="center"/>
          </w:tcPr>
          <w:p w14:paraId="447B65B7">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区域生态环境敏感程度</w:t>
            </w:r>
          </w:p>
        </w:tc>
        <w:tc>
          <w:tcPr>
            <w:tcW w:w="2468" w:type="dxa"/>
            <w:vAlign w:val="center"/>
          </w:tcPr>
          <w:p w14:paraId="74D7B18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一般区域</w:t>
            </w:r>
          </w:p>
        </w:tc>
        <w:tc>
          <w:tcPr>
            <w:tcW w:w="1155" w:type="dxa"/>
            <w:vMerge w:val="restart"/>
            <w:vAlign w:val="center"/>
          </w:tcPr>
          <w:p w14:paraId="372D72C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三级</w:t>
            </w:r>
          </w:p>
        </w:tc>
      </w:tr>
      <w:tr w14:paraId="2F7C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Merge w:val="continue"/>
            <w:vAlign w:val="center"/>
          </w:tcPr>
          <w:p w14:paraId="1BC07A69">
            <w:pPr>
              <w:spacing w:line="240" w:lineRule="auto"/>
              <w:ind w:firstLine="0" w:firstLineChars="0"/>
              <w:jc w:val="center"/>
              <w:rPr>
                <w:rFonts w:ascii="Times New Roman" w:hAnsi="Times New Roman" w:eastAsia="宋体"/>
                <w:color w:val="auto"/>
                <w:sz w:val="21"/>
                <w:szCs w:val="21"/>
                <w:highlight w:val="none"/>
              </w:rPr>
            </w:pPr>
          </w:p>
        </w:tc>
        <w:tc>
          <w:tcPr>
            <w:tcW w:w="3597" w:type="dxa"/>
            <w:vAlign w:val="center"/>
          </w:tcPr>
          <w:p w14:paraId="5FB4C9D0">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工程占地范围</w:t>
            </w:r>
          </w:p>
        </w:tc>
        <w:tc>
          <w:tcPr>
            <w:tcW w:w="2468" w:type="dxa"/>
            <w:vAlign w:val="center"/>
          </w:tcPr>
          <w:p w14:paraId="08495244">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厂区占地面积约</w:t>
            </w:r>
            <w:r>
              <w:rPr>
                <w:rFonts w:hint="eastAsia" w:ascii="Times New Roman" w:hAnsi="Times New Roman" w:eastAsia="宋体"/>
                <w:color w:val="auto"/>
                <w:sz w:val="21"/>
                <w:szCs w:val="21"/>
                <w:highlight w:val="none"/>
                <w:lang w:eastAsia="zh-CN"/>
              </w:rPr>
              <w:t>70119.07</w:t>
            </w:r>
            <w:r>
              <w:rPr>
                <w:rFonts w:hint="eastAsia" w:ascii="Times New Roman" w:hAnsi="Times New Roman" w:eastAsia="宋体"/>
                <w:color w:val="auto"/>
                <w:sz w:val="21"/>
                <w:szCs w:val="21"/>
                <w:highlight w:val="none"/>
              </w:rPr>
              <w:t>m</w:t>
            </w:r>
            <w:r>
              <w:rPr>
                <w:rFonts w:hint="eastAsia" w:ascii="Times New Roman" w:hAnsi="Times New Roman" w:eastAsia="宋体"/>
                <w:color w:val="auto"/>
                <w:sz w:val="21"/>
                <w:szCs w:val="21"/>
                <w:highlight w:val="none"/>
                <w:vertAlign w:val="superscript"/>
              </w:rPr>
              <w:t>2</w:t>
            </w:r>
          </w:p>
        </w:tc>
        <w:tc>
          <w:tcPr>
            <w:tcW w:w="1155" w:type="dxa"/>
            <w:vMerge w:val="continue"/>
            <w:vAlign w:val="center"/>
          </w:tcPr>
          <w:p w14:paraId="5D7A2313">
            <w:pPr>
              <w:spacing w:line="240" w:lineRule="auto"/>
              <w:ind w:firstLine="0" w:firstLineChars="0"/>
              <w:jc w:val="center"/>
              <w:rPr>
                <w:rFonts w:ascii="Times New Roman" w:hAnsi="Times New Roman" w:eastAsia="宋体"/>
                <w:color w:val="auto"/>
                <w:sz w:val="21"/>
                <w:szCs w:val="21"/>
                <w:highlight w:val="none"/>
              </w:rPr>
            </w:pPr>
          </w:p>
        </w:tc>
      </w:tr>
      <w:tr w14:paraId="0262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vAlign w:val="center"/>
          </w:tcPr>
          <w:p w14:paraId="7938EA0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环境风险</w:t>
            </w:r>
          </w:p>
          <w:p w14:paraId="7C3E0F1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w:t>
            </w:r>
          </w:p>
        </w:tc>
        <w:tc>
          <w:tcPr>
            <w:tcW w:w="3597" w:type="dxa"/>
            <w:vAlign w:val="center"/>
          </w:tcPr>
          <w:p w14:paraId="01E96DA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危险物质数量与临界量比值</w:t>
            </w:r>
          </w:p>
        </w:tc>
        <w:tc>
          <w:tcPr>
            <w:tcW w:w="2468" w:type="dxa"/>
            <w:vAlign w:val="center"/>
          </w:tcPr>
          <w:p w14:paraId="26FB8AA2">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不</w:t>
            </w:r>
            <w:r>
              <w:rPr>
                <w:rFonts w:hint="eastAsia" w:ascii="Times New Roman" w:hAnsi="Times New Roman" w:eastAsia="宋体"/>
                <w:color w:val="auto"/>
                <w:sz w:val="21"/>
                <w:szCs w:val="21"/>
                <w:highlight w:val="none"/>
              </w:rPr>
              <w:t>涉及附录B中的</w:t>
            </w:r>
            <w:r>
              <w:rPr>
                <w:rFonts w:hint="eastAsia" w:ascii="Times New Roman" w:hAnsi="Times New Roman" w:eastAsia="宋体"/>
                <w:color w:val="auto"/>
                <w:sz w:val="21"/>
                <w:szCs w:val="21"/>
                <w:highlight w:val="none"/>
                <w:lang w:val="en-US" w:eastAsia="zh-CN"/>
              </w:rPr>
              <w:t>化学品</w:t>
            </w:r>
            <w:r>
              <w:rPr>
                <w:rFonts w:hint="eastAsia" w:ascii="Times New Roman" w:hAnsi="Times New Roman" w:eastAsia="宋体"/>
                <w:color w:val="auto"/>
                <w:sz w:val="21"/>
                <w:szCs w:val="21"/>
                <w:highlight w:val="none"/>
              </w:rPr>
              <w:t>，Q＜1</w:t>
            </w:r>
          </w:p>
        </w:tc>
        <w:tc>
          <w:tcPr>
            <w:tcW w:w="1155" w:type="dxa"/>
            <w:vAlign w:val="center"/>
          </w:tcPr>
          <w:p w14:paraId="7AB1D24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简单分析</w:t>
            </w:r>
          </w:p>
        </w:tc>
      </w:tr>
    </w:tbl>
    <w:p w14:paraId="1DC68E2F">
      <w:pPr>
        <w:pStyle w:val="5"/>
        <w:rPr>
          <w:rFonts w:ascii="Times New Roman" w:hAnsi="Times New Roman" w:eastAsia="宋体"/>
          <w:color w:val="auto"/>
          <w:highlight w:val="none"/>
        </w:rPr>
      </w:pPr>
      <w:bookmarkStart w:id="58" w:name="_Toc106663443"/>
      <w:r>
        <w:rPr>
          <w:rFonts w:hint="eastAsia" w:ascii="Times New Roman" w:hAnsi="Times New Roman" w:eastAsia="宋体"/>
          <w:color w:val="auto"/>
          <w:highlight w:val="none"/>
        </w:rPr>
        <w:t>2.6.2评价范围</w:t>
      </w:r>
      <w:bookmarkEnd w:id="58"/>
    </w:p>
    <w:p w14:paraId="2005CB26">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根据评价工作等级及当地气象条件、自然环境状况确定各环境要素评价范围如下：</w:t>
      </w:r>
    </w:p>
    <w:p w14:paraId="3EA88D63">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2.6.2.1环境空气</w:t>
      </w:r>
    </w:p>
    <w:p w14:paraId="0B607BCE">
      <w:pPr>
        <w:ind w:firstLine="480"/>
        <w:rPr>
          <w:rFonts w:ascii="Times New Roman" w:hAnsi="Times New Roman" w:eastAsia="宋体"/>
          <w:color w:val="auto"/>
          <w:highlight w:val="none"/>
        </w:rPr>
      </w:pPr>
      <w:r>
        <w:rPr>
          <w:rFonts w:ascii="Times New Roman" w:hAnsi="Times New Roman" w:eastAsia="宋体"/>
          <w:color w:val="auto"/>
          <w:highlight w:val="none"/>
        </w:rPr>
        <w:t>根据《环境影响评价技术导则大气环境》</w:t>
      </w:r>
      <w:r>
        <w:rPr>
          <w:rFonts w:hint="eastAsia"/>
          <w:color w:val="auto"/>
          <w:highlight w:val="none"/>
          <w:lang w:eastAsia="zh-CN"/>
        </w:rPr>
        <w:t>（</w:t>
      </w:r>
      <w:r>
        <w:rPr>
          <w:rFonts w:ascii="Times New Roman" w:hAnsi="Times New Roman" w:eastAsia="宋体"/>
          <w:color w:val="auto"/>
          <w:highlight w:val="none"/>
        </w:rPr>
        <w:t>HJ2.2-2018</w:t>
      </w:r>
      <w:r>
        <w:rPr>
          <w:rFonts w:hint="eastAsia"/>
          <w:color w:val="auto"/>
          <w:highlight w:val="none"/>
          <w:lang w:eastAsia="zh-CN"/>
        </w:rPr>
        <w:t>）</w:t>
      </w:r>
      <w:r>
        <w:rPr>
          <w:rFonts w:ascii="Times New Roman" w:hAnsi="Times New Roman" w:eastAsia="宋体"/>
          <w:color w:val="auto"/>
          <w:highlight w:val="none"/>
        </w:rPr>
        <w:t>，二级评价项目大气环境影响范围边长取5km。</w:t>
      </w:r>
    </w:p>
    <w:p w14:paraId="76115C00">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2.6.2.2地下水环境</w:t>
      </w:r>
    </w:p>
    <w:p w14:paraId="60D00E8D">
      <w:pPr>
        <w:ind w:firstLine="480"/>
        <w:rPr>
          <w:rFonts w:ascii="Times New Roman" w:hAnsi="Times New Roman" w:eastAsia="宋体"/>
          <w:color w:val="auto"/>
          <w:highlight w:val="none"/>
        </w:rPr>
      </w:pPr>
      <w:r>
        <w:rPr>
          <w:rFonts w:ascii="Times New Roman" w:hAnsi="Times New Roman" w:eastAsia="宋体"/>
          <w:color w:val="auto"/>
          <w:highlight w:val="none"/>
        </w:rPr>
        <w:t>评价区地下水由西南向北东径流，故本次地下水评价范围以厂址为中心，向西南500m、向北东2500m，西北、东南向各1000m、面积6km</w:t>
      </w:r>
      <w:r>
        <w:rPr>
          <w:rFonts w:ascii="Times New Roman" w:hAnsi="Times New Roman" w:eastAsia="宋体"/>
          <w:color w:val="auto"/>
          <w:highlight w:val="none"/>
          <w:vertAlign w:val="superscript"/>
        </w:rPr>
        <w:t>2</w:t>
      </w:r>
      <w:r>
        <w:rPr>
          <w:rFonts w:ascii="Times New Roman" w:hAnsi="Times New Roman" w:eastAsia="宋体"/>
          <w:color w:val="auto"/>
          <w:highlight w:val="none"/>
        </w:rPr>
        <w:t>的矩形区域，包括了地下水流向的上游、下游和侧向范围。</w:t>
      </w:r>
    </w:p>
    <w:p w14:paraId="5EBEB1EC">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2.6.2.3声环境</w:t>
      </w:r>
    </w:p>
    <w:p w14:paraId="1A81B552">
      <w:pPr>
        <w:ind w:firstLine="480"/>
        <w:rPr>
          <w:rFonts w:ascii="Times New Roman" w:hAnsi="Times New Roman" w:eastAsia="宋体"/>
          <w:color w:val="auto"/>
          <w:highlight w:val="none"/>
        </w:rPr>
      </w:pPr>
      <w:r>
        <w:rPr>
          <w:rFonts w:ascii="Times New Roman" w:hAnsi="Times New Roman" w:eastAsia="宋体"/>
          <w:color w:val="auto"/>
          <w:highlight w:val="none"/>
        </w:rPr>
        <w:t>项目噪声评价范围为厂区周围200m区域。</w:t>
      </w:r>
    </w:p>
    <w:p w14:paraId="51D3AE53">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2.6.2.4土壤环境</w:t>
      </w:r>
    </w:p>
    <w:p w14:paraId="2BBAD31B">
      <w:pPr>
        <w:ind w:firstLine="480"/>
        <w:rPr>
          <w:rFonts w:ascii="Times New Roman" w:hAnsi="Times New Roman" w:eastAsia="宋体"/>
          <w:color w:val="auto"/>
          <w:highlight w:val="none"/>
        </w:rPr>
      </w:pPr>
      <w:r>
        <w:rPr>
          <w:rFonts w:ascii="Times New Roman" w:hAnsi="Times New Roman" w:eastAsia="宋体"/>
          <w:color w:val="auto"/>
          <w:highlight w:val="none"/>
        </w:rPr>
        <w:t>项目土壤评价范围为项目区范围和占地范围外50m范围内。</w:t>
      </w:r>
    </w:p>
    <w:p w14:paraId="47620DC0">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2.6.2.5生态影响</w:t>
      </w:r>
    </w:p>
    <w:p w14:paraId="6766746B">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本项目评价范围为本项目活动直接影响区域和间接影响区域，根据本项目的特点，本项目的生态影响范围为本项目的占地区域。</w:t>
      </w:r>
    </w:p>
    <w:p w14:paraId="0F2F8596">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2.6.2.6环境风险</w:t>
      </w:r>
    </w:p>
    <w:p w14:paraId="66A5E9CB">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项目风险评价等级为简单分析，从风险源、环境影响途径、环境危害后果、风险防范措施等方面给出定性的说明。</w:t>
      </w:r>
    </w:p>
    <w:p w14:paraId="55678382">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本项目环境影响评价范围一览表见表2.6-1</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，项目评价范围图见附图2.6-1。</w:t>
      </w:r>
    </w:p>
    <w:p w14:paraId="1FF4B1A1">
      <w:pPr>
        <w:pStyle w:val="10"/>
        <w:rPr>
          <w:rFonts w:ascii="Times New Roman" w:hAnsi="Times New Roman" w:eastAsia="宋体"/>
          <w:color w:val="auto"/>
          <w:highlight w:val="none"/>
        </w:rPr>
      </w:pPr>
      <w:r>
        <w:rPr>
          <w:rFonts w:hint="eastAsia" w:ascii="Times New Roman" w:hAnsi="Times New Roman" w:eastAsia="宋体"/>
          <w:color w:val="auto"/>
          <w:highlight w:val="none"/>
        </w:rPr>
        <w:t>表2.6-1</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环境影响评价范围一览表</w:t>
      </w:r>
    </w:p>
    <w:tbl>
      <w:tblPr>
        <w:tblStyle w:val="17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7"/>
        <w:gridCol w:w="1277"/>
        <w:gridCol w:w="1311"/>
        <w:gridCol w:w="5018"/>
      </w:tblGrid>
      <w:tr w14:paraId="02DE1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425" w:type="pct"/>
            <w:tcBorders>
              <w:top w:val="single" w:color="000000" w:sz="2" w:space="0"/>
              <w:bottom w:val="single" w:color="000000" w:sz="2" w:space="0"/>
            </w:tcBorders>
            <w:vAlign w:val="center"/>
          </w:tcPr>
          <w:p w14:paraId="0062BD2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序号</w:t>
            </w:r>
          </w:p>
        </w:tc>
        <w:tc>
          <w:tcPr>
            <w:tcW w:w="768" w:type="pct"/>
            <w:tcBorders>
              <w:top w:val="single" w:color="000000" w:sz="2" w:space="0"/>
              <w:bottom w:val="single" w:color="000000" w:sz="2" w:space="0"/>
            </w:tcBorders>
            <w:vAlign w:val="center"/>
          </w:tcPr>
          <w:p w14:paraId="1029F6E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类别</w:t>
            </w:r>
          </w:p>
        </w:tc>
        <w:tc>
          <w:tcPr>
            <w:tcW w:w="788" w:type="pct"/>
            <w:tcBorders>
              <w:top w:val="single" w:color="000000" w:sz="2" w:space="0"/>
              <w:bottom w:val="single" w:color="000000" w:sz="2" w:space="0"/>
            </w:tcBorders>
            <w:vAlign w:val="center"/>
          </w:tcPr>
          <w:p w14:paraId="416B05C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评价等级</w:t>
            </w:r>
          </w:p>
        </w:tc>
        <w:tc>
          <w:tcPr>
            <w:tcW w:w="3017" w:type="pct"/>
            <w:tcBorders>
              <w:top w:val="single" w:color="000000" w:sz="2" w:space="0"/>
              <w:bottom w:val="single" w:color="000000" w:sz="2" w:space="0"/>
            </w:tcBorders>
            <w:vAlign w:val="center"/>
          </w:tcPr>
          <w:p w14:paraId="4491B25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评价范围</w:t>
            </w:r>
          </w:p>
        </w:tc>
      </w:tr>
      <w:tr w14:paraId="07615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425" w:type="pct"/>
            <w:tcBorders>
              <w:top w:val="single" w:color="000000" w:sz="2" w:space="0"/>
              <w:bottom w:val="single" w:color="000000" w:sz="2" w:space="0"/>
            </w:tcBorders>
            <w:vAlign w:val="center"/>
          </w:tcPr>
          <w:p w14:paraId="1DECEF0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w:t>
            </w:r>
          </w:p>
        </w:tc>
        <w:tc>
          <w:tcPr>
            <w:tcW w:w="768" w:type="pct"/>
            <w:tcBorders>
              <w:top w:val="single" w:color="000000" w:sz="2" w:space="0"/>
              <w:bottom w:val="single" w:color="000000" w:sz="2" w:space="0"/>
            </w:tcBorders>
            <w:vAlign w:val="center"/>
          </w:tcPr>
          <w:p w14:paraId="177269B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环境空气</w:t>
            </w:r>
          </w:p>
        </w:tc>
        <w:tc>
          <w:tcPr>
            <w:tcW w:w="788" w:type="pct"/>
            <w:tcBorders>
              <w:top w:val="single" w:color="000000" w:sz="2" w:space="0"/>
              <w:bottom w:val="single" w:color="000000" w:sz="2" w:space="0"/>
            </w:tcBorders>
            <w:vAlign w:val="center"/>
          </w:tcPr>
          <w:p w14:paraId="536BFF2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二级</w:t>
            </w:r>
          </w:p>
        </w:tc>
        <w:tc>
          <w:tcPr>
            <w:tcW w:w="3017" w:type="pct"/>
            <w:tcBorders>
              <w:top w:val="single" w:color="000000" w:sz="2" w:space="0"/>
              <w:bottom w:val="single" w:color="000000" w:sz="2" w:space="0"/>
            </w:tcBorders>
            <w:vAlign w:val="center"/>
          </w:tcPr>
          <w:p w14:paraId="0939A6B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以项目厂区为中心，边长为</w:t>
            </w:r>
            <w:r>
              <w:rPr>
                <w:rFonts w:ascii="Times New Roman" w:hAnsi="Times New Roman" w:eastAsia="宋体" w:cs="Times New Roman"/>
                <w:color w:val="auto"/>
                <w:spacing w:val="0"/>
                <w:sz w:val="21"/>
                <w:szCs w:val="21"/>
                <w:highlight w:val="none"/>
              </w:rPr>
              <w:t>5km×5km</w:t>
            </w:r>
            <w:r>
              <w:rPr>
                <w:rFonts w:ascii="Times New Roman" w:hAnsi="Times New Roman" w:eastAsia="宋体" w:cs="宋体"/>
                <w:color w:val="auto"/>
                <w:spacing w:val="0"/>
                <w:sz w:val="21"/>
                <w:szCs w:val="21"/>
                <w:highlight w:val="none"/>
              </w:rPr>
              <w:t>的正方形。</w:t>
            </w:r>
          </w:p>
        </w:tc>
      </w:tr>
      <w:tr w14:paraId="5E6A5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425" w:type="pct"/>
            <w:tcBorders>
              <w:top w:val="single" w:color="000000" w:sz="2" w:space="0"/>
              <w:bottom w:val="single" w:color="000000" w:sz="2" w:space="0"/>
            </w:tcBorders>
            <w:vAlign w:val="center"/>
          </w:tcPr>
          <w:p w14:paraId="148EDE7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w:t>
            </w:r>
          </w:p>
        </w:tc>
        <w:tc>
          <w:tcPr>
            <w:tcW w:w="768" w:type="pct"/>
            <w:tcBorders>
              <w:top w:val="single" w:color="000000" w:sz="2" w:space="0"/>
              <w:bottom w:val="single" w:color="000000" w:sz="2" w:space="0"/>
            </w:tcBorders>
            <w:vAlign w:val="center"/>
          </w:tcPr>
          <w:p w14:paraId="24F5AAF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声环境</w:t>
            </w:r>
          </w:p>
        </w:tc>
        <w:tc>
          <w:tcPr>
            <w:tcW w:w="788" w:type="pct"/>
            <w:tcBorders>
              <w:top w:val="single" w:color="000000" w:sz="2" w:space="0"/>
              <w:bottom w:val="single" w:color="000000" w:sz="2" w:space="0"/>
            </w:tcBorders>
            <w:vAlign w:val="center"/>
          </w:tcPr>
          <w:p w14:paraId="14ECC96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二级</w:t>
            </w:r>
          </w:p>
        </w:tc>
        <w:tc>
          <w:tcPr>
            <w:tcW w:w="3017" w:type="pct"/>
            <w:tcBorders>
              <w:top w:val="single" w:color="000000" w:sz="2" w:space="0"/>
              <w:bottom w:val="single" w:color="000000" w:sz="2" w:space="0"/>
            </w:tcBorders>
            <w:vAlign w:val="center"/>
          </w:tcPr>
          <w:p w14:paraId="65C214F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项目厂界外</w:t>
            </w:r>
            <w:r>
              <w:rPr>
                <w:rFonts w:ascii="Times New Roman" w:hAnsi="Times New Roman" w:eastAsia="宋体" w:cs="Times New Roman"/>
                <w:color w:val="auto"/>
                <w:spacing w:val="0"/>
                <w:sz w:val="21"/>
                <w:szCs w:val="21"/>
                <w:highlight w:val="none"/>
              </w:rPr>
              <w:t>200m</w:t>
            </w:r>
            <w:r>
              <w:rPr>
                <w:rFonts w:ascii="Times New Roman" w:hAnsi="Times New Roman" w:eastAsia="宋体" w:cs="宋体"/>
                <w:color w:val="auto"/>
                <w:spacing w:val="0"/>
                <w:sz w:val="21"/>
                <w:szCs w:val="21"/>
                <w:highlight w:val="none"/>
              </w:rPr>
              <w:t>范围内。</w:t>
            </w:r>
          </w:p>
        </w:tc>
      </w:tr>
      <w:tr w14:paraId="2D4EA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425" w:type="pct"/>
            <w:tcBorders>
              <w:top w:val="single" w:color="000000" w:sz="2" w:space="0"/>
              <w:bottom w:val="single" w:color="000000" w:sz="2" w:space="0"/>
            </w:tcBorders>
            <w:vAlign w:val="center"/>
          </w:tcPr>
          <w:p w14:paraId="02EBE2E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w:t>
            </w:r>
          </w:p>
        </w:tc>
        <w:tc>
          <w:tcPr>
            <w:tcW w:w="768" w:type="pct"/>
            <w:tcBorders>
              <w:top w:val="single" w:color="000000" w:sz="2" w:space="0"/>
              <w:bottom w:val="single" w:color="000000" w:sz="2" w:space="0"/>
            </w:tcBorders>
            <w:vAlign w:val="center"/>
          </w:tcPr>
          <w:p w14:paraId="30093A0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地下水环境</w:t>
            </w:r>
          </w:p>
        </w:tc>
        <w:tc>
          <w:tcPr>
            <w:tcW w:w="788" w:type="pct"/>
            <w:tcBorders>
              <w:top w:val="single" w:color="000000" w:sz="2" w:space="0"/>
              <w:bottom w:val="single" w:color="000000" w:sz="2" w:space="0"/>
            </w:tcBorders>
            <w:vAlign w:val="center"/>
          </w:tcPr>
          <w:p w14:paraId="56667F4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二级</w:t>
            </w:r>
          </w:p>
        </w:tc>
        <w:tc>
          <w:tcPr>
            <w:tcW w:w="3017" w:type="pct"/>
            <w:tcBorders>
              <w:top w:val="single" w:color="000000" w:sz="2" w:space="0"/>
              <w:bottom w:val="single" w:color="000000" w:sz="2" w:space="0"/>
            </w:tcBorders>
            <w:vAlign w:val="center"/>
          </w:tcPr>
          <w:p w14:paraId="2EF4909C">
            <w:pPr>
              <w:keepNext w:val="0"/>
              <w:keepLines w:val="0"/>
              <w:pageBreakBefore w:val="0"/>
              <w:widowControl w:val="0"/>
              <w:kinsoku/>
              <w:wordWrap/>
              <w:overflowPunct/>
              <w:topLinePunct w:val="0"/>
              <w:autoSpaceDE/>
              <w:autoSpaceDN/>
              <w:bidi w:val="0"/>
              <w:adjustRightInd/>
              <w:snapToGrid/>
              <w:spacing w:line="360" w:lineRule="exact"/>
              <w:ind w:left="0" w:right="174"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围以厂址为中心，向西南</w:t>
            </w:r>
            <w:r>
              <w:rPr>
                <w:rFonts w:ascii="Times New Roman" w:hAnsi="Times New Roman" w:eastAsia="宋体" w:cs="Times New Roman"/>
                <w:color w:val="auto"/>
                <w:spacing w:val="0"/>
                <w:sz w:val="21"/>
                <w:szCs w:val="21"/>
                <w:highlight w:val="none"/>
              </w:rPr>
              <w:t>500m</w:t>
            </w:r>
            <w:r>
              <w:rPr>
                <w:rFonts w:ascii="Times New Roman" w:hAnsi="Times New Roman" w:eastAsia="宋体" w:cs="宋体"/>
                <w:color w:val="auto"/>
                <w:spacing w:val="0"/>
                <w:sz w:val="21"/>
                <w:szCs w:val="21"/>
                <w:highlight w:val="none"/>
              </w:rPr>
              <w:t>、向北东</w:t>
            </w:r>
            <w:r>
              <w:rPr>
                <w:rFonts w:ascii="Times New Roman" w:hAnsi="Times New Roman" w:eastAsia="宋体" w:cs="Times New Roman"/>
                <w:color w:val="auto"/>
                <w:spacing w:val="0"/>
                <w:sz w:val="21"/>
                <w:szCs w:val="21"/>
                <w:highlight w:val="none"/>
              </w:rPr>
              <w:t>2500m</w:t>
            </w:r>
            <w:r>
              <w:rPr>
                <w:rFonts w:ascii="Times New Roman" w:hAnsi="Times New Roman" w:eastAsia="宋体" w:cs="宋体"/>
                <w:color w:val="auto"/>
                <w:spacing w:val="0"/>
                <w:sz w:val="21"/>
                <w:szCs w:val="21"/>
                <w:highlight w:val="none"/>
              </w:rPr>
              <w:t>，西北、东南向各</w:t>
            </w:r>
            <w:r>
              <w:rPr>
                <w:rFonts w:ascii="Times New Roman" w:hAnsi="Times New Roman" w:eastAsia="宋体" w:cs="Times New Roman"/>
                <w:color w:val="auto"/>
                <w:spacing w:val="0"/>
                <w:sz w:val="21"/>
                <w:szCs w:val="21"/>
                <w:highlight w:val="none"/>
              </w:rPr>
              <w:t>1000m</w:t>
            </w:r>
            <w:r>
              <w:rPr>
                <w:rFonts w:ascii="Times New Roman" w:hAnsi="Times New Roman" w:eastAsia="宋体" w:cs="宋体"/>
                <w:color w:val="auto"/>
                <w:spacing w:val="0"/>
                <w:sz w:val="21"/>
                <w:szCs w:val="21"/>
                <w:highlight w:val="none"/>
              </w:rPr>
              <w:t>、面积</w:t>
            </w:r>
            <w:r>
              <w:rPr>
                <w:rFonts w:ascii="Times New Roman" w:hAnsi="Times New Roman" w:eastAsia="宋体" w:cs="Times New Roman"/>
                <w:color w:val="auto"/>
                <w:spacing w:val="0"/>
                <w:sz w:val="21"/>
                <w:szCs w:val="21"/>
                <w:highlight w:val="none"/>
              </w:rPr>
              <w:t>6km</w:t>
            </w:r>
            <w:r>
              <w:rPr>
                <w:rFonts w:hint="eastAsia" w:ascii="Times New Roman" w:hAnsi="Times New Roman" w:eastAsia="宋体" w:cs="Times New Roman"/>
                <w:color w:val="auto"/>
                <w:spacing w:val="0"/>
                <w:sz w:val="21"/>
                <w:szCs w:val="21"/>
                <w:highlight w:val="none"/>
                <w:vertAlign w:val="superscript"/>
                <w:lang w:val="en-US" w:eastAsia="zh-CN"/>
              </w:rPr>
              <w:t>2</w:t>
            </w:r>
            <w:r>
              <w:rPr>
                <w:rFonts w:ascii="Times New Roman" w:hAnsi="Times New Roman" w:eastAsia="宋体" w:cs="宋体"/>
                <w:color w:val="auto"/>
                <w:spacing w:val="0"/>
                <w:sz w:val="21"/>
                <w:szCs w:val="21"/>
                <w:highlight w:val="none"/>
              </w:rPr>
              <w:t>的矩形区域。</w:t>
            </w:r>
          </w:p>
        </w:tc>
      </w:tr>
      <w:tr w14:paraId="481FB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425" w:type="pct"/>
            <w:tcBorders>
              <w:top w:val="single" w:color="000000" w:sz="2" w:space="0"/>
              <w:bottom w:val="single" w:color="000000" w:sz="2" w:space="0"/>
            </w:tcBorders>
            <w:vAlign w:val="center"/>
          </w:tcPr>
          <w:p w14:paraId="7BAD804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w:t>
            </w:r>
          </w:p>
        </w:tc>
        <w:tc>
          <w:tcPr>
            <w:tcW w:w="768" w:type="pct"/>
            <w:tcBorders>
              <w:top w:val="single" w:color="000000" w:sz="2" w:space="0"/>
              <w:bottom w:val="single" w:color="000000" w:sz="2" w:space="0"/>
            </w:tcBorders>
            <w:vAlign w:val="center"/>
          </w:tcPr>
          <w:p w14:paraId="1EE56D4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土壤环境</w:t>
            </w:r>
          </w:p>
        </w:tc>
        <w:tc>
          <w:tcPr>
            <w:tcW w:w="788" w:type="pct"/>
            <w:tcBorders>
              <w:top w:val="single" w:color="000000" w:sz="2" w:space="0"/>
              <w:bottom w:val="single" w:color="000000" w:sz="2" w:space="0"/>
            </w:tcBorders>
            <w:vAlign w:val="center"/>
          </w:tcPr>
          <w:p w14:paraId="0582C14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三级</w:t>
            </w:r>
          </w:p>
        </w:tc>
        <w:tc>
          <w:tcPr>
            <w:tcW w:w="3017" w:type="pct"/>
            <w:tcBorders>
              <w:top w:val="single" w:color="000000" w:sz="2" w:space="0"/>
              <w:bottom w:val="single" w:color="000000" w:sz="2" w:space="0"/>
            </w:tcBorders>
            <w:vAlign w:val="center"/>
          </w:tcPr>
          <w:p w14:paraId="384DD22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项目区范围和占地范围外</w:t>
            </w:r>
            <w:r>
              <w:rPr>
                <w:rFonts w:ascii="Times New Roman" w:hAnsi="Times New Roman" w:eastAsia="宋体" w:cs="Times New Roman"/>
                <w:color w:val="auto"/>
                <w:spacing w:val="0"/>
                <w:sz w:val="21"/>
                <w:szCs w:val="21"/>
                <w:highlight w:val="none"/>
              </w:rPr>
              <w:t>50m</w:t>
            </w:r>
            <w:r>
              <w:rPr>
                <w:rFonts w:ascii="Times New Roman" w:hAnsi="Times New Roman" w:eastAsia="宋体" w:cs="宋体"/>
                <w:color w:val="auto"/>
                <w:spacing w:val="0"/>
                <w:sz w:val="21"/>
                <w:szCs w:val="21"/>
                <w:highlight w:val="none"/>
              </w:rPr>
              <w:t>范围内</w:t>
            </w:r>
          </w:p>
        </w:tc>
      </w:tr>
      <w:tr w14:paraId="2BD36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425" w:type="pct"/>
            <w:tcBorders>
              <w:top w:val="single" w:color="000000" w:sz="2" w:space="0"/>
              <w:bottom w:val="single" w:color="000000" w:sz="2" w:space="0"/>
            </w:tcBorders>
            <w:vAlign w:val="center"/>
          </w:tcPr>
          <w:p w14:paraId="5B733AC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w:t>
            </w:r>
          </w:p>
        </w:tc>
        <w:tc>
          <w:tcPr>
            <w:tcW w:w="768" w:type="pct"/>
            <w:tcBorders>
              <w:top w:val="single" w:color="000000" w:sz="2" w:space="0"/>
              <w:bottom w:val="single" w:color="000000" w:sz="2" w:space="0"/>
            </w:tcBorders>
            <w:vAlign w:val="center"/>
          </w:tcPr>
          <w:p w14:paraId="72BECFB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生态环境</w:t>
            </w:r>
          </w:p>
        </w:tc>
        <w:tc>
          <w:tcPr>
            <w:tcW w:w="788" w:type="pct"/>
            <w:tcBorders>
              <w:top w:val="single" w:color="000000" w:sz="2" w:space="0"/>
              <w:bottom w:val="single" w:color="000000" w:sz="2" w:space="0"/>
            </w:tcBorders>
            <w:vAlign w:val="center"/>
          </w:tcPr>
          <w:p w14:paraId="76F191D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三级</w:t>
            </w:r>
          </w:p>
        </w:tc>
        <w:tc>
          <w:tcPr>
            <w:tcW w:w="3017" w:type="pct"/>
            <w:tcBorders>
              <w:top w:val="single" w:color="000000" w:sz="2" w:space="0"/>
              <w:bottom w:val="single" w:color="000000" w:sz="2" w:space="0"/>
            </w:tcBorders>
            <w:vAlign w:val="center"/>
          </w:tcPr>
          <w:p w14:paraId="6632B95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厂界外</w:t>
            </w:r>
            <w:r>
              <w:rPr>
                <w:rFonts w:ascii="Times New Roman" w:hAnsi="Times New Roman" w:eastAsia="宋体" w:cs="Times New Roman"/>
                <w:color w:val="auto"/>
                <w:spacing w:val="0"/>
                <w:sz w:val="21"/>
                <w:szCs w:val="21"/>
                <w:highlight w:val="none"/>
              </w:rPr>
              <w:t>1km</w:t>
            </w:r>
            <w:r>
              <w:rPr>
                <w:rFonts w:ascii="Times New Roman" w:hAnsi="Times New Roman" w:eastAsia="宋体" w:cs="宋体"/>
                <w:color w:val="auto"/>
                <w:spacing w:val="0"/>
                <w:sz w:val="21"/>
                <w:szCs w:val="21"/>
                <w:highlight w:val="none"/>
              </w:rPr>
              <w:t>范围内区域</w:t>
            </w:r>
          </w:p>
        </w:tc>
      </w:tr>
    </w:tbl>
    <w:p w14:paraId="05A9EA55">
      <w:pPr>
        <w:pStyle w:val="4"/>
        <w:rPr>
          <w:rFonts w:ascii="Times New Roman" w:hAnsi="Times New Roman" w:eastAsia="宋体"/>
          <w:color w:val="auto"/>
          <w:highlight w:val="none"/>
        </w:rPr>
      </w:pPr>
      <w:bookmarkStart w:id="59" w:name="_Toc106663444"/>
      <w:bookmarkStart w:id="60" w:name="_Toc89619330"/>
      <w:r>
        <w:rPr>
          <w:rFonts w:hint="eastAsia" w:ascii="Times New Roman" w:hAnsi="Times New Roman" w:eastAsia="宋体"/>
          <w:color w:val="auto"/>
          <w:highlight w:val="none"/>
        </w:rPr>
        <w:t>2.7环境保护目标及敏感点</w:t>
      </w:r>
      <w:bookmarkEnd w:id="59"/>
      <w:bookmarkEnd w:id="60"/>
    </w:p>
    <w:p w14:paraId="76A40F61">
      <w:pPr>
        <w:ind w:firstLine="480"/>
        <w:rPr>
          <w:rFonts w:hint="eastAsia" w:ascii="Times New Roman" w:hAnsi="Times New Roman" w:eastAsia="宋体"/>
          <w:color w:val="auto"/>
          <w:highlight w:val="none"/>
        </w:rPr>
      </w:pPr>
      <w:bookmarkStart w:id="61" w:name="_Toc106663451"/>
      <w:r>
        <w:rPr>
          <w:rFonts w:hint="eastAsia"/>
          <w:color w:val="auto"/>
          <w:highlight w:val="none"/>
          <w:lang w:eastAsia="zh-CN"/>
        </w:rPr>
        <w:t>（</w:t>
      </w:r>
      <w:r>
        <w:rPr>
          <w:rFonts w:hint="eastAsia" w:ascii="Times New Roman" w:hAnsi="Times New Roman" w:eastAsia="宋体"/>
          <w:color w:val="auto"/>
          <w:highlight w:val="none"/>
        </w:rPr>
        <w:t>1</w:t>
      </w:r>
      <w:r>
        <w:rPr>
          <w:rFonts w:hint="eastAsia"/>
          <w:color w:val="auto"/>
          <w:highlight w:val="none"/>
          <w:lang w:eastAsia="zh-CN"/>
        </w:rPr>
        <w:t>）</w:t>
      </w:r>
      <w:r>
        <w:rPr>
          <w:rFonts w:hint="eastAsia" w:ascii="Times New Roman" w:hAnsi="Times New Roman" w:eastAsia="宋体"/>
          <w:color w:val="auto"/>
          <w:highlight w:val="none"/>
        </w:rPr>
        <w:t>环境空气</w:t>
      </w:r>
    </w:p>
    <w:p w14:paraId="57A8E0C2">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控制本项目大气污染物达标排放，确保本项目实施后评价区域的空气质量符合《环境空气质量标准》</w:t>
      </w:r>
      <w:r>
        <w:rPr>
          <w:rFonts w:hint="eastAsia"/>
          <w:color w:val="auto"/>
          <w:highlight w:val="none"/>
          <w:lang w:eastAsia="zh-CN"/>
        </w:rPr>
        <w:t>（</w:t>
      </w:r>
      <w:r>
        <w:rPr>
          <w:rFonts w:hint="eastAsia" w:ascii="Times New Roman" w:hAnsi="Times New Roman" w:eastAsia="宋体"/>
          <w:color w:val="auto"/>
          <w:highlight w:val="none"/>
        </w:rPr>
        <w:t>GB3095-2012</w:t>
      </w:r>
      <w:r>
        <w:rPr>
          <w:rFonts w:hint="eastAsia"/>
          <w:color w:val="auto"/>
          <w:highlight w:val="none"/>
          <w:lang w:eastAsia="zh-CN"/>
        </w:rPr>
        <w:t>）</w:t>
      </w:r>
      <w:r>
        <w:rPr>
          <w:rFonts w:hint="eastAsia" w:ascii="Times New Roman" w:hAnsi="Times New Roman" w:eastAsia="宋体"/>
          <w:color w:val="auto"/>
          <w:highlight w:val="none"/>
        </w:rPr>
        <w:t>二级标准要求。</w:t>
      </w:r>
    </w:p>
    <w:p w14:paraId="3E4257D0">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2</w:t>
      </w:r>
      <w:r>
        <w:rPr>
          <w:rFonts w:hint="eastAsia"/>
          <w:color w:val="auto"/>
          <w:highlight w:val="none"/>
          <w:lang w:eastAsia="zh-CN"/>
        </w:rPr>
        <w:t>）</w:t>
      </w:r>
      <w:r>
        <w:rPr>
          <w:rFonts w:hint="eastAsia" w:ascii="Times New Roman" w:hAnsi="Times New Roman" w:eastAsia="宋体"/>
          <w:color w:val="auto"/>
          <w:highlight w:val="none"/>
        </w:rPr>
        <w:t>地下水环境</w:t>
      </w:r>
    </w:p>
    <w:p w14:paraId="1AFAC550">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做好厂区地面硬化，鸡舍、医疗废物暂存间做好防渗，确保项目所在区域地下水满足《地下水质量标准》</w:t>
      </w:r>
      <w:r>
        <w:rPr>
          <w:rFonts w:hint="eastAsia"/>
          <w:color w:val="auto"/>
          <w:highlight w:val="none"/>
          <w:lang w:eastAsia="zh-CN"/>
        </w:rPr>
        <w:t>（</w:t>
      </w:r>
      <w:r>
        <w:rPr>
          <w:rFonts w:hint="eastAsia" w:ascii="Times New Roman" w:hAnsi="Times New Roman" w:eastAsia="宋体"/>
          <w:color w:val="auto"/>
          <w:highlight w:val="none"/>
        </w:rPr>
        <w:t>GB/T14848-2017</w:t>
      </w:r>
      <w:r>
        <w:rPr>
          <w:rFonts w:hint="eastAsia"/>
          <w:color w:val="auto"/>
          <w:highlight w:val="none"/>
          <w:lang w:eastAsia="zh-CN"/>
        </w:rPr>
        <w:t>）</w:t>
      </w:r>
      <w:r>
        <w:rPr>
          <w:rFonts w:hint="eastAsia" w:ascii="Times New Roman" w:hAnsi="Times New Roman" w:eastAsia="宋体"/>
          <w:color w:val="auto"/>
          <w:highlight w:val="none"/>
        </w:rPr>
        <w:t>中的Ⅲ类标准要求。</w:t>
      </w:r>
    </w:p>
    <w:p w14:paraId="42EC8655">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3</w:t>
      </w:r>
      <w:r>
        <w:rPr>
          <w:rFonts w:hint="eastAsia"/>
          <w:color w:val="auto"/>
          <w:highlight w:val="none"/>
          <w:lang w:eastAsia="zh-CN"/>
        </w:rPr>
        <w:t>）</w:t>
      </w:r>
      <w:r>
        <w:rPr>
          <w:rFonts w:hint="eastAsia" w:ascii="Times New Roman" w:hAnsi="Times New Roman" w:eastAsia="宋体"/>
          <w:color w:val="auto"/>
          <w:highlight w:val="none"/>
        </w:rPr>
        <w:t>声环境</w:t>
      </w:r>
    </w:p>
    <w:p w14:paraId="5D2EF5F9">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确保区域声环境满足《声环境质量标准》</w:t>
      </w:r>
      <w:r>
        <w:rPr>
          <w:rFonts w:hint="eastAsia"/>
          <w:color w:val="auto"/>
          <w:highlight w:val="none"/>
          <w:lang w:eastAsia="zh-CN"/>
        </w:rPr>
        <w:t>（</w:t>
      </w:r>
      <w:r>
        <w:rPr>
          <w:rFonts w:hint="eastAsia" w:ascii="Times New Roman" w:hAnsi="Times New Roman" w:eastAsia="宋体"/>
          <w:color w:val="auto"/>
          <w:highlight w:val="none"/>
        </w:rPr>
        <w:t>GB3096-2008</w:t>
      </w:r>
      <w:r>
        <w:rPr>
          <w:rFonts w:hint="eastAsia"/>
          <w:color w:val="auto"/>
          <w:highlight w:val="none"/>
          <w:lang w:eastAsia="zh-CN"/>
        </w:rPr>
        <w:t>）</w:t>
      </w:r>
      <w:r>
        <w:rPr>
          <w:rFonts w:hint="eastAsia" w:ascii="Times New Roman" w:hAnsi="Times New Roman" w:eastAsia="宋体"/>
          <w:color w:val="auto"/>
          <w:highlight w:val="none"/>
        </w:rPr>
        <w:t>中2类标准要求。</w:t>
      </w:r>
    </w:p>
    <w:p w14:paraId="73CA8810">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4</w:t>
      </w:r>
      <w:r>
        <w:rPr>
          <w:rFonts w:hint="eastAsia"/>
          <w:color w:val="auto"/>
          <w:highlight w:val="none"/>
          <w:lang w:eastAsia="zh-CN"/>
        </w:rPr>
        <w:t>）</w:t>
      </w:r>
      <w:r>
        <w:rPr>
          <w:rFonts w:hint="eastAsia" w:ascii="Times New Roman" w:hAnsi="Times New Roman" w:eastAsia="宋体"/>
          <w:color w:val="auto"/>
          <w:highlight w:val="none"/>
        </w:rPr>
        <w:t>生态环境</w:t>
      </w:r>
    </w:p>
    <w:p w14:paraId="120549F0">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固体废物污染防治目标：确保项目所产生的固体废弃物均得到妥善处置，最大限度地减小固体废物对周围环境的影响，避免二次污染。</w:t>
      </w:r>
    </w:p>
    <w:p w14:paraId="4217E10B">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本项目环境保护目标见表</w:t>
      </w:r>
      <w:r>
        <w:rPr>
          <w:rFonts w:hint="eastAsia" w:ascii="Times New Roman" w:hAnsi="Times New Roman" w:eastAsia="宋体"/>
          <w:color w:val="auto"/>
          <w:highlight w:val="none"/>
          <w:lang w:val="en-US" w:eastAsia="zh-CN"/>
        </w:rPr>
        <w:t>2.7-1</w:t>
      </w:r>
      <w:r>
        <w:rPr>
          <w:rFonts w:hint="eastAsia" w:ascii="Times New Roman" w:hAnsi="Times New Roman" w:eastAsia="宋体"/>
          <w:color w:val="auto"/>
          <w:highlight w:val="none"/>
        </w:rPr>
        <w:t>。</w:t>
      </w:r>
    </w:p>
    <w:p w14:paraId="78753F75">
      <w:pPr>
        <w:keepNext w:val="0"/>
        <w:keepLines w:val="0"/>
        <w:pageBreakBefore w:val="0"/>
        <w:widowControl w:val="0"/>
        <w:kinsoku/>
        <w:wordWrap/>
        <w:overflowPunct/>
        <w:topLinePunct w:val="0"/>
        <w:autoSpaceDE/>
        <w:autoSpaceDN/>
        <w:bidi w:val="0"/>
        <w:adjustRightInd/>
        <w:snapToGrid/>
        <w:spacing w:line="219" w:lineRule="auto"/>
        <w:ind w:left="0" w:firstLine="0" w:firstLineChars="0"/>
        <w:jc w:val="center"/>
        <w:textAlignment w:val="auto"/>
        <w:rPr>
          <w:rFonts w:hint="eastAsia" w:ascii="Times New Roman" w:hAnsi="Times New Roman" w:eastAsia="宋体" w:cstheme="majorBidi"/>
          <w:b/>
          <w:color w:val="auto"/>
          <w:sz w:val="21"/>
          <w:highlight w:val="none"/>
          <w:lang w:val="en-US" w:eastAsia="zh-CN" w:bidi="ar-SA"/>
        </w:rPr>
      </w:pPr>
      <w:r>
        <w:rPr>
          <w:rFonts w:hint="eastAsia" w:ascii="Times New Roman" w:hAnsi="Times New Roman" w:eastAsia="宋体" w:cstheme="majorBidi"/>
          <w:b/>
          <w:color w:val="auto"/>
          <w:sz w:val="21"/>
          <w:highlight w:val="none"/>
          <w:lang w:val="en-US" w:eastAsia="zh-CN" w:bidi="ar-SA"/>
        </w:rPr>
        <w:t>表2.7-1主要环境保护目标一览表</w:t>
      </w:r>
    </w:p>
    <w:tbl>
      <w:tblPr>
        <w:tblStyle w:val="176"/>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09"/>
        <w:gridCol w:w="683"/>
        <w:gridCol w:w="798"/>
        <w:gridCol w:w="909"/>
        <w:gridCol w:w="909"/>
        <w:gridCol w:w="1135"/>
        <w:gridCol w:w="1361"/>
        <w:gridCol w:w="1603"/>
      </w:tblGrid>
      <w:tr w14:paraId="1B610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547" w:type="pct"/>
            <w:vAlign w:val="center"/>
          </w:tcPr>
          <w:p w14:paraId="06EC52E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环境要素</w:t>
            </w:r>
          </w:p>
        </w:tc>
        <w:tc>
          <w:tcPr>
            <w:tcW w:w="891" w:type="pct"/>
            <w:gridSpan w:val="2"/>
            <w:vAlign w:val="center"/>
          </w:tcPr>
          <w:p w14:paraId="4D2321B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坐标</w:t>
            </w:r>
            <w:r>
              <w:rPr>
                <w:rFonts w:ascii="Times New Roman" w:hAnsi="Times New Roman" w:eastAsia="宋体" w:cs="Times New Roman"/>
                <w:color w:val="auto"/>
                <w:spacing w:val="0"/>
                <w:position w:val="0"/>
                <w:sz w:val="21"/>
                <w:szCs w:val="21"/>
                <w:highlight w:val="none"/>
              </w:rPr>
              <w:t>/m</w:t>
            </w:r>
          </w:p>
        </w:tc>
        <w:tc>
          <w:tcPr>
            <w:tcW w:w="547" w:type="pct"/>
            <w:vMerge w:val="restart"/>
            <w:tcBorders>
              <w:bottom w:val="nil"/>
            </w:tcBorders>
            <w:vAlign w:val="center"/>
          </w:tcPr>
          <w:p w14:paraId="43A0433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保护对象</w:t>
            </w:r>
          </w:p>
        </w:tc>
        <w:tc>
          <w:tcPr>
            <w:tcW w:w="547" w:type="pct"/>
            <w:vMerge w:val="restart"/>
            <w:tcBorders>
              <w:bottom w:val="nil"/>
            </w:tcBorders>
            <w:vAlign w:val="center"/>
          </w:tcPr>
          <w:p w14:paraId="3035435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保护内容</w:t>
            </w:r>
          </w:p>
        </w:tc>
        <w:tc>
          <w:tcPr>
            <w:tcW w:w="683" w:type="pct"/>
            <w:vMerge w:val="restart"/>
            <w:tcBorders>
              <w:bottom w:val="nil"/>
            </w:tcBorders>
            <w:vAlign w:val="center"/>
          </w:tcPr>
          <w:p w14:paraId="001F5E0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环境功能区</w:t>
            </w:r>
          </w:p>
        </w:tc>
        <w:tc>
          <w:tcPr>
            <w:tcW w:w="819" w:type="pct"/>
            <w:vMerge w:val="restart"/>
            <w:tcBorders>
              <w:bottom w:val="nil"/>
            </w:tcBorders>
            <w:vAlign w:val="center"/>
          </w:tcPr>
          <w:p w14:paraId="08A3ACC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相对厂址方位</w:t>
            </w:r>
          </w:p>
        </w:tc>
        <w:tc>
          <w:tcPr>
            <w:tcW w:w="963" w:type="pct"/>
            <w:vMerge w:val="restart"/>
            <w:tcBorders>
              <w:bottom w:val="nil"/>
            </w:tcBorders>
            <w:vAlign w:val="center"/>
          </w:tcPr>
          <w:p w14:paraId="6C2B946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相对厂界距离</w:t>
            </w:r>
            <w:r>
              <w:rPr>
                <w:rFonts w:ascii="Times New Roman" w:hAnsi="Times New Roman" w:eastAsia="宋体" w:cs="Times New Roman"/>
                <w:color w:val="auto"/>
                <w:spacing w:val="0"/>
                <w:position w:val="0"/>
                <w:sz w:val="21"/>
                <w:szCs w:val="21"/>
                <w:highlight w:val="none"/>
              </w:rPr>
              <w:t>/m</w:t>
            </w:r>
          </w:p>
        </w:tc>
      </w:tr>
      <w:tr w14:paraId="5719F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547" w:type="pct"/>
            <w:vMerge w:val="restart"/>
            <w:tcBorders>
              <w:bottom w:val="nil"/>
            </w:tcBorders>
            <w:vAlign w:val="center"/>
          </w:tcPr>
          <w:p w14:paraId="7EE5489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环境空气</w:t>
            </w:r>
          </w:p>
        </w:tc>
        <w:tc>
          <w:tcPr>
            <w:tcW w:w="411" w:type="pct"/>
            <w:vAlign w:val="center"/>
          </w:tcPr>
          <w:p w14:paraId="489471F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X</w:t>
            </w:r>
          </w:p>
        </w:tc>
        <w:tc>
          <w:tcPr>
            <w:tcW w:w="480" w:type="pct"/>
            <w:vAlign w:val="center"/>
          </w:tcPr>
          <w:p w14:paraId="19D4E03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Y</w:t>
            </w:r>
          </w:p>
        </w:tc>
        <w:tc>
          <w:tcPr>
            <w:tcW w:w="547" w:type="pct"/>
            <w:vMerge w:val="continue"/>
            <w:tcBorders>
              <w:top w:val="nil"/>
            </w:tcBorders>
            <w:vAlign w:val="center"/>
          </w:tcPr>
          <w:p w14:paraId="402C7F1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547" w:type="pct"/>
            <w:vMerge w:val="continue"/>
            <w:tcBorders>
              <w:top w:val="nil"/>
            </w:tcBorders>
            <w:vAlign w:val="center"/>
          </w:tcPr>
          <w:p w14:paraId="5A5C290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683" w:type="pct"/>
            <w:vMerge w:val="continue"/>
            <w:tcBorders>
              <w:top w:val="nil"/>
            </w:tcBorders>
            <w:vAlign w:val="center"/>
          </w:tcPr>
          <w:p w14:paraId="3527785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819" w:type="pct"/>
            <w:vMerge w:val="continue"/>
            <w:tcBorders>
              <w:top w:val="nil"/>
            </w:tcBorders>
            <w:vAlign w:val="center"/>
          </w:tcPr>
          <w:p w14:paraId="6DB03F9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963" w:type="pct"/>
            <w:vMerge w:val="continue"/>
            <w:tcBorders>
              <w:top w:val="nil"/>
            </w:tcBorders>
            <w:vAlign w:val="center"/>
          </w:tcPr>
          <w:p w14:paraId="5D057BB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14:paraId="09204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547" w:type="pct"/>
            <w:vMerge w:val="continue"/>
            <w:tcBorders>
              <w:top w:val="nil"/>
            </w:tcBorders>
            <w:vAlign w:val="center"/>
          </w:tcPr>
          <w:p w14:paraId="3237280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411" w:type="pct"/>
            <w:vAlign w:val="center"/>
          </w:tcPr>
          <w:p w14:paraId="0706813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444881</w:t>
            </w:r>
          </w:p>
        </w:tc>
        <w:tc>
          <w:tcPr>
            <w:tcW w:w="480" w:type="pct"/>
            <w:vAlign w:val="center"/>
          </w:tcPr>
          <w:p w14:paraId="61A4F02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4910256</w:t>
            </w:r>
          </w:p>
        </w:tc>
        <w:tc>
          <w:tcPr>
            <w:tcW w:w="547" w:type="pct"/>
            <w:vAlign w:val="center"/>
          </w:tcPr>
          <w:p w14:paraId="2A1E7EC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苇坝村</w:t>
            </w:r>
          </w:p>
        </w:tc>
        <w:tc>
          <w:tcPr>
            <w:tcW w:w="547" w:type="pct"/>
            <w:vAlign w:val="center"/>
          </w:tcPr>
          <w:p w14:paraId="44306CB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人群健康</w:t>
            </w:r>
          </w:p>
        </w:tc>
        <w:tc>
          <w:tcPr>
            <w:tcW w:w="683" w:type="pct"/>
            <w:vAlign w:val="center"/>
          </w:tcPr>
          <w:p w14:paraId="602AD2C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二类区</w:t>
            </w:r>
          </w:p>
        </w:tc>
        <w:tc>
          <w:tcPr>
            <w:tcW w:w="819" w:type="pct"/>
            <w:vAlign w:val="center"/>
          </w:tcPr>
          <w:p w14:paraId="2ADF7C3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w:t>
            </w:r>
          </w:p>
        </w:tc>
        <w:tc>
          <w:tcPr>
            <w:tcW w:w="963" w:type="pct"/>
            <w:vAlign w:val="center"/>
          </w:tcPr>
          <w:p w14:paraId="7AE5473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1800</w:t>
            </w:r>
          </w:p>
        </w:tc>
      </w:tr>
      <w:tr w14:paraId="4884F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547" w:type="pct"/>
            <w:vAlign w:val="center"/>
          </w:tcPr>
          <w:p w14:paraId="1D706EA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声环境</w:t>
            </w:r>
          </w:p>
        </w:tc>
        <w:tc>
          <w:tcPr>
            <w:tcW w:w="1438" w:type="pct"/>
            <w:gridSpan w:val="3"/>
            <w:vAlign w:val="center"/>
          </w:tcPr>
          <w:p w14:paraId="29618DB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厂址区域及周围声环境</w:t>
            </w:r>
          </w:p>
        </w:tc>
        <w:tc>
          <w:tcPr>
            <w:tcW w:w="547" w:type="pct"/>
            <w:vAlign w:val="center"/>
          </w:tcPr>
          <w:p w14:paraId="3F78AC3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声环境</w:t>
            </w:r>
          </w:p>
        </w:tc>
        <w:tc>
          <w:tcPr>
            <w:tcW w:w="683" w:type="pct"/>
            <w:vAlign w:val="center"/>
          </w:tcPr>
          <w:p w14:paraId="158E2C5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二类区</w:t>
            </w:r>
          </w:p>
        </w:tc>
        <w:tc>
          <w:tcPr>
            <w:tcW w:w="1782" w:type="pct"/>
            <w:gridSpan w:val="2"/>
            <w:vAlign w:val="center"/>
          </w:tcPr>
          <w:p w14:paraId="2E32902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14:paraId="04EEF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jc w:val="center"/>
        </w:trPr>
        <w:tc>
          <w:tcPr>
            <w:tcW w:w="547" w:type="pct"/>
            <w:vAlign w:val="center"/>
          </w:tcPr>
          <w:p w14:paraId="3029B23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地下水</w:t>
            </w:r>
          </w:p>
        </w:tc>
        <w:tc>
          <w:tcPr>
            <w:tcW w:w="1438" w:type="pct"/>
            <w:gridSpan w:val="3"/>
            <w:vAlign w:val="center"/>
          </w:tcPr>
          <w:p w14:paraId="7E9DA03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厂址区域及附近地下水</w:t>
            </w:r>
          </w:p>
        </w:tc>
        <w:tc>
          <w:tcPr>
            <w:tcW w:w="3013" w:type="pct"/>
            <w:gridSpan w:val="4"/>
            <w:vAlign w:val="center"/>
          </w:tcPr>
          <w:p w14:paraId="726E4E6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地下水质</w:t>
            </w:r>
          </w:p>
        </w:tc>
      </w:tr>
      <w:tr w14:paraId="14C44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547" w:type="pct"/>
            <w:vAlign w:val="center"/>
          </w:tcPr>
          <w:p w14:paraId="7456D84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生态</w:t>
            </w:r>
          </w:p>
          <w:p w14:paraId="26E1E74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环境</w:t>
            </w:r>
          </w:p>
        </w:tc>
        <w:tc>
          <w:tcPr>
            <w:tcW w:w="1438" w:type="pct"/>
            <w:gridSpan w:val="3"/>
            <w:vAlign w:val="center"/>
          </w:tcPr>
          <w:p w14:paraId="4B8F5CB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厂址区域</w:t>
            </w:r>
          </w:p>
        </w:tc>
        <w:tc>
          <w:tcPr>
            <w:tcW w:w="3013" w:type="pct"/>
            <w:gridSpan w:val="4"/>
            <w:vAlign w:val="center"/>
          </w:tcPr>
          <w:p w14:paraId="110B3AA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保护区域生态环境</w:t>
            </w:r>
          </w:p>
        </w:tc>
      </w:tr>
      <w:bookmarkEnd w:id="61"/>
    </w:tbl>
    <w:p w14:paraId="1B430E44">
      <w:pPr>
        <w:pStyle w:val="4"/>
        <w:rPr>
          <w:rFonts w:ascii="Times New Roman" w:hAnsi="Times New Roman" w:eastAsia="宋体"/>
          <w:color w:val="auto"/>
          <w:highlight w:val="none"/>
        </w:rPr>
      </w:pPr>
      <w:bookmarkStart w:id="62" w:name="_Toc89619331"/>
      <w:bookmarkStart w:id="63" w:name="_Toc106663452"/>
      <w:r>
        <w:rPr>
          <w:rFonts w:hint="eastAsia" w:ascii="Times New Roman" w:hAnsi="Times New Roman" w:eastAsia="宋体"/>
          <w:color w:val="auto"/>
          <w:highlight w:val="none"/>
        </w:rPr>
        <w:t>2.9选址合理性分析</w:t>
      </w:r>
      <w:bookmarkEnd w:id="62"/>
      <w:bookmarkEnd w:id="63"/>
    </w:p>
    <w:p w14:paraId="2929B8B7">
      <w:pPr>
        <w:pStyle w:val="5"/>
        <w:rPr>
          <w:rFonts w:ascii="Times New Roman" w:hAnsi="Times New Roman" w:eastAsia="宋体"/>
          <w:color w:val="auto"/>
          <w:highlight w:val="none"/>
        </w:rPr>
      </w:pPr>
      <w:bookmarkStart w:id="64" w:name="_Toc106663453"/>
      <w:r>
        <w:rPr>
          <w:rFonts w:hint="eastAsia" w:ascii="Times New Roman" w:hAnsi="Times New Roman" w:eastAsia="宋体"/>
          <w:color w:val="auto"/>
          <w:highlight w:val="none"/>
        </w:rPr>
        <w:t>2.9.1选址合理性</w:t>
      </w:r>
      <w:bookmarkEnd w:id="64"/>
    </w:p>
    <w:p w14:paraId="54445404">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本项目建设位于广东地乡苇坝村东侧1.6km处，项目北侧为空地，西侧为乡村道路，</w:t>
      </w:r>
      <w:r>
        <w:rPr>
          <w:rFonts w:hint="eastAsia"/>
          <w:color w:val="auto"/>
          <w:highlight w:val="none"/>
          <w:lang w:eastAsia="zh-CN"/>
        </w:rPr>
        <w:t>南侧为农田</w:t>
      </w:r>
      <w:r>
        <w:rPr>
          <w:rFonts w:hint="eastAsia" w:ascii="Times New Roman" w:hAnsi="Times New Roman" w:eastAsia="宋体"/>
          <w:color w:val="auto"/>
          <w:highlight w:val="none"/>
        </w:rPr>
        <w:t>，东侧为棉花地，用地类型为设施农用地。经分析，项目选址符合《畜禽养殖业污染防治技术规范》</w:t>
      </w:r>
      <w:r>
        <w:rPr>
          <w:rFonts w:hint="eastAsia"/>
          <w:color w:val="auto"/>
          <w:highlight w:val="none"/>
          <w:lang w:eastAsia="zh-CN"/>
        </w:rPr>
        <w:t>（</w:t>
      </w:r>
      <w:r>
        <w:rPr>
          <w:rFonts w:hint="eastAsia" w:ascii="Times New Roman" w:hAnsi="Times New Roman" w:eastAsia="宋体"/>
          <w:color w:val="auto"/>
          <w:highlight w:val="none"/>
        </w:rPr>
        <w:t>HJ/T81-2001</w:t>
      </w:r>
      <w:r>
        <w:rPr>
          <w:rFonts w:hint="eastAsia"/>
          <w:color w:val="auto"/>
          <w:highlight w:val="none"/>
          <w:lang w:eastAsia="zh-CN"/>
        </w:rPr>
        <w:t>）</w:t>
      </w:r>
      <w:r>
        <w:rPr>
          <w:rFonts w:hint="eastAsia" w:ascii="Times New Roman" w:hAnsi="Times New Roman" w:eastAsia="宋体"/>
          <w:color w:val="auto"/>
          <w:highlight w:val="none"/>
        </w:rPr>
        <w:t>、《动物防疫条件审查办法》</w:t>
      </w:r>
      <w:r>
        <w:rPr>
          <w:rFonts w:hint="eastAsia"/>
          <w:color w:val="auto"/>
          <w:highlight w:val="none"/>
          <w:lang w:eastAsia="zh-CN"/>
        </w:rPr>
        <w:t>（</w:t>
      </w:r>
      <w:r>
        <w:rPr>
          <w:rFonts w:hint="eastAsia" w:ascii="Times New Roman" w:hAnsi="Times New Roman" w:eastAsia="宋体"/>
          <w:color w:val="auto"/>
          <w:highlight w:val="none"/>
        </w:rPr>
        <w:t>农业部令2010年第7号</w:t>
      </w:r>
      <w:r>
        <w:rPr>
          <w:rFonts w:hint="eastAsia"/>
          <w:color w:val="auto"/>
          <w:highlight w:val="none"/>
          <w:lang w:eastAsia="zh-CN"/>
        </w:rPr>
        <w:t>）</w:t>
      </w:r>
      <w:r>
        <w:rPr>
          <w:rFonts w:hint="eastAsia" w:ascii="Times New Roman" w:hAnsi="Times New Roman" w:eastAsia="宋体"/>
          <w:color w:val="auto"/>
          <w:highlight w:val="none"/>
        </w:rPr>
        <w:t>、《畜禽养殖业污染治理工程技术规范》</w:t>
      </w:r>
      <w:r>
        <w:rPr>
          <w:rFonts w:hint="eastAsia"/>
          <w:color w:val="auto"/>
          <w:highlight w:val="none"/>
          <w:lang w:eastAsia="zh-CN"/>
        </w:rPr>
        <w:t>（</w:t>
      </w:r>
      <w:r>
        <w:rPr>
          <w:rFonts w:hint="eastAsia" w:ascii="Times New Roman" w:hAnsi="Times New Roman" w:eastAsia="宋体"/>
          <w:color w:val="auto"/>
          <w:highlight w:val="none"/>
        </w:rPr>
        <w:t>HJ497-2009</w:t>
      </w:r>
      <w:r>
        <w:rPr>
          <w:rFonts w:hint="eastAsia"/>
          <w:color w:val="auto"/>
          <w:highlight w:val="none"/>
          <w:lang w:eastAsia="zh-CN"/>
        </w:rPr>
        <w:t>）</w:t>
      </w:r>
      <w:r>
        <w:rPr>
          <w:rFonts w:hint="eastAsia" w:ascii="Times New Roman" w:hAnsi="Times New Roman" w:eastAsia="宋体"/>
          <w:color w:val="auto"/>
          <w:highlight w:val="none"/>
        </w:rPr>
        <w:t>和《玛纳斯县畜禽养殖禁养区和限养区划定工作实施方案》</w:t>
      </w:r>
      <w:r>
        <w:rPr>
          <w:rFonts w:hint="eastAsia"/>
          <w:color w:val="auto"/>
          <w:highlight w:val="none"/>
          <w:lang w:eastAsia="zh-CN"/>
        </w:rPr>
        <w:t>（</w:t>
      </w:r>
      <w:r>
        <w:rPr>
          <w:rFonts w:hint="eastAsia" w:ascii="Times New Roman" w:hAnsi="Times New Roman" w:eastAsia="宋体"/>
          <w:color w:val="auto"/>
          <w:highlight w:val="none"/>
        </w:rPr>
        <w:t>玛政办发〔2017〕20号</w:t>
      </w:r>
      <w:r>
        <w:rPr>
          <w:rFonts w:hint="eastAsia"/>
          <w:color w:val="auto"/>
          <w:highlight w:val="none"/>
          <w:lang w:eastAsia="zh-CN"/>
        </w:rPr>
        <w:t>）</w:t>
      </w:r>
      <w:r>
        <w:rPr>
          <w:rFonts w:hint="eastAsia" w:ascii="Times New Roman" w:hAnsi="Times New Roman" w:eastAsia="宋体"/>
          <w:color w:val="auto"/>
          <w:highlight w:val="none"/>
        </w:rPr>
        <w:t>等规范文件对畜禽养殖场的选址要求。因此，本项目选址合理可行。</w:t>
      </w:r>
    </w:p>
    <w:p w14:paraId="6ECEFDD6">
      <w:pPr>
        <w:pStyle w:val="5"/>
        <w:rPr>
          <w:rFonts w:ascii="Times New Roman" w:hAnsi="Times New Roman" w:eastAsia="宋体"/>
          <w:color w:val="auto"/>
          <w:highlight w:val="none"/>
        </w:rPr>
      </w:pPr>
      <w:bookmarkStart w:id="65" w:name="_Toc106663454"/>
      <w:r>
        <w:rPr>
          <w:rFonts w:hint="eastAsia" w:ascii="Times New Roman" w:hAnsi="Times New Roman" w:eastAsia="宋体"/>
          <w:color w:val="auto"/>
          <w:highlight w:val="none"/>
        </w:rPr>
        <w:t>2.9.2环境容量</w:t>
      </w:r>
      <w:bookmarkEnd w:id="65"/>
    </w:p>
    <w:p w14:paraId="57BE819F">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项目区域SO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、NO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、PM</w:t>
      </w:r>
      <w:r>
        <w:rPr>
          <w:rFonts w:hint="eastAsia" w:ascii="Times New Roman" w:hAnsi="Times New Roman" w:eastAsia="宋体"/>
          <w:color w:val="auto"/>
          <w:highlight w:val="none"/>
          <w:vertAlign w:val="subscript"/>
        </w:rPr>
        <w:t>10</w:t>
      </w:r>
      <w:r>
        <w:rPr>
          <w:rFonts w:hint="eastAsia" w:ascii="Times New Roman" w:hAnsi="Times New Roman" w:eastAsia="宋体"/>
          <w:color w:val="auto"/>
          <w:highlight w:val="none"/>
        </w:rPr>
        <w:t>、PM</w:t>
      </w:r>
      <w:r>
        <w:rPr>
          <w:rFonts w:hint="eastAsia" w:ascii="Times New Roman" w:hAnsi="Times New Roman" w:eastAsia="宋体"/>
          <w:color w:val="auto"/>
          <w:highlight w:val="none"/>
          <w:vertAlign w:val="subscript"/>
        </w:rPr>
        <w:t>2.5</w:t>
      </w:r>
      <w:r>
        <w:rPr>
          <w:rFonts w:hint="eastAsia" w:ascii="Times New Roman" w:hAnsi="Times New Roman" w:eastAsia="宋体"/>
          <w:color w:val="auto"/>
          <w:highlight w:val="none"/>
        </w:rPr>
        <w:t>、CO和O</w:t>
      </w:r>
      <w:r>
        <w:rPr>
          <w:rFonts w:hint="eastAsia" w:ascii="Times New Roman" w:hAnsi="Times New Roman" w:eastAsia="宋体"/>
          <w:color w:val="auto"/>
          <w:highlight w:val="none"/>
          <w:vertAlign w:val="subscript"/>
        </w:rPr>
        <w:t>3</w:t>
      </w:r>
      <w:r>
        <w:rPr>
          <w:rFonts w:hint="eastAsia" w:ascii="Times New Roman" w:hAnsi="Times New Roman" w:eastAsia="宋体"/>
          <w:color w:val="auto"/>
          <w:highlight w:val="none"/>
        </w:rPr>
        <w:t>等基本污染物浓度满足《环境空气质量标准》（GB3095-2012）二级浓度限值，NH</w:t>
      </w:r>
      <w:r>
        <w:rPr>
          <w:rFonts w:hint="eastAsia" w:ascii="Times New Roman" w:hAnsi="Times New Roman" w:eastAsia="宋体"/>
          <w:color w:val="auto"/>
          <w:highlight w:val="none"/>
          <w:vertAlign w:val="subscript"/>
        </w:rPr>
        <w:t>3</w:t>
      </w:r>
      <w:r>
        <w:rPr>
          <w:rFonts w:hint="eastAsia" w:ascii="Times New Roman" w:hAnsi="Times New Roman" w:eastAsia="宋体"/>
          <w:color w:val="auto"/>
          <w:highlight w:val="none"/>
        </w:rPr>
        <w:t>和H</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S满足《环境影响评价技术导则大气环境》（HJ2.2-2018）附录D中的参考限值；区域内地下水体均满足水环境功能区划要求，评价指标均符合评价标准中的Ⅲ类标准，尚有一定环境容量；评价区声环境质量现状满足《声环境质量标准》（GB3096-2008）中的</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类标准，且厂区周围无声环境敏感目标。</w:t>
      </w:r>
    </w:p>
    <w:p w14:paraId="6272DCCF">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本项目区域水、气、声环境质量现状良好，尚有一定的环境容量，运营后污染物达标排放，对区域环境影响不大，区域环境仍可保持现有功能水平。因此，项目选址从环境容量角度分析是可行的。</w:t>
      </w:r>
    </w:p>
    <w:p w14:paraId="0385CF2B">
      <w:pPr>
        <w:pStyle w:val="5"/>
        <w:rPr>
          <w:rFonts w:ascii="Times New Roman" w:hAnsi="Times New Roman" w:eastAsia="宋体"/>
          <w:color w:val="auto"/>
          <w:highlight w:val="none"/>
        </w:rPr>
      </w:pPr>
      <w:bookmarkStart w:id="66" w:name="_Toc106663455"/>
      <w:r>
        <w:rPr>
          <w:rFonts w:hint="eastAsia" w:ascii="Times New Roman" w:hAnsi="Times New Roman" w:eastAsia="宋体"/>
          <w:color w:val="auto"/>
          <w:highlight w:val="none"/>
        </w:rPr>
        <w:t>2.9.3区域主导风向及防护距离</w:t>
      </w:r>
      <w:bookmarkEnd w:id="66"/>
    </w:p>
    <w:p w14:paraId="1FFA338F">
      <w:pPr>
        <w:ind w:firstLine="480"/>
        <w:rPr>
          <w:rFonts w:ascii="Times New Roman" w:hAnsi="Times New Roman" w:eastAsia="宋体"/>
          <w:color w:val="auto"/>
          <w:highlight w:val="none"/>
        </w:rPr>
      </w:pP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主导风向为南风、偶尔出现西风或西北风，本项目位于</w:t>
      </w:r>
      <w:r>
        <w:rPr>
          <w:rFonts w:hint="eastAsia" w:ascii="Times New Roman" w:hAnsi="Times New Roman" w:eastAsia="宋体"/>
          <w:color w:val="auto"/>
          <w:highlight w:val="none"/>
          <w:lang w:eastAsia="zh-CN"/>
        </w:rPr>
        <w:t>昌吉玛纳斯县广东地乡广东地村区</w:t>
      </w:r>
      <w:r>
        <w:rPr>
          <w:rFonts w:hint="eastAsia" w:ascii="Times New Roman" w:hAnsi="Times New Roman" w:eastAsia="宋体"/>
          <w:color w:val="auto"/>
          <w:highlight w:val="none"/>
        </w:rPr>
        <w:t>，生活区位于项目区西南侧，</w:t>
      </w:r>
      <w:r>
        <w:rPr>
          <w:rFonts w:hint="eastAsia"/>
          <w:color w:val="auto"/>
          <w:highlight w:val="none"/>
          <w:lang w:eastAsia="zh-CN"/>
        </w:rPr>
        <w:t>废水收集池</w:t>
      </w:r>
      <w:r>
        <w:rPr>
          <w:rFonts w:hint="eastAsia" w:ascii="Times New Roman" w:hAnsi="Times New Roman" w:eastAsia="宋体"/>
          <w:color w:val="auto"/>
          <w:highlight w:val="none"/>
        </w:rPr>
        <w:t>位于项目区东北侧，项目运营过程中产生的废气对生活区有一定的影响。</w:t>
      </w:r>
    </w:p>
    <w:p w14:paraId="25E32E0E">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估算结果可知厂界外大气污染物短期贡献浓度不超过环境质量浓度限值。项目区内均无居民区、学校、医院等环境敏感区。为了降低项目区大气污染物排放对周围敏感目标的影响，环评要求在项目区周围设置500m限制区，并做出如下要求：严格控制人口导入，不再批准建设新的居住项目，限制区内已规划但尚未动工的项目应停止建设。不再批准建设新的集中居住区、医院、学校等敏感目标。</w:t>
      </w:r>
    </w:p>
    <w:p w14:paraId="6329E9E5">
      <w:pPr>
        <w:pStyle w:val="5"/>
        <w:rPr>
          <w:rFonts w:ascii="Times New Roman" w:hAnsi="Times New Roman" w:eastAsia="宋体"/>
          <w:color w:val="auto"/>
          <w:highlight w:val="none"/>
        </w:rPr>
      </w:pPr>
      <w:bookmarkStart w:id="67" w:name="_Toc106663456"/>
      <w:r>
        <w:rPr>
          <w:rFonts w:hint="eastAsia" w:ascii="Times New Roman" w:hAnsi="Times New Roman" w:eastAsia="宋体"/>
          <w:color w:val="auto"/>
          <w:highlight w:val="none"/>
        </w:rPr>
        <w:t>2.9.4环境敏感性分析</w:t>
      </w:r>
      <w:bookmarkEnd w:id="67"/>
    </w:p>
    <w:p w14:paraId="0852A81A">
      <w:pPr>
        <w:ind w:firstLine="480"/>
        <w:rPr>
          <w:rFonts w:ascii="Times New Roman" w:hAnsi="Times New Roman" w:eastAsia="宋体"/>
          <w:color w:val="auto"/>
          <w:highlight w:val="none"/>
        </w:rPr>
      </w:pPr>
      <w:r>
        <w:rPr>
          <w:rFonts w:hint="eastAsia" w:ascii="Times New Roman" w:hAnsi="Times New Roman" w:eastAsia="宋体"/>
          <w:color w:val="auto"/>
          <w:highlight w:val="none"/>
        </w:rPr>
        <w:t>从环境敏感性看，评价区无国家及省级确定的风景名胜、历史遗迹等保护区；无饮用水水源保护区；厂区内无特殊自然观赏价值较高的景观，也不属于土地荒漠化地区；项目区周围无居民区，学校等敏感点。</w:t>
      </w:r>
    </w:p>
    <w:p w14:paraId="1C59C579">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按照《建设项目环境影响评价分类管理名录》（2021年版）中关于环境敏感因素的界定原则，经调查本项目选址地区不属于特殊保护地区、社会关注区和特殊地貌景观区，也无重点保护生态品种及濒危生物物种，文物古迹等，区域环境敏感因素较少。</w:t>
      </w:r>
    </w:p>
    <w:p w14:paraId="7015F224">
      <w:pPr>
        <w:pStyle w:val="5"/>
        <w:rPr>
          <w:rFonts w:ascii="Times New Roman" w:hAnsi="Times New Roman" w:eastAsia="宋体"/>
          <w:color w:val="auto"/>
          <w:highlight w:val="none"/>
        </w:rPr>
      </w:pPr>
      <w:bookmarkStart w:id="68" w:name="_Toc106663457"/>
      <w:r>
        <w:rPr>
          <w:rFonts w:hint="eastAsia" w:ascii="Times New Roman" w:hAnsi="Times New Roman" w:eastAsia="宋体"/>
          <w:color w:val="auto"/>
          <w:highlight w:val="none"/>
        </w:rPr>
        <w:t>2.9.5小结</w:t>
      </w:r>
      <w:bookmarkEnd w:id="68"/>
    </w:p>
    <w:p w14:paraId="2FA8510E">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项目厂址位于</w:t>
      </w:r>
      <w:r>
        <w:rPr>
          <w:rFonts w:hint="eastAsia" w:ascii="Times New Roman" w:hAnsi="Times New Roman" w:eastAsia="宋体"/>
          <w:color w:val="auto"/>
          <w:highlight w:val="none"/>
          <w:lang w:eastAsia="zh-CN"/>
        </w:rPr>
        <w:t>昌吉玛纳斯县广东地乡广东地村区</w:t>
      </w:r>
      <w:r>
        <w:rPr>
          <w:rFonts w:hint="eastAsia" w:ascii="Times New Roman" w:hAnsi="Times New Roman" w:eastAsia="宋体"/>
          <w:color w:val="auto"/>
          <w:highlight w:val="none"/>
        </w:rPr>
        <w:t>，用地性质为设施农业用地。项目厂址未选择在环境敏感区域，厂址附近无国家公园、自然保护区、风景名胜区和自然保护区等需要特殊保护的区域。</w:t>
      </w:r>
    </w:p>
    <w:p w14:paraId="64C32840">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符合国家及地方的产业政策和发展规划，建设区域环境质量现状良好，区域环境敏感程度较低，有一定的区域环境容量，项目正常运行对环境的影响不大，环境风险水平可接受，卫生防护距离满足要求，结合环境影响预测评价结果综合分析，厂址选择是合理可行的。</w:t>
      </w:r>
    </w:p>
    <w:p w14:paraId="2F6C4341">
      <w:pPr>
        <w:ind w:firstLine="480"/>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14:paraId="2460F9BB">
      <w:pPr>
        <w:pStyle w:val="3"/>
        <w:rPr>
          <w:rFonts w:ascii="Times New Roman" w:hAnsi="Times New Roman" w:eastAsia="宋体"/>
          <w:color w:val="auto"/>
          <w:highlight w:val="none"/>
        </w:rPr>
      </w:pPr>
      <w:bookmarkStart w:id="69" w:name="_Toc89619332"/>
      <w:bookmarkStart w:id="70" w:name="_Toc106663458"/>
      <w:r>
        <w:rPr>
          <w:rFonts w:hint="eastAsia" w:ascii="Times New Roman" w:hAnsi="Times New Roman" w:eastAsia="宋体"/>
          <w:color w:val="auto"/>
          <w:highlight w:val="none"/>
        </w:rPr>
        <w:t>3、工程分析</w:t>
      </w:r>
      <w:bookmarkEnd w:id="69"/>
      <w:bookmarkEnd w:id="70"/>
    </w:p>
    <w:p w14:paraId="48E01CE7">
      <w:pPr>
        <w:pStyle w:val="4"/>
        <w:rPr>
          <w:rFonts w:ascii="Times New Roman" w:hAnsi="Times New Roman" w:eastAsia="宋体"/>
          <w:color w:val="auto"/>
          <w:highlight w:val="none"/>
        </w:rPr>
      </w:pPr>
      <w:bookmarkStart w:id="71" w:name="_Toc89619333"/>
      <w:bookmarkStart w:id="72" w:name="_Toc106663459"/>
      <w:r>
        <w:rPr>
          <w:rFonts w:hint="eastAsia" w:ascii="Times New Roman" w:hAnsi="Times New Roman" w:eastAsia="宋体"/>
          <w:color w:val="auto"/>
          <w:highlight w:val="none"/>
        </w:rPr>
        <w:t>3.1工程概况</w:t>
      </w:r>
      <w:bookmarkEnd w:id="71"/>
      <w:bookmarkEnd w:id="72"/>
    </w:p>
    <w:p w14:paraId="4801EE3B">
      <w:pPr>
        <w:pStyle w:val="5"/>
        <w:rPr>
          <w:rFonts w:ascii="Times New Roman" w:hAnsi="Times New Roman" w:eastAsia="宋体"/>
          <w:color w:val="auto"/>
          <w:highlight w:val="none"/>
        </w:rPr>
      </w:pPr>
      <w:bookmarkStart w:id="73" w:name="_Toc106663460"/>
      <w:r>
        <w:rPr>
          <w:rFonts w:hint="eastAsia" w:ascii="Times New Roman" w:hAnsi="Times New Roman" w:eastAsia="宋体"/>
          <w:color w:val="auto"/>
          <w:highlight w:val="none"/>
        </w:rPr>
        <w:t>3.1.1项目基本情况</w:t>
      </w:r>
      <w:bookmarkEnd w:id="73"/>
    </w:p>
    <w:p w14:paraId="6C8F34C0">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（1）项目名称：</w:t>
      </w:r>
      <w:r>
        <w:rPr>
          <w:rFonts w:hint="eastAsia" w:ascii="Times New Roman" w:hAnsi="Times New Roman" w:eastAsia="宋体"/>
          <w:color w:val="auto"/>
          <w:highlight w:val="none"/>
          <w:lang w:eastAsia="zh-CN"/>
        </w:rPr>
        <w:t>玛纳斯县蛋鸡育成鸡圈舍建设及设备采购项目</w:t>
      </w:r>
    </w:p>
    <w:p w14:paraId="1FC509AD">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（2）建设单位：</w:t>
      </w:r>
      <w:r>
        <w:rPr>
          <w:rFonts w:hint="eastAsia" w:ascii="Times New Roman" w:hAnsi="Times New Roman" w:eastAsia="宋体"/>
          <w:color w:val="auto"/>
          <w:highlight w:val="none"/>
          <w:lang w:eastAsia="zh-CN"/>
        </w:rPr>
        <w:t>玛纳斯县广东地乡人民政府</w:t>
      </w:r>
    </w:p>
    <w:p w14:paraId="0422A138">
      <w:pPr>
        <w:ind w:firstLine="480"/>
        <w:rPr>
          <w:rFonts w:ascii="Times New Roman" w:hAnsi="Times New Roman" w:eastAsia="宋体"/>
          <w:color w:val="auto"/>
          <w:highlight w:val="none"/>
        </w:rPr>
      </w:pPr>
      <w:r>
        <w:rPr>
          <w:rFonts w:hint="eastAsia" w:ascii="Times New Roman" w:hAnsi="Times New Roman" w:eastAsia="宋体"/>
          <w:color w:val="auto"/>
          <w:highlight w:val="none"/>
        </w:rPr>
        <w:t>（3）项目性质：新建</w:t>
      </w:r>
    </w:p>
    <w:p w14:paraId="0B505132">
      <w:pPr>
        <w:ind w:firstLine="480"/>
        <w:rPr>
          <w:rFonts w:ascii="Times New Roman" w:hAnsi="Times New Roman" w:eastAsia="宋体"/>
          <w:color w:val="auto"/>
          <w:highlight w:val="none"/>
        </w:rPr>
      </w:pPr>
      <w:r>
        <w:rPr>
          <w:rFonts w:hint="eastAsia" w:ascii="Times New Roman" w:hAnsi="Times New Roman" w:eastAsia="宋体"/>
          <w:color w:val="auto"/>
          <w:highlight w:val="none"/>
        </w:rPr>
        <w:t>（4）建设地点：</w:t>
      </w:r>
      <w:r>
        <w:rPr>
          <w:rFonts w:hint="eastAsia" w:ascii="Times New Roman" w:hAnsi="Times New Roman" w:eastAsia="宋体"/>
          <w:color w:val="auto"/>
          <w:highlight w:val="none"/>
          <w:lang w:eastAsia="zh-CN"/>
        </w:rPr>
        <w:t>昌吉玛纳斯县广东地乡广东地村区</w:t>
      </w:r>
      <w:r>
        <w:rPr>
          <w:rFonts w:hint="eastAsia" w:ascii="Times New Roman" w:hAnsi="Times New Roman" w:eastAsia="宋体"/>
          <w:color w:val="auto"/>
          <w:highlight w:val="none"/>
        </w:rPr>
        <w:t>，项目北侧为空地，西侧为乡村道路，</w:t>
      </w:r>
      <w:r>
        <w:rPr>
          <w:rFonts w:hint="eastAsia"/>
          <w:color w:val="auto"/>
          <w:highlight w:val="none"/>
          <w:lang w:eastAsia="zh-CN"/>
        </w:rPr>
        <w:t>南侧为农田</w:t>
      </w:r>
      <w:r>
        <w:rPr>
          <w:rFonts w:hint="eastAsia" w:ascii="Times New Roman" w:hAnsi="Times New Roman" w:eastAsia="宋体"/>
          <w:color w:val="auto"/>
          <w:highlight w:val="none"/>
        </w:rPr>
        <w:t>，东侧为棉花地，用地类型为设施农用地。中心地理坐标：86</w:t>
      </w:r>
      <w:r>
        <w:rPr>
          <w:rFonts w:ascii="Times New Roman" w:hAnsi="Times New Roman" w:eastAsia="宋体"/>
          <w:color w:val="auto"/>
          <w:highlight w:val="none"/>
        </w:rPr>
        <w:t>°</w:t>
      </w:r>
      <w:r>
        <w:rPr>
          <w:rFonts w:hint="eastAsia" w:ascii="Times New Roman" w:hAnsi="Times New Roman" w:eastAsia="宋体"/>
          <w:color w:val="auto"/>
          <w:highlight w:val="none"/>
        </w:rPr>
        <w:t>53</w:t>
      </w:r>
      <w:r>
        <w:rPr>
          <w:rFonts w:ascii="Times New Roman" w:hAnsi="Times New Roman" w:eastAsia="宋体"/>
          <w:color w:val="auto"/>
          <w:highlight w:val="none"/>
        </w:rPr>
        <w:t>′</w:t>
      </w:r>
      <w:r>
        <w:rPr>
          <w:rFonts w:hint="eastAsia" w:ascii="Times New Roman" w:hAnsi="Times New Roman" w:eastAsia="宋体"/>
          <w:color w:val="auto"/>
          <w:highlight w:val="none"/>
        </w:rPr>
        <w:t>19.83</w:t>
      </w:r>
      <w:r>
        <w:rPr>
          <w:rFonts w:ascii="Times New Roman" w:hAnsi="Times New Roman" w:eastAsia="宋体"/>
          <w:color w:val="auto"/>
          <w:highlight w:val="none"/>
        </w:rPr>
        <w:t>″E，44°22′8.60″N</w:t>
      </w:r>
      <w:r>
        <w:rPr>
          <w:rFonts w:hint="eastAsia" w:ascii="Times New Roman" w:hAnsi="Times New Roman" w:eastAsia="宋体"/>
          <w:color w:val="auto"/>
          <w:highlight w:val="none"/>
        </w:rPr>
        <w:t>。项目区地理位置示意图见附图3.1-1，项目周边关系卫星图见附图3.1-2。</w:t>
      </w:r>
    </w:p>
    <w:p w14:paraId="18466E76">
      <w:pPr>
        <w:ind w:firstLine="480"/>
        <w:rPr>
          <w:rFonts w:ascii="Times New Roman" w:hAnsi="Times New Roman" w:eastAsia="宋体"/>
          <w:color w:val="auto"/>
          <w:highlight w:val="none"/>
        </w:rPr>
      </w:pPr>
      <w:r>
        <w:rPr>
          <w:rFonts w:hint="eastAsia" w:ascii="Times New Roman" w:hAnsi="Times New Roman" w:eastAsia="宋体"/>
          <w:color w:val="auto"/>
          <w:highlight w:val="none"/>
        </w:rPr>
        <w:t>（5）项目投资：项目总投资</w:t>
      </w:r>
      <w:bookmarkStart w:id="74" w:name="_Hlk106715992"/>
      <w:r>
        <w:rPr>
          <w:rFonts w:hint="eastAsia" w:ascii="Times New Roman" w:hAnsi="Times New Roman" w:eastAsia="宋体"/>
          <w:color w:val="auto"/>
          <w:highlight w:val="none"/>
          <w:lang w:eastAsia="zh-CN"/>
        </w:rPr>
        <w:t>1870</w:t>
      </w:r>
      <w:r>
        <w:rPr>
          <w:rFonts w:hint="eastAsia" w:ascii="Times New Roman" w:hAnsi="Times New Roman" w:eastAsia="宋体"/>
          <w:color w:val="auto"/>
          <w:highlight w:val="none"/>
        </w:rPr>
        <w:t>万</w:t>
      </w:r>
      <w:bookmarkEnd w:id="74"/>
      <w:r>
        <w:rPr>
          <w:rFonts w:hint="eastAsia" w:ascii="Times New Roman" w:hAnsi="Times New Roman" w:eastAsia="宋体"/>
          <w:color w:val="auto"/>
          <w:highlight w:val="none"/>
        </w:rPr>
        <w:t>元，</w:t>
      </w:r>
      <w:r>
        <w:rPr>
          <w:rFonts w:hint="eastAsia" w:ascii="Times New Roman" w:hAnsi="Times New Roman" w:eastAsia="宋体"/>
          <w:color w:val="auto"/>
          <w:highlight w:val="none"/>
          <w:lang w:val="en-US" w:eastAsia="zh-CN"/>
        </w:rPr>
        <w:t>其中：中央衔接资金1126万元，自治区衔接资金744万元</w:t>
      </w:r>
      <w:r>
        <w:rPr>
          <w:rFonts w:hint="eastAsia" w:ascii="Times New Roman" w:hAnsi="Times New Roman" w:eastAsia="宋体"/>
          <w:color w:val="auto"/>
          <w:highlight w:val="none"/>
        </w:rPr>
        <w:t>。</w:t>
      </w:r>
    </w:p>
    <w:p w14:paraId="223CE08B">
      <w:pPr>
        <w:ind w:firstLine="480"/>
        <w:rPr>
          <w:rFonts w:ascii="Times New Roman" w:hAnsi="Times New Roman" w:eastAsia="宋体"/>
          <w:color w:val="auto"/>
          <w:highlight w:val="none"/>
        </w:rPr>
      </w:pPr>
      <w:r>
        <w:rPr>
          <w:rFonts w:hint="eastAsia" w:ascii="Times New Roman" w:hAnsi="Times New Roman" w:eastAsia="宋体"/>
          <w:color w:val="auto"/>
          <w:highlight w:val="none"/>
        </w:rPr>
        <w:t>（6）占地面积：总占地面积为</w:t>
      </w:r>
      <w:r>
        <w:rPr>
          <w:rFonts w:hint="eastAsia" w:ascii="Times New Roman" w:hAnsi="Times New Roman" w:eastAsia="宋体"/>
          <w:color w:val="auto"/>
          <w:highlight w:val="none"/>
          <w:lang w:eastAsia="zh-CN"/>
        </w:rPr>
        <w:t>70119.07</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p w14:paraId="2C587037">
      <w:pPr>
        <w:ind w:firstLine="48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（7）生产规模：</w:t>
      </w:r>
      <w:r>
        <w:rPr>
          <w:rFonts w:hint="eastAsia" w:ascii="Times New Roman" w:hAnsi="Times New Roman" w:eastAsia="宋体"/>
          <w:color w:val="auto"/>
          <w:highlight w:val="none"/>
          <w:lang w:val="en-US" w:eastAsia="zh-CN"/>
        </w:rPr>
        <w:t>建设育成鸡圈舍6栋</w:t>
      </w:r>
      <w:r>
        <w:rPr>
          <w:rFonts w:hint="eastAsia" w:ascii="Times New Roman" w:hAnsi="Times New Roman" w:eastAsia="宋体"/>
          <w:color w:val="auto"/>
          <w:highlight w:val="none"/>
        </w:rPr>
        <w:t>，4万只一个批次，一年3批次</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共72万只。</w:t>
      </w:r>
    </w:p>
    <w:p w14:paraId="13CA2EC6">
      <w:pPr>
        <w:ind w:firstLine="480"/>
        <w:rPr>
          <w:rFonts w:ascii="Times New Roman" w:hAnsi="Times New Roman" w:eastAsia="宋体"/>
          <w:color w:val="auto"/>
          <w:highlight w:val="none"/>
        </w:rPr>
      </w:pPr>
      <w:r>
        <w:rPr>
          <w:rFonts w:hint="eastAsia" w:ascii="Times New Roman" w:hAnsi="Times New Roman" w:eastAsia="宋体"/>
          <w:color w:val="auto"/>
          <w:highlight w:val="none"/>
        </w:rPr>
        <w:t>（8）劳动定员：本项目工作人员共20人，年工作时间为365天，采用两班制，每班工作12h。</w:t>
      </w:r>
    </w:p>
    <w:p w14:paraId="78EA8D7B">
      <w:pPr>
        <w:ind w:firstLine="480"/>
        <w:rPr>
          <w:rFonts w:ascii="Times New Roman" w:hAnsi="Times New Roman" w:eastAsia="宋体"/>
          <w:color w:val="auto"/>
          <w:highlight w:val="none"/>
        </w:rPr>
      </w:pPr>
      <w:r>
        <w:rPr>
          <w:rFonts w:hint="eastAsia" w:ascii="Times New Roman" w:hAnsi="Times New Roman" w:eastAsia="宋体"/>
          <w:color w:val="auto"/>
          <w:highlight w:val="none"/>
        </w:rPr>
        <w:t>（9）项目实施规划：计划202</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年</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rPr>
        <w:t>月开工，2</w:t>
      </w:r>
      <w:r>
        <w:rPr>
          <w:rFonts w:ascii="Times New Roman" w:hAnsi="Times New Roman" w:eastAsia="宋体"/>
          <w:color w:val="auto"/>
          <w:highlight w:val="none"/>
        </w:rPr>
        <w:t>02</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rPr>
        <w:t>年</w:t>
      </w:r>
      <w:r>
        <w:rPr>
          <w:rFonts w:hint="eastAsia" w:ascii="Times New Roman" w:hAnsi="Times New Roman" w:eastAsia="宋体"/>
          <w:color w:val="auto"/>
          <w:highlight w:val="none"/>
          <w:lang w:val="en-US" w:eastAsia="zh-CN"/>
        </w:rPr>
        <w:t>9</w:t>
      </w:r>
      <w:r>
        <w:rPr>
          <w:rFonts w:hint="eastAsia" w:ascii="Times New Roman" w:hAnsi="Times New Roman" w:eastAsia="宋体"/>
          <w:color w:val="auto"/>
          <w:highlight w:val="none"/>
        </w:rPr>
        <w:t>月建成投产。</w:t>
      </w:r>
    </w:p>
    <w:p w14:paraId="696A44F0">
      <w:pPr>
        <w:pStyle w:val="5"/>
        <w:rPr>
          <w:rFonts w:ascii="Times New Roman" w:hAnsi="Times New Roman" w:eastAsia="宋体"/>
          <w:color w:val="auto"/>
          <w:highlight w:val="none"/>
        </w:rPr>
      </w:pPr>
      <w:bookmarkStart w:id="75" w:name="_Toc106663461"/>
      <w:r>
        <w:rPr>
          <w:rFonts w:hint="eastAsia" w:ascii="Times New Roman" w:hAnsi="Times New Roman" w:eastAsia="宋体"/>
          <w:color w:val="auto"/>
          <w:highlight w:val="none"/>
        </w:rPr>
        <w:t>3.1.2主要建设内容</w:t>
      </w:r>
      <w:bookmarkEnd w:id="75"/>
    </w:p>
    <w:p w14:paraId="48EF69B7">
      <w:pPr>
        <w:ind w:firstLine="480"/>
        <w:rPr>
          <w:rFonts w:ascii="Times New Roman" w:hAnsi="Times New Roman" w:eastAsia="宋体"/>
          <w:color w:val="auto"/>
          <w:highlight w:val="none"/>
        </w:rPr>
      </w:pPr>
      <w:r>
        <w:rPr>
          <w:rFonts w:ascii="Times New Roman" w:hAnsi="Times New Roman" w:eastAsia="宋体"/>
          <w:color w:val="auto"/>
          <w:highlight w:val="none"/>
        </w:rPr>
        <w:t>本项目建设内容主要包括标准蛋鸡育雏舍</w:t>
      </w:r>
      <w:r>
        <w:rPr>
          <w:rFonts w:hint="eastAsia" w:ascii="Times New Roman" w:hAnsi="Times New Roman" w:eastAsia="宋体"/>
          <w:color w:val="auto"/>
          <w:highlight w:val="none"/>
          <w:lang w:val="en-US" w:eastAsia="zh-CN"/>
        </w:rPr>
        <w:t>6</w:t>
      </w:r>
      <w:r>
        <w:rPr>
          <w:rFonts w:ascii="Times New Roman" w:hAnsi="Times New Roman" w:eastAsia="宋体"/>
          <w:color w:val="auto"/>
          <w:highlight w:val="none"/>
        </w:rPr>
        <w:t>栋，管理用房、配电室和供排水管线。</w:t>
      </w:r>
    </w:p>
    <w:p w14:paraId="199F5243">
      <w:pPr>
        <w:pStyle w:val="10"/>
        <w:rPr>
          <w:rFonts w:ascii="Times New Roman" w:hAnsi="Times New Roman" w:eastAsia="宋体"/>
          <w:color w:val="auto"/>
          <w:highlight w:val="none"/>
        </w:rPr>
      </w:pPr>
      <w:r>
        <w:rPr>
          <w:rFonts w:hint="eastAsia" w:ascii="Times New Roman" w:hAnsi="Times New Roman" w:eastAsia="宋体"/>
          <w:color w:val="auto"/>
          <w:highlight w:val="none"/>
        </w:rPr>
        <w:t>表3.1-1项目工程组成一览表</w:t>
      </w:r>
    </w:p>
    <w:tbl>
      <w:tblPr>
        <w:tblStyle w:val="176"/>
        <w:tblW w:w="504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11"/>
        <w:gridCol w:w="1333"/>
        <w:gridCol w:w="4089"/>
        <w:gridCol w:w="2545"/>
      </w:tblGrid>
      <w:tr w14:paraId="29230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245" w:type="pct"/>
            <w:tcBorders>
              <w:tl2br w:val="nil"/>
              <w:tr2bl w:val="nil"/>
            </w:tcBorders>
            <w:vAlign w:val="center"/>
          </w:tcPr>
          <w:p w14:paraId="103C12A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工程分类</w:t>
            </w:r>
          </w:p>
        </w:tc>
        <w:tc>
          <w:tcPr>
            <w:tcW w:w="795" w:type="pct"/>
            <w:tcBorders>
              <w:tl2br w:val="nil"/>
              <w:tr2bl w:val="nil"/>
            </w:tcBorders>
            <w:vAlign w:val="center"/>
          </w:tcPr>
          <w:p w14:paraId="6B52813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项目名称</w:t>
            </w:r>
          </w:p>
        </w:tc>
        <w:tc>
          <w:tcPr>
            <w:tcW w:w="2439" w:type="pct"/>
            <w:tcBorders>
              <w:tl2br w:val="nil"/>
              <w:tr2bl w:val="nil"/>
            </w:tcBorders>
            <w:vAlign w:val="center"/>
          </w:tcPr>
          <w:p w14:paraId="3B3E8C2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建设规模</w:t>
            </w:r>
          </w:p>
        </w:tc>
        <w:tc>
          <w:tcPr>
            <w:tcW w:w="1518" w:type="pct"/>
            <w:tcBorders>
              <w:tl2br w:val="nil"/>
              <w:tr2bl w:val="nil"/>
            </w:tcBorders>
            <w:vAlign w:val="center"/>
          </w:tcPr>
          <w:p w14:paraId="0831728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备注</w:t>
            </w:r>
          </w:p>
        </w:tc>
      </w:tr>
      <w:tr w14:paraId="5484C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jc w:val="center"/>
        </w:trPr>
        <w:tc>
          <w:tcPr>
            <w:tcW w:w="245" w:type="pct"/>
            <w:tcBorders>
              <w:tl2br w:val="nil"/>
              <w:tr2bl w:val="nil"/>
            </w:tcBorders>
            <w:vAlign w:val="center"/>
          </w:tcPr>
          <w:p w14:paraId="260CADB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主体工程</w:t>
            </w:r>
          </w:p>
        </w:tc>
        <w:tc>
          <w:tcPr>
            <w:tcW w:w="795" w:type="pct"/>
            <w:tcBorders>
              <w:tl2br w:val="nil"/>
              <w:tr2bl w:val="nil"/>
            </w:tcBorders>
            <w:vAlign w:val="center"/>
          </w:tcPr>
          <w:p w14:paraId="2542802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标准蛋鸡育雏舍</w:t>
            </w:r>
          </w:p>
        </w:tc>
        <w:tc>
          <w:tcPr>
            <w:tcW w:w="2439" w:type="pct"/>
            <w:tcBorders>
              <w:tl2br w:val="nil"/>
              <w:tr2bl w:val="nil"/>
            </w:tcBorders>
            <w:vAlign w:val="center"/>
          </w:tcPr>
          <w:p w14:paraId="36A455D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新建标准蛋鸡育雏舍</w:t>
            </w:r>
            <w:r>
              <w:rPr>
                <w:rFonts w:hint="eastAsia" w:ascii="Times New Roman" w:hAnsi="Times New Roman" w:eastAsia="宋体" w:cs="宋体"/>
                <w:color w:val="auto"/>
                <w:spacing w:val="0"/>
                <w:position w:val="0"/>
                <w:sz w:val="21"/>
                <w:szCs w:val="21"/>
                <w:highlight w:val="none"/>
                <w:lang w:val="en-US" w:eastAsia="zh-CN"/>
              </w:rPr>
              <w:t>6</w:t>
            </w:r>
            <w:r>
              <w:rPr>
                <w:rFonts w:ascii="Times New Roman" w:hAnsi="Times New Roman" w:eastAsia="宋体" w:cs="宋体"/>
                <w:color w:val="auto"/>
                <w:spacing w:val="0"/>
                <w:position w:val="0"/>
                <w:sz w:val="21"/>
                <w:szCs w:val="21"/>
                <w:highlight w:val="none"/>
              </w:rPr>
              <w:t>栋，每栋鸡舍占地面积为</w:t>
            </w:r>
            <w:r>
              <w:rPr>
                <w:rFonts w:hint="eastAsia" w:ascii="Times New Roman" w:hAnsi="Times New Roman" w:eastAsia="宋体" w:cs="宋体"/>
                <w:color w:val="auto"/>
                <w:spacing w:val="0"/>
                <w:position w:val="0"/>
                <w:sz w:val="21"/>
                <w:szCs w:val="21"/>
                <w:highlight w:val="none"/>
                <w:lang w:val="en-US" w:eastAsia="zh-CN"/>
              </w:rPr>
              <w:t>1080</w:t>
            </w:r>
            <w:r>
              <w:rPr>
                <w:rFonts w:ascii="Times New Roman" w:hAnsi="Times New Roman" w:eastAsia="宋体" w:cs="Times New Roman"/>
                <w:color w:val="auto"/>
                <w:spacing w:val="0"/>
                <w:position w:val="0"/>
                <w:sz w:val="21"/>
                <w:szCs w:val="21"/>
                <w:highlight w:val="none"/>
              </w:rPr>
              <w:t>m</w:t>
            </w:r>
            <w:r>
              <w:rPr>
                <w:rFonts w:ascii="Times New Roman" w:hAnsi="Times New Roman" w:eastAsia="宋体" w:cs="Times New Roman"/>
                <w:color w:val="auto"/>
                <w:spacing w:val="0"/>
                <w:position w:val="0"/>
                <w:sz w:val="21"/>
                <w:szCs w:val="14"/>
                <w:highlight w:val="none"/>
                <w:vertAlign w:val="superscript"/>
              </w:rPr>
              <w:t>2</w:t>
            </w:r>
          </w:p>
        </w:tc>
        <w:tc>
          <w:tcPr>
            <w:tcW w:w="1518" w:type="pct"/>
            <w:tcBorders>
              <w:tl2br w:val="nil"/>
              <w:tr2bl w:val="nil"/>
            </w:tcBorders>
            <w:vAlign w:val="center"/>
          </w:tcPr>
          <w:p w14:paraId="3FCFF0F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hint="eastAsia" w:ascii="Times New Roman" w:hAnsi="Times New Roman" w:eastAsia="宋体" w:cs="宋体"/>
                <w:color w:val="auto"/>
                <w:spacing w:val="0"/>
                <w:position w:val="0"/>
                <w:sz w:val="21"/>
                <w:szCs w:val="21"/>
                <w:highlight w:val="none"/>
                <w:lang w:val="en-US" w:eastAsia="zh-CN"/>
              </w:rPr>
              <w:t>安装智能育成鸡设备6套，每栋圈舍主要设备：笼架系统、行车喂料系统、饮水系统、自动清粪系统、自动通风降温系统、照明系统、自动控制系统、消毒系统、报警系统等</w:t>
            </w:r>
          </w:p>
        </w:tc>
      </w:tr>
      <w:tr w14:paraId="576EB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jc w:val="center"/>
        </w:trPr>
        <w:tc>
          <w:tcPr>
            <w:tcW w:w="245" w:type="pct"/>
            <w:vMerge w:val="restart"/>
            <w:tcBorders>
              <w:tl2br w:val="nil"/>
              <w:tr2bl w:val="nil"/>
            </w:tcBorders>
            <w:vAlign w:val="center"/>
          </w:tcPr>
          <w:p w14:paraId="45ABB61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配套工程</w:t>
            </w:r>
          </w:p>
        </w:tc>
        <w:tc>
          <w:tcPr>
            <w:tcW w:w="795" w:type="pct"/>
            <w:tcBorders>
              <w:tl2br w:val="nil"/>
              <w:tr2bl w:val="nil"/>
            </w:tcBorders>
            <w:vAlign w:val="center"/>
          </w:tcPr>
          <w:p w14:paraId="627AC14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管理用房</w:t>
            </w:r>
          </w:p>
        </w:tc>
        <w:tc>
          <w:tcPr>
            <w:tcW w:w="2439" w:type="pct"/>
            <w:tcBorders>
              <w:tl2br w:val="nil"/>
              <w:tr2bl w:val="nil"/>
            </w:tcBorders>
            <w:vAlign w:val="center"/>
          </w:tcPr>
          <w:p w14:paraId="4BBA4C1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管理用房为砖混结构，每栋鸡舍均配套设置</w:t>
            </w:r>
            <w:r>
              <w:rPr>
                <w:rFonts w:ascii="Times New Roman" w:hAnsi="Times New Roman" w:eastAsia="宋体" w:cs="Times New Roman"/>
                <w:color w:val="auto"/>
                <w:spacing w:val="0"/>
                <w:position w:val="0"/>
                <w:sz w:val="21"/>
                <w:szCs w:val="21"/>
                <w:highlight w:val="none"/>
              </w:rPr>
              <w:t>1</w:t>
            </w:r>
            <w:r>
              <w:rPr>
                <w:rFonts w:ascii="Times New Roman" w:hAnsi="Times New Roman" w:eastAsia="宋体" w:cs="宋体"/>
                <w:color w:val="auto"/>
                <w:spacing w:val="0"/>
                <w:position w:val="0"/>
                <w:sz w:val="21"/>
                <w:szCs w:val="21"/>
                <w:highlight w:val="none"/>
              </w:rPr>
              <w:t>个管理用房，建筑面积均为</w:t>
            </w:r>
            <w:r>
              <w:rPr>
                <w:rFonts w:ascii="Times New Roman" w:hAnsi="Times New Roman" w:eastAsia="宋体" w:cs="Times New Roman"/>
                <w:color w:val="auto"/>
                <w:spacing w:val="0"/>
                <w:position w:val="0"/>
                <w:sz w:val="21"/>
                <w:szCs w:val="21"/>
                <w:highlight w:val="none"/>
              </w:rPr>
              <w:t>6m</w:t>
            </w:r>
            <w:r>
              <w:rPr>
                <w:rFonts w:ascii="Times New Roman" w:hAnsi="Times New Roman" w:eastAsia="宋体" w:cs="Times New Roman"/>
                <w:color w:val="auto"/>
                <w:spacing w:val="0"/>
                <w:position w:val="0"/>
                <w:sz w:val="21"/>
                <w:szCs w:val="14"/>
                <w:highlight w:val="none"/>
                <w:vertAlign w:val="superscript"/>
              </w:rPr>
              <w:t>2</w:t>
            </w:r>
          </w:p>
        </w:tc>
        <w:tc>
          <w:tcPr>
            <w:tcW w:w="1518" w:type="pct"/>
            <w:tcBorders>
              <w:tl2br w:val="nil"/>
              <w:tr2bl w:val="nil"/>
            </w:tcBorders>
            <w:vAlign w:val="center"/>
          </w:tcPr>
          <w:p w14:paraId="294BC2B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14:paraId="579AB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245" w:type="pct"/>
            <w:vMerge w:val="continue"/>
            <w:tcBorders>
              <w:tl2br w:val="nil"/>
              <w:tr2bl w:val="nil"/>
            </w:tcBorders>
            <w:vAlign w:val="center"/>
          </w:tcPr>
          <w:p w14:paraId="73BA41D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14:paraId="231A856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供排水管线</w:t>
            </w:r>
          </w:p>
        </w:tc>
        <w:tc>
          <w:tcPr>
            <w:tcW w:w="2439" w:type="pct"/>
            <w:tcBorders>
              <w:tl2br w:val="nil"/>
              <w:tr2bl w:val="nil"/>
            </w:tcBorders>
            <w:vAlign w:val="center"/>
          </w:tcPr>
          <w:p w14:paraId="618D04A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修建</w:t>
            </w:r>
            <w:r>
              <w:rPr>
                <w:rFonts w:ascii="Times New Roman" w:hAnsi="Times New Roman" w:eastAsia="宋体" w:cs="Times New Roman"/>
                <w:color w:val="auto"/>
                <w:spacing w:val="0"/>
                <w:position w:val="0"/>
                <w:sz w:val="21"/>
                <w:szCs w:val="21"/>
                <w:highlight w:val="none"/>
              </w:rPr>
              <w:t>6km</w:t>
            </w:r>
            <w:r>
              <w:rPr>
                <w:rFonts w:ascii="Times New Roman" w:hAnsi="Times New Roman" w:eastAsia="宋体" w:cs="宋体"/>
                <w:color w:val="auto"/>
                <w:spacing w:val="0"/>
                <w:position w:val="0"/>
                <w:sz w:val="21"/>
                <w:szCs w:val="21"/>
                <w:highlight w:val="none"/>
              </w:rPr>
              <w:t>的供水管线，</w:t>
            </w:r>
            <w:r>
              <w:rPr>
                <w:rFonts w:ascii="Times New Roman" w:hAnsi="Times New Roman" w:eastAsia="宋体" w:cs="Times New Roman"/>
                <w:color w:val="auto"/>
                <w:spacing w:val="0"/>
                <w:position w:val="0"/>
                <w:sz w:val="21"/>
                <w:szCs w:val="21"/>
                <w:highlight w:val="none"/>
              </w:rPr>
              <w:t>6km</w:t>
            </w:r>
            <w:r>
              <w:rPr>
                <w:rFonts w:ascii="Times New Roman" w:hAnsi="Times New Roman" w:eastAsia="宋体" w:cs="宋体"/>
                <w:color w:val="auto"/>
                <w:spacing w:val="0"/>
                <w:position w:val="0"/>
                <w:sz w:val="21"/>
                <w:szCs w:val="21"/>
                <w:highlight w:val="none"/>
              </w:rPr>
              <w:t>的排水管线沿道路敷设。</w:t>
            </w:r>
          </w:p>
        </w:tc>
        <w:tc>
          <w:tcPr>
            <w:tcW w:w="1518" w:type="pct"/>
            <w:tcBorders>
              <w:tl2br w:val="nil"/>
              <w:tr2bl w:val="nil"/>
            </w:tcBorders>
            <w:vAlign w:val="center"/>
          </w:tcPr>
          <w:p w14:paraId="3EBA941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ascii="Times New Roman" w:hAnsi="Times New Roman" w:eastAsia="宋体" w:cs="宋体"/>
                <w:color w:val="auto"/>
                <w:spacing w:val="0"/>
                <w:position w:val="0"/>
                <w:sz w:val="21"/>
                <w:szCs w:val="21"/>
                <w:highlight w:val="none"/>
                <w:lang w:val="en-US" w:eastAsia="zh-CN"/>
              </w:rPr>
              <w:t>/</w:t>
            </w:r>
          </w:p>
        </w:tc>
      </w:tr>
      <w:tr w14:paraId="46A62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245" w:type="pct"/>
            <w:vMerge w:val="restart"/>
            <w:tcBorders>
              <w:tl2br w:val="nil"/>
              <w:tr2bl w:val="nil"/>
            </w:tcBorders>
            <w:vAlign w:val="center"/>
          </w:tcPr>
          <w:p w14:paraId="2038F7A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公用工程</w:t>
            </w:r>
          </w:p>
        </w:tc>
        <w:tc>
          <w:tcPr>
            <w:tcW w:w="795" w:type="pct"/>
            <w:tcBorders>
              <w:tl2br w:val="nil"/>
              <w:tr2bl w:val="nil"/>
            </w:tcBorders>
            <w:vAlign w:val="center"/>
          </w:tcPr>
          <w:p w14:paraId="75C95A3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供水</w:t>
            </w:r>
          </w:p>
        </w:tc>
        <w:tc>
          <w:tcPr>
            <w:tcW w:w="2439" w:type="pct"/>
            <w:tcBorders>
              <w:tl2br w:val="nil"/>
              <w:tr2bl w:val="nil"/>
            </w:tcBorders>
            <w:vAlign w:val="center"/>
          </w:tcPr>
          <w:p w14:paraId="269AB32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生产、生活用水水源来自玛纳斯县广东地</w:t>
            </w:r>
            <w:r>
              <w:rPr>
                <w:rFonts w:hint="eastAsia" w:ascii="Times New Roman" w:hAnsi="Times New Roman" w:eastAsia="宋体" w:cs="宋体"/>
                <w:color w:val="auto"/>
                <w:spacing w:val="0"/>
                <w:position w:val="0"/>
                <w:sz w:val="21"/>
                <w:szCs w:val="21"/>
                <w:highlight w:val="none"/>
                <w:lang w:val="en-US" w:eastAsia="zh-CN"/>
              </w:rPr>
              <w:t>村</w:t>
            </w:r>
            <w:r>
              <w:rPr>
                <w:rFonts w:ascii="Times New Roman" w:hAnsi="Times New Roman" w:eastAsia="宋体" w:cs="宋体"/>
                <w:color w:val="auto"/>
                <w:spacing w:val="0"/>
                <w:position w:val="0"/>
                <w:sz w:val="21"/>
                <w:szCs w:val="21"/>
                <w:highlight w:val="none"/>
              </w:rPr>
              <w:t>管网接入</w:t>
            </w:r>
          </w:p>
        </w:tc>
        <w:tc>
          <w:tcPr>
            <w:tcW w:w="1518" w:type="pct"/>
            <w:tcBorders>
              <w:tl2br w:val="nil"/>
              <w:tr2bl w:val="nil"/>
            </w:tcBorders>
            <w:vAlign w:val="center"/>
          </w:tcPr>
          <w:p w14:paraId="35AC042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14:paraId="197F4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5" w:hRule="atLeast"/>
          <w:jc w:val="center"/>
        </w:trPr>
        <w:tc>
          <w:tcPr>
            <w:tcW w:w="245" w:type="pct"/>
            <w:vMerge w:val="continue"/>
            <w:tcBorders>
              <w:tl2br w:val="nil"/>
              <w:tr2bl w:val="nil"/>
            </w:tcBorders>
            <w:vAlign w:val="center"/>
          </w:tcPr>
          <w:p w14:paraId="3B02FCC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14:paraId="5CEB67A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排水</w:t>
            </w:r>
          </w:p>
        </w:tc>
        <w:tc>
          <w:tcPr>
            <w:tcW w:w="2439" w:type="pct"/>
            <w:tcBorders>
              <w:tl2br w:val="nil"/>
              <w:tr2bl w:val="nil"/>
            </w:tcBorders>
            <w:vAlign w:val="center"/>
          </w:tcPr>
          <w:p w14:paraId="0417B47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宋体"/>
                <w:color w:val="auto"/>
                <w:spacing w:val="0"/>
                <w:position w:val="0"/>
                <w:sz w:val="21"/>
                <w:szCs w:val="21"/>
                <w:highlight w:val="none"/>
                <w:lang w:val="en-US" w:eastAsia="zh-CN"/>
              </w:rPr>
            </w:pPr>
            <w:r>
              <w:rPr>
                <w:rFonts w:ascii="Times New Roman" w:hAnsi="Times New Roman" w:eastAsia="宋体" w:cs="宋体"/>
                <w:color w:val="auto"/>
                <w:spacing w:val="0"/>
                <w:position w:val="0"/>
                <w:sz w:val="21"/>
                <w:szCs w:val="21"/>
                <w:highlight w:val="none"/>
              </w:rPr>
              <w:t>生活污水直接排入下水管网，最终进入玛纳斯县城污水处理厂；鸡舍冲洗废水排入</w:t>
            </w:r>
            <w:r>
              <w:rPr>
                <w:rFonts w:hint="eastAsia" w:cs="宋体"/>
                <w:color w:val="auto"/>
                <w:spacing w:val="0"/>
                <w:position w:val="0"/>
                <w:sz w:val="21"/>
                <w:szCs w:val="21"/>
                <w:highlight w:val="none"/>
                <w:lang w:val="en-US" w:eastAsia="zh-CN"/>
              </w:rPr>
              <w:t>废水收集池（150m</w:t>
            </w:r>
            <w:r>
              <w:rPr>
                <w:rFonts w:hint="eastAsia" w:cs="宋体"/>
                <w:color w:val="auto"/>
                <w:spacing w:val="0"/>
                <w:position w:val="0"/>
                <w:sz w:val="21"/>
                <w:szCs w:val="21"/>
                <w:highlight w:val="none"/>
                <w:vertAlign w:val="superscript"/>
                <w:lang w:val="en-US" w:eastAsia="zh-CN"/>
              </w:rPr>
              <w:t>3</w:t>
            </w:r>
            <w:r>
              <w:rPr>
                <w:rFonts w:hint="eastAsia" w:cs="宋体"/>
                <w:color w:val="auto"/>
                <w:spacing w:val="0"/>
                <w:position w:val="0"/>
                <w:sz w:val="21"/>
                <w:szCs w:val="21"/>
                <w:highlight w:val="none"/>
                <w:lang w:val="en-US" w:eastAsia="zh-CN"/>
              </w:rPr>
              <w:t>）经过预处理后用作农肥。</w:t>
            </w:r>
          </w:p>
        </w:tc>
        <w:tc>
          <w:tcPr>
            <w:tcW w:w="1518" w:type="pct"/>
            <w:tcBorders>
              <w:tl2br w:val="nil"/>
              <w:tr2bl w:val="nil"/>
            </w:tcBorders>
            <w:vAlign w:val="center"/>
          </w:tcPr>
          <w:p w14:paraId="5264999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14:paraId="0E6DC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45" w:type="pct"/>
            <w:vMerge w:val="continue"/>
            <w:tcBorders>
              <w:tl2br w:val="nil"/>
              <w:tr2bl w:val="nil"/>
            </w:tcBorders>
            <w:vAlign w:val="center"/>
          </w:tcPr>
          <w:p w14:paraId="5D37C6D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14:paraId="60B0596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供电</w:t>
            </w:r>
          </w:p>
        </w:tc>
        <w:tc>
          <w:tcPr>
            <w:tcW w:w="2439" w:type="pct"/>
            <w:tcBorders>
              <w:tl2br w:val="nil"/>
              <w:tr2bl w:val="nil"/>
            </w:tcBorders>
            <w:vAlign w:val="center"/>
          </w:tcPr>
          <w:p w14:paraId="690F1D1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由项目区外电网接入</w:t>
            </w:r>
          </w:p>
        </w:tc>
        <w:tc>
          <w:tcPr>
            <w:tcW w:w="1518" w:type="pct"/>
            <w:tcBorders>
              <w:tl2br w:val="nil"/>
              <w:tr2bl w:val="nil"/>
            </w:tcBorders>
            <w:vAlign w:val="center"/>
          </w:tcPr>
          <w:p w14:paraId="7A2B282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14:paraId="61D4C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45" w:type="pct"/>
            <w:vMerge w:val="continue"/>
            <w:tcBorders>
              <w:tl2br w:val="nil"/>
              <w:tr2bl w:val="nil"/>
            </w:tcBorders>
            <w:vAlign w:val="center"/>
          </w:tcPr>
          <w:p w14:paraId="02A5EA8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14:paraId="7E14C7F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供暖</w:t>
            </w:r>
          </w:p>
        </w:tc>
        <w:tc>
          <w:tcPr>
            <w:tcW w:w="2439" w:type="pct"/>
            <w:tcBorders>
              <w:tl2br w:val="nil"/>
              <w:tr2bl w:val="nil"/>
            </w:tcBorders>
            <w:vAlign w:val="center"/>
          </w:tcPr>
          <w:p w14:paraId="33EC5F1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夏季办公区采用空调制冷，禽舍降温采用水帘降温系统，冬季通过</w:t>
            </w:r>
            <w:r>
              <w:rPr>
                <w:rFonts w:hint="eastAsia" w:ascii="Times New Roman" w:hAnsi="Times New Roman" w:eastAsia="宋体" w:cs="宋体"/>
                <w:color w:val="auto"/>
                <w:spacing w:val="0"/>
                <w:position w:val="0"/>
                <w:sz w:val="21"/>
                <w:szCs w:val="21"/>
                <w:highlight w:val="none"/>
                <w:lang w:val="en-US" w:eastAsia="zh-CN"/>
              </w:rPr>
              <w:t>电水暖锅炉供暖</w:t>
            </w:r>
            <w:r>
              <w:rPr>
                <w:rFonts w:ascii="Times New Roman" w:hAnsi="Times New Roman" w:eastAsia="宋体" w:cs="宋体"/>
                <w:color w:val="auto"/>
                <w:spacing w:val="0"/>
                <w:position w:val="0"/>
                <w:sz w:val="21"/>
                <w:szCs w:val="21"/>
                <w:highlight w:val="none"/>
              </w:rPr>
              <w:t>。</w:t>
            </w:r>
          </w:p>
        </w:tc>
        <w:tc>
          <w:tcPr>
            <w:tcW w:w="1518" w:type="pct"/>
            <w:tcBorders>
              <w:tl2br w:val="nil"/>
              <w:tr2bl w:val="nil"/>
            </w:tcBorders>
            <w:vAlign w:val="center"/>
          </w:tcPr>
          <w:p w14:paraId="1564810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p w14:paraId="4920B8F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14:paraId="78C31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jc w:val="center"/>
        </w:trPr>
        <w:tc>
          <w:tcPr>
            <w:tcW w:w="245" w:type="pct"/>
            <w:vMerge w:val="restart"/>
            <w:tcBorders>
              <w:tl2br w:val="nil"/>
              <w:tr2bl w:val="nil"/>
            </w:tcBorders>
            <w:vAlign w:val="center"/>
          </w:tcPr>
          <w:p w14:paraId="1A75377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环保工程</w:t>
            </w:r>
          </w:p>
        </w:tc>
        <w:tc>
          <w:tcPr>
            <w:tcW w:w="795" w:type="pct"/>
            <w:tcBorders>
              <w:tl2br w:val="nil"/>
              <w:tr2bl w:val="nil"/>
            </w:tcBorders>
            <w:vAlign w:val="center"/>
          </w:tcPr>
          <w:p w14:paraId="1944831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固废处置</w:t>
            </w:r>
          </w:p>
        </w:tc>
        <w:tc>
          <w:tcPr>
            <w:tcW w:w="2439" w:type="pct"/>
            <w:tcBorders>
              <w:tl2br w:val="nil"/>
              <w:tr2bl w:val="nil"/>
            </w:tcBorders>
            <w:vAlign w:val="center"/>
          </w:tcPr>
          <w:p w14:paraId="3EE00B3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鸡粪及散落羽毛收集外售做有机肥，病死尸体在项目区东北角设置</w:t>
            </w:r>
            <w:r>
              <w:rPr>
                <w:rFonts w:hint="eastAsia" w:cs="Times New Roman"/>
                <w:color w:val="auto"/>
                <w:spacing w:val="0"/>
                <w:position w:val="0"/>
                <w:sz w:val="21"/>
                <w:szCs w:val="21"/>
                <w:highlight w:val="none"/>
                <w:lang w:eastAsia="zh-CN"/>
              </w:rPr>
              <w:t>9口</w:t>
            </w:r>
            <w:r>
              <w:rPr>
                <w:rFonts w:ascii="Times New Roman" w:hAnsi="Times New Roman" w:eastAsia="宋体" w:cs="宋体"/>
                <w:color w:val="auto"/>
                <w:spacing w:val="0"/>
                <w:position w:val="0"/>
                <w:sz w:val="21"/>
                <w:szCs w:val="21"/>
                <w:highlight w:val="none"/>
              </w:rPr>
              <w:t>安</w:t>
            </w:r>
          </w:p>
          <w:p w14:paraId="3F95B9F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全填埋井卫生填埋</w:t>
            </w:r>
          </w:p>
        </w:tc>
        <w:tc>
          <w:tcPr>
            <w:tcW w:w="1518" w:type="pct"/>
            <w:tcBorders>
              <w:tl2br w:val="nil"/>
              <w:tr2bl w:val="nil"/>
            </w:tcBorders>
            <w:vAlign w:val="center"/>
          </w:tcPr>
          <w:p w14:paraId="2F8191F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填埋井为混凝土结构，</w:t>
            </w:r>
          </w:p>
          <w:p w14:paraId="4BD94CE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防渗，深度大于</w:t>
            </w:r>
            <w:r>
              <w:rPr>
                <w:rFonts w:ascii="Times New Roman" w:hAnsi="Times New Roman" w:eastAsia="宋体" w:cs="Times New Roman"/>
                <w:color w:val="auto"/>
                <w:spacing w:val="0"/>
                <w:position w:val="0"/>
                <w:sz w:val="21"/>
                <w:szCs w:val="21"/>
                <w:highlight w:val="none"/>
              </w:rPr>
              <w:t>3m</w:t>
            </w:r>
            <w:r>
              <w:rPr>
                <w:rFonts w:ascii="Times New Roman" w:hAnsi="Times New Roman" w:eastAsia="宋体" w:cs="宋体"/>
                <w:color w:val="auto"/>
                <w:spacing w:val="0"/>
                <w:position w:val="0"/>
                <w:sz w:val="21"/>
                <w:szCs w:val="21"/>
                <w:highlight w:val="none"/>
              </w:rPr>
              <w:t>、</w:t>
            </w:r>
          </w:p>
          <w:p w14:paraId="25619C8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直径</w:t>
            </w:r>
            <w:r>
              <w:rPr>
                <w:rFonts w:ascii="Times New Roman" w:hAnsi="Times New Roman" w:eastAsia="宋体" w:cs="Times New Roman"/>
                <w:color w:val="auto"/>
                <w:spacing w:val="0"/>
                <w:position w:val="0"/>
                <w:sz w:val="21"/>
                <w:szCs w:val="21"/>
                <w:highlight w:val="none"/>
              </w:rPr>
              <w:t>1m</w:t>
            </w:r>
            <w:r>
              <w:rPr>
                <w:rFonts w:ascii="Times New Roman" w:hAnsi="Times New Roman" w:eastAsia="宋体" w:cs="宋体"/>
                <w:color w:val="auto"/>
                <w:spacing w:val="0"/>
                <w:position w:val="0"/>
                <w:sz w:val="21"/>
                <w:szCs w:val="21"/>
                <w:highlight w:val="none"/>
              </w:rPr>
              <w:t>以上，井口加盖密封</w:t>
            </w:r>
          </w:p>
        </w:tc>
      </w:tr>
      <w:tr w14:paraId="2F948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jc w:val="center"/>
        </w:trPr>
        <w:tc>
          <w:tcPr>
            <w:tcW w:w="245" w:type="pct"/>
            <w:vMerge w:val="continue"/>
            <w:tcBorders>
              <w:tl2br w:val="nil"/>
              <w:tr2bl w:val="nil"/>
            </w:tcBorders>
            <w:vAlign w:val="center"/>
          </w:tcPr>
          <w:p w14:paraId="64A436E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14:paraId="20943C1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废水治理</w:t>
            </w:r>
          </w:p>
        </w:tc>
        <w:tc>
          <w:tcPr>
            <w:tcW w:w="2439" w:type="pct"/>
            <w:tcBorders>
              <w:tl2br w:val="nil"/>
              <w:tr2bl w:val="nil"/>
            </w:tcBorders>
            <w:vAlign w:val="center"/>
          </w:tcPr>
          <w:p w14:paraId="1FCF239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生活污水直接排入下水管网，最终进</w:t>
            </w:r>
          </w:p>
          <w:p w14:paraId="70CE8B9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入玛纳斯县城污水处理厂；鸡舍冲洗</w:t>
            </w:r>
          </w:p>
          <w:p w14:paraId="091D6D2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废水排入鸡舍冲洗废水排入</w:t>
            </w:r>
            <w:r>
              <w:rPr>
                <w:rFonts w:hint="eastAsia" w:cs="宋体"/>
                <w:color w:val="auto"/>
                <w:spacing w:val="0"/>
                <w:position w:val="0"/>
                <w:sz w:val="21"/>
                <w:szCs w:val="21"/>
                <w:highlight w:val="none"/>
                <w:lang w:val="en-US" w:eastAsia="zh-CN"/>
              </w:rPr>
              <w:t>废水收集池（150m</w:t>
            </w:r>
            <w:r>
              <w:rPr>
                <w:rFonts w:hint="eastAsia" w:cs="宋体"/>
                <w:color w:val="auto"/>
                <w:spacing w:val="0"/>
                <w:position w:val="0"/>
                <w:sz w:val="21"/>
                <w:szCs w:val="21"/>
                <w:highlight w:val="none"/>
                <w:vertAlign w:val="superscript"/>
                <w:lang w:val="en-US" w:eastAsia="zh-CN"/>
              </w:rPr>
              <w:t>3</w:t>
            </w:r>
            <w:r>
              <w:rPr>
                <w:rFonts w:hint="eastAsia" w:cs="宋体"/>
                <w:color w:val="auto"/>
                <w:spacing w:val="0"/>
                <w:position w:val="0"/>
                <w:sz w:val="21"/>
                <w:szCs w:val="21"/>
                <w:highlight w:val="none"/>
                <w:lang w:val="en-US" w:eastAsia="zh-CN"/>
              </w:rPr>
              <w:t>）经过预处理后用作农肥。</w:t>
            </w:r>
          </w:p>
        </w:tc>
        <w:tc>
          <w:tcPr>
            <w:tcW w:w="1518" w:type="pct"/>
            <w:tcBorders>
              <w:tl2br w:val="nil"/>
              <w:tr2bl w:val="nil"/>
            </w:tcBorders>
            <w:vAlign w:val="center"/>
          </w:tcPr>
          <w:p w14:paraId="7E8B2B6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14:paraId="3615B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45" w:type="pct"/>
            <w:vMerge w:val="continue"/>
            <w:tcBorders>
              <w:tl2br w:val="nil"/>
              <w:tr2bl w:val="nil"/>
            </w:tcBorders>
            <w:vAlign w:val="center"/>
          </w:tcPr>
          <w:p w14:paraId="7FBC176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14:paraId="1F42D5A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噪声治理</w:t>
            </w:r>
          </w:p>
        </w:tc>
        <w:tc>
          <w:tcPr>
            <w:tcW w:w="2439" w:type="pct"/>
            <w:tcBorders>
              <w:tl2br w:val="nil"/>
              <w:tr2bl w:val="nil"/>
            </w:tcBorders>
            <w:vAlign w:val="center"/>
          </w:tcPr>
          <w:p w14:paraId="07BA6F6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定期投喂，避免人为扰动蛋鸡；对产</w:t>
            </w:r>
          </w:p>
          <w:p w14:paraId="7B512BA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生噪声的设备采取消音、厂房屏蔽及</w:t>
            </w:r>
          </w:p>
          <w:p w14:paraId="232C91D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隔声措施</w:t>
            </w:r>
          </w:p>
        </w:tc>
        <w:tc>
          <w:tcPr>
            <w:tcW w:w="1518" w:type="pct"/>
            <w:tcBorders>
              <w:tl2br w:val="nil"/>
              <w:tr2bl w:val="nil"/>
            </w:tcBorders>
            <w:vAlign w:val="center"/>
          </w:tcPr>
          <w:p w14:paraId="025E670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p w14:paraId="02CFA7A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14:paraId="4E06D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jc w:val="center"/>
        </w:trPr>
        <w:tc>
          <w:tcPr>
            <w:tcW w:w="245" w:type="pct"/>
            <w:vMerge w:val="continue"/>
            <w:tcBorders>
              <w:tl2br w:val="nil"/>
              <w:tr2bl w:val="nil"/>
            </w:tcBorders>
            <w:vAlign w:val="center"/>
          </w:tcPr>
          <w:p w14:paraId="1A34F85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95" w:type="pct"/>
            <w:tcBorders>
              <w:tl2br w:val="nil"/>
              <w:tr2bl w:val="nil"/>
            </w:tcBorders>
            <w:vAlign w:val="center"/>
          </w:tcPr>
          <w:p w14:paraId="72F38DC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废气治理</w:t>
            </w:r>
          </w:p>
        </w:tc>
        <w:tc>
          <w:tcPr>
            <w:tcW w:w="2439" w:type="pct"/>
            <w:tcBorders>
              <w:tl2br w:val="nil"/>
              <w:tr2bl w:val="nil"/>
            </w:tcBorders>
            <w:vAlign w:val="center"/>
          </w:tcPr>
          <w:p w14:paraId="5FBA076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主要为鸡舍和</w:t>
            </w:r>
            <w:r>
              <w:rPr>
                <w:rFonts w:hint="eastAsia" w:cs="宋体"/>
                <w:color w:val="auto"/>
                <w:spacing w:val="0"/>
                <w:position w:val="0"/>
                <w:sz w:val="21"/>
                <w:szCs w:val="21"/>
                <w:highlight w:val="none"/>
                <w:lang w:eastAsia="zh-CN"/>
              </w:rPr>
              <w:t>废水收集池</w:t>
            </w:r>
            <w:r>
              <w:rPr>
                <w:rFonts w:ascii="Times New Roman" w:hAnsi="Times New Roman" w:eastAsia="宋体" w:cs="宋体"/>
                <w:color w:val="auto"/>
                <w:spacing w:val="0"/>
                <w:position w:val="0"/>
                <w:sz w:val="21"/>
                <w:szCs w:val="21"/>
                <w:highlight w:val="none"/>
              </w:rPr>
              <w:t>产生的恶臭，通过定期清扫鸡粪及散落羽毛，使用除臭剂，在鸡舍四周种植高大乔</w:t>
            </w:r>
          </w:p>
          <w:p w14:paraId="7953AF3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木吸收阻隔恶臭扩散</w:t>
            </w:r>
          </w:p>
        </w:tc>
        <w:tc>
          <w:tcPr>
            <w:tcW w:w="1518" w:type="pct"/>
            <w:tcBorders>
              <w:tl2br w:val="nil"/>
              <w:tr2bl w:val="nil"/>
            </w:tcBorders>
            <w:vAlign w:val="center"/>
          </w:tcPr>
          <w:p w14:paraId="69BE912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p w14:paraId="5E7D39C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p w14:paraId="1DE14C4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bl>
    <w:p w14:paraId="11D65EF6">
      <w:pPr>
        <w:pStyle w:val="5"/>
        <w:rPr>
          <w:rFonts w:ascii="Times New Roman" w:hAnsi="Times New Roman" w:eastAsia="宋体"/>
          <w:color w:val="auto"/>
          <w:highlight w:val="none"/>
        </w:rPr>
      </w:pPr>
      <w:bookmarkStart w:id="76" w:name="_Toc106663462"/>
      <w:r>
        <w:rPr>
          <w:rFonts w:hint="eastAsia" w:ascii="Times New Roman" w:hAnsi="Times New Roman" w:eastAsia="宋体"/>
          <w:color w:val="auto"/>
          <w:highlight w:val="none"/>
        </w:rPr>
        <w:t>3.1.3主要原辅材料</w:t>
      </w:r>
      <w:bookmarkEnd w:id="76"/>
    </w:p>
    <w:p w14:paraId="08E6E38E">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本项目原辅材料耗情况见下表3.1-</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w:t>
      </w:r>
    </w:p>
    <w:p w14:paraId="2A4C9AE6">
      <w:pPr>
        <w:pStyle w:val="10"/>
        <w:rPr>
          <w:rFonts w:ascii="Times New Roman" w:hAnsi="Times New Roman" w:eastAsia="宋体"/>
          <w:color w:val="auto"/>
          <w:highlight w:val="none"/>
        </w:rPr>
      </w:pPr>
      <w:r>
        <w:rPr>
          <w:rFonts w:hint="eastAsia" w:ascii="Times New Roman" w:hAnsi="Times New Roman" w:eastAsia="宋体"/>
          <w:color w:val="auto"/>
          <w:highlight w:val="none"/>
        </w:rPr>
        <w:t>表3.1-本项目原辅材料用量情况一览表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66"/>
        <w:gridCol w:w="1156"/>
        <w:gridCol w:w="1172"/>
        <w:gridCol w:w="2929"/>
        <w:gridCol w:w="2686"/>
      </w:tblGrid>
      <w:tr w14:paraId="0D957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915" w:type="pct"/>
            <w:gridSpan w:val="2"/>
            <w:vAlign w:val="center"/>
          </w:tcPr>
          <w:p w14:paraId="723947FF">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名称</w:t>
            </w:r>
          </w:p>
        </w:tc>
        <w:tc>
          <w:tcPr>
            <w:tcW w:w="705" w:type="pct"/>
            <w:vAlign w:val="center"/>
          </w:tcPr>
          <w:p w14:paraId="24C848A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数量</w:t>
            </w:r>
          </w:p>
        </w:tc>
        <w:tc>
          <w:tcPr>
            <w:tcW w:w="1763" w:type="pct"/>
            <w:vAlign w:val="center"/>
          </w:tcPr>
          <w:p w14:paraId="04EBB8E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来源</w:t>
            </w:r>
          </w:p>
        </w:tc>
        <w:tc>
          <w:tcPr>
            <w:tcW w:w="1616" w:type="pct"/>
            <w:vAlign w:val="center"/>
          </w:tcPr>
          <w:p w14:paraId="18F0783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备注</w:t>
            </w:r>
          </w:p>
        </w:tc>
      </w:tr>
      <w:tr w14:paraId="40FBD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restart"/>
            <w:tcBorders>
              <w:bottom w:val="nil"/>
            </w:tcBorders>
            <w:textDirection w:val="tbRlV"/>
            <w:vAlign w:val="center"/>
          </w:tcPr>
          <w:p w14:paraId="5AD6A1A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鸡的饲养</w:t>
            </w:r>
          </w:p>
        </w:tc>
        <w:tc>
          <w:tcPr>
            <w:tcW w:w="695" w:type="pct"/>
            <w:vAlign w:val="center"/>
          </w:tcPr>
          <w:p w14:paraId="2E7F9AA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雏鸡</w:t>
            </w:r>
          </w:p>
        </w:tc>
        <w:tc>
          <w:tcPr>
            <w:tcW w:w="705" w:type="pct"/>
            <w:vAlign w:val="center"/>
          </w:tcPr>
          <w:p w14:paraId="0295276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72</w:t>
            </w:r>
            <w:r>
              <w:rPr>
                <w:rFonts w:ascii="Times New Roman" w:hAnsi="Times New Roman" w:eastAsia="宋体" w:cs="宋体"/>
                <w:color w:val="auto"/>
                <w:spacing w:val="0"/>
                <w:sz w:val="21"/>
                <w:szCs w:val="21"/>
                <w:highlight w:val="none"/>
              </w:rPr>
              <w:t>万羽</w:t>
            </w:r>
          </w:p>
        </w:tc>
        <w:tc>
          <w:tcPr>
            <w:tcW w:w="1763" w:type="pct"/>
            <w:vAlign w:val="center"/>
          </w:tcPr>
          <w:p w14:paraId="2883469B">
            <w:pPr>
              <w:keepNext w:val="0"/>
              <w:keepLines w:val="0"/>
              <w:pageBreakBefore w:val="0"/>
              <w:widowControl w:val="0"/>
              <w:kinsoku/>
              <w:wordWrap/>
              <w:overflowPunct/>
              <w:topLinePunct w:val="0"/>
              <w:autoSpaceDE/>
              <w:autoSpaceDN/>
              <w:bidi w:val="0"/>
              <w:adjustRightInd/>
              <w:snapToGrid/>
              <w:spacing w:line="360" w:lineRule="exact"/>
              <w:ind w:left="0" w:right="192"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外购</w:t>
            </w:r>
          </w:p>
        </w:tc>
        <w:tc>
          <w:tcPr>
            <w:tcW w:w="1616" w:type="pct"/>
            <w:vAlign w:val="center"/>
          </w:tcPr>
          <w:p w14:paraId="0E92143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hint="eastAsia" w:ascii="Times New Roman" w:hAnsi="Times New Roman" w:eastAsia="宋体" w:cs="宋体"/>
                <w:color w:val="auto"/>
                <w:spacing w:val="0"/>
                <w:sz w:val="21"/>
                <w:szCs w:val="21"/>
                <w:highlight w:val="none"/>
                <w:lang w:val="en-US" w:eastAsia="zh-CN"/>
              </w:rPr>
              <w:t>/</w:t>
            </w:r>
          </w:p>
        </w:tc>
      </w:tr>
      <w:tr w14:paraId="705ED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continue"/>
            <w:tcBorders>
              <w:top w:val="nil"/>
              <w:bottom w:val="nil"/>
            </w:tcBorders>
            <w:textDirection w:val="tbRlV"/>
            <w:vAlign w:val="center"/>
          </w:tcPr>
          <w:p w14:paraId="0084DED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695" w:type="pct"/>
            <w:vAlign w:val="center"/>
          </w:tcPr>
          <w:p w14:paraId="0355406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防疫药品</w:t>
            </w:r>
          </w:p>
        </w:tc>
        <w:tc>
          <w:tcPr>
            <w:tcW w:w="705" w:type="pct"/>
            <w:vAlign w:val="center"/>
          </w:tcPr>
          <w:p w14:paraId="040F565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2.6t/a</w:t>
            </w:r>
          </w:p>
        </w:tc>
        <w:tc>
          <w:tcPr>
            <w:tcW w:w="1763" w:type="pct"/>
            <w:vAlign w:val="center"/>
          </w:tcPr>
          <w:p w14:paraId="0F2043C2">
            <w:pPr>
              <w:keepNext w:val="0"/>
              <w:keepLines w:val="0"/>
              <w:pageBreakBefore w:val="0"/>
              <w:widowControl w:val="0"/>
              <w:kinsoku/>
              <w:wordWrap/>
              <w:overflowPunct/>
              <w:topLinePunct w:val="0"/>
              <w:autoSpaceDE/>
              <w:autoSpaceDN/>
              <w:bidi w:val="0"/>
              <w:adjustRightInd/>
              <w:snapToGrid/>
              <w:spacing w:line="360" w:lineRule="exact"/>
              <w:ind w:left="0" w:right="139"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外购</w:t>
            </w:r>
          </w:p>
        </w:tc>
        <w:tc>
          <w:tcPr>
            <w:tcW w:w="1616" w:type="pct"/>
            <w:vAlign w:val="center"/>
          </w:tcPr>
          <w:p w14:paraId="31A3C97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r w14:paraId="42A5D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continue"/>
            <w:tcBorders>
              <w:top w:val="nil"/>
              <w:bottom w:val="nil"/>
            </w:tcBorders>
            <w:textDirection w:val="tbRlV"/>
            <w:vAlign w:val="center"/>
          </w:tcPr>
          <w:p w14:paraId="301A2F5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695" w:type="pct"/>
            <w:vAlign w:val="center"/>
          </w:tcPr>
          <w:p w14:paraId="6CA5D51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消毒药品</w:t>
            </w:r>
          </w:p>
        </w:tc>
        <w:tc>
          <w:tcPr>
            <w:tcW w:w="705" w:type="pct"/>
            <w:vAlign w:val="center"/>
          </w:tcPr>
          <w:p w14:paraId="355D913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3.4t/a</w:t>
            </w:r>
          </w:p>
        </w:tc>
        <w:tc>
          <w:tcPr>
            <w:tcW w:w="1763" w:type="pct"/>
            <w:vAlign w:val="center"/>
          </w:tcPr>
          <w:p w14:paraId="385EA6C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外购</w:t>
            </w:r>
          </w:p>
        </w:tc>
        <w:tc>
          <w:tcPr>
            <w:tcW w:w="1616" w:type="pct"/>
            <w:vAlign w:val="center"/>
          </w:tcPr>
          <w:p w14:paraId="751EAF4F">
            <w:pPr>
              <w:keepNext w:val="0"/>
              <w:keepLines w:val="0"/>
              <w:pageBreakBefore w:val="0"/>
              <w:widowControl w:val="0"/>
              <w:kinsoku/>
              <w:wordWrap/>
              <w:overflowPunct/>
              <w:topLinePunct w:val="0"/>
              <w:autoSpaceDE/>
              <w:autoSpaceDN/>
              <w:bidi w:val="0"/>
              <w:adjustRightInd/>
              <w:snapToGrid/>
              <w:spacing w:line="360" w:lineRule="exact"/>
              <w:ind w:left="0" w:right="137"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主要复合酚、来苏尔、氯制剂</w:t>
            </w:r>
          </w:p>
        </w:tc>
      </w:tr>
      <w:tr w14:paraId="2153C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continue"/>
            <w:tcBorders>
              <w:top w:val="nil"/>
            </w:tcBorders>
            <w:textDirection w:val="tbRlV"/>
            <w:vAlign w:val="center"/>
          </w:tcPr>
          <w:p w14:paraId="4B6E28A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695" w:type="pct"/>
            <w:vAlign w:val="center"/>
          </w:tcPr>
          <w:p w14:paraId="0E5683C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成品饲料</w:t>
            </w:r>
          </w:p>
        </w:tc>
        <w:tc>
          <w:tcPr>
            <w:tcW w:w="705" w:type="pct"/>
            <w:vAlign w:val="center"/>
          </w:tcPr>
          <w:p w14:paraId="44F748F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39420t/a</w:t>
            </w:r>
          </w:p>
        </w:tc>
        <w:tc>
          <w:tcPr>
            <w:tcW w:w="1763" w:type="pct"/>
            <w:vAlign w:val="center"/>
          </w:tcPr>
          <w:p w14:paraId="3416986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外购</w:t>
            </w:r>
          </w:p>
        </w:tc>
        <w:tc>
          <w:tcPr>
            <w:tcW w:w="1616" w:type="pct"/>
            <w:vAlign w:val="center"/>
          </w:tcPr>
          <w:p w14:paraId="521CFF4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r w14:paraId="270CD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restart"/>
            <w:tcBorders>
              <w:bottom w:val="nil"/>
            </w:tcBorders>
            <w:textDirection w:val="tbRlV"/>
            <w:vAlign w:val="center"/>
          </w:tcPr>
          <w:p w14:paraId="400EAAF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辅料</w:t>
            </w:r>
          </w:p>
        </w:tc>
        <w:tc>
          <w:tcPr>
            <w:tcW w:w="695" w:type="pct"/>
            <w:vAlign w:val="center"/>
          </w:tcPr>
          <w:p w14:paraId="38EFD36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除臭剂</w:t>
            </w:r>
          </w:p>
        </w:tc>
        <w:tc>
          <w:tcPr>
            <w:tcW w:w="705" w:type="pct"/>
            <w:vAlign w:val="center"/>
          </w:tcPr>
          <w:p w14:paraId="541E352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500kg</w:t>
            </w:r>
          </w:p>
        </w:tc>
        <w:tc>
          <w:tcPr>
            <w:tcW w:w="1763" w:type="pct"/>
            <w:vAlign w:val="center"/>
          </w:tcPr>
          <w:p w14:paraId="591A1D2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外购</w:t>
            </w:r>
          </w:p>
        </w:tc>
        <w:tc>
          <w:tcPr>
            <w:tcW w:w="1616" w:type="pct"/>
            <w:vAlign w:val="center"/>
          </w:tcPr>
          <w:p w14:paraId="1468EC24">
            <w:pPr>
              <w:keepNext w:val="0"/>
              <w:keepLines w:val="0"/>
              <w:pageBreakBefore w:val="0"/>
              <w:widowControl w:val="0"/>
              <w:kinsoku/>
              <w:wordWrap/>
              <w:overflowPunct/>
              <w:topLinePunct w:val="0"/>
              <w:autoSpaceDE/>
              <w:autoSpaceDN/>
              <w:bidi w:val="0"/>
              <w:adjustRightInd/>
              <w:snapToGrid/>
              <w:spacing w:line="360" w:lineRule="exact"/>
              <w:ind w:left="0" w:right="168"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主要为戊二醛、聚维酮碘</w:t>
            </w:r>
          </w:p>
        </w:tc>
      </w:tr>
      <w:tr w14:paraId="3AFF5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continue"/>
            <w:tcBorders>
              <w:top w:val="nil"/>
            </w:tcBorders>
            <w:textDirection w:val="tbRlV"/>
            <w:vAlign w:val="center"/>
          </w:tcPr>
          <w:p w14:paraId="51FC971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695" w:type="pct"/>
            <w:vAlign w:val="center"/>
          </w:tcPr>
          <w:p w14:paraId="2D8ED45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熟石灰</w:t>
            </w:r>
          </w:p>
        </w:tc>
        <w:tc>
          <w:tcPr>
            <w:tcW w:w="705" w:type="pct"/>
            <w:vAlign w:val="center"/>
          </w:tcPr>
          <w:p w14:paraId="327BFB6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2t/a</w:t>
            </w:r>
          </w:p>
        </w:tc>
        <w:tc>
          <w:tcPr>
            <w:tcW w:w="1763" w:type="pct"/>
            <w:vAlign w:val="center"/>
          </w:tcPr>
          <w:p w14:paraId="73444B8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外购</w:t>
            </w:r>
          </w:p>
        </w:tc>
        <w:tc>
          <w:tcPr>
            <w:tcW w:w="1616" w:type="pct"/>
            <w:vAlign w:val="center"/>
          </w:tcPr>
          <w:p w14:paraId="0490AA6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r w14:paraId="30154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restart"/>
            <w:tcBorders>
              <w:bottom w:val="nil"/>
            </w:tcBorders>
            <w:textDirection w:val="tbRlV"/>
            <w:vAlign w:val="center"/>
          </w:tcPr>
          <w:p w14:paraId="428FD89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能源</w:t>
            </w:r>
          </w:p>
        </w:tc>
        <w:tc>
          <w:tcPr>
            <w:tcW w:w="695" w:type="pct"/>
            <w:vAlign w:val="center"/>
          </w:tcPr>
          <w:p w14:paraId="11CB029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水</w:t>
            </w:r>
          </w:p>
        </w:tc>
        <w:tc>
          <w:tcPr>
            <w:tcW w:w="705" w:type="pct"/>
            <w:vAlign w:val="center"/>
          </w:tcPr>
          <w:p w14:paraId="3971401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eastAsia="zh-CN"/>
              </w:rPr>
              <w:t>22903.32</w:t>
            </w:r>
            <w:r>
              <w:rPr>
                <w:rFonts w:ascii="Times New Roman" w:hAnsi="Times New Roman" w:eastAsia="宋体" w:cs="Times New Roman"/>
                <w:color w:val="auto"/>
                <w:spacing w:val="0"/>
                <w:sz w:val="21"/>
                <w:szCs w:val="21"/>
                <w:highlight w:val="none"/>
              </w:rPr>
              <w:t>m³/a</w:t>
            </w:r>
          </w:p>
        </w:tc>
        <w:tc>
          <w:tcPr>
            <w:tcW w:w="1763" w:type="pct"/>
            <w:vAlign w:val="center"/>
          </w:tcPr>
          <w:p w14:paraId="20465BD3">
            <w:pPr>
              <w:keepNext w:val="0"/>
              <w:keepLines w:val="0"/>
              <w:pageBreakBefore w:val="0"/>
              <w:widowControl w:val="0"/>
              <w:kinsoku/>
              <w:wordWrap/>
              <w:overflowPunct/>
              <w:topLinePunct w:val="0"/>
              <w:autoSpaceDE/>
              <w:autoSpaceDN/>
              <w:bidi w:val="0"/>
              <w:adjustRightInd/>
              <w:snapToGrid/>
              <w:spacing w:line="360" w:lineRule="exact"/>
              <w:ind w:left="0" w:right="139"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从玛纳斯县广东地</w:t>
            </w:r>
            <w:r>
              <w:rPr>
                <w:rFonts w:hint="eastAsia" w:ascii="Times New Roman" w:hAnsi="Times New Roman" w:eastAsia="宋体" w:cs="宋体"/>
                <w:color w:val="auto"/>
                <w:spacing w:val="0"/>
                <w:sz w:val="21"/>
                <w:szCs w:val="21"/>
                <w:highlight w:val="none"/>
                <w:lang w:val="en-US" w:eastAsia="zh-CN"/>
              </w:rPr>
              <w:t>村</w:t>
            </w:r>
            <w:r>
              <w:rPr>
                <w:rFonts w:ascii="Times New Roman" w:hAnsi="Times New Roman" w:eastAsia="宋体" w:cs="宋体"/>
                <w:color w:val="auto"/>
                <w:spacing w:val="0"/>
                <w:sz w:val="21"/>
                <w:szCs w:val="21"/>
                <w:highlight w:val="none"/>
              </w:rPr>
              <w:t>预留接口接入</w:t>
            </w:r>
          </w:p>
        </w:tc>
        <w:tc>
          <w:tcPr>
            <w:tcW w:w="1616" w:type="pct"/>
            <w:vAlign w:val="center"/>
          </w:tcPr>
          <w:p w14:paraId="606F177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r w14:paraId="2FE5A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19" w:type="pct"/>
            <w:vMerge w:val="continue"/>
            <w:tcBorders>
              <w:top w:val="nil"/>
            </w:tcBorders>
            <w:textDirection w:val="tbRlV"/>
            <w:vAlign w:val="center"/>
          </w:tcPr>
          <w:p w14:paraId="2B6C1E4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695" w:type="pct"/>
            <w:vAlign w:val="center"/>
          </w:tcPr>
          <w:p w14:paraId="0F2A5517">
            <w:pPr>
              <w:keepNext w:val="0"/>
              <w:keepLines w:val="0"/>
              <w:pageBreakBefore w:val="0"/>
              <w:widowControl w:val="0"/>
              <w:kinsoku/>
              <w:wordWrap/>
              <w:overflowPunct/>
              <w:topLinePunct w:val="0"/>
              <w:autoSpaceDE/>
              <w:autoSpaceDN/>
              <w:bidi w:val="0"/>
              <w:adjustRightInd/>
              <w:snapToGrid/>
              <w:spacing w:line="360" w:lineRule="exact"/>
              <w:ind w:left="0" w:right="122"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电</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KWh/a</w:t>
            </w:r>
            <w:r>
              <w:rPr>
                <w:rFonts w:hint="eastAsia" w:cs="宋体"/>
                <w:color w:val="auto"/>
                <w:spacing w:val="0"/>
                <w:sz w:val="21"/>
                <w:szCs w:val="21"/>
                <w:highlight w:val="none"/>
                <w:lang w:eastAsia="zh-CN"/>
              </w:rPr>
              <w:t>）</w:t>
            </w:r>
          </w:p>
        </w:tc>
        <w:tc>
          <w:tcPr>
            <w:tcW w:w="705" w:type="pct"/>
            <w:vAlign w:val="center"/>
          </w:tcPr>
          <w:p w14:paraId="740CF0F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16</w:t>
            </w:r>
            <w:r>
              <w:rPr>
                <w:rFonts w:ascii="Times New Roman" w:hAnsi="Times New Roman" w:eastAsia="宋体" w:cs="宋体"/>
                <w:color w:val="auto"/>
                <w:spacing w:val="0"/>
                <w:sz w:val="21"/>
                <w:szCs w:val="21"/>
                <w:highlight w:val="none"/>
              </w:rPr>
              <w:t>万</w:t>
            </w:r>
            <w:r>
              <w:rPr>
                <w:rFonts w:ascii="Times New Roman" w:hAnsi="Times New Roman" w:eastAsia="宋体" w:cs="Times New Roman"/>
                <w:color w:val="auto"/>
                <w:spacing w:val="0"/>
                <w:sz w:val="21"/>
                <w:szCs w:val="21"/>
                <w:highlight w:val="none"/>
              </w:rPr>
              <w:t>kWh/a</w:t>
            </w:r>
          </w:p>
        </w:tc>
        <w:tc>
          <w:tcPr>
            <w:tcW w:w="1763" w:type="pct"/>
            <w:vAlign w:val="center"/>
          </w:tcPr>
          <w:p w14:paraId="065B30B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玛纳斯县供电网</w:t>
            </w:r>
          </w:p>
        </w:tc>
        <w:tc>
          <w:tcPr>
            <w:tcW w:w="1616" w:type="pct"/>
            <w:vAlign w:val="center"/>
          </w:tcPr>
          <w:p w14:paraId="7675840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r>
    </w:tbl>
    <w:p w14:paraId="2308DECC">
      <w:pPr>
        <w:pStyle w:val="5"/>
        <w:rPr>
          <w:rFonts w:ascii="Times New Roman" w:hAnsi="Times New Roman" w:eastAsia="宋体"/>
          <w:color w:val="auto"/>
          <w:highlight w:val="none"/>
        </w:rPr>
      </w:pPr>
      <w:bookmarkStart w:id="77" w:name="_Toc106663463"/>
      <w:r>
        <w:rPr>
          <w:rFonts w:hint="eastAsia" w:ascii="Times New Roman" w:hAnsi="Times New Roman" w:eastAsia="宋体"/>
          <w:color w:val="auto"/>
          <w:highlight w:val="none"/>
        </w:rPr>
        <w:t>3.1.4主要设备</w:t>
      </w:r>
      <w:bookmarkEnd w:id="77"/>
    </w:p>
    <w:p w14:paraId="09AEDD35">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本项目主要生产设备见表3.1-</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w:t>
      </w:r>
    </w:p>
    <w:p w14:paraId="1E46DC28">
      <w:pPr>
        <w:pStyle w:val="10"/>
        <w:rPr>
          <w:rFonts w:ascii="Times New Roman" w:hAnsi="Times New Roman" w:eastAsia="宋体"/>
          <w:color w:val="auto"/>
          <w:highlight w:val="none"/>
        </w:rPr>
      </w:pPr>
      <w:r>
        <w:rPr>
          <w:rFonts w:hint="eastAsia" w:ascii="Times New Roman" w:hAnsi="Times New Roman" w:eastAsia="宋体"/>
          <w:color w:val="auto"/>
          <w:highlight w:val="none"/>
        </w:rPr>
        <w:t>表3.1-</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主要设备一览表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3"/>
        <w:gridCol w:w="3261"/>
        <w:gridCol w:w="780"/>
        <w:gridCol w:w="1076"/>
        <w:gridCol w:w="2549"/>
      </w:tblGrid>
      <w:tr w14:paraId="733D6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387" w:type="pct"/>
            <w:vAlign w:val="center"/>
          </w:tcPr>
          <w:p w14:paraId="12BCF22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序号</w:t>
            </w:r>
          </w:p>
        </w:tc>
        <w:tc>
          <w:tcPr>
            <w:tcW w:w="1961" w:type="pct"/>
            <w:vAlign w:val="center"/>
          </w:tcPr>
          <w:p w14:paraId="3AD97D1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设备名称</w:t>
            </w:r>
          </w:p>
        </w:tc>
        <w:tc>
          <w:tcPr>
            <w:tcW w:w="469" w:type="pct"/>
            <w:vAlign w:val="center"/>
          </w:tcPr>
          <w:p w14:paraId="629C8ED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单位</w:t>
            </w:r>
          </w:p>
        </w:tc>
        <w:tc>
          <w:tcPr>
            <w:tcW w:w="647" w:type="pct"/>
            <w:vAlign w:val="center"/>
          </w:tcPr>
          <w:p w14:paraId="79AEFB4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数量</w:t>
            </w:r>
          </w:p>
          <w:p w14:paraId="2050801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套</w:t>
            </w:r>
            <w:r>
              <w:rPr>
                <w:rFonts w:hint="eastAsia" w:cs="宋体"/>
                <w:color w:val="auto"/>
                <w:spacing w:val="0"/>
                <w:position w:val="0"/>
                <w:sz w:val="21"/>
                <w:szCs w:val="21"/>
                <w:highlight w:val="none"/>
                <w:lang w:eastAsia="zh-CN"/>
              </w:rPr>
              <w:t>）</w:t>
            </w:r>
          </w:p>
        </w:tc>
        <w:tc>
          <w:tcPr>
            <w:tcW w:w="1533" w:type="pct"/>
            <w:vAlign w:val="center"/>
          </w:tcPr>
          <w:p w14:paraId="07878EA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备注</w:t>
            </w:r>
          </w:p>
        </w:tc>
      </w:tr>
      <w:tr w14:paraId="5860D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387" w:type="pct"/>
            <w:vAlign w:val="center"/>
          </w:tcPr>
          <w:p w14:paraId="0054DCB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1961" w:type="pct"/>
            <w:vAlign w:val="center"/>
          </w:tcPr>
          <w:p w14:paraId="6F4973E4">
            <w:pPr>
              <w:keepNext w:val="0"/>
              <w:keepLines w:val="0"/>
              <w:pageBreakBefore w:val="0"/>
              <w:widowControl w:val="0"/>
              <w:kinsoku/>
              <w:wordWrap/>
              <w:overflowPunct/>
              <w:topLinePunct w:val="0"/>
              <w:autoSpaceDE/>
              <w:autoSpaceDN/>
              <w:bidi w:val="0"/>
              <w:adjustRightInd/>
              <w:snapToGrid/>
              <w:spacing w:line="360" w:lineRule="exact"/>
              <w:ind w:left="0" w:right="17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笼具、喂料、饮水、通风、清粪及温湿度自动控制系统</w:t>
            </w:r>
          </w:p>
        </w:tc>
        <w:tc>
          <w:tcPr>
            <w:tcW w:w="469" w:type="pct"/>
            <w:vAlign w:val="center"/>
          </w:tcPr>
          <w:p w14:paraId="4A99970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套</w:t>
            </w:r>
          </w:p>
        </w:tc>
        <w:tc>
          <w:tcPr>
            <w:tcW w:w="647" w:type="pct"/>
            <w:vAlign w:val="center"/>
          </w:tcPr>
          <w:p w14:paraId="725C100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cs="Times New Roman"/>
                <w:color w:val="auto"/>
                <w:spacing w:val="0"/>
                <w:position w:val="0"/>
                <w:sz w:val="21"/>
                <w:szCs w:val="21"/>
                <w:highlight w:val="none"/>
                <w:lang w:val="en-US" w:eastAsia="zh-CN"/>
              </w:rPr>
              <w:t>6</w:t>
            </w:r>
          </w:p>
        </w:tc>
        <w:tc>
          <w:tcPr>
            <w:tcW w:w="1533" w:type="pct"/>
            <w:vAlign w:val="center"/>
          </w:tcPr>
          <w:p w14:paraId="67865A3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olor w:val="auto"/>
                <w:spacing w:val="0"/>
                <w:position w:val="0"/>
                <w:sz w:val="21"/>
                <w:highlight w:val="none"/>
                <w:lang w:val="en-US" w:eastAsia="zh-CN"/>
              </w:rPr>
            </w:pPr>
            <w:r>
              <w:rPr>
                <w:rFonts w:hint="eastAsia" w:ascii="Times New Roman" w:hAnsi="Times New Roman" w:eastAsia="宋体"/>
                <w:color w:val="auto"/>
                <w:spacing w:val="0"/>
                <w:position w:val="0"/>
                <w:sz w:val="21"/>
                <w:highlight w:val="none"/>
                <w:lang w:val="en-US" w:eastAsia="zh-CN"/>
              </w:rPr>
              <w:t>/</w:t>
            </w:r>
          </w:p>
        </w:tc>
      </w:tr>
      <w:tr w14:paraId="52D1F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jc w:val="center"/>
        </w:trPr>
        <w:tc>
          <w:tcPr>
            <w:tcW w:w="387" w:type="pct"/>
            <w:vAlign w:val="center"/>
          </w:tcPr>
          <w:p w14:paraId="3FF9729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w:t>
            </w:r>
          </w:p>
        </w:tc>
        <w:tc>
          <w:tcPr>
            <w:tcW w:w="1961" w:type="pct"/>
            <w:vAlign w:val="center"/>
          </w:tcPr>
          <w:p w14:paraId="350ADB1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生产用供电设备</w:t>
            </w:r>
          </w:p>
        </w:tc>
        <w:tc>
          <w:tcPr>
            <w:tcW w:w="469" w:type="pct"/>
            <w:vAlign w:val="center"/>
          </w:tcPr>
          <w:p w14:paraId="3FC95FF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套</w:t>
            </w:r>
          </w:p>
        </w:tc>
        <w:tc>
          <w:tcPr>
            <w:tcW w:w="647" w:type="pct"/>
            <w:vAlign w:val="center"/>
          </w:tcPr>
          <w:p w14:paraId="3244037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1533" w:type="pct"/>
            <w:vAlign w:val="center"/>
          </w:tcPr>
          <w:p w14:paraId="5DB51990">
            <w:pPr>
              <w:keepNext w:val="0"/>
              <w:keepLines w:val="0"/>
              <w:pageBreakBefore w:val="0"/>
              <w:widowControl w:val="0"/>
              <w:kinsoku/>
              <w:wordWrap/>
              <w:overflowPunct/>
              <w:topLinePunct w:val="0"/>
              <w:autoSpaceDE/>
              <w:autoSpaceDN/>
              <w:bidi w:val="0"/>
              <w:adjustRightInd/>
              <w:snapToGrid/>
              <w:spacing w:line="360" w:lineRule="exact"/>
              <w:ind w:left="0" w:right="257"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包括变压器预装、地下高压线缆、</w:t>
            </w:r>
            <w:r>
              <w:rPr>
                <w:rFonts w:ascii="Times New Roman" w:hAnsi="Times New Roman" w:eastAsia="宋体" w:cs="Times New Roman"/>
                <w:color w:val="auto"/>
                <w:spacing w:val="0"/>
                <w:position w:val="0"/>
                <w:sz w:val="21"/>
                <w:szCs w:val="21"/>
                <w:highlight w:val="none"/>
              </w:rPr>
              <w:t>1000KW</w:t>
            </w:r>
            <w:r>
              <w:rPr>
                <w:rFonts w:ascii="Times New Roman" w:hAnsi="Times New Roman" w:eastAsia="宋体" w:cs="宋体"/>
                <w:color w:val="auto"/>
                <w:spacing w:val="0"/>
                <w:position w:val="0"/>
                <w:sz w:val="21"/>
                <w:szCs w:val="21"/>
                <w:highlight w:val="none"/>
              </w:rPr>
              <w:t>发电机组</w:t>
            </w:r>
          </w:p>
        </w:tc>
      </w:tr>
      <w:tr w14:paraId="434DA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387" w:type="pct"/>
            <w:vAlign w:val="center"/>
          </w:tcPr>
          <w:p w14:paraId="036D162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w:t>
            </w:r>
          </w:p>
        </w:tc>
        <w:tc>
          <w:tcPr>
            <w:tcW w:w="1961" w:type="pct"/>
            <w:vAlign w:val="center"/>
          </w:tcPr>
          <w:p w14:paraId="49AE087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生产用给排水系统</w:t>
            </w:r>
          </w:p>
        </w:tc>
        <w:tc>
          <w:tcPr>
            <w:tcW w:w="469" w:type="pct"/>
            <w:vAlign w:val="center"/>
          </w:tcPr>
          <w:p w14:paraId="56892B5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套</w:t>
            </w:r>
          </w:p>
        </w:tc>
        <w:tc>
          <w:tcPr>
            <w:tcW w:w="647" w:type="pct"/>
            <w:vAlign w:val="center"/>
          </w:tcPr>
          <w:p w14:paraId="0DCBC9C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1533" w:type="pct"/>
            <w:vAlign w:val="center"/>
          </w:tcPr>
          <w:p w14:paraId="57B64C4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6</w:t>
            </w:r>
            <w:r>
              <w:rPr>
                <w:rFonts w:ascii="Times New Roman" w:hAnsi="Times New Roman" w:eastAsia="宋体" w:cs="宋体"/>
                <w:color w:val="auto"/>
                <w:spacing w:val="0"/>
                <w:position w:val="0"/>
                <w:sz w:val="21"/>
                <w:szCs w:val="21"/>
                <w:highlight w:val="none"/>
              </w:rPr>
              <w:t>栋鸡舍供水系统、水泵</w:t>
            </w:r>
          </w:p>
        </w:tc>
      </w:tr>
      <w:tr w14:paraId="27802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387" w:type="pct"/>
            <w:vAlign w:val="center"/>
          </w:tcPr>
          <w:p w14:paraId="284B040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w:t>
            </w:r>
          </w:p>
        </w:tc>
        <w:tc>
          <w:tcPr>
            <w:tcW w:w="1961" w:type="pct"/>
            <w:vAlign w:val="center"/>
          </w:tcPr>
          <w:p w14:paraId="0139B47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办公给配套设施供水水供电</w:t>
            </w:r>
          </w:p>
        </w:tc>
        <w:tc>
          <w:tcPr>
            <w:tcW w:w="469" w:type="pct"/>
            <w:vAlign w:val="center"/>
          </w:tcPr>
          <w:p w14:paraId="04FDD60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套</w:t>
            </w:r>
          </w:p>
        </w:tc>
        <w:tc>
          <w:tcPr>
            <w:tcW w:w="647" w:type="pct"/>
            <w:vAlign w:val="center"/>
          </w:tcPr>
          <w:p w14:paraId="3B34F47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1533" w:type="pct"/>
            <w:vAlign w:val="center"/>
          </w:tcPr>
          <w:p w14:paraId="570C8CAC">
            <w:pPr>
              <w:keepNext w:val="0"/>
              <w:keepLines w:val="0"/>
              <w:pageBreakBefore w:val="0"/>
              <w:widowControl w:val="0"/>
              <w:kinsoku/>
              <w:wordWrap/>
              <w:overflowPunct/>
              <w:topLinePunct w:val="0"/>
              <w:autoSpaceDE/>
              <w:autoSpaceDN/>
              <w:bidi w:val="0"/>
              <w:adjustRightInd/>
              <w:snapToGrid/>
              <w:spacing w:line="360" w:lineRule="exact"/>
              <w:ind w:left="0" w:right="182"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管理区及其他配套附属设施水电设备</w:t>
            </w:r>
          </w:p>
        </w:tc>
      </w:tr>
      <w:tr w14:paraId="13EE4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387" w:type="pct"/>
            <w:vAlign w:val="center"/>
          </w:tcPr>
          <w:p w14:paraId="5BE65F1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5</w:t>
            </w:r>
          </w:p>
        </w:tc>
        <w:tc>
          <w:tcPr>
            <w:tcW w:w="1961" w:type="pct"/>
            <w:vAlign w:val="center"/>
          </w:tcPr>
          <w:p w14:paraId="055EF25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鸡粪及散落羽毛周转车辆</w:t>
            </w:r>
          </w:p>
        </w:tc>
        <w:tc>
          <w:tcPr>
            <w:tcW w:w="469" w:type="pct"/>
            <w:vAlign w:val="center"/>
          </w:tcPr>
          <w:p w14:paraId="79764C5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辆</w:t>
            </w:r>
          </w:p>
        </w:tc>
        <w:tc>
          <w:tcPr>
            <w:tcW w:w="647" w:type="pct"/>
            <w:vAlign w:val="center"/>
          </w:tcPr>
          <w:p w14:paraId="46238EC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1533" w:type="pct"/>
            <w:vAlign w:val="center"/>
          </w:tcPr>
          <w:p w14:paraId="445647E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bl>
    <w:p w14:paraId="59BD922C">
      <w:pPr>
        <w:pStyle w:val="5"/>
        <w:rPr>
          <w:rFonts w:ascii="Times New Roman" w:hAnsi="Times New Roman" w:eastAsia="宋体"/>
          <w:color w:val="auto"/>
          <w:highlight w:val="none"/>
        </w:rPr>
      </w:pPr>
      <w:bookmarkStart w:id="78" w:name="_Toc106663464"/>
      <w:r>
        <w:rPr>
          <w:rFonts w:hint="eastAsia" w:ascii="Times New Roman" w:hAnsi="Times New Roman" w:eastAsia="宋体"/>
          <w:color w:val="auto"/>
          <w:highlight w:val="none"/>
        </w:rPr>
        <w:t>3.1.5平面布置</w:t>
      </w:r>
      <w:bookmarkEnd w:id="78"/>
    </w:p>
    <w:p w14:paraId="76A8B02D">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3.1.5.</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rPr>
        <w:t>总平面布置</w:t>
      </w:r>
    </w:p>
    <w:p w14:paraId="74252374">
      <w:pPr>
        <w:ind w:firstLine="480"/>
        <w:rPr>
          <w:rFonts w:ascii="Times New Roman" w:hAnsi="Times New Roman" w:eastAsia="宋体"/>
          <w:color w:val="auto"/>
          <w:highlight w:val="none"/>
        </w:rPr>
      </w:pPr>
      <w:r>
        <w:rPr>
          <w:rFonts w:ascii="Times New Roman" w:hAnsi="Times New Roman" w:eastAsia="宋体"/>
          <w:color w:val="auto"/>
          <w:highlight w:val="none"/>
        </w:rPr>
        <w:t>生产区位于场区北部。主要包括</w:t>
      </w:r>
      <w:r>
        <w:rPr>
          <w:rFonts w:hint="eastAsia" w:ascii="Times New Roman" w:hAnsi="Times New Roman" w:eastAsia="宋体"/>
          <w:color w:val="auto"/>
          <w:highlight w:val="none"/>
          <w:lang w:val="en-US" w:eastAsia="zh-CN"/>
        </w:rPr>
        <w:t>6</w:t>
      </w:r>
      <w:r>
        <w:rPr>
          <w:rFonts w:ascii="Times New Roman" w:hAnsi="Times New Roman" w:eastAsia="宋体"/>
          <w:color w:val="auto"/>
          <w:highlight w:val="none"/>
        </w:rPr>
        <w:t>栋育雏鸡舍、危险废物暂存间和污水处理池，育雏鸡舍分别由北向南布置，每栋鸡舍均设置管理区和</w:t>
      </w:r>
      <w:r>
        <w:rPr>
          <w:rFonts w:hint="eastAsia"/>
          <w:color w:val="auto"/>
          <w:highlight w:val="none"/>
          <w:lang w:eastAsia="zh-CN"/>
        </w:rPr>
        <w:t>废水收集池</w:t>
      </w:r>
      <w:r>
        <w:rPr>
          <w:rFonts w:ascii="Times New Roman" w:hAnsi="Times New Roman" w:eastAsia="宋体"/>
          <w:color w:val="auto"/>
          <w:highlight w:val="none"/>
        </w:rPr>
        <w:t>，管理区和</w:t>
      </w:r>
      <w:r>
        <w:rPr>
          <w:rFonts w:hint="eastAsia"/>
          <w:color w:val="auto"/>
          <w:highlight w:val="none"/>
          <w:lang w:eastAsia="zh-CN"/>
        </w:rPr>
        <w:t>废水收集池</w:t>
      </w:r>
      <w:r>
        <w:rPr>
          <w:rFonts w:ascii="Times New Roman" w:hAnsi="Times New Roman" w:eastAsia="宋体"/>
          <w:color w:val="auto"/>
          <w:highlight w:val="none"/>
        </w:rPr>
        <w:t>均位于鸡舍北侧；</w:t>
      </w:r>
      <w:r>
        <w:rPr>
          <w:rFonts w:hint="eastAsia"/>
          <w:color w:val="auto"/>
          <w:highlight w:val="none"/>
          <w:lang w:eastAsia="zh-CN"/>
        </w:rPr>
        <w:t>医疗废物暂存间</w:t>
      </w:r>
      <w:r>
        <w:rPr>
          <w:rFonts w:ascii="Times New Roman" w:hAnsi="Times New Roman" w:eastAsia="宋体"/>
          <w:color w:val="auto"/>
          <w:highlight w:val="none"/>
        </w:rPr>
        <w:t>和填埋井均位于厂区东北角。</w:t>
      </w:r>
    </w:p>
    <w:p w14:paraId="3DB1CABA">
      <w:pPr>
        <w:ind w:firstLine="480"/>
        <w:rPr>
          <w:rFonts w:ascii="Times New Roman" w:hAnsi="Times New Roman" w:eastAsia="宋体"/>
          <w:color w:val="auto"/>
          <w:highlight w:val="none"/>
        </w:rPr>
      </w:pPr>
      <w:r>
        <w:rPr>
          <w:rFonts w:ascii="Times New Roman" w:hAnsi="Times New Roman" w:eastAsia="宋体"/>
          <w:color w:val="auto"/>
          <w:highlight w:val="none"/>
        </w:rPr>
        <w:t>生活办公区位于场区南侧，位于养殖区、</w:t>
      </w:r>
      <w:r>
        <w:rPr>
          <w:rFonts w:hint="eastAsia"/>
          <w:color w:val="auto"/>
          <w:highlight w:val="none"/>
          <w:lang w:eastAsia="zh-CN"/>
        </w:rPr>
        <w:t>废水收集池</w:t>
      </w:r>
      <w:r>
        <w:rPr>
          <w:rFonts w:ascii="Times New Roman" w:hAnsi="Times New Roman" w:eastAsia="宋体"/>
          <w:color w:val="auto"/>
          <w:highlight w:val="none"/>
        </w:rPr>
        <w:t>常年主导风向的侧风向，主要包括宿舍，办公室、疫苗药品室和兽医室。生活办公区由北向南依次为宿舍、疫苗药品室、办公室和兽医室。</w:t>
      </w:r>
    </w:p>
    <w:p w14:paraId="16271C04">
      <w:pPr>
        <w:ind w:firstLine="480"/>
        <w:rPr>
          <w:rFonts w:ascii="Times New Roman" w:hAnsi="Times New Roman" w:eastAsia="宋体"/>
          <w:color w:val="auto"/>
          <w:highlight w:val="none"/>
        </w:rPr>
      </w:pPr>
      <w:r>
        <w:rPr>
          <w:rFonts w:ascii="Times New Roman" w:hAnsi="Times New Roman" w:eastAsia="宋体"/>
          <w:color w:val="auto"/>
          <w:highlight w:val="none"/>
        </w:rPr>
        <w:t>厂区设置2座大门，主出入口为净道出入口，位于场区西南侧，供管理人员进出；次入口污道出入口，位于场区北侧，主要为鸡粪及散落羽毛、淘汰鸡拉运出入口。实现人畜分离。</w:t>
      </w:r>
    </w:p>
    <w:p w14:paraId="147FD7C9">
      <w:pPr>
        <w:ind w:firstLine="480"/>
        <w:rPr>
          <w:rFonts w:ascii="Times New Roman" w:hAnsi="Times New Roman" w:eastAsia="宋体"/>
          <w:color w:val="auto"/>
          <w:highlight w:val="none"/>
        </w:rPr>
      </w:pPr>
      <w:r>
        <w:rPr>
          <w:rFonts w:ascii="Times New Roman" w:hAnsi="Times New Roman" w:eastAsia="宋体"/>
          <w:color w:val="auto"/>
          <w:highlight w:val="none"/>
        </w:rPr>
        <w:t>因此，本项目厂区平面布置合理。本项目厂区平面布置图详见图</w:t>
      </w:r>
      <w:r>
        <w:rPr>
          <w:rFonts w:hint="eastAsia" w:ascii="Times New Roman" w:hAnsi="Times New Roman" w:eastAsia="宋体"/>
          <w:color w:val="auto"/>
          <w:highlight w:val="none"/>
          <w:lang w:val="en-US" w:eastAsia="zh-CN"/>
        </w:rPr>
        <w:t>3.1-</w:t>
      </w:r>
      <w:r>
        <w:rPr>
          <w:rFonts w:hint="eastAsia"/>
          <w:color w:val="auto"/>
          <w:highlight w:val="none"/>
          <w:lang w:val="en-US" w:eastAsia="zh-CN"/>
        </w:rPr>
        <w:t>3</w:t>
      </w:r>
      <w:r>
        <w:rPr>
          <w:rFonts w:ascii="Times New Roman" w:hAnsi="Times New Roman" w:eastAsia="宋体"/>
          <w:color w:val="auto"/>
          <w:highlight w:val="none"/>
        </w:rPr>
        <w:t>。</w:t>
      </w:r>
    </w:p>
    <w:p w14:paraId="609AB260">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3.1.5.</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平面布置与相关规范符合性分析</w:t>
      </w:r>
    </w:p>
    <w:p w14:paraId="473A574E">
      <w:pPr>
        <w:ind w:firstLine="480"/>
        <w:rPr>
          <w:rFonts w:ascii="Times New Roman" w:hAnsi="Times New Roman" w:eastAsia="宋体"/>
          <w:color w:val="auto"/>
          <w:highlight w:val="none"/>
        </w:rPr>
      </w:pPr>
      <w:r>
        <w:rPr>
          <w:rFonts w:hint="eastAsia" w:ascii="Times New Roman" w:hAnsi="Times New Roman" w:eastAsia="宋体"/>
          <w:color w:val="auto"/>
          <w:highlight w:val="none"/>
        </w:rPr>
        <w:t>（1）与《畜禽养殖业污染防治技术规范》（HJ/T81-2001）符合性</w:t>
      </w:r>
    </w:p>
    <w:p w14:paraId="165FCA2C">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根据《畜禽养殖业污染防治技术规范》（HJ/T81-2001）中场区布局有关要求，本项目场区平面布置与其符合性分析见表3.1-4。</w:t>
      </w:r>
    </w:p>
    <w:p w14:paraId="7E16C82C">
      <w:pPr>
        <w:pStyle w:val="10"/>
        <w:rPr>
          <w:rFonts w:ascii="Times New Roman" w:hAnsi="Times New Roman" w:eastAsia="宋体"/>
          <w:color w:val="auto"/>
          <w:highlight w:val="none"/>
        </w:rPr>
      </w:pPr>
      <w:r>
        <w:rPr>
          <w:rFonts w:hint="eastAsia" w:ascii="Times New Roman" w:hAnsi="Times New Roman" w:eastAsia="宋体"/>
          <w:color w:val="auto"/>
          <w:highlight w:val="none"/>
        </w:rPr>
        <w:t>表3.1-4场区布局与《畜禽养殖业污染防治技术规范》（HJ/T81-2001）符合性</w:t>
      </w:r>
    </w:p>
    <w:tbl>
      <w:tblPr>
        <w:tblStyle w:val="176"/>
        <w:tblW w:w="8302" w:type="dxa"/>
        <w:tblInd w:w="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6"/>
        <w:gridCol w:w="3832"/>
        <w:gridCol w:w="3367"/>
        <w:gridCol w:w="727"/>
      </w:tblGrid>
      <w:tr w14:paraId="176B6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376" w:type="dxa"/>
            <w:textDirection w:val="tbRlV"/>
            <w:vAlign w:val="top"/>
          </w:tcPr>
          <w:p w14:paraId="4529F1A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序号</w:t>
            </w:r>
          </w:p>
        </w:tc>
        <w:tc>
          <w:tcPr>
            <w:tcW w:w="3832" w:type="dxa"/>
            <w:vAlign w:val="top"/>
          </w:tcPr>
          <w:p w14:paraId="6117AEA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《畜禽养殖业污染防治技术规范》</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HJ/T81-2001</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中要求</w:t>
            </w:r>
          </w:p>
        </w:tc>
        <w:tc>
          <w:tcPr>
            <w:tcW w:w="3367" w:type="dxa"/>
            <w:vAlign w:val="top"/>
          </w:tcPr>
          <w:p w14:paraId="482994A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本项目情况</w:t>
            </w:r>
          </w:p>
        </w:tc>
        <w:tc>
          <w:tcPr>
            <w:tcW w:w="727" w:type="dxa"/>
            <w:vAlign w:val="top"/>
          </w:tcPr>
          <w:p w14:paraId="55F38BD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结论</w:t>
            </w:r>
          </w:p>
        </w:tc>
      </w:tr>
      <w:tr w14:paraId="5E8D6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8302" w:type="dxa"/>
            <w:gridSpan w:val="4"/>
            <w:vAlign w:val="top"/>
          </w:tcPr>
          <w:p w14:paraId="0A6545D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根据该规范，畜禽养殖场厂区布局如下：</w:t>
            </w:r>
          </w:p>
        </w:tc>
      </w:tr>
      <w:tr w14:paraId="73B1C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76" w:type="dxa"/>
            <w:vAlign w:val="top"/>
          </w:tcPr>
          <w:p w14:paraId="4BD32BF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w:t>
            </w:r>
          </w:p>
        </w:tc>
        <w:tc>
          <w:tcPr>
            <w:tcW w:w="3832" w:type="dxa"/>
            <w:vAlign w:val="top"/>
          </w:tcPr>
          <w:p w14:paraId="6307DEC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新建、改建、扩建的畜禽养殖场应实现生</w:t>
            </w:r>
          </w:p>
          <w:p w14:paraId="5E654AB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产区、生活管理区的隔离，粪便污水处理</w:t>
            </w:r>
          </w:p>
          <w:p w14:paraId="53C3252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设施和畜禽尸体焚烧炉应设在养殖场的</w:t>
            </w:r>
          </w:p>
          <w:p w14:paraId="730F451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生产区、生活管理区的常年主导风向的下</w:t>
            </w:r>
          </w:p>
          <w:p w14:paraId="526DC8A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风向或侧风向处。</w:t>
            </w:r>
          </w:p>
        </w:tc>
        <w:tc>
          <w:tcPr>
            <w:tcW w:w="3367" w:type="dxa"/>
            <w:vAlign w:val="top"/>
          </w:tcPr>
          <w:p w14:paraId="54776B8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办公生活区设在场区南侧，位于养殖区、</w:t>
            </w:r>
            <w:r>
              <w:rPr>
                <w:rFonts w:hint="eastAsia" w:cs="宋体"/>
                <w:color w:val="auto"/>
                <w:spacing w:val="0"/>
                <w:sz w:val="21"/>
                <w:szCs w:val="21"/>
                <w:highlight w:val="none"/>
                <w:lang w:eastAsia="zh-CN"/>
              </w:rPr>
              <w:t>废水收集池</w:t>
            </w:r>
            <w:r>
              <w:rPr>
                <w:rFonts w:ascii="Times New Roman" w:hAnsi="Times New Roman" w:eastAsia="宋体" w:cs="宋体"/>
                <w:color w:val="auto"/>
                <w:spacing w:val="0"/>
                <w:sz w:val="21"/>
                <w:szCs w:val="21"/>
                <w:highlight w:val="none"/>
              </w:rPr>
              <w:t>常年主导风向的侧风向，并设通道通向场外，办公生活区和生产区、</w:t>
            </w:r>
            <w:r>
              <w:rPr>
                <w:rFonts w:hint="eastAsia" w:cs="宋体"/>
                <w:color w:val="auto"/>
                <w:spacing w:val="0"/>
                <w:sz w:val="21"/>
                <w:szCs w:val="21"/>
                <w:highlight w:val="none"/>
                <w:lang w:eastAsia="zh-CN"/>
              </w:rPr>
              <w:t>废水收集池</w:t>
            </w:r>
            <w:r>
              <w:rPr>
                <w:rFonts w:ascii="Times New Roman" w:hAnsi="Times New Roman" w:eastAsia="宋体" w:cs="宋体"/>
                <w:color w:val="auto"/>
                <w:spacing w:val="0"/>
                <w:sz w:val="21"/>
                <w:szCs w:val="21"/>
                <w:highlight w:val="none"/>
              </w:rPr>
              <w:t>之间有一</w:t>
            </w:r>
          </w:p>
          <w:p w14:paraId="264460A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定的距离，实现了人畜分离。在场界、鸡舍间采用树木作为隔离林带。</w:t>
            </w:r>
          </w:p>
        </w:tc>
        <w:tc>
          <w:tcPr>
            <w:tcW w:w="727" w:type="dxa"/>
            <w:vMerge w:val="restart"/>
            <w:tcBorders>
              <w:bottom w:val="nil"/>
            </w:tcBorders>
            <w:vAlign w:val="top"/>
          </w:tcPr>
          <w:p w14:paraId="52D4346A">
            <w:pPr>
              <w:keepNext w:val="0"/>
              <w:keepLines w:val="0"/>
              <w:pageBreakBefore w:val="0"/>
              <w:widowControl w:val="0"/>
              <w:kinsoku/>
              <w:wordWrap/>
              <w:overflowPunct/>
              <w:topLinePunct w:val="0"/>
              <w:autoSpaceDE/>
              <w:autoSpaceDN/>
              <w:bidi w:val="0"/>
              <w:adjustRightInd/>
              <w:snapToGrid/>
              <w:spacing w:line="360" w:lineRule="exact"/>
              <w:ind w:left="0" w:right="46"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布局可行</w:t>
            </w:r>
          </w:p>
        </w:tc>
      </w:tr>
      <w:tr w14:paraId="702B4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376" w:type="dxa"/>
            <w:vAlign w:val="top"/>
          </w:tcPr>
          <w:p w14:paraId="13DC62D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w:t>
            </w:r>
          </w:p>
        </w:tc>
        <w:tc>
          <w:tcPr>
            <w:tcW w:w="3832" w:type="dxa"/>
            <w:vAlign w:val="top"/>
          </w:tcPr>
          <w:p w14:paraId="44F9D86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养殖场的排水系统应实现雨水和污水收集输送系统分离，在厂区内外设置的污水收集输送系统，不得采取明沟布设。</w:t>
            </w:r>
          </w:p>
        </w:tc>
        <w:tc>
          <w:tcPr>
            <w:tcW w:w="3367" w:type="dxa"/>
            <w:vAlign w:val="top"/>
          </w:tcPr>
          <w:p w14:paraId="018D1FC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养殖场排水采用雨、污分流的形</w:t>
            </w:r>
          </w:p>
          <w:p w14:paraId="2C0474E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式，在鸡舍外设置污水收集输送管道</w:t>
            </w:r>
          </w:p>
          <w:p w14:paraId="6698EE2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暗管</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w:t>
            </w:r>
          </w:p>
        </w:tc>
        <w:tc>
          <w:tcPr>
            <w:tcW w:w="727" w:type="dxa"/>
            <w:vMerge w:val="continue"/>
            <w:tcBorders>
              <w:top w:val="nil"/>
            </w:tcBorders>
            <w:vAlign w:val="top"/>
          </w:tcPr>
          <w:p w14:paraId="7C0766B7">
            <w:pPr>
              <w:rPr>
                <w:rFonts w:ascii="Times New Roman" w:hAnsi="Times New Roman" w:eastAsia="宋体"/>
                <w:color w:val="auto"/>
                <w:sz w:val="21"/>
                <w:highlight w:val="none"/>
              </w:rPr>
            </w:pPr>
          </w:p>
        </w:tc>
      </w:tr>
    </w:tbl>
    <w:p w14:paraId="6CC2AB8D">
      <w:pPr>
        <w:ind w:firstLine="480"/>
        <w:rPr>
          <w:rFonts w:ascii="Times New Roman" w:hAnsi="Times New Roman" w:eastAsia="宋体"/>
          <w:color w:val="auto"/>
          <w:highlight w:val="none"/>
        </w:rPr>
      </w:pPr>
      <w:r>
        <w:rPr>
          <w:rFonts w:ascii="Times New Roman" w:hAnsi="Times New Roman" w:eastAsia="宋体"/>
          <w:color w:val="auto"/>
          <w:highlight w:val="none"/>
        </w:rPr>
        <w:t>综上所述，整个厂区布置根据现代养殖技术要求，进行了合理规划布局，配备必要的设备设施。净道和污道分开，减少不必要的交叉，切断疫病的传播途径。在鸡舍周围、道路两边和鸡舍之间栽种树木，种植花草，净化空气，绿化环境，减少对周围环境的影响。</w:t>
      </w:r>
    </w:p>
    <w:p w14:paraId="368B58F7">
      <w:pPr>
        <w:ind w:firstLine="480"/>
        <w:rPr>
          <w:rFonts w:ascii="Times New Roman" w:hAnsi="Times New Roman" w:eastAsia="宋体"/>
          <w:color w:val="auto"/>
          <w:highlight w:val="none"/>
        </w:rPr>
      </w:pPr>
      <w:r>
        <w:rPr>
          <w:rFonts w:ascii="Times New Roman" w:hAnsi="Times New Roman" w:eastAsia="宋体"/>
          <w:color w:val="auto"/>
          <w:highlight w:val="none"/>
        </w:rPr>
        <w:t>根据项目建构筑物的平面布置图，结合区域风玫瑰，本项目将办公生活区位于养殖区、</w:t>
      </w:r>
      <w:r>
        <w:rPr>
          <w:rFonts w:hint="eastAsia"/>
          <w:color w:val="auto"/>
          <w:highlight w:val="none"/>
          <w:lang w:eastAsia="zh-CN"/>
        </w:rPr>
        <w:t>废水收集池</w:t>
      </w:r>
      <w:r>
        <w:rPr>
          <w:rFonts w:ascii="Times New Roman" w:hAnsi="Times New Roman" w:eastAsia="宋体"/>
          <w:color w:val="auto"/>
          <w:highlight w:val="none"/>
        </w:rPr>
        <w:t>常年主导风向的侧风向，办公生活区与生产区、污水处理区之间以种植绿化区隔开，有效的避免了项目运行产生的恶臭气体对生活办公的影响。</w:t>
      </w:r>
    </w:p>
    <w:p w14:paraId="79ECF954">
      <w:pPr>
        <w:ind w:firstLine="480"/>
        <w:rPr>
          <w:rFonts w:ascii="Times New Roman" w:hAnsi="Times New Roman" w:eastAsia="宋体"/>
          <w:color w:val="auto"/>
          <w:highlight w:val="none"/>
        </w:rPr>
      </w:pPr>
      <w:r>
        <w:rPr>
          <w:rFonts w:ascii="Times New Roman" w:hAnsi="Times New Roman" w:eastAsia="宋体"/>
          <w:color w:val="auto"/>
          <w:highlight w:val="none"/>
        </w:rPr>
        <w:t>综上，本项目总平面布置功能分区清晰，工艺流程顺畅，物流短捷，人流、物流互不交叉干扰，协调了生产和环保的关系，从环保角度分析其平面布局基本合理，项目布局符合《畜禽养殖业污染防治技术规范》</w:t>
      </w:r>
      <w:r>
        <w:rPr>
          <w:rFonts w:hint="eastAsia"/>
          <w:color w:val="auto"/>
          <w:highlight w:val="none"/>
          <w:lang w:eastAsia="zh-CN"/>
        </w:rPr>
        <w:t>（</w:t>
      </w:r>
      <w:r>
        <w:rPr>
          <w:rFonts w:ascii="Times New Roman" w:hAnsi="Times New Roman" w:eastAsia="宋体"/>
          <w:color w:val="auto"/>
          <w:highlight w:val="none"/>
        </w:rPr>
        <w:t>HJ/T81-2001</w:t>
      </w:r>
      <w:r>
        <w:rPr>
          <w:rFonts w:hint="eastAsia"/>
          <w:color w:val="auto"/>
          <w:highlight w:val="none"/>
          <w:lang w:eastAsia="zh-CN"/>
        </w:rPr>
        <w:t>）</w:t>
      </w:r>
      <w:r>
        <w:rPr>
          <w:rFonts w:ascii="Times New Roman" w:hAnsi="Times New Roman" w:eastAsia="宋体"/>
          <w:color w:val="auto"/>
          <w:highlight w:val="none"/>
        </w:rPr>
        <w:t>要求。</w:t>
      </w:r>
    </w:p>
    <w:p w14:paraId="75D5E249">
      <w:pPr>
        <w:pStyle w:val="5"/>
        <w:rPr>
          <w:rFonts w:ascii="Times New Roman" w:hAnsi="Times New Roman" w:eastAsia="宋体"/>
          <w:color w:val="auto"/>
          <w:highlight w:val="none"/>
        </w:rPr>
      </w:pPr>
      <w:bookmarkStart w:id="79" w:name="_Toc106663466"/>
      <w:r>
        <w:rPr>
          <w:rFonts w:hint="eastAsia" w:ascii="Times New Roman" w:hAnsi="Times New Roman" w:eastAsia="宋体"/>
          <w:color w:val="auto"/>
          <w:highlight w:val="none"/>
          <w:lang w:eastAsia="zh-CN"/>
        </w:rPr>
        <w:t>3.1.6</w:t>
      </w:r>
      <w:r>
        <w:rPr>
          <w:rFonts w:hint="eastAsia" w:ascii="Times New Roman" w:hAnsi="Times New Roman" w:eastAsia="宋体"/>
          <w:color w:val="auto"/>
          <w:highlight w:val="none"/>
        </w:rPr>
        <w:t>公用工程</w:t>
      </w:r>
      <w:bookmarkEnd w:id="79"/>
    </w:p>
    <w:p w14:paraId="59A66990">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lang w:eastAsia="zh-CN"/>
        </w:rPr>
        <w:t>3.1.6</w:t>
      </w:r>
      <w:r>
        <w:rPr>
          <w:rFonts w:hint="eastAsia" w:ascii="Times New Roman" w:hAnsi="Times New Roman" w:eastAsia="宋体"/>
          <w:color w:val="auto"/>
          <w:highlight w:val="none"/>
        </w:rPr>
        <w:t>.1给水系统</w:t>
      </w:r>
    </w:p>
    <w:p w14:paraId="1686CB44">
      <w:pPr>
        <w:ind w:firstLine="480"/>
        <w:rPr>
          <w:rFonts w:ascii="Times New Roman" w:hAnsi="Times New Roman" w:eastAsia="宋体"/>
          <w:color w:val="auto"/>
          <w:highlight w:val="none"/>
        </w:rPr>
      </w:pPr>
      <w:r>
        <w:rPr>
          <w:rFonts w:ascii="Times New Roman" w:hAnsi="Times New Roman" w:eastAsia="宋体"/>
          <w:color w:val="auto"/>
          <w:highlight w:val="none"/>
        </w:rPr>
        <w:t>本项目生产、生活用水水源来自玛纳斯县广东地</w:t>
      </w:r>
      <w:r>
        <w:rPr>
          <w:rFonts w:hint="eastAsia" w:ascii="Times New Roman" w:hAnsi="Times New Roman" w:eastAsia="宋体"/>
          <w:color w:val="auto"/>
          <w:highlight w:val="none"/>
          <w:lang w:eastAsia="zh-CN"/>
        </w:rPr>
        <w:t>村</w:t>
      </w:r>
      <w:r>
        <w:rPr>
          <w:rFonts w:ascii="Times New Roman" w:hAnsi="Times New Roman" w:eastAsia="宋体"/>
          <w:color w:val="auto"/>
          <w:highlight w:val="none"/>
        </w:rPr>
        <w:t>管网接入，由厂区西侧接入。本项目总用水量</w:t>
      </w:r>
      <w:r>
        <w:rPr>
          <w:rFonts w:hint="eastAsia" w:ascii="Times New Roman" w:hAnsi="Times New Roman" w:eastAsia="宋体"/>
          <w:color w:val="auto"/>
          <w:highlight w:val="none"/>
          <w:lang w:eastAsia="zh-CN"/>
        </w:rPr>
        <w:t>22903.32</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/a，主要用于鸡用水、鸡舍冲洗用水及员工生活用水、消毒用水、水帘降温补充水及绿化用水。</w:t>
      </w:r>
    </w:p>
    <w:p w14:paraId="4F094320">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鸡饮水</w:t>
      </w:r>
    </w:p>
    <w:p w14:paraId="1251B6A7">
      <w:pPr>
        <w:ind w:firstLine="480"/>
        <w:rPr>
          <w:rFonts w:ascii="Times New Roman" w:hAnsi="Times New Roman" w:eastAsia="宋体"/>
          <w:color w:val="auto"/>
          <w:highlight w:val="none"/>
        </w:rPr>
      </w:pPr>
      <w:r>
        <w:rPr>
          <w:rFonts w:ascii="Times New Roman" w:hAnsi="Times New Roman" w:eastAsia="宋体"/>
          <w:color w:val="auto"/>
          <w:highlight w:val="none"/>
        </w:rPr>
        <w:t>本项目蛋鸡年出栏量为</w:t>
      </w:r>
      <w:r>
        <w:rPr>
          <w:rFonts w:hint="eastAsia" w:ascii="Times New Roman" w:hAnsi="Times New Roman" w:eastAsia="宋体"/>
          <w:color w:val="auto"/>
          <w:highlight w:val="none"/>
          <w:lang w:val="en-US" w:eastAsia="zh-CN"/>
        </w:rPr>
        <w:t>72</w:t>
      </w:r>
      <w:r>
        <w:rPr>
          <w:rFonts w:ascii="Times New Roman" w:hAnsi="Times New Roman" w:eastAsia="宋体"/>
          <w:color w:val="auto"/>
          <w:highlight w:val="none"/>
        </w:rPr>
        <w:t>万羽，购买外购出壳鸡苗，0-6周</w:t>
      </w:r>
      <w:r>
        <w:rPr>
          <w:rFonts w:hint="eastAsia"/>
          <w:color w:val="auto"/>
          <w:highlight w:val="none"/>
          <w:lang w:eastAsia="zh-CN"/>
        </w:rPr>
        <w:t>（</w:t>
      </w:r>
      <w:r>
        <w:rPr>
          <w:rFonts w:ascii="Times New Roman" w:hAnsi="Times New Roman" w:eastAsia="宋体"/>
          <w:color w:val="auto"/>
          <w:highlight w:val="none"/>
        </w:rPr>
        <w:t>42天</w:t>
      </w:r>
      <w:r>
        <w:rPr>
          <w:rFonts w:hint="eastAsia"/>
          <w:color w:val="auto"/>
          <w:highlight w:val="none"/>
          <w:lang w:eastAsia="zh-CN"/>
        </w:rPr>
        <w:t>）</w:t>
      </w:r>
      <w:r>
        <w:rPr>
          <w:rFonts w:ascii="Times New Roman" w:hAnsi="Times New Roman" w:eastAsia="宋体"/>
          <w:color w:val="auto"/>
          <w:highlight w:val="none"/>
        </w:rPr>
        <w:t>在育雏舍进行养殖，7周-16周</w:t>
      </w:r>
      <w:r>
        <w:rPr>
          <w:rFonts w:hint="eastAsia"/>
          <w:color w:val="auto"/>
          <w:highlight w:val="none"/>
          <w:lang w:eastAsia="zh-CN"/>
        </w:rPr>
        <w:t>（</w:t>
      </w:r>
      <w:r>
        <w:rPr>
          <w:rFonts w:ascii="Times New Roman" w:hAnsi="Times New Roman" w:eastAsia="宋体"/>
          <w:color w:val="auto"/>
          <w:highlight w:val="none"/>
        </w:rPr>
        <w:t>70天</w:t>
      </w:r>
      <w:r>
        <w:rPr>
          <w:rFonts w:hint="eastAsia"/>
          <w:color w:val="auto"/>
          <w:highlight w:val="none"/>
          <w:lang w:eastAsia="zh-CN"/>
        </w:rPr>
        <w:t>）</w:t>
      </w:r>
      <w:r>
        <w:rPr>
          <w:rFonts w:ascii="Times New Roman" w:hAnsi="Times New Roman" w:eastAsia="宋体"/>
          <w:color w:val="auto"/>
          <w:highlight w:val="none"/>
        </w:rPr>
        <w:t>转至育成舍进行养殖，饲养16周左右外售。本次环评按照达产年最大养殖规模进行计算，即</w:t>
      </w:r>
      <w:r>
        <w:rPr>
          <w:rFonts w:hint="eastAsia" w:ascii="Times New Roman" w:hAnsi="Times New Roman" w:eastAsia="宋体"/>
          <w:color w:val="auto"/>
          <w:highlight w:val="none"/>
          <w:lang w:val="en-US" w:eastAsia="zh-CN"/>
        </w:rPr>
        <w:t>6</w:t>
      </w:r>
      <w:r>
        <w:rPr>
          <w:rFonts w:ascii="Times New Roman" w:hAnsi="Times New Roman" w:eastAsia="宋体"/>
          <w:color w:val="auto"/>
          <w:highlight w:val="none"/>
        </w:rPr>
        <w:t>栋鸡舍全年全部运营，每4个月出一批，每年出3批，每批</w:t>
      </w:r>
      <w:r>
        <w:rPr>
          <w:rFonts w:hint="eastAsia" w:ascii="Times New Roman" w:hAnsi="Times New Roman" w:eastAsia="宋体"/>
          <w:color w:val="auto"/>
          <w:highlight w:val="none"/>
          <w:lang w:val="en-US" w:eastAsia="zh-CN"/>
        </w:rPr>
        <w:t>12</w:t>
      </w:r>
      <w:r>
        <w:rPr>
          <w:rFonts w:ascii="Times New Roman" w:hAnsi="Times New Roman" w:eastAsia="宋体"/>
          <w:color w:val="auto"/>
          <w:highlight w:val="none"/>
        </w:rPr>
        <w:t>万羽。结合建设单位提供数据及类比其他同类型蛋鸡养殖场实际生产经验，建成后全场鸡只饮用水量见表</w:t>
      </w:r>
      <w:r>
        <w:rPr>
          <w:rFonts w:hint="eastAsia" w:ascii="Times New Roman" w:hAnsi="Times New Roman" w:eastAsia="宋体"/>
          <w:color w:val="auto"/>
          <w:highlight w:val="none"/>
          <w:lang w:val="en-US" w:eastAsia="zh-CN"/>
        </w:rPr>
        <w:t>3.1</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w:t>
      </w:r>
    </w:p>
    <w:p w14:paraId="1E17319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olor w:val="auto"/>
          <w:highlight w:val="none"/>
        </w:rPr>
      </w:pPr>
      <w:r>
        <w:rPr>
          <w:rFonts w:hint="eastAsia" w:ascii="Times New Roman" w:hAnsi="Times New Roman" w:eastAsia="宋体" w:cstheme="majorBidi"/>
          <w:b/>
          <w:color w:val="auto"/>
          <w:sz w:val="21"/>
          <w:highlight w:val="none"/>
          <w:lang w:val="en-US" w:eastAsia="zh-CN" w:bidi="ar-SA"/>
        </w:rPr>
        <w:t>表3.1-5鸡只用水量一览表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44"/>
        <w:gridCol w:w="1967"/>
        <w:gridCol w:w="2657"/>
        <w:gridCol w:w="1941"/>
      </w:tblGrid>
      <w:tr w14:paraId="4C1F3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49" w:type="pct"/>
            <w:vAlign w:val="center"/>
          </w:tcPr>
          <w:p w14:paraId="203B34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类别</w:t>
            </w:r>
          </w:p>
        </w:tc>
        <w:tc>
          <w:tcPr>
            <w:tcW w:w="1183" w:type="pct"/>
            <w:vAlign w:val="center"/>
          </w:tcPr>
          <w:p w14:paraId="01EC61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存栏量</w:t>
            </w:r>
          </w:p>
          <w:p w14:paraId="06ECD7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auto"/>
                <w:sz w:val="21"/>
                <w:highlight w:val="none"/>
                <w:lang w:eastAsia="zh-CN"/>
              </w:rPr>
            </w:pPr>
            <w:r>
              <w:rPr>
                <w:rFonts w:hint="eastAsia"/>
                <w:color w:val="auto"/>
                <w:sz w:val="21"/>
                <w:highlight w:val="none"/>
                <w:lang w:eastAsia="zh-CN"/>
              </w:rPr>
              <w:t>（</w:t>
            </w:r>
            <w:r>
              <w:rPr>
                <w:rFonts w:ascii="Times New Roman" w:hAnsi="Times New Roman" w:eastAsia="宋体"/>
                <w:color w:val="auto"/>
                <w:sz w:val="21"/>
                <w:highlight w:val="none"/>
              </w:rPr>
              <w:t>万羽/年</w:t>
            </w:r>
            <w:r>
              <w:rPr>
                <w:rFonts w:hint="eastAsia"/>
                <w:color w:val="auto"/>
                <w:sz w:val="21"/>
                <w:highlight w:val="none"/>
                <w:lang w:eastAsia="zh-CN"/>
              </w:rPr>
              <w:t>）</w:t>
            </w:r>
          </w:p>
        </w:tc>
        <w:tc>
          <w:tcPr>
            <w:tcW w:w="1598" w:type="pct"/>
            <w:vAlign w:val="center"/>
          </w:tcPr>
          <w:p w14:paraId="67A275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单位饮水量</w:t>
            </w:r>
          </w:p>
          <w:p w14:paraId="039E94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auto"/>
                <w:sz w:val="21"/>
                <w:highlight w:val="none"/>
                <w:lang w:eastAsia="zh-CN"/>
              </w:rPr>
            </w:pPr>
            <w:r>
              <w:rPr>
                <w:rFonts w:hint="eastAsia"/>
                <w:color w:val="auto"/>
                <w:sz w:val="21"/>
                <w:highlight w:val="none"/>
                <w:lang w:eastAsia="zh-CN"/>
              </w:rPr>
              <w:t>（</w:t>
            </w:r>
            <w:r>
              <w:rPr>
                <w:rFonts w:ascii="Times New Roman" w:hAnsi="Times New Roman" w:eastAsia="宋体"/>
                <w:color w:val="auto"/>
                <w:sz w:val="21"/>
                <w:highlight w:val="none"/>
              </w:rPr>
              <w:t>L/只▪d</w:t>
            </w:r>
            <w:r>
              <w:rPr>
                <w:rFonts w:hint="eastAsia"/>
                <w:color w:val="auto"/>
                <w:sz w:val="21"/>
                <w:highlight w:val="none"/>
                <w:lang w:eastAsia="zh-CN"/>
              </w:rPr>
              <w:t>）</w:t>
            </w:r>
          </w:p>
        </w:tc>
        <w:tc>
          <w:tcPr>
            <w:tcW w:w="1167" w:type="pct"/>
            <w:vAlign w:val="center"/>
          </w:tcPr>
          <w:p w14:paraId="6038E9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年饮用水量</w:t>
            </w:r>
          </w:p>
          <w:p w14:paraId="4D1719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olor w:val="auto"/>
                <w:sz w:val="21"/>
                <w:highlight w:val="none"/>
                <w:lang w:eastAsia="zh-CN"/>
              </w:rPr>
            </w:pPr>
            <w:r>
              <w:rPr>
                <w:rFonts w:hint="eastAsia"/>
                <w:color w:val="auto"/>
                <w:sz w:val="21"/>
                <w:highlight w:val="none"/>
                <w:lang w:eastAsia="zh-CN"/>
              </w:rPr>
              <w:t>（</w:t>
            </w:r>
            <w:r>
              <w:rPr>
                <w:rFonts w:ascii="Times New Roman" w:hAnsi="Times New Roman" w:eastAsia="宋体"/>
                <w:color w:val="auto"/>
                <w:sz w:val="21"/>
                <w:highlight w:val="none"/>
              </w:rPr>
              <w:t>m</w:t>
            </w:r>
            <w:r>
              <w:rPr>
                <w:rFonts w:ascii="Times New Roman" w:hAnsi="Times New Roman" w:eastAsia="宋体"/>
                <w:color w:val="auto"/>
                <w:sz w:val="21"/>
                <w:highlight w:val="none"/>
                <w:vertAlign w:val="superscript"/>
              </w:rPr>
              <w:t>3</w:t>
            </w:r>
            <w:r>
              <w:rPr>
                <w:rFonts w:ascii="Times New Roman" w:hAnsi="Times New Roman" w:eastAsia="宋体"/>
                <w:color w:val="auto"/>
                <w:sz w:val="21"/>
                <w:highlight w:val="none"/>
              </w:rPr>
              <w:t>/a</w:t>
            </w:r>
            <w:r>
              <w:rPr>
                <w:rFonts w:hint="eastAsia"/>
                <w:color w:val="auto"/>
                <w:sz w:val="21"/>
                <w:highlight w:val="none"/>
                <w:lang w:eastAsia="zh-CN"/>
              </w:rPr>
              <w:t>）</w:t>
            </w:r>
          </w:p>
        </w:tc>
      </w:tr>
      <w:tr w14:paraId="0BF13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49" w:type="pct"/>
            <w:vAlign w:val="center"/>
          </w:tcPr>
          <w:p w14:paraId="76BBC3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雏鸡</w:t>
            </w:r>
          </w:p>
        </w:tc>
        <w:tc>
          <w:tcPr>
            <w:tcW w:w="1183" w:type="pct"/>
            <w:vAlign w:val="center"/>
          </w:tcPr>
          <w:p w14:paraId="13ECFB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12</w:t>
            </w:r>
          </w:p>
        </w:tc>
        <w:tc>
          <w:tcPr>
            <w:tcW w:w="1598" w:type="pct"/>
            <w:vAlign w:val="center"/>
          </w:tcPr>
          <w:p w14:paraId="5616C0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0.25</w:t>
            </w:r>
          </w:p>
        </w:tc>
        <w:tc>
          <w:tcPr>
            <w:tcW w:w="1167" w:type="pct"/>
            <w:vAlign w:val="center"/>
          </w:tcPr>
          <w:p w14:paraId="4C9263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3780</w:t>
            </w:r>
          </w:p>
        </w:tc>
      </w:tr>
      <w:tr w14:paraId="0A95F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49" w:type="pct"/>
            <w:vAlign w:val="center"/>
          </w:tcPr>
          <w:p w14:paraId="3B578F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育成鸡</w:t>
            </w:r>
          </w:p>
        </w:tc>
        <w:tc>
          <w:tcPr>
            <w:tcW w:w="1183" w:type="pct"/>
            <w:vAlign w:val="center"/>
          </w:tcPr>
          <w:p w14:paraId="3089B8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12</w:t>
            </w:r>
          </w:p>
        </w:tc>
        <w:tc>
          <w:tcPr>
            <w:tcW w:w="1598" w:type="pct"/>
            <w:vAlign w:val="center"/>
          </w:tcPr>
          <w:p w14:paraId="4929EE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0.50</w:t>
            </w:r>
          </w:p>
        </w:tc>
        <w:tc>
          <w:tcPr>
            <w:tcW w:w="1167" w:type="pct"/>
            <w:vAlign w:val="center"/>
          </w:tcPr>
          <w:p w14:paraId="1D4511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12600</w:t>
            </w:r>
          </w:p>
        </w:tc>
      </w:tr>
      <w:tr w14:paraId="17DB6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049" w:type="pct"/>
            <w:vAlign w:val="center"/>
          </w:tcPr>
          <w:p w14:paraId="2D6CE0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合计</w:t>
            </w:r>
          </w:p>
        </w:tc>
        <w:tc>
          <w:tcPr>
            <w:tcW w:w="1183" w:type="pct"/>
            <w:vAlign w:val="center"/>
          </w:tcPr>
          <w:p w14:paraId="22E1AE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p>
        </w:tc>
        <w:tc>
          <w:tcPr>
            <w:tcW w:w="1598" w:type="pct"/>
            <w:vAlign w:val="center"/>
          </w:tcPr>
          <w:p w14:paraId="080884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w:t>
            </w:r>
          </w:p>
        </w:tc>
        <w:tc>
          <w:tcPr>
            <w:tcW w:w="1167" w:type="pct"/>
            <w:vAlign w:val="center"/>
          </w:tcPr>
          <w:p w14:paraId="061D0A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16380</w:t>
            </w:r>
          </w:p>
        </w:tc>
      </w:tr>
    </w:tbl>
    <w:p w14:paraId="27E65E60">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职工生活用水</w:t>
      </w:r>
    </w:p>
    <w:p w14:paraId="78C1C386">
      <w:pPr>
        <w:ind w:firstLine="480"/>
        <w:rPr>
          <w:rFonts w:ascii="Times New Roman" w:hAnsi="Times New Roman" w:eastAsia="宋体"/>
          <w:color w:val="auto"/>
          <w:highlight w:val="none"/>
        </w:rPr>
      </w:pPr>
      <w:r>
        <w:rPr>
          <w:rFonts w:ascii="Times New Roman" w:hAnsi="Times New Roman" w:eastAsia="宋体"/>
          <w:color w:val="auto"/>
          <w:highlight w:val="none"/>
        </w:rPr>
        <w:t>根据《新疆维吾尔自治区工业和生活用水定额》中相关数据，工作人员用水约80L/人·d，本项目劳动定员共20人，则工作人员的生活用水量为584m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r>
        <w:rPr>
          <w:rFonts w:hint="eastAsia"/>
          <w:color w:val="auto"/>
          <w:highlight w:val="none"/>
          <w:lang w:eastAsia="zh-CN"/>
        </w:rPr>
        <w:t>（</w:t>
      </w:r>
      <w:r>
        <w:rPr>
          <w:rFonts w:ascii="Times New Roman" w:hAnsi="Times New Roman" w:eastAsia="宋体"/>
          <w:color w:val="auto"/>
          <w:highlight w:val="none"/>
        </w:rPr>
        <w:t>按365天计</w:t>
      </w:r>
      <w:r>
        <w:rPr>
          <w:rFonts w:hint="eastAsia"/>
          <w:color w:val="auto"/>
          <w:highlight w:val="none"/>
          <w:lang w:eastAsia="zh-CN"/>
        </w:rPr>
        <w:t>）</w:t>
      </w:r>
      <w:r>
        <w:rPr>
          <w:rFonts w:ascii="Times New Roman" w:hAnsi="Times New Roman" w:eastAsia="宋体"/>
          <w:color w:val="auto"/>
          <w:highlight w:val="none"/>
        </w:rPr>
        <w:t>。</w:t>
      </w:r>
    </w:p>
    <w:p w14:paraId="7F9F2068">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鸡舍冲洗用水</w:t>
      </w:r>
    </w:p>
    <w:p w14:paraId="67BDEBA2">
      <w:pPr>
        <w:ind w:firstLine="480"/>
        <w:rPr>
          <w:rFonts w:ascii="Times New Roman" w:hAnsi="Times New Roman" w:eastAsia="宋体"/>
          <w:color w:val="auto"/>
          <w:highlight w:val="none"/>
        </w:rPr>
      </w:pPr>
      <w:r>
        <w:rPr>
          <w:rFonts w:ascii="Times New Roman" w:hAnsi="Times New Roman" w:eastAsia="宋体"/>
          <w:color w:val="auto"/>
          <w:highlight w:val="none"/>
        </w:rPr>
        <w:t>本项目每年从天康公司的现代化专业蛋鸡育雏场购买出壳鸡苗，饲养方式采取全进全出制，0-6周</w:t>
      </w:r>
      <w:r>
        <w:rPr>
          <w:rFonts w:hint="eastAsia"/>
          <w:color w:val="auto"/>
          <w:highlight w:val="none"/>
          <w:lang w:eastAsia="zh-CN"/>
        </w:rPr>
        <w:t>（</w:t>
      </w:r>
      <w:r>
        <w:rPr>
          <w:rFonts w:ascii="Times New Roman" w:hAnsi="Times New Roman" w:eastAsia="宋体"/>
          <w:color w:val="auto"/>
          <w:highlight w:val="none"/>
        </w:rPr>
        <w:t>42天</w:t>
      </w:r>
      <w:r>
        <w:rPr>
          <w:rFonts w:hint="eastAsia"/>
          <w:color w:val="auto"/>
          <w:highlight w:val="none"/>
          <w:lang w:eastAsia="zh-CN"/>
        </w:rPr>
        <w:t>）</w:t>
      </w:r>
      <w:r>
        <w:rPr>
          <w:rFonts w:ascii="Times New Roman" w:hAnsi="Times New Roman" w:eastAsia="宋体"/>
          <w:color w:val="auto"/>
          <w:highlight w:val="none"/>
        </w:rPr>
        <w:t>在育雏舍进行养殖，7周-16周</w:t>
      </w:r>
      <w:r>
        <w:rPr>
          <w:rFonts w:hint="eastAsia"/>
          <w:color w:val="auto"/>
          <w:highlight w:val="none"/>
          <w:lang w:eastAsia="zh-CN"/>
        </w:rPr>
        <w:t>（</w:t>
      </w:r>
      <w:r>
        <w:rPr>
          <w:rFonts w:ascii="Times New Roman" w:hAnsi="Times New Roman" w:eastAsia="宋体"/>
          <w:color w:val="auto"/>
          <w:highlight w:val="none"/>
        </w:rPr>
        <w:t>70天</w:t>
      </w:r>
      <w:r>
        <w:rPr>
          <w:rFonts w:hint="eastAsia"/>
          <w:color w:val="auto"/>
          <w:highlight w:val="none"/>
          <w:lang w:eastAsia="zh-CN"/>
        </w:rPr>
        <w:t>）</w:t>
      </w:r>
      <w:r>
        <w:rPr>
          <w:rFonts w:ascii="Times New Roman" w:hAnsi="Times New Roman" w:eastAsia="宋体"/>
          <w:color w:val="auto"/>
          <w:highlight w:val="none"/>
        </w:rPr>
        <w:t>转至育成舍进行养殖，饲养16周左右外售给头工乡蛋鸡产业园。根据《无公害食品畜禽饲养兽医防疫准则》</w:t>
      </w:r>
      <w:r>
        <w:rPr>
          <w:rFonts w:hint="eastAsia"/>
          <w:color w:val="auto"/>
          <w:highlight w:val="none"/>
          <w:lang w:eastAsia="zh-CN"/>
        </w:rPr>
        <w:t>（</w:t>
      </w:r>
      <w:r>
        <w:rPr>
          <w:rFonts w:ascii="Times New Roman" w:hAnsi="Times New Roman" w:eastAsia="宋体"/>
          <w:color w:val="auto"/>
          <w:highlight w:val="none"/>
        </w:rPr>
        <w:t>NY/T5339-2017</w:t>
      </w:r>
      <w:r>
        <w:rPr>
          <w:rFonts w:hint="eastAsia"/>
          <w:color w:val="auto"/>
          <w:highlight w:val="none"/>
          <w:lang w:eastAsia="zh-CN"/>
        </w:rPr>
        <w:t>）</w:t>
      </w:r>
      <w:r>
        <w:rPr>
          <w:rFonts w:ascii="Times New Roman" w:hAnsi="Times New Roman" w:eastAsia="宋体"/>
          <w:color w:val="auto"/>
          <w:highlight w:val="none"/>
        </w:rPr>
        <w:t>中相关规定，</w:t>
      </w:r>
      <w:r>
        <w:rPr>
          <w:rFonts w:hint="eastAsia"/>
          <w:color w:val="auto"/>
          <w:highlight w:val="none"/>
          <w:lang w:eastAsia="zh-CN"/>
        </w:rPr>
        <w:t>”</w:t>
      </w:r>
      <w:r>
        <w:rPr>
          <w:rFonts w:ascii="Times New Roman" w:hAnsi="Times New Roman" w:eastAsia="宋体"/>
          <w:color w:val="auto"/>
          <w:highlight w:val="none"/>
        </w:rPr>
        <w:t>畜禽转舍、售出后，应对空舍进行严格清洁和消毒，消毒后至少空舍一周后，再引入畜禽饲养</w:t>
      </w:r>
      <w:r>
        <w:rPr>
          <w:rFonts w:hint="eastAsia"/>
          <w:color w:val="auto"/>
          <w:highlight w:val="none"/>
          <w:lang w:eastAsia="zh-CN"/>
        </w:rPr>
        <w:t>”</w:t>
      </w:r>
      <w:r>
        <w:rPr>
          <w:rFonts w:ascii="Times New Roman" w:hAnsi="Times New Roman" w:eastAsia="宋体"/>
          <w:color w:val="auto"/>
          <w:highlight w:val="none"/>
        </w:rPr>
        <w:t>，鸡舍在一个饲养周期结束，全部转出后进行冲洗；本项目鸡舍每4个月出一批，每年出3批，因此，每4个月对鸡舍冲洗1次。类比其他同类型蛋鸡养殖场实际生产经验，鸡舍冲洗用水量2m</w:t>
      </w:r>
      <w:r>
        <w:rPr>
          <w:rFonts w:ascii="Times New Roman" w:hAnsi="Times New Roman" w:eastAsia="宋体"/>
          <w:color w:val="auto"/>
          <w:highlight w:val="none"/>
          <w:vertAlign w:val="superscript"/>
        </w:rPr>
        <w:t>3</w:t>
      </w:r>
      <w:r>
        <w:rPr>
          <w:rFonts w:ascii="Times New Roman" w:hAnsi="Times New Roman" w:eastAsia="宋体"/>
          <w:color w:val="auto"/>
          <w:highlight w:val="none"/>
        </w:rPr>
        <w:t>/100m</w:t>
      </w:r>
      <w:r>
        <w:rPr>
          <w:rFonts w:ascii="Times New Roman" w:hAnsi="Times New Roman" w:eastAsia="宋体"/>
          <w:color w:val="auto"/>
          <w:highlight w:val="none"/>
          <w:vertAlign w:val="superscript"/>
        </w:rPr>
        <w:t>2</w:t>
      </w:r>
      <w:r>
        <w:rPr>
          <w:rFonts w:ascii="Times New Roman" w:hAnsi="Times New Roman" w:eastAsia="宋体"/>
          <w:color w:val="auto"/>
          <w:highlight w:val="none"/>
        </w:rPr>
        <w:t>计，项目区计划设置鸡舍</w:t>
      </w:r>
      <w:r>
        <w:rPr>
          <w:rFonts w:hint="eastAsia" w:ascii="Times New Roman" w:hAnsi="Times New Roman" w:eastAsia="宋体"/>
          <w:color w:val="auto"/>
          <w:highlight w:val="none"/>
          <w:lang w:val="en-US" w:eastAsia="zh-CN"/>
        </w:rPr>
        <w:t>6</w:t>
      </w:r>
      <w:r>
        <w:rPr>
          <w:rFonts w:ascii="Times New Roman" w:hAnsi="Times New Roman" w:eastAsia="宋体"/>
          <w:color w:val="auto"/>
          <w:highlight w:val="none"/>
        </w:rPr>
        <w:t>栋，每栋鸡舍建筑面积为</w:t>
      </w:r>
      <w:r>
        <w:rPr>
          <w:rFonts w:hint="eastAsia" w:ascii="Times New Roman" w:hAnsi="Times New Roman" w:eastAsia="宋体"/>
          <w:color w:val="auto"/>
          <w:highlight w:val="none"/>
          <w:lang w:val="en-US" w:eastAsia="zh-CN"/>
        </w:rPr>
        <w:t>1080</w:t>
      </w:r>
      <w:r>
        <w:rPr>
          <w:rFonts w:ascii="Times New Roman" w:hAnsi="Times New Roman" w:eastAsia="宋体"/>
          <w:color w:val="auto"/>
          <w:highlight w:val="none"/>
        </w:rPr>
        <w:t>m</w:t>
      </w:r>
      <w:r>
        <w:rPr>
          <w:rFonts w:ascii="Times New Roman" w:hAnsi="Times New Roman" w:eastAsia="宋体"/>
          <w:color w:val="auto"/>
          <w:highlight w:val="none"/>
          <w:vertAlign w:val="superscript"/>
        </w:rPr>
        <w:t>2</w:t>
      </w:r>
      <w:r>
        <w:rPr>
          <w:rFonts w:hint="eastAsia"/>
          <w:color w:val="auto"/>
          <w:highlight w:val="none"/>
          <w:lang w:eastAsia="zh-CN"/>
        </w:rPr>
        <w:t>（</w:t>
      </w:r>
      <w:r>
        <w:rPr>
          <w:rFonts w:ascii="Times New Roman" w:hAnsi="Times New Roman" w:eastAsia="宋体"/>
          <w:color w:val="auto"/>
          <w:highlight w:val="none"/>
        </w:rPr>
        <w:t>共</w:t>
      </w:r>
      <w:r>
        <w:rPr>
          <w:rFonts w:hint="eastAsia" w:ascii="Times New Roman" w:hAnsi="Times New Roman" w:eastAsia="宋体"/>
          <w:color w:val="auto"/>
          <w:highlight w:val="none"/>
          <w:lang w:val="en-US" w:eastAsia="zh-CN"/>
        </w:rPr>
        <w:t>6480</w:t>
      </w:r>
      <w:r>
        <w:rPr>
          <w:rFonts w:ascii="Times New Roman" w:hAnsi="Times New Roman" w:eastAsia="宋体"/>
          <w:color w:val="auto"/>
          <w:highlight w:val="none"/>
        </w:rPr>
        <w:t>m</w:t>
      </w:r>
      <w:r>
        <w:rPr>
          <w:rFonts w:ascii="Times New Roman" w:hAnsi="Times New Roman" w:eastAsia="宋体"/>
          <w:color w:val="auto"/>
          <w:highlight w:val="none"/>
          <w:vertAlign w:val="superscript"/>
        </w:rPr>
        <w:t>2</w:t>
      </w:r>
      <w:r>
        <w:rPr>
          <w:rFonts w:hint="eastAsia"/>
          <w:color w:val="auto"/>
          <w:highlight w:val="none"/>
          <w:lang w:eastAsia="zh-CN"/>
        </w:rPr>
        <w:t>）</w:t>
      </w:r>
      <w:r>
        <w:rPr>
          <w:rFonts w:ascii="Times New Roman" w:hAnsi="Times New Roman" w:eastAsia="宋体"/>
          <w:color w:val="auto"/>
          <w:highlight w:val="none"/>
        </w:rPr>
        <w:t>，则项目区每栋鸡舍冲洗用水量为21.6m</w:t>
      </w:r>
      <w:r>
        <w:rPr>
          <w:rFonts w:ascii="Times New Roman" w:hAnsi="Times New Roman" w:eastAsia="宋体"/>
          <w:color w:val="auto"/>
          <w:highlight w:val="none"/>
          <w:vertAlign w:val="superscript"/>
        </w:rPr>
        <w:t>3</w:t>
      </w:r>
      <w:r>
        <w:rPr>
          <w:rFonts w:ascii="Times New Roman" w:hAnsi="Times New Roman" w:eastAsia="宋体"/>
          <w:color w:val="auto"/>
          <w:highlight w:val="none"/>
        </w:rPr>
        <w:t>/次，</w:t>
      </w:r>
      <w:r>
        <w:rPr>
          <w:rFonts w:hint="eastAsia" w:ascii="Times New Roman" w:hAnsi="Times New Roman" w:eastAsia="宋体"/>
          <w:color w:val="auto"/>
          <w:highlight w:val="none"/>
          <w:lang w:val="en-US" w:eastAsia="zh-CN"/>
        </w:rPr>
        <w:t>64.8</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r>
        <w:rPr>
          <w:rFonts w:hint="eastAsia"/>
          <w:color w:val="auto"/>
          <w:highlight w:val="none"/>
          <w:lang w:eastAsia="zh-CN"/>
        </w:rPr>
        <w:t>（</w:t>
      </w:r>
      <w:r>
        <w:rPr>
          <w:rFonts w:ascii="Times New Roman" w:hAnsi="Times New Roman" w:eastAsia="宋体"/>
          <w:color w:val="auto"/>
          <w:highlight w:val="none"/>
        </w:rPr>
        <w:t>全场共</w:t>
      </w:r>
      <w:r>
        <w:rPr>
          <w:rFonts w:hint="eastAsia" w:ascii="Times New Roman" w:hAnsi="Times New Roman" w:eastAsia="宋体"/>
          <w:color w:val="auto"/>
          <w:highlight w:val="none"/>
          <w:lang w:val="en-US" w:eastAsia="zh-CN"/>
        </w:rPr>
        <w:t>388.8</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r>
        <w:rPr>
          <w:rFonts w:hint="eastAsia"/>
          <w:color w:val="auto"/>
          <w:highlight w:val="none"/>
          <w:lang w:eastAsia="zh-CN"/>
        </w:rPr>
        <w:t>）</w:t>
      </w:r>
      <w:r>
        <w:rPr>
          <w:rFonts w:ascii="Times New Roman" w:hAnsi="Times New Roman" w:eastAsia="宋体"/>
          <w:color w:val="auto"/>
          <w:highlight w:val="none"/>
        </w:rPr>
        <w:t>。</w:t>
      </w:r>
    </w:p>
    <w:p w14:paraId="6A71AB02">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消毒用水</w:t>
      </w:r>
    </w:p>
    <w:p w14:paraId="6A8B691F">
      <w:pPr>
        <w:ind w:firstLine="480"/>
        <w:rPr>
          <w:rFonts w:ascii="Times New Roman" w:hAnsi="Times New Roman" w:eastAsia="宋体"/>
          <w:color w:val="auto"/>
          <w:highlight w:val="none"/>
        </w:rPr>
      </w:pPr>
      <w:r>
        <w:rPr>
          <w:rFonts w:ascii="Times New Roman" w:hAnsi="Times New Roman" w:eastAsia="宋体"/>
          <w:color w:val="auto"/>
          <w:highlight w:val="none"/>
        </w:rPr>
        <w:t>鸡舍养殖期间需进行消毒，类比其他同类型蛋鸡养殖场实际生产经验，每栋鸡舍消毒用水量为1.5m</w:t>
      </w:r>
      <w:r>
        <w:rPr>
          <w:rFonts w:ascii="Times New Roman" w:hAnsi="Times New Roman" w:eastAsia="宋体"/>
          <w:color w:val="auto"/>
          <w:highlight w:val="none"/>
          <w:vertAlign w:val="superscript"/>
        </w:rPr>
        <w:t>3</w:t>
      </w:r>
      <w:r>
        <w:rPr>
          <w:rFonts w:ascii="Times New Roman" w:hAnsi="Times New Roman" w:eastAsia="宋体"/>
          <w:color w:val="auto"/>
          <w:highlight w:val="none"/>
        </w:rPr>
        <w:t>/批</w:t>
      </w:r>
      <w:r>
        <w:rPr>
          <w:rFonts w:hint="eastAsia"/>
          <w:color w:val="auto"/>
          <w:highlight w:val="none"/>
          <w:lang w:eastAsia="zh-CN"/>
        </w:rPr>
        <w:t>（</w:t>
      </w:r>
      <w:r>
        <w:rPr>
          <w:rFonts w:ascii="Times New Roman" w:hAnsi="Times New Roman" w:eastAsia="宋体"/>
          <w:color w:val="auto"/>
          <w:highlight w:val="none"/>
        </w:rPr>
        <w:t>消毒3批/a</w:t>
      </w:r>
      <w:r>
        <w:rPr>
          <w:rFonts w:hint="eastAsia"/>
          <w:color w:val="auto"/>
          <w:highlight w:val="none"/>
          <w:lang w:eastAsia="zh-CN"/>
        </w:rPr>
        <w:t>）</w:t>
      </w:r>
      <w:r>
        <w:rPr>
          <w:rFonts w:ascii="Times New Roman" w:hAnsi="Times New Roman" w:eastAsia="宋体"/>
          <w:color w:val="auto"/>
          <w:highlight w:val="none"/>
        </w:rPr>
        <w:t>，则</w:t>
      </w:r>
      <w:r>
        <w:rPr>
          <w:rFonts w:hint="eastAsia" w:ascii="Times New Roman" w:hAnsi="Times New Roman" w:eastAsia="宋体"/>
          <w:color w:val="auto"/>
          <w:highlight w:val="none"/>
          <w:lang w:val="en-US" w:eastAsia="zh-CN"/>
        </w:rPr>
        <w:t>6</w:t>
      </w:r>
      <w:r>
        <w:rPr>
          <w:rFonts w:ascii="Times New Roman" w:hAnsi="Times New Roman" w:eastAsia="宋体"/>
          <w:color w:val="auto"/>
          <w:highlight w:val="none"/>
        </w:rPr>
        <w:t>栋鸡舍消耗水量共</w:t>
      </w:r>
      <w:r>
        <w:rPr>
          <w:rFonts w:hint="eastAsia" w:ascii="Times New Roman" w:hAnsi="Times New Roman" w:eastAsia="宋体"/>
          <w:color w:val="auto"/>
          <w:highlight w:val="none"/>
          <w:lang w:val="en-US" w:eastAsia="zh-CN"/>
        </w:rPr>
        <w:t>27</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p>
    <w:p w14:paraId="09D0DEA9">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5</w:t>
      </w:r>
      <w:r>
        <w:rPr>
          <w:rFonts w:hint="eastAsia"/>
          <w:color w:val="auto"/>
          <w:highlight w:val="none"/>
          <w:lang w:eastAsia="zh-CN"/>
        </w:rPr>
        <w:t>）</w:t>
      </w:r>
      <w:r>
        <w:rPr>
          <w:rFonts w:ascii="Times New Roman" w:hAnsi="Times New Roman" w:eastAsia="宋体"/>
          <w:color w:val="auto"/>
          <w:highlight w:val="none"/>
        </w:rPr>
        <w:t>水帘降温补充水</w:t>
      </w:r>
    </w:p>
    <w:p w14:paraId="1B554E20">
      <w:pPr>
        <w:ind w:firstLine="480"/>
        <w:rPr>
          <w:rFonts w:ascii="Times New Roman" w:hAnsi="Times New Roman" w:eastAsia="宋体"/>
          <w:color w:val="auto"/>
          <w:highlight w:val="none"/>
        </w:rPr>
      </w:pPr>
      <w:r>
        <w:rPr>
          <w:rFonts w:ascii="Times New Roman" w:hAnsi="Times New Roman" w:eastAsia="宋体"/>
          <w:color w:val="auto"/>
          <w:highlight w:val="none"/>
        </w:rPr>
        <w:t>项目鸡舍均配备有水帘降温装置，能够确保鸡舍温度适宜，水帘通风装置用水循环利用，不外排。运行过程中会有一定的蒸发损耗量。比同类鸡场实际运行情况，每栋鸡舍冷却循环水量约为1.2m</w:t>
      </w:r>
      <w:r>
        <w:rPr>
          <w:rFonts w:ascii="Times New Roman" w:hAnsi="Times New Roman" w:eastAsia="宋体"/>
          <w:color w:val="auto"/>
          <w:highlight w:val="none"/>
          <w:vertAlign w:val="superscript"/>
        </w:rPr>
        <w:t>3</w:t>
      </w:r>
      <w:r>
        <w:rPr>
          <w:rFonts w:ascii="Times New Roman" w:hAnsi="Times New Roman" w:eastAsia="宋体"/>
          <w:color w:val="auto"/>
          <w:highlight w:val="none"/>
        </w:rPr>
        <w:t>/h，蒸发损耗约为用水量的10%，全年预计降温时间为6月~8月，每天约为6小时降温，则全年补充水量为</w:t>
      </w:r>
      <w:r>
        <w:rPr>
          <w:rFonts w:hint="eastAsia" w:ascii="Times New Roman" w:hAnsi="Times New Roman" w:eastAsia="宋体"/>
          <w:color w:val="auto"/>
          <w:highlight w:val="none"/>
          <w:lang w:val="en-US" w:eastAsia="zh-CN"/>
        </w:rPr>
        <w:t>263.52</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p>
    <w:p w14:paraId="46637808">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6</w:t>
      </w:r>
      <w:r>
        <w:rPr>
          <w:rFonts w:hint="eastAsia"/>
          <w:color w:val="auto"/>
          <w:highlight w:val="none"/>
          <w:lang w:eastAsia="zh-CN"/>
        </w:rPr>
        <w:t>）</w:t>
      </w:r>
      <w:r>
        <w:rPr>
          <w:rFonts w:ascii="Times New Roman" w:hAnsi="Times New Roman" w:eastAsia="宋体"/>
          <w:color w:val="auto"/>
          <w:highlight w:val="none"/>
        </w:rPr>
        <w:t>绿化用水</w:t>
      </w:r>
    </w:p>
    <w:p w14:paraId="3C1E0640">
      <w:pPr>
        <w:ind w:firstLine="480"/>
        <w:rPr>
          <w:rFonts w:ascii="Times New Roman" w:hAnsi="Times New Roman" w:eastAsia="宋体"/>
          <w:color w:val="auto"/>
          <w:highlight w:val="none"/>
        </w:rPr>
      </w:pPr>
      <w:r>
        <w:rPr>
          <w:rFonts w:ascii="Times New Roman" w:hAnsi="Times New Roman" w:eastAsia="宋体"/>
          <w:color w:val="auto"/>
          <w:highlight w:val="none"/>
        </w:rPr>
        <w:t>本项目占地面积为</w:t>
      </w:r>
      <w:r>
        <w:rPr>
          <w:rFonts w:hint="eastAsia" w:ascii="Times New Roman" w:hAnsi="Times New Roman" w:eastAsia="宋体"/>
          <w:color w:val="auto"/>
          <w:highlight w:val="none"/>
          <w:lang w:val="en-US" w:eastAsia="zh-CN"/>
        </w:rPr>
        <w:t>105.2</w:t>
      </w:r>
      <w:r>
        <w:rPr>
          <w:rFonts w:ascii="Times New Roman" w:hAnsi="Times New Roman" w:eastAsia="宋体"/>
          <w:color w:val="auto"/>
          <w:highlight w:val="none"/>
        </w:rPr>
        <w:t>亩</w:t>
      </w:r>
      <w:r>
        <w:rPr>
          <w:rFonts w:hint="eastAsia"/>
          <w:color w:val="auto"/>
          <w:highlight w:val="none"/>
          <w:lang w:eastAsia="zh-CN"/>
        </w:rPr>
        <w:t>（</w:t>
      </w:r>
      <w:r>
        <w:rPr>
          <w:rFonts w:ascii="Times New Roman" w:hAnsi="Times New Roman" w:eastAsia="宋体"/>
          <w:color w:val="auto"/>
          <w:highlight w:val="none"/>
        </w:rPr>
        <w:t>即</w:t>
      </w:r>
      <w:r>
        <w:rPr>
          <w:rFonts w:hint="eastAsia" w:ascii="Times New Roman" w:hAnsi="Times New Roman" w:eastAsia="宋体"/>
          <w:color w:val="auto"/>
          <w:highlight w:val="none"/>
          <w:lang w:val="en-US" w:eastAsia="zh-CN"/>
        </w:rPr>
        <w:t>70119.07</w:t>
      </w:r>
      <w:r>
        <w:rPr>
          <w:rFonts w:ascii="Times New Roman" w:hAnsi="Times New Roman" w:eastAsia="宋体"/>
          <w:color w:val="auto"/>
          <w:highlight w:val="none"/>
        </w:rPr>
        <w:t>m</w:t>
      </w:r>
      <w:r>
        <w:rPr>
          <w:rFonts w:ascii="Times New Roman" w:hAnsi="Times New Roman" w:eastAsia="宋体"/>
          <w:color w:val="auto"/>
          <w:highlight w:val="none"/>
          <w:vertAlign w:val="superscript"/>
        </w:rPr>
        <w:t>2</w:t>
      </w:r>
      <w:r>
        <w:rPr>
          <w:rFonts w:hint="eastAsia"/>
          <w:color w:val="auto"/>
          <w:highlight w:val="none"/>
          <w:lang w:eastAsia="zh-CN"/>
        </w:rPr>
        <w:t>）</w:t>
      </w:r>
      <w:r>
        <w:rPr>
          <w:rFonts w:ascii="Times New Roman" w:hAnsi="Times New Roman" w:eastAsia="宋体"/>
          <w:color w:val="auto"/>
          <w:highlight w:val="none"/>
        </w:rPr>
        <w:t>，绿化率为10%，绿化面积为</w:t>
      </w:r>
      <w:r>
        <w:rPr>
          <w:rFonts w:hint="eastAsia" w:ascii="Times New Roman" w:hAnsi="Times New Roman" w:eastAsia="宋体"/>
          <w:color w:val="auto"/>
          <w:highlight w:val="none"/>
          <w:lang w:val="en-US" w:eastAsia="zh-CN"/>
        </w:rPr>
        <w:t>7011.907</w:t>
      </w:r>
      <w:r>
        <w:rPr>
          <w:rFonts w:ascii="Times New Roman" w:hAnsi="Times New Roman" w:eastAsia="宋体"/>
          <w:color w:val="auto"/>
          <w:highlight w:val="none"/>
        </w:rPr>
        <w:t>m</w:t>
      </w:r>
      <w:r>
        <w:rPr>
          <w:rFonts w:ascii="Times New Roman" w:hAnsi="Times New Roman" w:eastAsia="宋体"/>
          <w:color w:val="auto"/>
          <w:highlight w:val="none"/>
          <w:vertAlign w:val="superscript"/>
        </w:rPr>
        <w:t>2</w:t>
      </w:r>
      <w:r>
        <w:rPr>
          <w:rFonts w:ascii="Times New Roman" w:hAnsi="Times New Roman" w:eastAsia="宋体"/>
          <w:color w:val="auto"/>
          <w:highlight w:val="none"/>
        </w:rPr>
        <w:t>。根据《新疆维吾尔自治区生活用水定额》项目所在区域绿化用水指标为400~500m</w:t>
      </w:r>
      <w:r>
        <w:rPr>
          <w:rFonts w:ascii="Times New Roman" w:hAnsi="Times New Roman" w:eastAsia="宋体"/>
          <w:color w:val="auto"/>
          <w:highlight w:val="none"/>
          <w:vertAlign w:val="superscript"/>
        </w:rPr>
        <w:t>3</w:t>
      </w:r>
      <w:r>
        <w:rPr>
          <w:rFonts w:ascii="Times New Roman" w:hAnsi="Times New Roman" w:eastAsia="宋体"/>
          <w:color w:val="auto"/>
          <w:highlight w:val="none"/>
        </w:rPr>
        <w:t>/亩▪a，本项目按500m</w:t>
      </w:r>
      <w:r>
        <w:rPr>
          <w:rFonts w:ascii="Times New Roman" w:hAnsi="Times New Roman" w:eastAsia="宋体"/>
          <w:color w:val="auto"/>
          <w:highlight w:val="none"/>
          <w:vertAlign w:val="superscript"/>
        </w:rPr>
        <w:t>3</w:t>
      </w:r>
      <w:r>
        <w:rPr>
          <w:rFonts w:ascii="Times New Roman" w:hAnsi="Times New Roman" w:eastAsia="宋体"/>
          <w:color w:val="auto"/>
          <w:highlight w:val="none"/>
        </w:rPr>
        <w:t>/亩▪a计，则项目绿化用水量为</w:t>
      </w:r>
      <w:r>
        <w:rPr>
          <w:rFonts w:hint="eastAsia" w:ascii="Times New Roman" w:hAnsi="Times New Roman" w:eastAsia="宋体"/>
          <w:color w:val="auto"/>
          <w:highlight w:val="none"/>
          <w:lang w:val="en-US" w:eastAsia="zh-CN"/>
        </w:rPr>
        <w:t>5260</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p>
    <w:p w14:paraId="0679881B">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项目用水量估算表见表3.1-6。</w:t>
      </w:r>
    </w:p>
    <w:p w14:paraId="605B4542">
      <w:pPr>
        <w:pStyle w:val="10"/>
        <w:rPr>
          <w:rFonts w:ascii="Times New Roman" w:hAnsi="Times New Roman" w:eastAsia="宋体"/>
          <w:color w:val="auto"/>
          <w:highlight w:val="none"/>
        </w:rPr>
      </w:pPr>
      <w:r>
        <w:rPr>
          <w:rFonts w:hint="eastAsia" w:ascii="Times New Roman" w:hAnsi="Times New Roman" w:eastAsia="宋体"/>
          <w:color w:val="auto"/>
          <w:highlight w:val="none"/>
        </w:rPr>
        <w:t>表3.1-6项目用水量估算表</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331"/>
        <w:gridCol w:w="4979"/>
      </w:tblGrid>
      <w:tr w14:paraId="47103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14:paraId="2E308D0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项目</w:t>
            </w:r>
          </w:p>
        </w:tc>
        <w:tc>
          <w:tcPr>
            <w:tcW w:w="2995" w:type="pct"/>
            <w:vAlign w:val="center"/>
          </w:tcPr>
          <w:p w14:paraId="1F82B2E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用水量</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w:t>
            </w:r>
            <w:r>
              <w:rPr>
                <w:rFonts w:ascii="Times New Roman" w:hAnsi="Times New Roman" w:eastAsia="宋体" w:cs="Times New Roman"/>
                <w:color w:val="auto"/>
                <w:spacing w:val="0"/>
                <w:position w:val="0"/>
                <w:sz w:val="21"/>
                <w:szCs w:val="14"/>
                <w:highlight w:val="none"/>
                <w:vertAlign w:val="superscript"/>
              </w:rPr>
              <w:t>3</w:t>
            </w:r>
            <w:r>
              <w:rPr>
                <w:rFonts w:ascii="Times New Roman" w:hAnsi="Times New Roman" w:eastAsia="宋体" w:cs="Times New Roman"/>
                <w:color w:val="auto"/>
                <w:spacing w:val="0"/>
                <w:position w:val="0"/>
                <w:sz w:val="21"/>
                <w:szCs w:val="21"/>
                <w:highlight w:val="none"/>
              </w:rPr>
              <w:t>/a</w:t>
            </w:r>
            <w:r>
              <w:rPr>
                <w:rFonts w:hint="eastAsia" w:cs="宋体"/>
                <w:color w:val="auto"/>
                <w:spacing w:val="0"/>
                <w:position w:val="0"/>
                <w:sz w:val="21"/>
                <w:szCs w:val="21"/>
                <w:highlight w:val="none"/>
                <w:lang w:eastAsia="zh-CN"/>
              </w:rPr>
              <w:t>）</w:t>
            </w:r>
          </w:p>
        </w:tc>
      </w:tr>
      <w:tr w14:paraId="380BC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14:paraId="163CCBFF">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鸡只饮用水</w:t>
            </w:r>
          </w:p>
        </w:tc>
        <w:tc>
          <w:tcPr>
            <w:tcW w:w="2995" w:type="pct"/>
            <w:vAlign w:val="center"/>
          </w:tcPr>
          <w:p w14:paraId="4081C69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olor w:val="auto"/>
                <w:sz w:val="21"/>
                <w:highlight w:val="none"/>
                <w:lang w:val="en-US" w:eastAsia="zh-CN"/>
              </w:rPr>
              <w:t>16380</w:t>
            </w:r>
          </w:p>
        </w:tc>
      </w:tr>
      <w:tr w14:paraId="53154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14:paraId="13AA2B2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职工生活用水</w:t>
            </w:r>
          </w:p>
        </w:tc>
        <w:tc>
          <w:tcPr>
            <w:tcW w:w="2995" w:type="pct"/>
            <w:vAlign w:val="center"/>
          </w:tcPr>
          <w:p w14:paraId="03192ED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584</w:t>
            </w:r>
          </w:p>
        </w:tc>
      </w:tr>
      <w:tr w14:paraId="521EE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14:paraId="5858E3D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鸡舍冲洗用水</w:t>
            </w:r>
          </w:p>
        </w:tc>
        <w:tc>
          <w:tcPr>
            <w:tcW w:w="2995" w:type="pct"/>
            <w:vAlign w:val="center"/>
          </w:tcPr>
          <w:p w14:paraId="36A7F7D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388.8</w:t>
            </w:r>
          </w:p>
        </w:tc>
      </w:tr>
      <w:tr w14:paraId="0BCFB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14:paraId="1B17443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消毒用水</w:t>
            </w:r>
          </w:p>
        </w:tc>
        <w:tc>
          <w:tcPr>
            <w:tcW w:w="2995" w:type="pct"/>
            <w:vAlign w:val="center"/>
          </w:tcPr>
          <w:p w14:paraId="3838C01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27</w:t>
            </w:r>
          </w:p>
        </w:tc>
      </w:tr>
      <w:tr w14:paraId="1157E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14:paraId="6BC91D7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水帘降温补充水</w:t>
            </w:r>
          </w:p>
        </w:tc>
        <w:tc>
          <w:tcPr>
            <w:tcW w:w="2995" w:type="pct"/>
            <w:vAlign w:val="center"/>
          </w:tcPr>
          <w:p w14:paraId="6154186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263.52</w:t>
            </w:r>
          </w:p>
        </w:tc>
      </w:tr>
      <w:tr w14:paraId="18C41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14:paraId="7A95582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绿化用水</w:t>
            </w:r>
          </w:p>
        </w:tc>
        <w:tc>
          <w:tcPr>
            <w:tcW w:w="2995" w:type="pct"/>
            <w:vAlign w:val="center"/>
          </w:tcPr>
          <w:p w14:paraId="33D23CC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lang w:val="en-US" w:eastAsia="zh-CN"/>
              </w:rPr>
              <w:t>5260</w:t>
            </w:r>
          </w:p>
        </w:tc>
      </w:tr>
      <w:tr w14:paraId="38BAE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04" w:type="pct"/>
            <w:vAlign w:val="center"/>
          </w:tcPr>
          <w:p w14:paraId="1CE117B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合计</w:t>
            </w:r>
          </w:p>
        </w:tc>
        <w:tc>
          <w:tcPr>
            <w:tcW w:w="2995" w:type="pct"/>
            <w:vAlign w:val="center"/>
          </w:tcPr>
          <w:p w14:paraId="3012832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ascii="Times New Roman" w:hAnsi="Times New Roman" w:eastAsia="宋体" w:cs="Times New Roman"/>
                <w:color w:val="auto"/>
                <w:spacing w:val="0"/>
                <w:position w:val="0"/>
                <w:sz w:val="21"/>
                <w:szCs w:val="21"/>
                <w:highlight w:val="none"/>
                <w:lang w:eastAsia="zh-CN"/>
              </w:rPr>
              <w:t>22903.32</w:t>
            </w:r>
          </w:p>
        </w:tc>
      </w:tr>
    </w:tbl>
    <w:p w14:paraId="712E920C">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lang w:eastAsia="zh-CN"/>
        </w:rPr>
        <w:t>3.1.6</w:t>
      </w:r>
      <w:r>
        <w:rPr>
          <w:rFonts w:hint="eastAsia" w:ascii="Times New Roman" w:hAnsi="Times New Roman" w:eastAsia="宋体"/>
          <w:color w:val="auto"/>
          <w:highlight w:val="none"/>
        </w:rPr>
        <w:t>.2排水系统</w:t>
      </w:r>
    </w:p>
    <w:p w14:paraId="02AA3A9D">
      <w:pPr>
        <w:ind w:firstLine="480"/>
        <w:rPr>
          <w:rFonts w:ascii="Times New Roman" w:hAnsi="Times New Roman" w:eastAsia="宋体"/>
          <w:color w:val="auto"/>
          <w:highlight w:val="none"/>
        </w:rPr>
      </w:pPr>
      <w:r>
        <w:rPr>
          <w:rFonts w:ascii="Times New Roman" w:hAnsi="Times New Roman" w:eastAsia="宋体"/>
          <w:color w:val="auto"/>
          <w:highlight w:val="none"/>
        </w:rPr>
        <w:t>本项目排水主要为职工生活污水、鸡舍冲洗废水。</w:t>
      </w:r>
    </w:p>
    <w:p w14:paraId="153B08C3">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职工生活污水</w:t>
      </w:r>
    </w:p>
    <w:p w14:paraId="22C92E16">
      <w:pPr>
        <w:ind w:firstLine="480"/>
        <w:rPr>
          <w:rFonts w:ascii="Times New Roman" w:hAnsi="Times New Roman" w:eastAsia="宋体"/>
          <w:color w:val="auto"/>
          <w:highlight w:val="none"/>
        </w:rPr>
      </w:pPr>
      <w:r>
        <w:rPr>
          <w:rFonts w:ascii="Times New Roman" w:hAnsi="Times New Roman" w:eastAsia="宋体"/>
          <w:color w:val="auto"/>
          <w:highlight w:val="none"/>
        </w:rPr>
        <w:t>职工生活污水按照用水量的80%计算，则生活污水产生量约为467.2m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/a。生活污水直接排入下水管网，最终进入玛纳斯县城污水处理厂</w:t>
      </w:r>
    </w:p>
    <w:p w14:paraId="557D8BA1">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鸡舍冲洗废水</w:t>
      </w:r>
    </w:p>
    <w:p w14:paraId="3146AB26">
      <w:pPr>
        <w:ind w:firstLine="480"/>
        <w:rPr>
          <w:rFonts w:ascii="Times New Roman" w:hAnsi="Times New Roman" w:eastAsia="宋体"/>
          <w:color w:val="auto"/>
          <w:highlight w:val="none"/>
        </w:rPr>
      </w:pPr>
      <w:r>
        <w:rPr>
          <w:rFonts w:ascii="Times New Roman" w:hAnsi="Times New Roman" w:eastAsia="宋体"/>
          <w:color w:val="auto"/>
          <w:highlight w:val="none"/>
        </w:rPr>
        <w:t>鸡舍冲洗废水按照用水量的80%计算，则产生量约为</w:t>
      </w:r>
      <w:r>
        <w:rPr>
          <w:rFonts w:hint="eastAsia" w:ascii="Times New Roman" w:hAnsi="Times New Roman" w:eastAsia="宋体"/>
          <w:color w:val="auto"/>
          <w:highlight w:val="none"/>
          <w:lang w:val="en-US" w:eastAsia="zh-CN"/>
        </w:rPr>
        <w:t>311.04</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/a。鸡舍冲洗废水排入</w:t>
      </w:r>
      <w:r>
        <w:rPr>
          <w:rFonts w:hint="eastAsia" w:ascii="Times New Roman" w:hAnsi="Times New Roman" w:eastAsia="宋体"/>
          <w:color w:val="auto"/>
          <w:highlight w:val="none"/>
          <w:lang w:val="en-US" w:eastAsia="zh-CN"/>
        </w:rPr>
        <w:t>废水收集池（150m</w:t>
      </w:r>
      <w:r>
        <w:rPr>
          <w:rFonts w:hint="eastAsia" w:ascii="Times New Roman" w:hAnsi="Times New Roman" w:eastAsia="宋体"/>
          <w:color w:val="auto"/>
          <w:highlight w:val="none"/>
          <w:vertAlign w:val="superscript"/>
          <w:lang w:val="en-US" w:eastAsia="zh-CN"/>
        </w:rPr>
        <w:t>3</w:t>
      </w:r>
      <w:r>
        <w:rPr>
          <w:rFonts w:hint="eastAsia" w:ascii="Times New Roman" w:hAnsi="Times New Roman" w:eastAsia="宋体"/>
          <w:color w:val="auto"/>
          <w:highlight w:val="none"/>
          <w:lang w:val="en-US" w:eastAsia="zh-CN"/>
        </w:rPr>
        <w:t>）经过预处理后用作农肥。</w:t>
      </w:r>
      <w:r>
        <w:rPr>
          <w:rFonts w:hint="eastAsia" w:ascii="Times New Roman" w:hAnsi="Times New Roman" w:eastAsia="宋体"/>
          <w:color w:val="auto"/>
          <w:highlight w:val="none"/>
        </w:rPr>
        <w:t>，项目水平衡图见图3.1-4。</w:t>
      </w:r>
    </w:p>
    <w:p w14:paraId="63D5742D">
      <w:pPr>
        <w:pStyle w:val="10"/>
        <w:spacing w:line="240" w:lineRule="auto"/>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lang w:eastAsia="zh-CN"/>
        </w:rPr>
        <w:drawing>
          <wp:inline distT="0" distB="0" distL="114300" distR="114300">
            <wp:extent cx="5266690" cy="3709035"/>
            <wp:effectExtent l="0" t="0" r="0" b="0"/>
            <wp:docPr id="152" name="ECB019B1-382A-4266-B25C-5B523AA43C14-1" descr="C:/Users/清风源/AppData/Local/Temp/wps.UOYvA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ECB019B1-382A-4266-B25C-5B523AA43C14-1" descr="C:/Users/清风源/AppData/Local/Temp/wps.UOYvAKwps"/>
                    <pic:cNvPicPr>
                      <a:picLocks noChangeAspect="1"/>
                    </pic:cNvPicPr>
                  </pic:nvPicPr>
                  <pic:blipFill>
                    <a:blip r:embed="rId35"/>
                    <a:stretch>
                      <a:fillRect/>
                    </a:stretch>
                  </pic:blipFill>
                  <pic:spPr>
                    <a:xfrm>
                      <a:off x="0" y="0"/>
                      <a:ext cx="5266690" cy="3709035"/>
                    </a:xfrm>
                    <a:prstGeom prst="rect">
                      <a:avLst/>
                    </a:prstGeom>
                  </pic:spPr>
                </pic:pic>
              </a:graphicData>
            </a:graphic>
          </wp:inline>
        </w:drawing>
      </w:r>
    </w:p>
    <w:p w14:paraId="1B076D93">
      <w:pPr>
        <w:pStyle w:val="10"/>
        <w:rPr>
          <w:rFonts w:ascii="Times New Roman" w:hAnsi="Times New Roman" w:eastAsia="宋体"/>
          <w:color w:val="auto"/>
          <w:highlight w:val="none"/>
        </w:rPr>
      </w:pPr>
      <w:r>
        <w:rPr>
          <w:rFonts w:hint="eastAsia" w:ascii="Times New Roman" w:hAnsi="Times New Roman" w:eastAsia="宋体"/>
          <w:color w:val="auto"/>
          <w:highlight w:val="none"/>
        </w:rPr>
        <w:t>图3.1-4项目水平衡示意图单位：m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/a</w:t>
      </w:r>
    </w:p>
    <w:p w14:paraId="77BBEF3F">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lang w:eastAsia="zh-CN"/>
        </w:rPr>
        <w:t>3.1.6</w:t>
      </w:r>
      <w:r>
        <w:rPr>
          <w:rFonts w:ascii="Times New Roman" w:hAnsi="Times New Roman" w:eastAsia="宋体"/>
          <w:color w:val="auto"/>
          <w:highlight w:val="none"/>
        </w:rPr>
        <w:t>.3供电</w:t>
      </w:r>
    </w:p>
    <w:p w14:paraId="4A1903E3">
      <w:pPr>
        <w:ind w:firstLine="480"/>
        <w:rPr>
          <w:rFonts w:ascii="Times New Roman" w:hAnsi="Times New Roman" w:eastAsia="宋体"/>
          <w:color w:val="auto"/>
          <w:highlight w:val="none"/>
        </w:rPr>
      </w:pPr>
      <w:r>
        <w:rPr>
          <w:rFonts w:ascii="Times New Roman" w:hAnsi="Times New Roman" w:eastAsia="宋体"/>
          <w:color w:val="auto"/>
          <w:highlight w:val="none"/>
        </w:rPr>
        <w:t>本项目所在地供电由项目区外电网接入，场区内设变配电室，供电采用树干式与放射式相结合供电方式。对主要供电负荷，采用单独回路供电。</w:t>
      </w:r>
    </w:p>
    <w:p w14:paraId="546E613B">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lang w:eastAsia="zh-CN"/>
        </w:rPr>
        <w:t>3.1.6</w:t>
      </w:r>
      <w:r>
        <w:rPr>
          <w:rFonts w:ascii="Times New Roman" w:hAnsi="Times New Roman" w:eastAsia="宋体"/>
          <w:color w:val="auto"/>
          <w:highlight w:val="none"/>
        </w:rPr>
        <w:t>.4供热</w:t>
      </w:r>
    </w:p>
    <w:p w14:paraId="4E9FD381">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本项目圈舍采用电热水锅炉供暖，夏季（6-9月）采用水帘降温，能够满足圈舍饲养温度的需要；办公生活区采用电热水锅炉供暖，能够满足办公生活区的冬季采暖需要。</w:t>
      </w:r>
    </w:p>
    <w:p w14:paraId="699394E0">
      <w:pPr>
        <w:pStyle w:val="6"/>
        <w:ind w:firstLine="482"/>
        <w:rPr>
          <w:rFonts w:ascii="Times New Roman" w:hAnsi="Times New Roman" w:eastAsia="宋体"/>
          <w:color w:val="auto"/>
          <w:highlight w:val="none"/>
        </w:rPr>
      </w:pPr>
      <w:bookmarkStart w:id="80" w:name="_Toc3038754"/>
      <w:bookmarkStart w:id="81" w:name="_Toc117518085"/>
      <w:bookmarkStart w:id="82" w:name="_Toc113278807"/>
      <w:bookmarkStart w:id="83" w:name="_Toc29350463"/>
      <w:bookmarkStart w:id="84" w:name="_Toc536265806"/>
      <w:bookmarkStart w:id="85" w:name="_Toc113254136"/>
      <w:bookmarkStart w:id="86" w:name="_Toc2156134"/>
      <w:bookmarkStart w:id="87" w:name="_Toc117518331"/>
      <w:bookmarkStart w:id="88" w:name="_Toc117518251"/>
      <w:bookmarkStart w:id="89" w:name="_Toc29631758"/>
      <w:bookmarkStart w:id="90" w:name="_Toc29350521"/>
      <w:bookmarkStart w:id="91" w:name="_Toc2320728"/>
      <w:bookmarkStart w:id="92" w:name="_Toc2258924"/>
      <w:bookmarkStart w:id="93" w:name="_Toc117518536"/>
      <w:bookmarkStart w:id="94" w:name="_Toc3455645"/>
      <w:bookmarkStart w:id="95" w:name="_Toc46066266"/>
      <w:bookmarkStart w:id="96" w:name="_Toc112970974"/>
      <w:bookmarkStart w:id="97" w:name="_Toc117518166"/>
      <w:bookmarkStart w:id="98" w:name="_Toc24776864"/>
      <w:bookmarkStart w:id="99" w:name="_Toc324245525"/>
      <w:bookmarkStart w:id="100" w:name="_Toc113254406"/>
      <w:bookmarkStart w:id="101" w:name="_Toc112970910"/>
      <w:bookmarkStart w:id="102" w:name="_Toc3038841"/>
      <w:bookmarkStart w:id="103" w:name="_Toc117517821"/>
      <w:bookmarkStart w:id="104" w:name="_Toc224388007"/>
      <w:bookmarkStart w:id="105" w:name="_Toc15704"/>
      <w:r>
        <w:rPr>
          <w:rFonts w:hint="eastAsia" w:ascii="Times New Roman" w:hAnsi="Times New Roman" w:eastAsia="宋体"/>
          <w:color w:val="auto"/>
          <w:highlight w:val="none"/>
          <w:lang w:eastAsia="zh-CN"/>
        </w:rPr>
        <w:t>3.1.6</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绿化工程</w:t>
      </w:r>
    </w:p>
    <w:p w14:paraId="4C383F26">
      <w:pPr>
        <w:ind w:firstLine="480"/>
        <w:rPr>
          <w:rFonts w:ascii="Times New Roman" w:hAnsi="Times New Roman" w:eastAsia="宋体"/>
          <w:color w:val="auto"/>
          <w:highlight w:val="none"/>
        </w:rPr>
      </w:pPr>
      <w:r>
        <w:rPr>
          <w:rFonts w:ascii="Times New Roman" w:hAnsi="Times New Roman" w:eastAsia="宋体"/>
          <w:color w:val="auto"/>
          <w:highlight w:val="none"/>
        </w:rPr>
        <w:t>本项目采用乔木、灌木、花卉、经济林等方式进行场区绿化。场界四周种植两排乔木，加强绿化，乔灌草结合。场区内道路两侧种植灌木，生活区种植花卉、绿色植被及灌木。生产区与生活区用灌木和乔木相结合的方式进行分隔。</w:t>
      </w:r>
      <w:r>
        <w:rPr>
          <w:rFonts w:ascii="Times New Roman" w:hAnsi="Times New Roman" w:eastAsia="宋体"/>
          <w:color w:val="auto"/>
          <w:highlight w:val="none"/>
        </w:rPr>
        <mc:AlternateContent>
          <mc:Choice Requires="wpg">
            <w:drawing>
              <wp:anchor distT="0" distB="0" distL="114300" distR="114300" simplePos="0" relativeHeight="251659264" behindDoc="0" locked="0" layoutInCell="1" allowOverlap="1">
                <wp:simplePos x="0" y="0"/>
                <wp:positionH relativeFrom="column">
                  <wp:posOffset>-5439410</wp:posOffset>
                </wp:positionH>
                <wp:positionV relativeFrom="paragraph">
                  <wp:posOffset>16820515</wp:posOffset>
                </wp:positionV>
                <wp:extent cx="9719945" cy="1905514985"/>
                <wp:effectExtent l="0" t="38100" r="33655" b="18415"/>
                <wp:wrapNone/>
                <wp:docPr id="71" name="组合 71"/>
                <wp:cNvGraphicFramePr/>
                <a:graphic xmlns:a="http://schemas.openxmlformats.org/drawingml/2006/main">
                  <a:graphicData uri="http://schemas.microsoft.com/office/word/2010/wordprocessingGroup">
                    <wpg:wgp>
                      <wpg:cNvGrpSpPr/>
                      <wpg:grpSpPr>
                        <a:xfrm>
                          <a:off x="0" y="0"/>
                          <a:ext cx="9719945" cy="1905514985"/>
                          <a:chOff x="7146" y="-2279651"/>
                          <a:chExt cx="15307" cy="3000811"/>
                        </a:xfrm>
                      </wpg:grpSpPr>
                      <wps:wsp>
                        <wps:cNvPr id="72" name="文本框 79"/>
                        <wps:cNvSpPr txBox="1"/>
                        <wps:spPr>
                          <a:xfrm>
                            <a:off x="12872" y="719796"/>
                            <a:ext cx="1072" cy="468"/>
                          </a:xfrm>
                          <a:prstGeom prst="rect">
                            <a:avLst/>
                          </a:prstGeom>
                          <a:noFill/>
                          <a:ln>
                            <a:noFill/>
                          </a:ln>
                        </wps:spPr>
                        <wps:txbx>
                          <w:txbxContent>
                            <w:p w14:paraId="003C8155">
                              <w:pPr>
                                <w:ind w:firstLine="480"/>
                              </w:pPr>
                              <w:r>
                                <w:rPr>
                                  <w:rFonts w:hint="eastAsia"/>
                                </w:rPr>
                                <w:t>边角料</w:t>
                              </w:r>
                            </w:p>
                          </w:txbxContent>
                        </wps:txbx>
                        <wps:bodyPr upright="1"/>
                      </wps:wsp>
                      <wps:wsp>
                        <wps:cNvPr id="73" name="文本框 80"/>
                        <wps:cNvSpPr txBox="1"/>
                        <wps:spPr>
                          <a:xfrm>
                            <a:off x="9496" y="720669"/>
                            <a:ext cx="114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26878B">
                              <w:pPr>
                                <w:ind w:firstLine="480"/>
                                <w:jc w:val="center"/>
                              </w:pPr>
                              <w:r>
                                <w:rPr>
                                  <w:rFonts w:hint="eastAsia"/>
                                </w:rPr>
                                <w:t>挤出</w:t>
                              </w:r>
                            </w:p>
                          </w:txbxContent>
                        </wps:txbx>
                        <wps:bodyPr upright="1"/>
                      </wps:wsp>
                      <wps:wsp>
                        <wps:cNvPr id="74" name="直接连接符 81"/>
                        <wps:cNvCnPr/>
                        <wps:spPr>
                          <a:xfrm>
                            <a:off x="21886" y="-2279246"/>
                            <a:ext cx="567" cy="1"/>
                          </a:xfrm>
                          <a:prstGeom prst="line">
                            <a:avLst/>
                          </a:prstGeom>
                          <a:ln w="9525" cap="flat" cmpd="sng">
                            <a:solidFill>
                              <a:srgbClr val="000000"/>
                            </a:solidFill>
                            <a:prstDash val="solid"/>
                            <a:headEnd type="none" w="med" len="med"/>
                            <a:tailEnd type="triangle" w="med" len="med"/>
                          </a:ln>
                        </wps:spPr>
                        <wps:bodyPr/>
                      </wps:wsp>
                      <wps:wsp>
                        <wps:cNvPr id="75" name="文本框 82"/>
                        <wps:cNvSpPr txBox="1"/>
                        <wps:spPr>
                          <a:xfrm>
                            <a:off x="11210" y="720690"/>
                            <a:ext cx="1144"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2EDD73">
                              <w:pPr>
                                <w:ind w:firstLine="480"/>
                                <w:jc w:val="center"/>
                              </w:pPr>
                              <w:r>
                                <w:rPr>
                                  <w:rFonts w:hint="eastAsia"/>
                                </w:rPr>
                                <w:t>冷却</w:t>
                              </w:r>
                            </w:p>
                          </w:txbxContent>
                        </wps:txbx>
                        <wps:bodyPr upright="1"/>
                      </wps:wsp>
                      <wps:wsp>
                        <wps:cNvPr id="76" name="直接连接符 83"/>
                        <wps:cNvCnPr/>
                        <wps:spPr>
                          <a:xfrm>
                            <a:off x="21886" y="-2279246"/>
                            <a:ext cx="454" cy="0"/>
                          </a:xfrm>
                          <a:prstGeom prst="line">
                            <a:avLst/>
                          </a:prstGeom>
                          <a:ln w="9525" cap="flat" cmpd="sng">
                            <a:solidFill>
                              <a:srgbClr val="000000"/>
                            </a:solidFill>
                            <a:prstDash val="solid"/>
                            <a:headEnd type="none" w="med" len="med"/>
                            <a:tailEnd type="triangle" w="med" len="med"/>
                          </a:ln>
                        </wps:spPr>
                        <wps:bodyPr/>
                      </wps:wsp>
                      <wps:wsp>
                        <wps:cNvPr id="77" name="文本框 84"/>
                        <wps:cNvSpPr txBox="1"/>
                        <wps:spPr>
                          <a:xfrm>
                            <a:off x="12801" y="720669"/>
                            <a:ext cx="1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8BBC89">
                              <w:pPr>
                                <w:ind w:firstLine="480"/>
                                <w:jc w:val="center"/>
                              </w:pPr>
                              <w:r>
                                <w:rPr>
                                  <w:rFonts w:hint="eastAsia"/>
                                </w:rPr>
                                <w:t>定型</w:t>
                              </w:r>
                            </w:p>
                          </w:txbxContent>
                        </wps:txbx>
                        <wps:bodyPr upright="1"/>
                      </wps:wsp>
                      <wps:wsp>
                        <wps:cNvPr id="78" name="直接连接符 85"/>
                        <wps:cNvCnPr/>
                        <wps:spPr>
                          <a:xfrm flipV="1">
                            <a:off x="21886" y="-2279651"/>
                            <a:ext cx="1" cy="405"/>
                          </a:xfrm>
                          <a:prstGeom prst="line">
                            <a:avLst/>
                          </a:prstGeom>
                          <a:ln w="9525" cap="flat" cmpd="sng">
                            <a:solidFill>
                              <a:srgbClr val="000000"/>
                            </a:solidFill>
                            <a:prstDash val="solid"/>
                            <a:headEnd type="none" w="med" len="med"/>
                            <a:tailEnd type="triangle" w="med" len="med"/>
                          </a:ln>
                        </wps:spPr>
                        <wps:bodyPr/>
                      </wps:wsp>
                      <wps:wsp>
                        <wps:cNvPr id="192" name="文本框 86"/>
                        <wps:cNvSpPr txBox="1"/>
                        <wps:spPr>
                          <a:xfrm>
                            <a:off x="9211" y="719879"/>
                            <a:ext cx="1815" cy="468"/>
                          </a:xfrm>
                          <a:prstGeom prst="rect">
                            <a:avLst/>
                          </a:prstGeom>
                          <a:noFill/>
                          <a:ln>
                            <a:noFill/>
                          </a:ln>
                        </wps:spPr>
                        <wps:txbx>
                          <w:txbxContent>
                            <w:p w14:paraId="2F9E5BBD">
                              <w:pPr>
                                <w:ind w:firstLine="240" w:firstLineChars="100"/>
                              </w:pPr>
                              <w:r>
                                <w:rPr>
                                  <w:rFonts w:hint="eastAsia"/>
                                </w:rPr>
                                <w:t>废气、噪声</w:t>
                              </w:r>
                            </w:p>
                          </w:txbxContent>
                        </wps:txbx>
                        <wps:bodyPr upright="1"/>
                      </wps:wsp>
                      <wps:wsp>
                        <wps:cNvPr id="193" name="直接箭头连接符 87"/>
                        <wps:cNvCnPr/>
                        <wps:spPr>
                          <a:xfrm>
                            <a:off x="21886" y="-2279246"/>
                            <a:ext cx="0" cy="432"/>
                          </a:xfrm>
                          <a:prstGeom prst="straightConnector1">
                            <a:avLst/>
                          </a:prstGeom>
                          <a:ln w="9525" cap="flat" cmpd="sng">
                            <a:solidFill>
                              <a:srgbClr val="000000"/>
                            </a:solidFill>
                            <a:prstDash val="solid"/>
                            <a:headEnd type="none" w="med" len="med"/>
                            <a:tailEnd type="triangle" w="med" len="med"/>
                          </a:ln>
                        </wps:spPr>
                        <wps:bodyPr/>
                      </wps:wsp>
                      <wps:wsp>
                        <wps:cNvPr id="194" name="直接连接符 88"/>
                        <wps:cNvCnPr/>
                        <wps:spPr>
                          <a:xfrm flipV="1">
                            <a:off x="21886" y="-2279651"/>
                            <a:ext cx="1" cy="405"/>
                          </a:xfrm>
                          <a:prstGeom prst="line">
                            <a:avLst/>
                          </a:prstGeom>
                          <a:ln w="19050" cap="rnd" cmpd="sng">
                            <a:solidFill>
                              <a:srgbClr val="000000"/>
                            </a:solidFill>
                            <a:prstDash val="sysDot"/>
                            <a:headEnd type="none" w="med" len="med"/>
                            <a:tailEnd type="triangle" w="med" len="med"/>
                          </a:ln>
                        </wps:spPr>
                        <wps:bodyPr/>
                      </wps:wsp>
                      <wps:wsp>
                        <wps:cNvPr id="195" name="直接连接符 89"/>
                        <wps:cNvCnPr/>
                        <wps:spPr>
                          <a:xfrm>
                            <a:off x="21886" y="-2279246"/>
                            <a:ext cx="454" cy="0"/>
                          </a:xfrm>
                          <a:prstGeom prst="line">
                            <a:avLst/>
                          </a:prstGeom>
                          <a:ln w="9525" cap="flat" cmpd="sng">
                            <a:solidFill>
                              <a:srgbClr val="000000"/>
                            </a:solidFill>
                            <a:prstDash val="solid"/>
                            <a:headEnd type="none" w="med" len="med"/>
                            <a:tailEnd type="triangle" w="med" len="med"/>
                          </a:ln>
                        </wps:spPr>
                        <wps:bodyPr/>
                      </wps:wsp>
                      <wps:wsp>
                        <wps:cNvPr id="196" name="文本框 90"/>
                        <wps:cNvSpPr txBox="1"/>
                        <wps:spPr>
                          <a:xfrm>
                            <a:off x="14446" y="720669"/>
                            <a:ext cx="116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436ABB">
                              <w:pPr>
                                <w:ind w:firstLine="480"/>
                                <w:jc w:val="center"/>
                              </w:pPr>
                              <w:r>
                                <w:rPr>
                                  <w:rFonts w:hint="eastAsia"/>
                                </w:rPr>
                                <w:t>包装</w:t>
                              </w:r>
                            </w:p>
                          </w:txbxContent>
                        </wps:txbx>
                        <wps:bodyPr upright="1"/>
                      </wps:wsp>
                      <wps:wsp>
                        <wps:cNvPr id="197" name="直接连接符 91"/>
                        <wps:cNvCnPr/>
                        <wps:spPr>
                          <a:xfrm flipV="1">
                            <a:off x="21886" y="-2279651"/>
                            <a:ext cx="1" cy="405"/>
                          </a:xfrm>
                          <a:prstGeom prst="line">
                            <a:avLst/>
                          </a:prstGeom>
                          <a:ln w="19050" cap="rnd" cmpd="sng">
                            <a:solidFill>
                              <a:srgbClr val="000000"/>
                            </a:solidFill>
                            <a:prstDash val="sysDot"/>
                            <a:headEnd type="none" w="med" len="med"/>
                            <a:tailEnd type="triangle" w="med" len="med"/>
                          </a:ln>
                        </wps:spPr>
                        <wps:bodyPr/>
                      </wps:wsp>
                      <wps:wsp>
                        <wps:cNvPr id="198" name="文本框 92"/>
                        <wps:cNvSpPr txBox="1"/>
                        <wps:spPr>
                          <a:xfrm>
                            <a:off x="7146" y="720692"/>
                            <a:ext cx="1828"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4D5DEF">
                              <w:pPr>
                                <w:ind w:firstLine="480"/>
                                <w:jc w:val="center"/>
                              </w:pPr>
                              <w:r>
                                <w:rPr>
                                  <w:rFonts w:hint="eastAsia"/>
                                </w:rPr>
                                <w:t>聚乙烯颗粒料</w:t>
                              </w:r>
                            </w:p>
                          </w:txbxContent>
                        </wps:txbx>
                        <wps:bodyPr upright="1"/>
                      </wps:wsp>
                      <wps:wsp>
                        <wps:cNvPr id="199" name="文本框 93"/>
                        <wps:cNvSpPr txBox="1"/>
                        <wps:spPr>
                          <a:xfrm>
                            <a:off x="11133" y="719781"/>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34A6F7">
                              <w:pPr>
                                <w:ind w:firstLine="480"/>
                                <w:jc w:val="center"/>
                              </w:pPr>
                              <w:r>
                                <w:rPr>
                                  <w:rFonts w:hint="eastAsia"/>
                                </w:rPr>
                                <w:t>循环池</w:t>
                              </w:r>
                            </w:p>
                          </w:txbxContent>
                        </wps:txbx>
                        <wps:bodyPr upright="1"/>
                      </wps:wsp>
                      <wps:wsp>
                        <wps:cNvPr id="200" name="直接连接符 94"/>
                        <wps:cNvCnPr/>
                        <wps:spPr>
                          <a:xfrm>
                            <a:off x="21886" y="-2279246"/>
                            <a:ext cx="567" cy="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428.3pt;margin-top:1324.45pt;height:150040.55pt;width:765.35pt;z-index:251659264;mso-width-relative:page;mso-height-relative:page;" coordorigin="7146,-2279651" coordsize="15307,3000811" o:gfxdata="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I+ucW/gAAAAEAEAAA8AAAAAAAAAAQAgAAAAIgAAAGRycy9kb3ducmV2LnhtbFBLAQIUABQA&#10;AAAIAIdO4kDJQXzZBgUAAKYkAAAOAAAAAAAAAAEAIAAAAC8BAABkcnMvZTJvRG9jLnhtbFBLBQYA&#10;AAAABgAGAFkBAACnCAAAAAA=&#10;">
                <o:lock v:ext="edit" aspectratio="f"/>
                <v:shape id="文本框 79" o:spid="_x0000_s1026" o:spt="202" type="#_x0000_t202" style="position:absolute;left:12872;top:719796;height:468;width:1072;"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03C8155">
                        <w:pPr>
                          <w:ind w:firstLine="480"/>
                        </w:pPr>
                        <w:r>
                          <w:rPr>
                            <w:rFonts w:hint="eastAsia"/>
                          </w:rPr>
                          <w:t>边角料</w:t>
                        </w:r>
                      </w:p>
                    </w:txbxContent>
                  </v:textbox>
                </v:shape>
                <v:shape id="文本框 80" o:spid="_x0000_s1026" o:spt="202" type="#_x0000_t202" style="position:absolute;left:9496;top:720669;height:468;width:1141;" fillcolor="#FFFFFF" filled="t" stroked="t" coordsize="21600,21600" o:gfxdata="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mkD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B26878B">
                        <w:pPr>
                          <w:ind w:firstLine="480"/>
                          <w:jc w:val="center"/>
                        </w:pPr>
                        <w:r>
                          <w:rPr>
                            <w:rFonts w:hint="eastAsia"/>
                          </w:rPr>
                          <w:t>挤出</w:t>
                        </w:r>
                      </w:p>
                    </w:txbxContent>
                  </v:textbox>
                </v:shape>
                <v:line id="直接连接符 81" o:spid="_x0000_s1026" o:spt="20" style="position:absolute;left:21886;top:-2279246;height:1;width:567;"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2" o:spid="_x0000_s1026" o:spt="202" type="#_x0000_t202" style="position:absolute;left:11210;top:720690;height:468;width:1144;" fillcolor="#FFFFFF" filled="t" stroked="t" coordsize="21600,21600"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72EDD73">
                        <w:pPr>
                          <w:ind w:firstLine="480"/>
                          <w:jc w:val="center"/>
                        </w:pPr>
                        <w:r>
                          <w:rPr>
                            <w:rFonts w:hint="eastAsia"/>
                          </w:rPr>
                          <w:t>冷却</w:t>
                        </w:r>
                      </w:p>
                    </w:txbxContent>
                  </v:textbox>
                </v:shape>
                <v:line id="直接连接符 83" o:spid="_x0000_s1026" o:spt="20" style="position:absolute;left:21886;top:-2279246;height:0;width:454;" filled="f" stroked="t" coordsize="21600,21600" o:gfxdata="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Mk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84" o:spid="_x0000_s1026" o:spt="202" type="#_x0000_t202" style="position:absolute;left:12801;top:720669;height:468;width:1160;" fillcolor="#FFFFFF" filled="t" stroked="t" coordsize="21600,21600" o:gfxdata="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KiD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D8BBC89">
                        <w:pPr>
                          <w:ind w:firstLine="480"/>
                          <w:jc w:val="center"/>
                        </w:pPr>
                        <w:r>
                          <w:rPr>
                            <w:rFonts w:hint="eastAsia"/>
                          </w:rPr>
                          <w:t>定型</w:t>
                        </w:r>
                      </w:p>
                    </w:txbxContent>
                  </v:textbox>
                </v:shape>
                <v:line id="直接连接符 85" o:spid="_x0000_s1026" o:spt="20" style="position:absolute;left:21886;top:-2279651;flip:y;height:405;width:1;" filled="f" stroked="t" coordsize="21600,21600" o:gfxdata="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bM9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86" o:spid="_x0000_s1026" o:spt="202" type="#_x0000_t202" style="position:absolute;left:9211;top:719879;height:468;width:1815;" filled="f" stroked="f" coordsize="21600,21600" o:gfxdata="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atg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2F9E5BBD">
                        <w:pPr>
                          <w:ind w:firstLine="240" w:firstLineChars="100"/>
                        </w:pPr>
                        <w:r>
                          <w:rPr>
                            <w:rFonts w:hint="eastAsia"/>
                          </w:rPr>
                          <w:t>废气、噪声</w:t>
                        </w:r>
                      </w:p>
                    </w:txbxContent>
                  </v:textbox>
                </v:shape>
                <v:shape id="直接箭头连接符 87" o:spid="_x0000_s1026" o:spt="32" type="#_x0000_t32" style="position:absolute;left:21886;top:-2279246;height:432;width:0;" filled="f" stroked="t" coordsize="21600,21600" o:gfxdata="UEsDBAoAAAAAAIdO4kAAAAAAAAAAAAAAAAAEAAAAZHJzL1BLAwQUAAAACACHTuJA0qTC/7wAAADc&#10;AAAADwAAAGRycy9kb3ducmV2LnhtbEVPS2sCMRC+F/ofwgi91awWFl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kwv+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line id="直接连接符 88" o:spid="_x0000_s1026" o:spt="20" style="position:absolute;left:21886;top:-2279651;flip:y;height:405;width:1;" filled="f" stroked="t" coordsize="21600,21600" o:gfxdata="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i5hL4A&#10;AADcAAAADwAAAAAAAAABACAAAAAiAAAAZHJzL2Rvd25yZXYueG1sUEsBAhQAFAAAAAgAh07iQDMv&#10;BZ47AAAAOQAAABAAAAAAAAAAAQAgAAAADQEAAGRycy9zaGFwZXhtbC54bWxQSwUGAAAAAAYABgBb&#10;AQAAtwMAAAAA&#10;">
                  <v:fill on="f" focussize="0,0"/>
                  <v:stroke weight="1.5pt" color="#000000" joinstyle="round" dashstyle="1 1" endcap="round" endarrow="block"/>
                  <v:imagedata o:title=""/>
                  <o:lock v:ext="edit" aspectratio="f"/>
                </v:line>
                <v:line id="直接连接符 89" o:spid="_x0000_s1026" o:spt="20" style="position:absolute;left:21886;top:-2279246;height:0;width:454;" filled="f" stroked="t" coordsize="21600,21600" o:gfxdata="UEsDBAoAAAAAAIdO4kAAAAAAAAAAAAAAAAAEAAAAZHJzL1BLAwQUAAAACACHTuJAHsDIqb0AAADc&#10;AAAADwAAAGRycy9kb3ducmV2LnhtbEVPS2vCQBC+F/wPywi91U2Elh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Mi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90" o:spid="_x0000_s1026" o:spt="202" type="#_x0000_t202" style="position:absolute;left:14446;top:720669;height:468;width:1161;" fillcolor="#FFFFFF" filled="t" stroked="t" coordsize="21600,21600" o:gfxdata="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hk8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8436ABB">
                        <w:pPr>
                          <w:ind w:firstLine="480"/>
                          <w:jc w:val="center"/>
                        </w:pPr>
                        <w:r>
                          <w:rPr>
                            <w:rFonts w:hint="eastAsia"/>
                          </w:rPr>
                          <w:t>包装</w:t>
                        </w:r>
                      </w:p>
                    </w:txbxContent>
                  </v:textbox>
                </v:shape>
                <v:line id="直接连接符 91" o:spid="_x0000_s1026" o:spt="20" style="position:absolute;left:21886;top:-2279651;flip:y;height:405;width:1;" filled="f" stroked="t" coordsize="21600,21600" o:gfxdata="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on874A&#10;AADcAAAADwAAAAAAAAABACAAAAAiAAAAZHJzL2Rvd25yZXYueG1sUEsBAhQAFAAAAAgAh07iQDMv&#10;BZ47AAAAOQAAABAAAAAAAAAAAQAgAAAADQEAAGRycy9zaGFwZXhtbC54bWxQSwUGAAAAAAYABgBb&#10;AQAAtwMAAAAA&#10;">
                  <v:fill on="f" focussize="0,0"/>
                  <v:stroke weight="1.5pt" color="#000000" joinstyle="round" dashstyle="1 1" endcap="round" endarrow="block"/>
                  <v:imagedata o:title=""/>
                  <o:lock v:ext="edit" aspectratio="f"/>
                </v:line>
                <v:shape id="文本框 92" o:spid="_x0000_s1026" o:spt="202" type="#_x0000_t202" style="position:absolute;left:7146;top:720692;height:468;width:1828;" fillcolor="#FFFFFF" filled="t" stroked="t" coordsize="21600,21600" o:gfxdata="UEsDBAoAAAAAAIdO4kAAAAAAAAAAAAAAAAAEAAAAZHJzL1BLAwQUAAAACACHTuJAefKiKr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4VW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yoi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4D5DEF">
                        <w:pPr>
                          <w:ind w:firstLine="480"/>
                          <w:jc w:val="center"/>
                        </w:pPr>
                        <w:r>
                          <w:rPr>
                            <w:rFonts w:hint="eastAsia"/>
                          </w:rPr>
                          <w:t>聚乙烯颗粒料</w:t>
                        </w:r>
                      </w:p>
                    </w:txbxContent>
                  </v:textbox>
                </v:shape>
                <v:shape id="文本框 93" o:spid="_x0000_s1026" o:spt="202" type="#_x0000_t202" style="position:absolute;left:11133;top:719781;height:468;width:1440;" fillcolor="#FFFFFF" filled="t" stroked="t" coordsize="21600,21600" o:gfxdata="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B7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C34A6F7">
                        <w:pPr>
                          <w:ind w:firstLine="480"/>
                          <w:jc w:val="center"/>
                        </w:pPr>
                        <w:r>
                          <w:rPr>
                            <w:rFonts w:hint="eastAsia"/>
                          </w:rPr>
                          <w:t>循环池</w:t>
                        </w:r>
                      </w:p>
                    </w:txbxContent>
                  </v:textbox>
                </v:shape>
                <v:line id="直接连接符 94" o:spid="_x0000_s1026" o:spt="20" style="position:absolute;left:21886;top:-2279246;height:1;width:567;" filled="f" stroked="t" coordsize="21600,21600" o:gfxdata="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if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2CF6B826">
      <w:pPr>
        <w:pStyle w:val="4"/>
        <w:rPr>
          <w:rFonts w:ascii="Times New Roman" w:hAnsi="Times New Roman" w:eastAsia="宋体"/>
          <w:color w:val="auto"/>
          <w:highlight w:val="none"/>
        </w:rPr>
      </w:pPr>
      <w:bookmarkStart w:id="106" w:name="_Toc106663467"/>
      <w:bookmarkStart w:id="107" w:name="_Toc14719"/>
      <w:bookmarkStart w:id="108" w:name="_Toc89619334"/>
      <w:r>
        <w:rPr>
          <w:rFonts w:ascii="Times New Roman" w:hAnsi="Times New Roman" w:eastAsia="宋体"/>
          <w:color w:val="auto"/>
          <w:highlight w:val="none"/>
        </w:rPr>
        <w:t>3.2</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hint="eastAsia" w:ascii="Times New Roman" w:hAnsi="Times New Roman" w:eastAsia="宋体"/>
          <w:color w:val="auto"/>
          <w:highlight w:val="none"/>
        </w:rPr>
        <w:t>生产工艺流程</w:t>
      </w:r>
      <w:bookmarkEnd w:id="106"/>
      <w:bookmarkEnd w:id="107"/>
      <w:bookmarkEnd w:id="108"/>
    </w:p>
    <w:p w14:paraId="39598948">
      <w:pPr>
        <w:pStyle w:val="5"/>
        <w:rPr>
          <w:rFonts w:ascii="Times New Roman" w:hAnsi="Times New Roman" w:eastAsia="宋体"/>
          <w:color w:val="auto"/>
          <w:highlight w:val="none"/>
        </w:rPr>
      </w:pPr>
      <w:bookmarkStart w:id="109" w:name="_Toc106663468"/>
      <w:r>
        <w:rPr>
          <w:rFonts w:ascii="Times New Roman" w:hAnsi="Times New Roman" w:eastAsia="宋体"/>
          <w:color w:val="auto"/>
          <w:highlight w:val="none"/>
        </w:rPr>
        <w:t>3.2.1</w:t>
      </w:r>
      <w:r>
        <w:rPr>
          <w:rFonts w:hint="eastAsia" w:ascii="Times New Roman" w:hAnsi="Times New Roman" w:eastAsia="宋体"/>
          <w:color w:val="auto"/>
          <w:highlight w:val="none"/>
        </w:rPr>
        <w:t>施工期工艺流程及产污节点</w:t>
      </w:r>
      <w:bookmarkEnd w:id="109"/>
    </w:p>
    <w:p w14:paraId="546B62A9">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施工过程分为土方阶段（包括场地平整、开挖土石方）、基础施工阶段（包括打桩，构筑基础等）、主体工程阶段（包括钢筋、砖混结构施工、管线施工等）及装修阶段、场地清理（包括回填土石方、修路、清理场地等）。</w:t>
      </w:r>
    </w:p>
    <w:p w14:paraId="118621A1">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w:t>
      </w:r>
      <w:r>
        <w:rPr>
          <w:rFonts w:ascii="Times New Roman" w:hAnsi="Times New Roman" w:eastAsia="宋体"/>
          <w:color w:val="auto"/>
          <w:highlight w:val="none"/>
        </w:rPr>
        <w:t>施工期工艺流程及产污</w:t>
      </w:r>
      <w:r>
        <w:rPr>
          <w:rFonts w:hint="eastAsia" w:ascii="Times New Roman" w:hAnsi="Times New Roman" w:eastAsia="宋体"/>
          <w:color w:val="auto"/>
          <w:highlight w:val="none"/>
        </w:rPr>
        <w:t>环节图</w:t>
      </w:r>
      <w:r>
        <w:rPr>
          <w:rFonts w:ascii="Times New Roman" w:hAnsi="Times New Roman" w:eastAsia="宋体"/>
          <w:color w:val="auto"/>
          <w:highlight w:val="none"/>
        </w:rPr>
        <w:t>见图</w:t>
      </w:r>
      <w:r>
        <w:rPr>
          <w:rFonts w:hint="eastAsia" w:ascii="Times New Roman" w:hAnsi="Times New Roman" w:eastAsia="宋体"/>
          <w:color w:val="auto"/>
          <w:highlight w:val="none"/>
        </w:rPr>
        <w:t>3.2-1</w:t>
      </w:r>
      <w:r>
        <w:rPr>
          <w:rFonts w:ascii="Times New Roman" w:hAnsi="Times New Roman" w:eastAsia="宋体"/>
          <w:color w:val="auto"/>
          <w:highlight w:val="none"/>
        </w:rPr>
        <w:t>。</w:t>
      </w:r>
    </w:p>
    <w:p w14:paraId="33DD7109">
      <w:pPr>
        <w:topLinePunct/>
        <w:adjustRightInd w:val="0"/>
        <w:snapToGrid w:val="0"/>
        <w:spacing w:line="240" w:lineRule="auto"/>
        <w:ind w:firstLine="0" w:firstLineChars="0"/>
        <w:jc w:val="center"/>
        <w:rPr>
          <w:rFonts w:ascii="Times New Roman" w:hAnsi="Times New Roman" w:eastAsia="宋体"/>
          <w:snapToGrid w:val="0"/>
          <w:color w:val="auto"/>
          <w:sz w:val="28"/>
          <w:szCs w:val="28"/>
          <w:highlight w:val="none"/>
        </w:rPr>
      </w:pPr>
      <w:r>
        <w:rPr>
          <w:rFonts w:ascii="Times New Roman" w:hAnsi="Times New Roman" w:eastAsia="宋体"/>
          <w:color w:val="auto"/>
          <w:highlight w:val="none"/>
        </w:rPr>
        <mc:AlternateContent>
          <mc:Choice Requires="wpg">
            <w:drawing>
              <wp:anchor distT="0" distB="0" distL="114300" distR="114300" simplePos="0" relativeHeight="251660288" behindDoc="0" locked="0" layoutInCell="1" allowOverlap="1">
                <wp:simplePos x="0" y="0"/>
                <wp:positionH relativeFrom="column">
                  <wp:posOffset>344170</wp:posOffset>
                </wp:positionH>
                <wp:positionV relativeFrom="paragraph">
                  <wp:posOffset>26670</wp:posOffset>
                </wp:positionV>
                <wp:extent cx="4912995" cy="1814830"/>
                <wp:effectExtent l="0" t="0" r="20955" b="13970"/>
                <wp:wrapNone/>
                <wp:docPr id="299" name="组合 299"/>
                <wp:cNvGraphicFramePr/>
                <a:graphic xmlns:a="http://schemas.openxmlformats.org/drawingml/2006/main">
                  <a:graphicData uri="http://schemas.microsoft.com/office/word/2010/wordprocessingGroup">
                    <wpg:wgp>
                      <wpg:cNvGrpSpPr/>
                      <wpg:grpSpPr>
                        <a:xfrm>
                          <a:off x="0" y="0"/>
                          <a:ext cx="4912995" cy="1814830"/>
                          <a:chOff x="2061" y="3103"/>
                          <a:chExt cx="7737" cy="2858"/>
                        </a:xfrm>
                      </wpg:grpSpPr>
                      <wps:wsp>
                        <wps:cNvPr id="300" name="文本框 354"/>
                        <wps:cNvSpPr txBox="1">
                          <a:spLocks noChangeArrowheads="1"/>
                        </wps:cNvSpPr>
                        <wps:spPr bwMode="auto">
                          <a:xfrm>
                            <a:off x="4116" y="5663"/>
                            <a:ext cx="3420" cy="298"/>
                          </a:xfrm>
                          <a:prstGeom prst="rect">
                            <a:avLst/>
                          </a:prstGeom>
                          <a:solidFill>
                            <a:srgbClr val="FFFFFF"/>
                          </a:solidFill>
                          <a:ln w="9525" cmpd="sng">
                            <a:solidFill>
                              <a:srgbClr val="000000"/>
                            </a:solidFill>
                            <a:miter lim="800000"/>
                          </a:ln>
                        </wps:spPr>
                        <wps:txbx>
                          <w:txbxContent>
                            <w:p w14:paraId="6D89D779">
                              <w:pPr>
                                <w:spacing w:line="240" w:lineRule="auto"/>
                                <w:ind w:firstLine="0" w:firstLineChars="0"/>
                                <w:jc w:val="center"/>
                              </w:pPr>
                              <w:r>
                                <w:rPr>
                                  <w:rFonts w:hint="eastAsia"/>
                                </w:rPr>
                                <w:t>建筑垃圾、生活垃圾、生活废水</w:t>
                              </w:r>
                            </w:p>
                            <w:p w14:paraId="459D54A5">
                              <w:pPr>
                                <w:ind w:firstLine="480"/>
                              </w:pPr>
                            </w:p>
                          </w:txbxContent>
                        </wps:txbx>
                        <wps:bodyPr rot="0" vert="horz" wrap="square" lIns="18000" tIns="0" rIns="18000" bIns="0" anchor="t" anchorCtr="0" upright="1">
                          <a:noAutofit/>
                        </wps:bodyPr>
                      </wps:wsp>
                      <wps:wsp>
                        <wps:cNvPr id="301" name="文本框 355"/>
                        <wps:cNvSpPr txBox="1">
                          <a:spLocks noChangeArrowheads="1"/>
                        </wps:cNvSpPr>
                        <wps:spPr bwMode="auto">
                          <a:xfrm>
                            <a:off x="3471" y="4678"/>
                            <a:ext cx="1260" cy="312"/>
                          </a:xfrm>
                          <a:prstGeom prst="rect">
                            <a:avLst/>
                          </a:prstGeom>
                          <a:solidFill>
                            <a:srgbClr val="FFFFFF"/>
                          </a:solidFill>
                          <a:ln w="9525" cmpd="sng">
                            <a:solidFill>
                              <a:srgbClr val="000000"/>
                            </a:solidFill>
                            <a:miter lim="800000"/>
                          </a:ln>
                        </wps:spPr>
                        <wps:txbx>
                          <w:txbxContent>
                            <w:p w14:paraId="7724CD11">
                              <w:pPr>
                                <w:spacing w:line="240" w:lineRule="auto"/>
                                <w:ind w:firstLine="0" w:firstLineChars="0"/>
                                <w:jc w:val="center"/>
                              </w:pPr>
                              <w:r>
                                <w:rPr>
                                  <w:rFonts w:hint="eastAsia"/>
                                </w:rPr>
                                <w:t>土方开挖</w:t>
                              </w:r>
                            </w:p>
                          </w:txbxContent>
                        </wps:txbx>
                        <wps:bodyPr rot="0" vert="horz" wrap="square" lIns="18000" tIns="0" rIns="18000" bIns="0" anchor="t" anchorCtr="0" upright="1">
                          <a:noAutofit/>
                        </wps:bodyPr>
                      </wps:wsp>
                      <wps:wsp>
                        <wps:cNvPr id="302" name="文本框 356"/>
                        <wps:cNvSpPr txBox="1">
                          <a:spLocks noChangeArrowheads="1"/>
                        </wps:cNvSpPr>
                        <wps:spPr bwMode="auto">
                          <a:xfrm>
                            <a:off x="5436" y="4672"/>
                            <a:ext cx="1260" cy="298"/>
                          </a:xfrm>
                          <a:prstGeom prst="rect">
                            <a:avLst/>
                          </a:prstGeom>
                          <a:solidFill>
                            <a:srgbClr val="FFFFFF"/>
                          </a:solidFill>
                          <a:ln w="9525" cmpd="sng">
                            <a:solidFill>
                              <a:srgbClr val="000000"/>
                            </a:solidFill>
                            <a:miter lim="800000"/>
                          </a:ln>
                        </wps:spPr>
                        <wps:txbx>
                          <w:txbxContent>
                            <w:p w14:paraId="742F654C">
                              <w:pPr>
                                <w:spacing w:line="240" w:lineRule="auto"/>
                                <w:ind w:firstLine="0" w:firstLineChars="0"/>
                                <w:jc w:val="center"/>
                              </w:pPr>
                              <w:r>
                                <w:rPr>
                                  <w:rFonts w:hint="eastAsia"/>
                                </w:rPr>
                                <w:t>道路修筑</w:t>
                              </w:r>
                            </w:p>
                          </w:txbxContent>
                        </wps:txbx>
                        <wps:bodyPr rot="0" vert="horz" wrap="square" lIns="18000" tIns="0" rIns="18000" bIns="0" anchor="t" anchorCtr="0" upright="1">
                          <a:noAutofit/>
                        </wps:bodyPr>
                      </wps:wsp>
                      <wps:wsp>
                        <wps:cNvPr id="303" name="文本框 357"/>
                        <wps:cNvSpPr txBox="1">
                          <a:spLocks noChangeArrowheads="1"/>
                        </wps:cNvSpPr>
                        <wps:spPr bwMode="auto">
                          <a:xfrm>
                            <a:off x="7146" y="4687"/>
                            <a:ext cx="1260" cy="298"/>
                          </a:xfrm>
                          <a:prstGeom prst="rect">
                            <a:avLst/>
                          </a:prstGeom>
                          <a:solidFill>
                            <a:srgbClr val="FFFFFF"/>
                          </a:solidFill>
                          <a:ln w="9525" cmpd="sng">
                            <a:solidFill>
                              <a:srgbClr val="000000"/>
                            </a:solidFill>
                            <a:miter lim="800000"/>
                          </a:ln>
                        </wps:spPr>
                        <wps:txbx>
                          <w:txbxContent>
                            <w:p w14:paraId="2F054EC7">
                              <w:pPr>
                                <w:spacing w:line="240" w:lineRule="auto"/>
                                <w:ind w:firstLine="0" w:firstLineChars="0"/>
                                <w:jc w:val="center"/>
                              </w:pPr>
                              <w:r>
                                <w:rPr>
                                  <w:rFonts w:hint="eastAsia"/>
                                </w:rPr>
                                <w:t>房屋建筑</w:t>
                              </w:r>
                            </w:p>
                          </w:txbxContent>
                        </wps:txbx>
                        <wps:bodyPr rot="0" vert="horz" wrap="square" lIns="18000" tIns="0" rIns="18000" bIns="0" anchor="t" anchorCtr="0" upright="1">
                          <a:noAutofit/>
                        </wps:bodyPr>
                      </wps:wsp>
                      <wps:wsp>
                        <wps:cNvPr id="304" name="文本框 358"/>
                        <wps:cNvSpPr txBox="1">
                          <a:spLocks noChangeArrowheads="1"/>
                        </wps:cNvSpPr>
                        <wps:spPr bwMode="auto">
                          <a:xfrm>
                            <a:off x="8856" y="4702"/>
                            <a:ext cx="720" cy="296"/>
                          </a:xfrm>
                          <a:prstGeom prst="rect">
                            <a:avLst/>
                          </a:prstGeom>
                          <a:solidFill>
                            <a:srgbClr val="FFFFFF"/>
                          </a:solidFill>
                          <a:ln w="9525" cmpd="sng">
                            <a:solidFill>
                              <a:srgbClr val="000000"/>
                            </a:solidFill>
                            <a:miter lim="800000"/>
                          </a:ln>
                        </wps:spPr>
                        <wps:txbx>
                          <w:txbxContent>
                            <w:p w14:paraId="6EF08D0A">
                              <w:pPr>
                                <w:spacing w:line="240" w:lineRule="auto"/>
                                <w:ind w:firstLine="0" w:firstLineChars="0"/>
                                <w:jc w:val="center"/>
                              </w:pPr>
                              <w:r>
                                <w:rPr>
                                  <w:rFonts w:hint="eastAsia"/>
                                </w:rPr>
                                <w:t>装修</w:t>
                              </w:r>
                            </w:p>
                          </w:txbxContent>
                        </wps:txbx>
                        <wps:bodyPr rot="0" vert="horz" wrap="square" lIns="18000" tIns="0" rIns="18000" bIns="0" anchor="t" anchorCtr="0" upright="1">
                          <a:noAutofit/>
                        </wps:bodyPr>
                      </wps:wsp>
                      <wps:wsp>
                        <wps:cNvPr id="305" name="文本框 359"/>
                        <wps:cNvSpPr txBox="1">
                          <a:spLocks noChangeArrowheads="1"/>
                        </wps:cNvSpPr>
                        <wps:spPr bwMode="auto">
                          <a:xfrm>
                            <a:off x="2061" y="4672"/>
                            <a:ext cx="1080" cy="312"/>
                          </a:xfrm>
                          <a:prstGeom prst="rect">
                            <a:avLst/>
                          </a:prstGeom>
                          <a:solidFill>
                            <a:srgbClr val="FFFFFF"/>
                          </a:solidFill>
                          <a:ln w="9525" cmpd="sng">
                            <a:solidFill>
                              <a:srgbClr val="000000"/>
                            </a:solidFill>
                            <a:miter lim="800000"/>
                          </a:ln>
                        </wps:spPr>
                        <wps:txbx>
                          <w:txbxContent>
                            <w:p w14:paraId="62F3189F">
                              <w:pPr>
                                <w:spacing w:line="240" w:lineRule="auto"/>
                                <w:ind w:firstLine="0" w:firstLineChars="0"/>
                                <w:jc w:val="center"/>
                              </w:pPr>
                              <w:r>
                                <w:rPr>
                                  <w:rFonts w:hint="eastAsia"/>
                                </w:rPr>
                                <w:t>场地平整</w:t>
                              </w:r>
                            </w:p>
                          </w:txbxContent>
                        </wps:txbx>
                        <wps:bodyPr rot="0" vert="horz" wrap="square" lIns="18000" tIns="0" rIns="18000" bIns="0" anchor="t" anchorCtr="0" upright="1">
                          <a:noAutofit/>
                        </wps:bodyPr>
                      </wps:wsp>
                      <wps:wsp>
                        <wps:cNvPr id="306" name="文本框 360"/>
                        <wps:cNvSpPr txBox="1">
                          <a:spLocks noChangeArrowheads="1"/>
                        </wps:cNvSpPr>
                        <wps:spPr bwMode="auto">
                          <a:xfrm>
                            <a:off x="5109" y="3481"/>
                            <a:ext cx="960" cy="462"/>
                          </a:xfrm>
                          <a:prstGeom prst="rect">
                            <a:avLst/>
                          </a:prstGeom>
                          <a:solidFill>
                            <a:srgbClr val="FFFFFF"/>
                          </a:solidFill>
                          <a:ln w="9525" cmpd="sng">
                            <a:solidFill>
                              <a:srgbClr val="000000"/>
                            </a:solidFill>
                            <a:miter lim="800000"/>
                          </a:ln>
                        </wps:spPr>
                        <wps:txbx>
                          <w:txbxContent>
                            <w:p w14:paraId="7C7C53E6">
                              <w:pPr>
                                <w:spacing w:line="240" w:lineRule="auto"/>
                                <w:ind w:firstLine="0" w:firstLineChars="0"/>
                                <w:jc w:val="center"/>
                              </w:pPr>
                              <w:r>
                                <w:rPr>
                                  <w:rFonts w:hint="eastAsia"/>
                                </w:rPr>
                                <w:t>噪声</w:t>
                              </w:r>
                            </w:p>
                          </w:txbxContent>
                        </wps:txbx>
                        <wps:bodyPr rot="0" vert="horz" wrap="square" lIns="91440" tIns="45720" rIns="91440" bIns="45720" anchor="t" anchorCtr="0" upright="1">
                          <a:noAutofit/>
                        </wps:bodyPr>
                      </wps:wsp>
                      <wps:wsp>
                        <wps:cNvPr id="307" name="文本框 361"/>
                        <wps:cNvSpPr txBox="1">
                          <a:spLocks noChangeArrowheads="1"/>
                        </wps:cNvSpPr>
                        <wps:spPr bwMode="auto">
                          <a:xfrm>
                            <a:off x="2556" y="3475"/>
                            <a:ext cx="1080" cy="468"/>
                          </a:xfrm>
                          <a:prstGeom prst="rect">
                            <a:avLst/>
                          </a:prstGeom>
                          <a:solidFill>
                            <a:srgbClr val="FFFFFF"/>
                          </a:solidFill>
                          <a:ln w="9525" cmpd="sng">
                            <a:solidFill>
                              <a:srgbClr val="000000"/>
                            </a:solidFill>
                            <a:miter lim="800000"/>
                          </a:ln>
                        </wps:spPr>
                        <wps:txbx>
                          <w:txbxContent>
                            <w:p w14:paraId="6FB5F745">
                              <w:pPr>
                                <w:spacing w:line="240" w:lineRule="auto"/>
                                <w:ind w:firstLine="0" w:firstLineChars="0"/>
                                <w:jc w:val="center"/>
                              </w:pPr>
                              <w:r>
                                <w:rPr>
                                  <w:rFonts w:hint="eastAsia"/>
                                </w:rPr>
                                <w:t>扬尘</w:t>
                              </w:r>
                            </w:p>
                          </w:txbxContent>
                        </wps:txbx>
                        <wps:bodyPr rot="0" vert="horz" wrap="square" lIns="91440" tIns="45720" rIns="91440" bIns="45720" anchor="t" anchorCtr="0" upright="1">
                          <a:noAutofit/>
                        </wps:bodyPr>
                      </wps:wsp>
                      <wps:wsp>
                        <wps:cNvPr id="308" name="文本框 362"/>
                        <wps:cNvSpPr txBox="1">
                          <a:spLocks noChangeArrowheads="1"/>
                        </wps:cNvSpPr>
                        <wps:spPr bwMode="auto">
                          <a:xfrm>
                            <a:off x="7356" y="3481"/>
                            <a:ext cx="2442" cy="468"/>
                          </a:xfrm>
                          <a:prstGeom prst="rect">
                            <a:avLst/>
                          </a:prstGeom>
                          <a:solidFill>
                            <a:srgbClr val="FFFFFF"/>
                          </a:solidFill>
                          <a:ln w="9525" cmpd="sng">
                            <a:solidFill>
                              <a:srgbClr val="000000"/>
                            </a:solidFill>
                            <a:miter lim="800000"/>
                          </a:ln>
                        </wps:spPr>
                        <wps:txbx>
                          <w:txbxContent>
                            <w:p w14:paraId="2EF48A2F">
                              <w:pPr>
                                <w:spacing w:line="240" w:lineRule="auto"/>
                                <w:ind w:firstLine="0" w:firstLineChars="0"/>
                                <w:jc w:val="center"/>
                              </w:pPr>
                              <w:r>
                                <w:rPr>
                                  <w:rFonts w:hint="eastAsia"/>
                                </w:rPr>
                                <w:t>建筑材料堆放、运输</w:t>
                              </w:r>
                            </w:p>
                          </w:txbxContent>
                        </wps:txbx>
                        <wps:bodyPr rot="0" vert="horz" wrap="square" lIns="91440" tIns="45720" rIns="91440" bIns="45720" anchor="t" anchorCtr="0" upright="1">
                          <a:noAutofit/>
                        </wps:bodyPr>
                      </wps:wsp>
                      <wps:wsp>
                        <wps:cNvPr id="309" name="直线 363"/>
                        <wps:cNvCnPr>
                          <a:cxnSpLocks noChangeShapeType="1"/>
                        </wps:cNvCnPr>
                        <wps:spPr bwMode="auto">
                          <a:xfrm flipH="1">
                            <a:off x="5441" y="4968"/>
                            <a:ext cx="641" cy="693"/>
                          </a:xfrm>
                          <a:prstGeom prst="line">
                            <a:avLst/>
                          </a:prstGeom>
                          <a:noFill/>
                          <a:ln w="9525" cmpd="sng">
                            <a:solidFill>
                              <a:srgbClr val="000000"/>
                            </a:solidFill>
                            <a:prstDash val="dash"/>
                            <a:round/>
                            <a:tailEnd type="triangle" w="med" len="med"/>
                          </a:ln>
                        </wps:spPr>
                        <wps:bodyPr/>
                      </wps:wsp>
                      <wps:wsp>
                        <wps:cNvPr id="310" name="直线 364"/>
                        <wps:cNvCnPr>
                          <a:cxnSpLocks noChangeShapeType="1"/>
                        </wps:cNvCnPr>
                        <wps:spPr bwMode="auto">
                          <a:xfrm flipH="1">
                            <a:off x="5888" y="4985"/>
                            <a:ext cx="1780" cy="659"/>
                          </a:xfrm>
                          <a:prstGeom prst="line">
                            <a:avLst/>
                          </a:prstGeom>
                          <a:noFill/>
                          <a:ln w="9525" cmpd="sng">
                            <a:solidFill>
                              <a:srgbClr val="000000"/>
                            </a:solidFill>
                            <a:prstDash val="dash"/>
                            <a:round/>
                            <a:tailEnd type="triangle" w="med" len="med"/>
                          </a:ln>
                        </wps:spPr>
                        <wps:bodyPr/>
                      </wps:wsp>
                      <wps:wsp>
                        <wps:cNvPr id="311" name="直线 365"/>
                        <wps:cNvCnPr>
                          <a:cxnSpLocks noChangeShapeType="1"/>
                        </wps:cNvCnPr>
                        <wps:spPr bwMode="auto">
                          <a:xfrm flipH="1">
                            <a:off x="6458" y="5002"/>
                            <a:ext cx="2697" cy="644"/>
                          </a:xfrm>
                          <a:prstGeom prst="line">
                            <a:avLst/>
                          </a:prstGeom>
                          <a:noFill/>
                          <a:ln w="9525" cmpd="sng">
                            <a:solidFill>
                              <a:srgbClr val="000000"/>
                            </a:solidFill>
                            <a:prstDash val="dash"/>
                            <a:round/>
                            <a:tailEnd type="triangle" w="med" len="med"/>
                          </a:ln>
                        </wps:spPr>
                        <wps:bodyPr/>
                      </wps:wsp>
                      <wps:wsp>
                        <wps:cNvPr id="312" name="直线 366"/>
                        <wps:cNvCnPr>
                          <a:cxnSpLocks noChangeShapeType="1"/>
                        </wps:cNvCnPr>
                        <wps:spPr bwMode="auto">
                          <a:xfrm flipH="1" flipV="1">
                            <a:off x="3458" y="3958"/>
                            <a:ext cx="2579" cy="705"/>
                          </a:xfrm>
                          <a:prstGeom prst="line">
                            <a:avLst/>
                          </a:prstGeom>
                          <a:noFill/>
                          <a:ln w="9525" cmpd="sng">
                            <a:solidFill>
                              <a:srgbClr val="000000"/>
                            </a:solidFill>
                            <a:prstDash val="dash"/>
                            <a:round/>
                            <a:tailEnd type="triangle" w="med" len="med"/>
                          </a:ln>
                        </wps:spPr>
                        <wps:bodyPr/>
                      </wps:wsp>
                      <wps:wsp>
                        <wps:cNvPr id="313" name="直线 367"/>
                        <wps:cNvCnPr>
                          <a:cxnSpLocks noChangeShapeType="1"/>
                        </wps:cNvCnPr>
                        <wps:spPr bwMode="auto">
                          <a:xfrm>
                            <a:off x="4170" y="5005"/>
                            <a:ext cx="1082" cy="662"/>
                          </a:xfrm>
                          <a:prstGeom prst="line">
                            <a:avLst/>
                          </a:prstGeom>
                          <a:noFill/>
                          <a:ln w="9525" cmpd="sng">
                            <a:solidFill>
                              <a:srgbClr val="000000"/>
                            </a:solidFill>
                            <a:prstDash val="dash"/>
                            <a:round/>
                            <a:tailEnd type="triangle" w="med" len="med"/>
                          </a:ln>
                        </wps:spPr>
                        <wps:bodyPr/>
                      </wps:wsp>
                      <wps:wsp>
                        <wps:cNvPr id="314" name="直线 368"/>
                        <wps:cNvCnPr>
                          <a:cxnSpLocks noChangeShapeType="1"/>
                        </wps:cNvCnPr>
                        <wps:spPr bwMode="auto">
                          <a:xfrm flipV="1">
                            <a:off x="8511" y="3103"/>
                            <a:ext cx="2" cy="371"/>
                          </a:xfrm>
                          <a:prstGeom prst="line">
                            <a:avLst/>
                          </a:prstGeom>
                          <a:noFill/>
                          <a:ln w="9525" cmpd="sng">
                            <a:solidFill>
                              <a:srgbClr val="000000"/>
                            </a:solidFill>
                            <a:prstDash val="dash"/>
                            <a:round/>
                          </a:ln>
                        </wps:spPr>
                        <wps:bodyPr/>
                      </wps:wsp>
                      <wps:wsp>
                        <wps:cNvPr id="315" name="直线 369"/>
                        <wps:cNvCnPr>
                          <a:cxnSpLocks noChangeShapeType="1"/>
                        </wps:cNvCnPr>
                        <wps:spPr bwMode="auto">
                          <a:xfrm>
                            <a:off x="7944" y="3959"/>
                            <a:ext cx="1" cy="735"/>
                          </a:xfrm>
                          <a:prstGeom prst="line">
                            <a:avLst/>
                          </a:prstGeom>
                          <a:noFill/>
                          <a:ln w="9525" cmpd="sng">
                            <a:solidFill>
                              <a:srgbClr val="000000"/>
                            </a:solidFill>
                            <a:round/>
                            <a:tailEnd type="triangle" w="med" len="med"/>
                          </a:ln>
                        </wps:spPr>
                        <wps:bodyPr/>
                      </wps:wsp>
                      <wps:wsp>
                        <wps:cNvPr id="316" name="直线 370"/>
                        <wps:cNvCnPr>
                          <a:cxnSpLocks noChangeShapeType="1"/>
                        </wps:cNvCnPr>
                        <wps:spPr bwMode="auto">
                          <a:xfrm flipH="1" flipV="1">
                            <a:off x="5975" y="3943"/>
                            <a:ext cx="3135" cy="750"/>
                          </a:xfrm>
                          <a:prstGeom prst="line">
                            <a:avLst/>
                          </a:prstGeom>
                          <a:noFill/>
                          <a:ln w="9525" cmpd="sng">
                            <a:solidFill>
                              <a:srgbClr val="000000"/>
                            </a:solidFill>
                            <a:prstDash val="dash"/>
                            <a:round/>
                            <a:tailEnd type="triangle" w="med" len="med"/>
                          </a:ln>
                        </wps:spPr>
                        <wps:bodyPr/>
                      </wps:wsp>
                      <wps:wsp>
                        <wps:cNvPr id="317" name="直线 371"/>
                        <wps:cNvCnPr>
                          <a:cxnSpLocks noChangeShapeType="1"/>
                        </wps:cNvCnPr>
                        <wps:spPr bwMode="auto">
                          <a:xfrm flipH="1" flipV="1">
                            <a:off x="5753" y="3958"/>
                            <a:ext cx="1755" cy="734"/>
                          </a:xfrm>
                          <a:prstGeom prst="line">
                            <a:avLst/>
                          </a:prstGeom>
                          <a:noFill/>
                          <a:ln w="9525" cmpd="sng">
                            <a:solidFill>
                              <a:srgbClr val="000000"/>
                            </a:solidFill>
                            <a:prstDash val="dash"/>
                            <a:round/>
                            <a:tailEnd type="triangle" w="med" len="med"/>
                          </a:ln>
                        </wps:spPr>
                        <wps:bodyPr/>
                      </wps:wsp>
                      <wps:wsp>
                        <wps:cNvPr id="318" name="直线 372"/>
                        <wps:cNvCnPr>
                          <a:cxnSpLocks noChangeShapeType="1"/>
                        </wps:cNvCnPr>
                        <wps:spPr bwMode="auto">
                          <a:xfrm flipH="1" flipV="1">
                            <a:off x="5454" y="3937"/>
                            <a:ext cx="617" cy="726"/>
                          </a:xfrm>
                          <a:prstGeom prst="line">
                            <a:avLst/>
                          </a:prstGeom>
                          <a:noFill/>
                          <a:ln w="9525" cmpd="sng">
                            <a:solidFill>
                              <a:srgbClr val="000000"/>
                            </a:solidFill>
                            <a:prstDash val="dash"/>
                            <a:round/>
                            <a:tailEnd type="triangle" w="med" len="med"/>
                          </a:ln>
                        </wps:spPr>
                        <wps:bodyPr/>
                      </wps:wsp>
                      <wps:wsp>
                        <wps:cNvPr id="319" name="直线 373"/>
                        <wps:cNvCnPr>
                          <a:cxnSpLocks noChangeShapeType="1"/>
                        </wps:cNvCnPr>
                        <wps:spPr bwMode="auto">
                          <a:xfrm flipH="1" flipV="1">
                            <a:off x="3023" y="3958"/>
                            <a:ext cx="1229" cy="720"/>
                          </a:xfrm>
                          <a:prstGeom prst="line">
                            <a:avLst/>
                          </a:prstGeom>
                          <a:noFill/>
                          <a:ln w="9525" cmpd="sng">
                            <a:solidFill>
                              <a:srgbClr val="000000"/>
                            </a:solidFill>
                            <a:prstDash val="dash"/>
                            <a:round/>
                            <a:tailEnd type="triangle" w="med" len="med"/>
                          </a:ln>
                        </wps:spPr>
                        <wps:bodyPr/>
                      </wps:wsp>
                      <wps:wsp>
                        <wps:cNvPr id="320" name="直线 374"/>
                        <wps:cNvCnPr>
                          <a:cxnSpLocks noChangeShapeType="1"/>
                        </wps:cNvCnPr>
                        <wps:spPr bwMode="auto">
                          <a:xfrm flipV="1">
                            <a:off x="2601" y="3943"/>
                            <a:ext cx="2702" cy="729"/>
                          </a:xfrm>
                          <a:prstGeom prst="line">
                            <a:avLst/>
                          </a:prstGeom>
                          <a:noFill/>
                          <a:ln w="9525" cmpd="sng">
                            <a:solidFill>
                              <a:srgbClr val="000000"/>
                            </a:solidFill>
                            <a:prstDash val="dash"/>
                            <a:round/>
                            <a:tailEnd type="triangle" w="med" len="med"/>
                          </a:ln>
                        </wps:spPr>
                        <wps:bodyPr/>
                      </wps:wsp>
                      <wps:wsp>
                        <wps:cNvPr id="321" name="直线 375"/>
                        <wps:cNvCnPr>
                          <a:cxnSpLocks noChangeShapeType="1"/>
                        </wps:cNvCnPr>
                        <wps:spPr bwMode="auto">
                          <a:xfrm>
                            <a:off x="2497" y="4985"/>
                            <a:ext cx="2386" cy="658"/>
                          </a:xfrm>
                          <a:prstGeom prst="line">
                            <a:avLst/>
                          </a:prstGeom>
                          <a:noFill/>
                          <a:ln w="9525" cmpd="sng">
                            <a:solidFill>
                              <a:srgbClr val="000000"/>
                            </a:solidFill>
                            <a:prstDash val="dash"/>
                            <a:round/>
                            <a:tailEnd type="triangle" w="med" len="med"/>
                          </a:ln>
                        </wps:spPr>
                        <wps:bodyPr/>
                      </wps:wsp>
                      <wps:wsp>
                        <wps:cNvPr id="322" name="直线 376"/>
                        <wps:cNvCnPr>
                          <a:cxnSpLocks noChangeShapeType="1"/>
                        </wps:cNvCnPr>
                        <wps:spPr bwMode="auto">
                          <a:xfrm>
                            <a:off x="3111" y="3103"/>
                            <a:ext cx="5400" cy="1"/>
                          </a:xfrm>
                          <a:prstGeom prst="line">
                            <a:avLst/>
                          </a:prstGeom>
                          <a:noFill/>
                          <a:ln w="9525" cmpd="sng">
                            <a:solidFill>
                              <a:srgbClr val="000000"/>
                            </a:solidFill>
                            <a:prstDash val="dash"/>
                            <a:round/>
                          </a:ln>
                        </wps:spPr>
                        <wps:bodyPr/>
                      </wps:wsp>
                      <wps:wsp>
                        <wps:cNvPr id="323" name="直线 377"/>
                        <wps:cNvCnPr>
                          <a:cxnSpLocks noChangeShapeType="1"/>
                        </wps:cNvCnPr>
                        <wps:spPr bwMode="auto">
                          <a:xfrm>
                            <a:off x="3096" y="3103"/>
                            <a:ext cx="2" cy="360"/>
                          </a:xfrm>
                          <a:prstGeom prst="line">
                            <a:avLst/>
                          </a:prstGeom>
                          <a:noFill/>
                          <a:ln w="9525" cmpd="sng">
                            <a:solidFill>
                              <a:srgbClr val="000000"/>
                            </a:solidFill>
                            <a:prstDash val="dash"/>
                            <a:round/>
                            <a:tailEnd type="triangle" w="med" len="med"/>
                          </a:ln>
                        </wps:spPr>
                        <wps:bodyPr/>
                      </wps:wsp>
                      <wps:wsp>
                        <wps:cNvPr id="324" name="直线 378"/>
                        <wps:cNvCnPr>
                          <a:cxnSpLocks noChangeShapeType="1"/>
                        </wps:cNvCnPr>
                        <wps:spPr bwMode="auto">
                          <a:xfrm flipV="1">
                            <a:off x="2679" y="3912"/>
                            <a:ext cx="43" cy="766"/>
                          </a:xfrm>
                          <a:prstGeom prst="line">
                            <a:avLst/>
                          </a:prstGeom>
                          <a:noFill/>
                          <a:ln w="9525" cmpd="sng">
                            <a:solidFill>
                              <a:srgbClr val="000000"/>
                            </a:solidFill>
                            <a:prstDash val="dash"/>
                            <a:round/>
                            <a:tailEnd type="triangle" w="med" len="med"/>
                          </a:ln>
                        </wps:spPr>
                        <wps:bodyPr/>
                      </wps:wsp>
                      <wps:wsp>
                        <wps:cNvPr id="325" name="直线 379"/>
                        <wps:cNvCnPr>
                          <a:cxnSpLocks noChangeShapeType="1"/>
                        </wps:cNvCnPr>
                        <wps:spPr bwMode="auto">
                          <a:xfrm flipH="1" flipV="1">
                            <a:off x="6098" y="3719"/>
                            <a:ext cx="1258" cy="3"/>
                          </a:xfrm>
                          <a:prstGeom prst="line">
                            <a:avLst/>
                          </a:prstGeom>
                          <a:noFill/>
                          <a:ln w="9525" cmpd="sng">
                            <a:solidFill>
                              <a:srgbClr val="000000"/>
                            </a:solidFill>
                            <a:prstDash val="dash"/>
                            <a:round/>
                            <a:tailEnd type="triangle" w="med" len="med"/>
                          </a:ln>
                        </wps:spPr>
                        <wps:bodyPr/>
                      </wps:wsp>
                      <wps:wsp>
                        <wps:cNvPr id="326" name="直线 380"/>
                        <wps:cNvCnPr>
                          <a:cxnSpLocks noChangeShapeType="1"/>
                        </wps:cNvCnPr>
                        <wps:spPr bwMode="auto">
                          <a:xfrm flipV="1">
                            <a:off x="4230" y="3924"/>
                            <a:ext cx="1200" cy="726"/>
                          </a:xfrm>
                          <a:prstGeom prst="line">
                            <a:avLst/>
                          </a:prstGeom>
                          <a:noFill/>
                          <a:ln w="9525" cmpd="sng">
                            <a:solidFill>
                              <a:srgbClr val="000000"/>
                            </a:solidFill>
                            <a:prstDash val="dash"/>
                            <a:round/>
                            <a:tailEnd type="triangle" w="med" len="med"/>
                          </a:ln>
                        </wps:spPr>
                        <wps:bodyPr/>
                      </wps:wsp>
                    </wpg:wgp>
                  </a:graphicData>
                </a:graphic>
              </wp:anchor>
            </w:drawing>
          </mc:Choice>
          <mc:Fallback>
            <w:pict>
              <v:group id="_x0000_s1026" o:spid="_x0000_s1026" o:spt="203" style="position:absolute;left:0pt;margin-left:27.1pt;margin-top:2.1pt;height:142.9pt;width:386.85pt;z-index:251660288;mso-width-relative:page;mso-height-relative:page;" coordorigin="2061,3103" coordsize="7737,2858" o:gfxdata="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">
                <o:lock v:ext="edit" aspectratio="f"/>
                <v:shape id="文本框 354" o:spid="_x0000_s1026" o:spt="202" type="#_x0000_t202" style="position:absolute;left:4116;top:5663;height:298;width:3420;" fillcolor="#FFFFFF" filled="t" stroked="t" coordsize="21600,21600" o:gfxdata="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VcC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5mm,0mm,0.5mm,0mm">
                    <w:txbxContent>
                      <w:p w14:paraId="6D89D779">
                        <w:pPr>
                          <w:spacing w:line="240" w:lineRule="auto"/>
                          <w:ind w:firstLine="0" w:firstLineChars="0"/>
                          <w:jc w:val="center"/>
                        </w:pPr>
                        <w:r>
                          <w:rPr>
                            <w:rFonts w:hint="eastAsia"/>
                          </w:rPr>
                          <w:t>建筑垃圾、生活垃圾、生活废水</w:t>
                        </w:r>
                      </w:p>
                      <w:p w14:paraId="459D54A5">
                        <w:pPr>
                          <w:ind w:firstLine="480"/>
                        </w:pPr>
                      </w:p>
                    </w:txbxContent>
                  </v:textbox>
                </v:shape>
                <v:shape id="文本框 355" o:spid="_x0000_s1026" o:spt="202" type="#_x0000_t202" style="position:absolute;left:3471;top:4678;height:312;width:1260;" fillcolor="#FFFFFF" filled="t" stroked="t" coordsize="21600,21600" o:gfxdata="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n5k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mm,0.5mm,0mm">
                    <w:txbxContent>
                      <w:p w14:paraId="7724CD11">
                        <w:pPr>
                          <w:spacing w:line="240" w:lineRule="auto"/>
                          <w:ind w:firstLine="0" w:firstLineChars="0"/>
                          <w:jc w:val="center"/>
                        </w:pPr>
                        <w:r>
                          <w:rPr>
                            <w:rFonts w:hint="eastAsia"/>
                          </w:rPr>
                          <w:t>土方开挖</w:t>
                        </w:r>
                      </w:p>
                    </w:txbxContent>
                  </v:textbox>
                </v:shape>
                <v:shape id="文本框 356" o:spid="_x0000_s1026" o:spt="202" type="#_x0000_t202" style="position:absolute;left:5436;top:4672;height:298;width:1260;" fillcolor="#FFFFFF" filled="t" stroked="t" coordsize="21600,21600" o:gfxdata="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tn5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mm,0.5mm,0mm">
                    <w:txbxContent>
                      <w:p w14:paraId="742F654C">
                        <w:pPr>
                          <w:spacing w:line="240" w:lineRule="auto"/>
                          <w:ind w:firstLine="0" w:firstLineChars="0"/>
                          <w:jc w:val="center"/>
                        </w:pPr>
                        <w:r>
                          <w:rPr>
                            <w:rFonts w:hint="eastAsia"/>
                          </w:rPr>
                          <w:t>道路修筑</w:t>
                        </w:r>
                      </w:p>
                    </w:txbxContent>
                  </v:textbox>
                </v:shape>
                <v:shape id="文本框 357" o:spid="_x0000_s1026" o:spt="202" type="#_x0000_t202" style="position:absolute;left:7146;top:4687;height:298;width:1260;" fillcolor="#FFFFFF" filled="t" stroked="t" coordsize="21600,21600" o:gfxdata="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fCf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mm,0.5mm,0mm">
                    <w:txbxContent>
                      <w:p w14:paraId="2F054EC7">
                        <w:pPr>
                          <w:spacing w:line="240" w:lineRule="auto"/>
                          <w:ind w:firstLine="0" w:firstLineChars="0"/>
                          <w:jc w:val="center"/>
                        </w:pPr>
                        <w:r>
                          <w:rPr>
                            <w:rFonts w:hint="eastAsia"/>
                          </w:rPr>
                          <w:t>房屋建筑</w:t>
                        </w:r>
                      </w:p>
                    </w:txbxContent>
                  </v:textbox>
                </v:shape>
                <v:shape id="文本框 358" o:spid="_x0000_s1026" o:spt="202" type="#_x0000_t202" style="position:absolute;left:8856;top:4702;height:296;width:720;" fillcolor="#FFFFFF" filled="t" stroked="t" coordsize="21600,21600" o:gfxdata="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Wgq/&#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5mm,0mm,0.5mm,0mm">
                    <w:txbxContent>
                      <w:p w14:paraId="6EF08D0A">
                        <w:pPr>
                          <w:spacing w:line="240" w:lineRule="auto"/>
                          <w:ind w:firstLine="0" w:firstLineChars="0"/>
                          <w:jc w:val="center"/>
                        </w:pPr>
                        <w:r>
                          <w:rPr>
                            <w:rFonts w:hint="eastAsia"/>
                          </w:rPr>
                          <w:t>装修</w:t>
                        </w:r>
                      </w:p>
                    </w:txbxContent>
                  </v:textbox>
                </v:shape>
                <v:shape id="文本框 359" o:spid="_x0000_s1026" o:spt="202" type="#_x0000_t202" style="position:absolute;left:2061;top:4672;height:312;width:1080;" fillcolor="#FFFFFF" filled="t" stroked="t" coordsize="21600,21600" o:gfxdata="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L/k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5mm,0mm,0.5mm,0mm">
                    <w:txbxContent>
                      <w:p w14:paraId="62F3189F">
                        <w:pPr>
                          <w:spacing w:line="240" w:lineRule="auto"/>
                          <w:ind w:firstLine="0" w:firstLineChars="0"/>
                          <w:jc w:val="center"/>
                        </w:pPr>
                        <w:r>
                          <w:rPr>
                            <w:rFonts w:hint="eastAsia"/>
                          </w:rPr>
                          <w:t>场地平整</w:t>
                        </w:r>
                      </w:p>
                    </w:txbxContent>
                  </v:textbox>
                </v:shape>
                <v:shape id="文本框 360" o:spid="_x0000_s1026" o:spt="202" type="#_x0000_t202" style="position:absolute;left:5109;top:3481;height:462;width:960;" fillcolor="#FFFFFF" filled="t" stroked="t" coordsize="21600,21600" o:gfxdata="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9op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7C7C53E6">
                        <w:pPr>
                          <w:spacing w:line="240" w:lineRule="auto"/>
                          <w:ind w:firstLine="0" w:firstLineChars="0"/>
                          <w:jc w:val="center"/>
                        </w:pPr>
                        <w:r>
                          <w:rPr>
                            <w:rFonts w:hint="eastAsia"/>
                          </w:rPr>
                          <w:t>噪声</w:t>
                        </w:r>
                      </w:p>
                    </w:txbxContent>
                  </v:textbox>
                </v:shape>
                <v:shape id="文本框 361" o:spid="_x0000_s1026" o:spt="202" type="#_x0000_t202" style="position:absolute;left:2556;top:3475;height:468;width:1080;" fillcolor="#FFFFFF" filled="t" stroked="t" coordsize="21600,21600" o:gfxdata="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PNP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FB5F745">
                        <w:pPr>
                          <w:spacing w:line="240" w:lineRule="auto"/>
                          <w:ind w:firstLine="0" w:firstLineChars="0"/>
                          <w:jc w:val="center"/>
                        </w:pPr>
                        <w:r>
                          <w:rPr>
                            <w:rFonts w:hint="eastAsia"/>
                          </w:rPr>
                          <w:t>扬尘</w:t>
                        </w:r>
                      </w:p>
                    </w:txbxContent>
                  </v:textbox>
                </v:shape>
                <v:shape id="文本框 362" o:spid="_x0000_s1026" o:spt="202" type="#_x0000_t202" style="position:absolute;left:7356;top:3481;height:468;width:2442;" fillcolor="#FFFFFF" filled="t" stroked="t" coordsize="21600,21600" o:gfxdata="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xZT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2EF48A2F">
                        <w:pPr>
                          <w:spacing w:line="240" w:lineRule="auto"/>
                          <w:ind w:firstLine="0" w:firstLineChars="0"/>
                          <w:jc w:val="center"/>
                        </w:pPr>
                        <w:r>
                          <w:rPr>
                            <w:rFonts w:hint="eastAsia"/>
                          </w:rPr>
                          <w:t>建筑材料堆放、运输</w:t>
                        </w:r>
                      </w:p>
                    </w:txbxContent>
                  </v:textbox>
                </v:shape>
                <v:line id="直线 363" o:spid="_x0000_s1026" o:spt="20" style="position:absolute;left:5441;top:4968;flip:x;height:693;width:641;" filled="f" stroked="t" coordsize="21600,21600" o:gfxdata="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oCb6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直线 364" o:spid="_x0000_s1026" o:spt="20" style="position:absolute;left:5888;top:4985;flip:x;height:659;width:1780;" filled="f" stroked="t" coordsize="21600,21600" o:gfxdata="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Us2/rgAAADc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line id="直线 365" o:spid="_x0000_s1026" o:spt="20" style="position:absolute;left:6458;top:5002;flip:x;height:644;width:2697;" filled="f" stroked="t" coordsize="21600,21600" o:gfxdata="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B5Nl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66" o:spid="_x0000_s1026" o:spt="20" style="position:absolute;left:3458;top:3958;flip:x y;height:705;width:2579;" filled="f" stroked="t" coordsize="21600,21600" o:gfxdata="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5F/V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67" o:spid="_x0000_s1026" o:spt="20" style="position:absolute;left:4170;top:5005;height:662;width:1082;" filled="f" stroked="t" coordsize="21600,21600" o:gfxdata="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g/Kd&#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直线 368" o:spid="_x0000_s1026" o:spt="20" style="position:absolute;left:8511;top:3103;flip:y;height:371;width:2;" filled="f" stroked="t" coordsize="21600,21600" o:gfxdata="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oVxL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line id="直线 369" o:spid="_x0000_s1026" o:spt="20" style="position:absolute;left:7944;top:3959;height:735;width:1;" filled="f" stroked="t" coordsize="21600,21600" o:gfxdata="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16U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70" o:spid="_x0000_s1026" o:spt="20" style="position:absolute;left:5975;top:3943;flip:x y;height:750;width:3135;" filled="f" stroked="t" coordsize="21600,21600" o:gfxdata="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31nW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71" o:spid="_x0000_s1026" o:spt="20" style="position:absolute;left:5753;top:3958;flip:x y;height:734;width:1755;" filled="f" stroked="t" coordsize="21600,21600" o:gfxdata="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k/xN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72" o:spid="_x0000_s1026" o:spt="20" style="position:absolute;left:5454;top:3937;flip:x y;height:726;width:617;" filled="f" stroked="t" coordsize="21600,21600" o:gfxdata="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MaD+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line id="直线 373" o:spid="_x0000_s1026" o:spt="20" style="position:absolute;left:3023;top:3958;flip:x y;height:720;width:1229;" filled="f" stroked="t" coordsize="21600,21600" o:gfxdata="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M2k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74" o:spid="_x0000_s1026" o:spt="20" style="position:absolute;left:2601;top:3943;flip:y;height:729;width:2702;" filled="f" stroked="t" coordsize="21600,21600" o:gfxdata="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yf8Q7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line id="直线 375" o:spid="_x0000_s1026" o:spt="20" style="position:absolute;left:2497;top:4985;height:658;width:2386;" filled="f" stroked="t" coordsize="21600,21600" o:gfxdata="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HED&#10;zM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直线 376" o:spid="_x0000_s1026" o:spt="20" style="position:absolute;left:3111;top:3103;height:1;width:5400;" filled="f" stroked="t" coordsize="21600,21600" o:gfxdata="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h89b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直线 377" o:spid="_x0000_s1026" o:spt="20" style="position:absolute;left:3096;top:3103;height:360;width:2;" filled="f" stroked="t" coordsize="21600,21600" o:gfxdata="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84&#10;IM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直线 378" o:spid="_x0000_s1026" o:spt="20" style="position:absolute;left:2679;top:3912;flip:y;height:766;width:43;" filled="f" stroked="t" coordsize="21600,21600" o:gfxdata="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HPpA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line id="直线 379" o:spid="_x0000_s1026" o:spt="20" style="position:absolute;left:6098;top:3719;flip:x y;height:3;width:1258;" filled="f" stroked="t" coordsize="21600,21600" o:gfxdata="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Q0c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380" o:spid="_x0000_s1026" o:spt="20" style="position:absolute;left:4230;top:3924;flip:y;height:726;width:1200;" filled="f" stroked="t" coordsize="21600,21600" o:gfxdata="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gsGs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group>
            </w:pict>
          </mc:Fallback>
        </mc:AlternateContent>
      </w:r>
    </w:p>
    <w:p w14:paraId="6F205442">
      <w:pPr>
        <w:adjustRightInd w:val="0"/>
        <w:snapToGrid w:val="0"/>
        <w:spacing w:line="240" w:lineRule="auto"/>
        <w:ind w:firstLine="0" w:firstLineChars="0"/>
        <w:jc w:val="center"/>
        <w:rPr>
          <w:rFonts w:ascii="Times New Roman" w:hAnsi="Times New Roman" w:eastAsia="宋体"/>
          <w:b/>
          <w:bCs/>
          <w:color w:val="auto"/>
          <w:highlight w:val="none"/>
        </w:rPr>
      </w:pPr>
    </w:p>
    <w:p w14:paraId="4320B90E">
      <w:pPr>
        <w:adjustRightInd w:val="0"/>
        <w:snapToGrid w:val="0"/>
        <w:ind w:firstLine="482"/>
        <w:jc w:val="center"/>
        <w:rPr>
          <w:rFonts w:ascii="Times New Roman" w:hAnsi="Times New Roman" w:eastAsia="宋体"/>
          <w:b/>
          <w:bCs/>
          <w:color w:val="auto"/>
          <w:highlight w:val="none"/>
        </w:rPr>
      </w:pPr>
    </w:p>
    <w:p w14:paraId="0458374A">
      <w:pPr>
        <w:adjustRightInd w:val="0"/>
        <w:snapToGrid w:val="0"/>
        <w:ind w:firstLine="482"/>
        <w:jc w:val="center"/>
        <w:rPr>
          <w:rFonts w:ascii="Times New Roman" w:hAnsi="Times New Roman" w:eastAsia="宋体"/>
          <w:b/>
          <w:bCs/>
          <w:color w:val="auto"/>
          <w:highlight w:val="none"/>
        </w:rPr>
      </w:pPr>
    </w:p>
    <w:p w14:paraId="14025012">
      <w:pPr>
        <w:adjustRightInd w:val="0"/>
        <w:snapToGrid w:val="0"/>
        <w:ind w:firstLine="482"/>
        <w:jc w:val="center"/>
        <w:rPr>
          <w:rFonts w:ascii="Times New Roman" w:hAnsi="Times New Roman" w:eastAsia="宋体"/>
          <w:b/>
          <w:bCs/>
          <w:color w:val="auto"/>
          <w:highlight w:val="none"/>
        </w:rPr>
      </w:pPr>
    </w:p>
    <w:p w14:paraId="73084349">
      <w:pPr>
        <w:adjustRightInd w:val="0"/>
        <w:snapToGrid w:val="0"/>
        <w:ind w:firstLine="482"/>
        <w:jc w:val="center"/>
        <w:rPr>
          <w:rFonts w:ascii="Times New Roman" w:hAnsi="Times New Roman" w:eastAsia="宋体"/>
          <w:b/>
          <w:bCs/>
          <w:color w:val="auto"/>
          <w:highlight w:val="none"/>
        </w:rPr>
      </w:pPr>
    </w:p>
    <w:p w14:paraId="44C2B778">
      <w:pPr>
        <w:adjustRightInd w:val="0"/>
        <w:snapToGrid w:val="0"/>
        <w:ind w:firstLine="482"/>
        <w:jc w:val="center"/>
        <w:rPr>
          <w:rFonts w:ascii="Times New Roman" w:hAnsi="Times New Roman" w:eastAsia="宋体"/>
          <w:b/>
          <w:bCs/>
          <w:color w:val="auto"/>
          <w:highlight w:val="none"/>
        </w:rPr>
      </w:pPr>
    </w:p>
    <w:p w14:paraId="290CD909">
      <w:pPr>
        <w:spacing w:line="240" w:lineRule="auto"/>
        <w:ind w:firstLine="0" w:firstLineChars="0"/>
        <w:jc w:val="center"/>
        <w:rPr>
          <w:rFonts w:ascii="Times New Roman" w:hAnsi="Times New Roman" w:eastAsia="宋体"/>
          <w:color w:val="auto"/>
          <w:highlight w:val="none"/>
        </w:rPr>
      </w:pPr>
    </w:p>
    <w:p w14:paraId="3A1A7085">
      <w:pPr>
        <w:pStyle w:val="10"/>
        <w:rPr>
          <w:rFonts w:ascii="Times New Roman" w:hAnsi="Times New Roman" w:eastAsia="宋体"/>
          <w:color w:val="auto"/>
          <w:highlight w:val="none"/>
        </w:rPr>
      </w:pPr>
      <w:r>
        <w:rPr>
          <w:rFonts w:hint="eastAsia" w:ascii="Times New Roman" w:hAnsi="Times New Roman" w:eastAsia="宋体"/>
          <w:color w:val="auto"/>
          <w:highlight w:val="none"/>
        </w:rPr>
        <w:t>图3.2-1施工期工艺流程及产污环节图</w:t>
      </w:r>
    </w:p>
    <w:p w14:paraId="76D77F4F">
      <w:pPr>
        <w:pStyle w:val="5"/>
        <w:rPr>
          <w:rFonts w:ascii="Times New Roman" w:hAnsi="Times New Roman" w:eastAsia="宋体"/>
          <w:color w:val="auto"/>
          <w:highlight w:val="none"/>
        </w:rPr>
      </w:pPr>
      <w:bookmarkStart w:id="110" w:name="_Toc106663469"/>
      <w:r>
        <w:rPr>
          <w:rFonts w:hint="eastAsia" w:ascii="Times New Roman" w:hAnsi="Times New Roman" w:eastAsia="宋体"/>
          <w:color w:val="auto"/>
          <w:highlight w:val="none"/>
        </w:rPr>
        <w:t>3.2.2运营期工艺流程及产污节点</w:t>
      </w:r>
      <w:bookmarkEnd w:id="110"/>
    </w:p>
    <w:p w14:paraId="3437F41C">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3.2.2.1养殖工艺流程及产污环节图</w:t>
      </w:r>
    </w:p>
    <w:p w14:paraId="1E5CEF50">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1</w:t>
      </w:r>
      <w:r>
        <w:rPr>
          <w:rFonts w:ascii="Times New Roman" w:hAnsi="Times New Roman" w:eastAsia="宋体" w:cs="宋体"/>
          <w:color w:val="auto"/>
          <w:spacing w:val="0"/>
          <w:position w:val="0"/>
          <w:sz w:val="24"/>
          <w:szCs w:val="24"/>
          <w:highlight w:val="none"/>
        </w:rPr>
        <w:t>、养殖工艺</w:t>
      </w:r>
    </w:p>
    <w:p w14:paraId="3DDF6E9C">
      <w:pPr>
        <w:keepNext w:val="0"/>
        <w:keepLines w:val="0"/>
        <w:pageBreakBefore w:val="0"/>
        <w:widowControl w:val="0"/>
        <w:kinsoku/>
        <w:wordWrap/>
        <w:overflowPunct/>
        <w:topLinePunct w:val="0"/>
        <w:autoSpaceDE/>
        <w:autoSpaceDN/>
        <w:bidi w:val="0"/>
        <w:adjustRightInd/>
        <w:snapToGrid/>
        <w:spacing w:line="480" w:lineRule="exact"/>
        <w:ind w:left="0" w:right="0" w:firstLine="482"/>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选用规模化的养殖工艺和技术，采用全封闭式管理，鸡舍设置自动通风降温系统、喂料系统、供水系统、电控及电力系统等，鸡舍内温度、湿度、换气、饮水、上料全部采用自动化，鸡舍鸡粪采用自动清粪系统自动清理；项目养殖饲料外购成品饲料，不建设饲料加工车间。同时，在饲养区进口设有消毒设施，进场人员先进入消毒间消毒后再进入饲养区，饲养区设有围墙，隔绝与外界往来，内设清洁道和污道。清洁道为运输饲料人员的流动路线，污道专用于运出粪便及废弃物的流动路线。此外，养殖办公区还设置专职兽医，负责防疫、治疗、检疫等工作。</w:t>
      </w:r>
    </w:p>
    <w:p w14:paraId="02DAE99F">
      <w:pPr>
        <w:keepNext w:val="0"/>
        <w:keepLines w:val="0"/>
        <w:pageBreakBefore w:val="0"/>
        <w:widowControl w:val="0"/>
        <w:tabs>
          <w:tab w:val="left" w:pos="165"/>
        </w:tabs>
        <w:kinsoku/>
        <w:wordWrap/>
        <w:overflowPunct/>
        <w:topLinePunct w:val="0"/>
        <w:autoSpaceDE/>
        <w:autoSpaceDN/>
        <w:bidi w:val="0"/>
        <w:adjustRightInd/>
        <w:snapToGrid/>
        <w:spacing w:line="480" w:lineRule="exact"/>
        <w:ind w:left="0" w:right="0" w:firstLine="484"/>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项目从专业孵化公司购进良种雏鸡在育雏育成舍内进行笼养，所引进的蛋鸡苗具有体质健壮，抗病力强，觅食力强，蛋质好，产蛋率高等特点。雏鸡育成期采用全密闭遮黑式鸡舍，人工控制光照，饲养过程中根据周龄将鸡群分为育雏区和育成区饲养，有利于人工控制体重和均匀度；根据免疫程序在育雏育成期通过加药器有计划的为鸡群添加抗生素和营养药物，保证了鸡群的健康生长。同时为了使小鸡舍保持平均</w:t>
      </w:r>
      <w:r>
        <w:rPr>
          <w:rFonts w:ascii="Times New Roman" w:hAnsi="Times New Roman" w:eastAsia="宋体" w:cs="Times New Roman"/>
          <w:color w:val="auto"/>
          <w:spacing w:val="0"/>
          <w:position w:val="0"/>
          <w:sz w:val="24"/>
          <w:szCs w:val="24"/>
          <w:highlight w:val="none"/>
        </w:rPr>
        <w:t>37-38</w:t>
      </w:r>
      <w:r>
        <w:rPr>
          <w:rFonts w:ascii="Times New Roman" w:hAnsi="Times New Roman" w:eastAsia="宋体" w:cs="宋体"/>
          <w:color w:val="auto"/>
          <w:spacing w:val="0"/>
          <w:position w:val="0"/>
          <w:sz w:val="24"/>
          <w:szCs w:val="24"/>
          <w:highlight w:val="none"/>
        </w:rPr>
        <w:t>℃左右的室温，采用电采暖为其供暖，引进的蛋鸡苗为同一日龄，平均重量</w:t>
      </w:r>
      <w:r>
        <w:rPr>
          <w:rFonts w:ascii="Times New Roman" w:hAnsi="Times New Roman" w:eastAsia="宋体" w:cs="Times New Roman"/>
          <w:color w:val="auto"/>
          <w:spacing w:val="0"/>
          <w:position w:val="0"/>
          <w:sz w:val="24"/>
          <w:szCs w:val="24"/>
          <w:highlight w:val="none"/>
        </w:rPr>
        <w:t>50</w:t>
      </w:r>
      <w:r>
        <w:rPr>
          <w:rFonts w:ascii="Times New Roman" w:hAnsi="Times New Roman" w:eastAsia="宋体" w:cs="宋体"/>
          <w:color w:val="auto"/>
          <w:spacing w:val="0"/>
          <w:position w:val="0"/>
          <w:sz w:val="24"/>
          <w:szCs w:val="24"/>
          <w:highlight w:val="none"/>
        </w:rPr>
        <w:t>克</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只，</w:t>
      </w:r>
      <w:r>
        <w:rPr>
          <w:rFonts w:ascii="Times New Roman" w:hAnsi="Times New Roman" w:eastAsia="宋体" w:cs="Times New Roman"/>
          <w:color w:val="auto"/>
          <w:spacing w:val="0"/>
          <w:position w:val="0"/>
          <w:sz w:val="24"/>
          <w:szCs w:val="24"/>
          <w:highlight w:val="none"/>
        </w:rPr>
        <w:t>0-6</w:t>
      </w:r>
      <w:r>
        <w:rPr>
          <w:rFonts w:ascii="Times New Roman" w:hAnsi="Times New Roman" w:eastAsia="宋体" w:cs="宋体"/>
          <w:color w:val="auto"/>
          <w:spacing w:val="0"/>
          <w:position w:val="0"/>
          <w:sz w:val="24"/>
          <w:szCs w:val="24"/>
          <w:highlight w:val="none"/>
        </w:rPr>
        <w:t>周</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42</w:t>
      </w:r>
      <w:r>
        <w:rPr>
          <w:rFonts w:ascii="Times New Roman" w:hAnsi="Times New Roman" w:eastAsia="宋体" w:cs="宋体"/>
          <w:color w:val="auto"/>
          <w:spacing w:val="0"/>
          <w:position w:val="0"/>
          <w:sz w:val="24"/>
          <w:szCs w:val="24"/>
          <w:highlight w:val="none"/>
        </w:rPr>
        <w:t>天</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在育雏舍进行养殖，</w:t>
      </w:r>
      <w:r>
        <w:rPr>
          <w:rFonts w:ascii="Times New Roman" w:hAnsi="Times New Roman" w:eastAsia="宋体" w:cs="Times New Roman"/>
          <w:color w:val="auto"/>
          <w:spacing w:val="0"/>
          <w:position w:val="0"/>
          <w:sz w:val="24"/>
          <w:szCs w:val="24"/>
          <w:highlight w:val="none"/>
        </w:rPr>
        <w:t>7</w:t>
      </w:r>
      <w:r>
        <w:rPr>
          <w:rFonts w:ascii="Times New Roman" w:hAnsi="Times New Roman" w:eastAsia="宋体" w:cs="宋体"/>
          <w:color w:val="auto"/>
          <w:spacing w:val="0"/>
          <w:position w:val="0"/>
          <w:sz w:val="24"/>
          <w:szCs w:val="24"/>
          <w:highlight w:val="none"/>
        </w:rPr>
        <w:t>周</w:t>
      </w:r>
      <w:r>
        <w:rPr>
          <w:rFonts w:ascii="Times New Roman" w:hAnsi="Times New Roman" w:eastAsia="宋体" w:cs="Times New Roman"/>
          <w:color w:val="auto"/>
          <w:spacing w:val="0"/>
          <w:position w:val="0"/>
          <w:sz w:val="24"/>
          <w:szCs w:val="24"/>
          <w:highlight w:val="none"/>
        </w:rPr>
        <w:t>-16</w:t>
      </w:r>
      <w:r>
        <w:rPr>
          <w:rFonts w:ascii="Times New Roman" w:hAnsi="Times New Roman" w:eastAsia="宋体" w:cs="宋体"/>
          <w:color w:val="auto"/>
          <w:spacing w:val="0"/>
          <w:position w:val="0"/>
          <w:sz w:val="24"/>
          <w:szCs w:val="24"/>
          <w:highlight w:val="none"/>
        </w:rPr>
        <w:t>周</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70</w:t>
      </w:r>
      <w:r>
        <w:rPr>
          <w:rFonts w:ascii="Times New Roman" w:hAnsi="Times New Roman" w:eastAsia="宋体" w:cs="宋体"/>
          <w:color w:val="auto"/>
          <w:spacing w:val="0"/>
          <w:position w:val="0"/>
          <w:sz w:val="24"/>
          <w:szCs w:val="24"/>
          <w:highlight w:val="none"/>
        </w:rPr>
        <w:t>天</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转至育成舍进行养殖，饲养</w:t>
      </w:r>
      <w:r>
        <w:rPr>
          <w:rFonts w:ascii="Times New Roman" w:hAnsi="Times New Roman" w:eastAsia="宋体" w:cs="Times New Roman"/>
          <w:color w:val="auto"/>
          <w:spacing w:val="0"/>
          <w:position w:val="0"/>
          <w:sz w:val="24"/>
          <w:szCs w:val="24"/>
          <w:highlight w:val="none"/>
        </w:rPr>
        <w:t>16</w:t>
      </w:r>
      <w:r>
        <w:rPr>
          <w:rFonts w:ascii="Times New Roman" w:hAnsi="Times New Roman" w:eastAsia="宋体" w:cs="宋体"/>
          <w:color w:val="auto"/>
          <w:spacing w:val="0"/>
          <w:position w:val="0"/>
          <w:sz w:val="24"/>
          <w:szCs w:val="24"/>
          <w:highlight w:val="none"/>
        </w:rPr>
        <w:t>周左右外售给头工乡蛋鸡产业园。</w:t>
      </w:r>
    </w:p>
    <w:p w14:paraId="21B27547">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喂料和饮水方式：饲料均购买成品饲料，使用链条式自动喂料机将饲料推送到鸡舍内。喂料采用自动喂料行车，保证料槽内一直有饲料。鸡饮水采用乳头式饮水器，既保持一直供水，又不使水受到污染和洒泼。</w:t>
      </w:r>
    </w:p>
    <w:p w14:paraId="611DA009">
      <w:pPr>
        <w:keepNext w:val="0"/>
        <w:keepLines w:val="0"/>
        <w:pageBreakBefore w:val="0"/>
        <w:widowControl w:val="0"/>
        <w:kinsoku/>
        <w:wordWrap/>
        <w:overflowPunct/>
        <w:topLinePunct w:val="0"/>
        <w:autoSpaceDE/>
        <w:autoSpaceDN/>
        <w:bidi w:val="0"/>
        <w:adjustRightInd/>
        <w:snapToGrid/>
        <w:spacing w:line="480" w:lineRule="exact"/>
        <w:ind w:left="0" w:right="0" w:firstLine="476"/>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清粪方式：项目采用干清粪工艺，每栋鸡舍均配套自动清粪系统，每排鸡舍下设有传送带，每排鸡的粪便全部落在传送带上。鸡粪日产日清，传送带每天运行一次。传送带运行时鸡粪由刮粪板自动刮入运粪车辆，定期外售作有机肥。</w:t>
      </w:r>
    </w:p>
    <w:p w14:paraId="23ECEC3F">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鸡舍消毒、清洗：养殖场每月进行一次全场大消毒；此外，在育雏、育成结束后外售给头工乡蛋鸡产业园，对育雏、育成舍要进行彻底清扫，并使用高压水枪对地面、鸡笼进行清洗，然后对育雏育成舍地面、墙壁、鸡笼等进行消毒，空置一段时间后再重新接纳新一批鸡苗。</w:t>
      </w:r>
    </w:p>
    <w:p w14:paraId="1308A611">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hint="default" w:ascii="Times New Roman" w:hAnsi="Times New Roman" w:eastAsia="宋体" w:cs="宋体"/>
          <w:color w:val="auto"/>
          <w:spacing w:val="0"/>
          <w:position w:val="0"/>
          <w:sz w:val="24"/>
          <w:szCs w:val="24"/>
          <w:highlight w:val="none"/>
          <w:lang w:val="en-US" w:eastAsia="zh-CN"/>
        </w:rPr>
      </w:pPr>
      <w:r>
        <w:rPr>
          <w:rFonts w:ascii="Times New Roman" w:hAnsi="Times New Roman" w:eastAsia="宋体" w:cs="宋体"/>
          <w:color w:val="auto"/>
          <w:spacing w:val="0"/>
          <w:position w:val="0"/>
          <w:sz w:val="24"/>
          <w:szCs w:val="24"/>
          <w:highlight w:val="none"/>
        </w:rPr>
        <w:t>在育雏育成舍养殖过程中，会产生恶臭</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G1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、鸡粪</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S1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等污染物，另外育雏育成舍每次冲洗鸡舍时，会产生冲洗废水</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W1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，产生的冲洗废水排入到污水处理站内。同时，在育雏育成舍养殖的过程中，将会出现病死鸡</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S2</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。根据建设单位提供资料，项目从雏鸡</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蛋鸡直至淘汰的养殖周期内，病死率约为年存栏量的</w:t>
      </w:r>
      <w:r>
        <w:rPr>
          <w:rFonts w:ascii="Times New Roman" w:hAnsi="Times New Roman" w:eastAsia="宋体" w:cs="Times New Roman"/>
          <w:color w:val="auto"/>
          <w:spacing w:val="0"/>
          <w:position w:val="0"/>
          <w:sz w:val="24"/>
          <w:szCs w:val="24"/>
          <w:highlight w:val="none"/>
        </w:rPr>
        <w:t>1%</w:t>
      </w:r>
      <w:r>
        <w:rPr>
          <w:rFonts w:ascii="Times New Roman" w:hAnsi="Times New Roman" w:eastAsia="宋体" w:cs="宋体"/>
          <w:color w:val="auto"/>
          <w:spacing w:val="0"/>
          <w:position w:val="0"/>
          <w:sz w:val="24"/>
          <w:szCs w:val="24"/>
          <w:highlight w:val="none"/>
        </w:rPr>
        <w:t>。</w:t>
      </w:r>
      <w:r>
        <w:rPr>
          <w:rFonts w:hint="eastAsia" w:cs="宋体"/>
          <w:color w:val="auto"/>
          <w:spacing w:val="0"/>
          <w:position w:val="0"/>
          <w:sz w:val="24"/>
          <w:szCs w:val="24"/>
          <w:highlight w:val="none"/>
          <w:lang w:val="en-US" w:eastAsia="zh-CN"/>
        </w:rPr>
        <w:t>工艺流程及产污节点见图3.2-2。</w:t>
      </w:r>
    </w:p>
    <w:p w14:paraId="10D521B0">
      <w:pPr>
        <w:keepNext w:val="0"/>
        <w:keepLines w:val="0"/>
        <w:pageBreakBefore w:val="0"/>
        <w:widowControl w:val="0"/>
        <w:kinsoku/>
        <w:wordWrap/>
        <w:overflowPunct/>
        <w:topLinePunct w:val="0"/>
        <w:autoSpaceDE/>
        <w:autoSpaceDN/>
        <w:bidi w:val="0"/>
        <w:adjustRightInd/>
        <w:snapToGrid/>
        <w:spacing w:line="480" w:lineRule="exact"/>
        <w:ind w:left="0" w:right="0"/>
        <w:jc w:val="center"/>
        <w:textAlignment w:val="auto"/>
        <w:rPr>
          <w:rFonts w:ascii="Times New Roman" w:hAnsi="Times New Roman" w:eastAsia="宋体" w:cs="Times New Roman"/>
          <w:color w:val="auto"/>
          <w:spacing w:val="0"/>
          <w:position w:val="0"/>
          <w:sz w:val="24"/>
          <w:szCs w:val="24"/>
          <w:highlight w:val="none"/>
        </w:rPr>
      </w:pPr>
      <w:r>
        <w:rPr>
          <w:rFonts w:hint="eastAsia" w:ascii="Times New Roman" w:hAnsi="Times New Roman" w:eastAsia="宋体"/>
          <w:b/>
          <w:bCs/>
          <w:color w:val="auto"/>
          <w:highlight w:val="none"/>
        </w:rPr>
        <w:t>图3.2-</w:t>
      </w:r>
      <w:r>
        <w:rPr>
          <w:rFonts w:hint="eastAsia"/>
          <w:b/>
          <w:bCs/>
          <w:color w:val="auto"/>
          <w:highlight w:val="none"/>
          <w:lang w:val="en-US" w:eastAsia="zh-CN"/>
        </w:rPr>
        <w:t>2运营期</w:t>
      </w:r>
      <w:r>
        <w:rPr>
          <w:rFonts w:hint="eastAsia" w:ascii="Times New Roman" w:hAnsi="Times New Roman" w:eastAsia="宋体"/>
          <w:b/>
          <w:bCs/>
          <w:color w:val="auto"/>
          <w:highlight w:val="none"/>
        </w:rPr>
        <w:t>工艺流程及产污环节图</w:t>
      </w:r>
      <w:r>
        <w:rPr>
          <w:rFonts w:hint="eastAsia" w:ascii="Times New Roman" w:hAnsi="Times New Roman" w:eastAsia="宋体" w:cs="Times New Roman"/>
          <w:color w:val="auto"/>
          <w:spacing w:val="0"/>
          <w:position w:val="0"/>
          <w:sz w:val="24"/>
          <w:szCs w:val="24"/>
          <w:highlight w:val="none"/>
          <w:lang w:eastAsia="zh-CN"/>
        </w:rPr>
        <w:drawing>
          <wp:anchor distT="0" distB="0" distL="114300" distR="114300" simplePos="0" relativeHeight="251745280" behindDoc="0" locked="0" layoutInCell="1" allowOverlap="1">
            <wp:simplePos x="0" y="0"/>
            <wp:positionH relativeFrom="column">
              <wp:posOffset>85725</wp:posOffset>
            </wp:positionH>
            <wp:positionV relativeFrom="paragraph">
              <wp:posOffset>66675</wp:posOffset>
            </wp:positionV>
            <wp:extent cx="5269865" cy="4296410"/>
            <wp:effectExtent l="0" t="0" r="6985" b="8890"/>
            <wp:wrapTopAndBottom/>
            <wp:docPr id="34" name="图片 34" descr="9c4a5e39d1fc5b6c1d92e9afaae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c4a5e39d1fc5b6c1d92e9afaae1519"/>
                    <pic:cNvPicPr>
                      <a:picLocks noChangeAspect="1"/>
                    </pic:cNvPicPr>
                  </pic:nvPicPr>
                  <pic:blipFill>
                    <a:blip r:embed="rId36"/>
                    <a:stretch>
                      <a:fillRect/>
                    </a:stretch>
                  </pic:blipFill>
                  <pic:spPr>
                    <a:xfrm>
                      <a:off x="0" y="0"/>
                      <a:ext cx="5269865" cy="4296410"/>
                    </a:xfrm>
                    <a:prstGeom prst="rect">
                      <a:avLst/>
                    </a:prstGeom>
                  </pic:spPr>
                </pic:pic>
              </a:graphicData>
            </a:graphic>
          </wp:anchor>
        </w:drawing>
      </w:r>
    </w:p>
    <w:p w14:paraId="541ED7E5">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2</w:t>
      </w:r>
      <w:r>
        <w:rPr>
          <w:rFonts w:ascii="Times New Roman" w:hAnsi="Times New Roman" w:eastAsia="宋体" w:cs="宋体"/>
          <w:color w:val="auto"/>
          <w:spacing w:val="0"/>
          <w:position w:val="0"/>
          <w:sz w:val="24"/>
          <w:szCs w:val="24"/>
          <w:highlight w:val="none"/>
        </w:rPr>
        <w:t>、鸡粪的处理</w:t>
      </w:r>
    </w:p>
    <w:p w14:paraId="0B628672">
      <w:pPr>
        <w:keepNext w:val="0"/>
        <w:keepLines w:val="0"/>
        <w:pageBreakBefore w:val="0"/>
        <w:widowControl w:val="0"/>
        <w:kinsoku/>
        <w:wordWrap/>
        <w:overflowPunct/>
        <w:topLinePunct w:val="0"/>
        <w:autoSpaceDE/>
        <w:autoSpaceDN/>
        <w:bidi w:val="0"/>
        <w:adjustRightInd/>
        <w:snapToGrid/>
        <w:spacing w:line="480" w:lineRule="exact"/>
        <w:ind w:left="0" w:right="0" w:firstLine="458"/>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该养殖场饲养过程产生的鸡粪采用自动清粪系统清理</w:t>
      </w:r>
      <w:r>
        <w:rPr>
          <w:rFonts w:hint="eastAsia"/>
          <w:color w:val="auto"/>
          <w:highlight w:val="none"/>
          <w:lang w:val="en-US" w:eastAsia="zh-CN"/>
        </w:rPr>
        <w:t>外售</w:t>
      </w:r>
      <w:r>
        <w:rPr>
          <w:rFonts w:ascii="Times New Roman" w:hAnsi="Times New Roman" w:eastAsia="宋体"/>
          <w:color w:val="auto"/>
          <w:highlight w:val="none"/>
        </w:rPr>
        <w:t>有机肥生产公司作为有机肥生产的原料</w:t>
      </w:r>
      <w:r>
        <w:rPr>
          <w:rFonts w:ascii="Times New Roman" w:hAnsi="Times New Roman" w:eastAsia="宋体" w:cs="宋体"/>
          <w:color w:val="auto"/>
          <w:spacing w:val="0"/>
          <w:position w:val="0"/>
          <w:sz w:val="24"/>
          <w:szCs w:val="24"/>
          <w:highlight w:val="none"/>
        </w:rPr>
        <w:t>。</w:t>
      </w:r>
    </w:p>
    <w:p w14:paraId="3EFE22EC">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3</w:t>
      </w:r>
      <w:r>
        <w:rPr>
          <w:rFonts w:ascii="Times New Roman" w:hAnsi="Times New Roman" w:eastAsia="宋体" w:cs="宋体"/>
          <w:color w:val="auto"/>
          <w:spacing w:val="0"/>
          <w:position w:val="0"/>
          <w:sz w:val="24"/>
          <w:szCs w:val="24"/>
          <w:highlight w:val="none"/>
        </w:rPr>
        <w:t>、废水的处理</w:t>
      </w:r>
    </w:p>
    <w:p w14:paraId="4BF116B2">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生活污水直接排入下水管网，最终进入玛纳斯县城污水处理厂；鸡舍冲洗废水排入鸡舍冲洗废水排入</w:t>
      </w:r>
      <w:r>
        <w:rPr>
          <w:rFonts w:hint="eastAsia" w:ascii="Times New Roman" w:hAnsi="Times New Roman" w:eastAsia="宋体" w:cs="宋体"/>
          <w:color w:val="auto"/>
          <w:spacing w:val="0"/>
          <w:position w:val="0"/>
          <w:sz w:val="24"/>
          <w:szCs w:val="24"/>
          <w:highlight w:val="none"/>
          <w:lang w:val="en-US" w:eastAsia="zh-CN"/>
        </w:rPr>
        <w:t>废水收集池（150m</w:t>
      </w:r>
      <w:r>
        <w:rPr>
          <w:rFonts w:hint="eastAsia" w:ascii="Times New Roman" w:hAnsi="Times New Roman" w:eastAsia="宋体" w:cs="宋体"/>
          <w:color w:val="auto"/>
          <w:spacing w:val="0"/>
          <w:position w:val="0"/>
          <w:sz w:val="24"/>
          <w:szCs w:val="24"/>
          <w:highlight w:val="none"/>
          <w:vertAlign w:val="superscript"/>
          <w:lang w:val="en-US" w:eastAsia="zh-CN"/>
        </w:rPr>
        <w:t>3</w:t>
      </w:r>
      <w:r>
        <w:rPr>
          <w:rFonts w:hint="eastAsia" w:ascii="Times New Roman" w:hAnsi="Times New Roman" w:eastAsia="宋体" w:cs="宋体"/>
          <w:color w:val="auto"/>
          <w:spacing w:val="0"/>
          <w:position w:val="0"/>
          <w:sz w:val="24"/>
          <w:szCs w:val="24"/>
          <w:highlight w:val="none"/>
          <w:lang w:val="en-US" w:eastAsia="zh-CN"/>
        </w:rPr>
        <w:t>）经过预处理后用作农肥。</w:t>
      </w:r>
    </w:p>
    <w:p w14:paraId="26B51BA7">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4</w:t>
      </w:r>
      <w:r>
        <w:rPr>
          <w:rFonts w:ascii="Times New Roman" w:hAnsi="Times New Roman" w:eastAsia="宋体" w:cs="宋体"/>
          <w:color w:val="auto"/>
          <w:spacing w:val="0"/>
          <w:position w:val="0"/>
          <w:sz w:val="24"/>
          <w:szCs w:val="24"/>
          <w:highlight w:val="none"/>
        </w:rPr>
        <w:t>、病死鸡的处理</w:t>
      </w:r>
    </w:p>
    <w:p w14:paraId="063D6B23">
      <w:pPr>
        <w:keepNext w:val="0"/>
        <w:keepLines w:val="0"/>
        <w:pageBreakBefore w:val="0"/>
        <w:widowControl w:val="0"/>
        <w:kinsoku/>
        <w:wordWrap/>
        <w:overflowPunct/>
        <w:topLinePunct w:val="0"/>
        <w:autoSpaceDE/>
        <w:autoSpaceDN/>
        <w:bidi w:val="0"/>
        <w:adjustRightInd/>
        <w:snapToGrid/>
        <w:spacing w:line="480" w:lineRule="exact"/>
        <w:ind w:left="0" w:right="0" w:firstLine="479"/>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根据《病死及病害动物无害化处理技术规范》</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农医发</w:t>
      </w:r>
      <w:r>
        <w:rPr>
          <w:rFonts w:ascii="Times New Roman" w:hAnsi="Times New Roman" w:eastAsia="宋体" w:cs="Times New Roman"/>
          <w:color w:val="auto"/>
          <w:spacing w:val="0"/>
          <w:position w:val="0"/>
          <w:sz w:val="24"/>
          <w:szCs w:val="24"/>
          <w:highlight w:val="none"/>
        </w:rPr>
        <w:t>[2017]25</w:t>
      </w:r>
      <w:r>
        <w:rPr>
          <w:rFonts w:ascii="Times New Roman" w:hAnsi="Times New Roman" w:eastAsia="宋体" w:cs="宋体"/>
          <w:color w:val="auto"/>
          <w:spacing w:val="0"/>
          <w:position w:val="0"/>
          <w:sz w:val="24"/>
          <w:szCs w:val="24"/>
          <w:highlight w:val="none"/>
        </w:rPr>
        <w:t>号</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畜禽无害化处理，是指用物理、化学等方法处理病死及病害动物和相关动物产品，消灭其所携带的病原体，消除危害的过程。主要有焚烧法、化制法、高温法、深埋法、硫酸分解法等，本项目拟采用深埋法处理病死鸡尸体。</w:t>
      </w:r>
    </w:p>
    <w:p w14:paraId="075957B5">
      <w:pPr>
        <w:keepNext w:val="0"/>
        <w:keepLines w:val="0"/>
        <w:pageBreakBefore w:val="0"/>
        <w:widowControl w:val="0"/>
        <w:kinsoku/>
        <w:wordWrap/>
        <w:overflowPunct/>
        <w:topLinePunct w:val="0"/>
        <w:autoSpaceDE/>
        <w:autoSpaceDN/>
        <w:bidi w:val="0"/>
        <w:adjustRightInd/>
        <w:snapToGrid/>
        <w:spacing w:line="480" w:lineRule="exact"/>
        <w:ind w:left="0" w:right="0" w:firstLine="465"/>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本项目深埋井仅限处理本项目产生的病死鸡，不得处理外单位病死牲畜尸体。当发生区域性疫情时应按照当地政府和主管部门的要求进行处理，不得在厂内私自处理病死尸。</w:t>
      </w:r>
    </w:p>
    <w:p w14:paraId="50A690B4">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position w:val="0"/>
          <w:sz w:val="24"/>
          <w:highlight w:val="none"/>
        </w:rPr>
      </w:pPr>
      <w:r>
        <w:rPr>
          <w:rFonts w:ascii="Times New Roman" w:hAnsi="Times New Roman" w:eastAsia="宋体" w:cs="宋体"/>
          <w:color w:val="auto"/>
          <w:spacing w:val="0"/>
          <w:position w:val="0"/>
          <w:sz w:val="24"/>
          <w:szCs w:val="24"/>
          <w:highlight w:val="none"/>
        </w:rPr>
        <w:t>根据《畜禽养殖业污染防治技术规范》要求，养殖场应设置安全填埋井，用于处置饲养过程中因疾病等原因死亡而产生的死尸。在项目区东北角设置</w:t>
      </w:r>
      <w:r>
        <w:rPr>
          <w:rFonts w:hint="eastAsia" w:cs="Times New Roman"/>
          <w:color w:val="auto"/>
          <w:spacing w:val="0"/>
          <w:position w:val="0"/>
          <w:sz w:val="24"/>
          <w:szCs w:val="24"/>
          <w:highlight w:val="none"/>
          <w:lang w:eastAsia="zh-CN"/>
        </w:rPr>
        <w:t>9口</w:t>
      </w:r>
      <w:r>
        <w:rPr>
          <w:rFonts w:ascii="Times New Roman" w:hAnsi="Times New Roman" w:eastAsia="宋体" w:cs="宋体"/>
          <w:color w:val="auto"/>
          <w:spacing w:val="0"/>
          <w:position w:val="0"/>
          <w:sz w:val="24"/>
          <w:szCs w:val="24"/>
          <w:highlight w:val="none"/>
        </w:rPr>
        <w:t>安全填埋井，填埋井应为混凝土结构，做好防渗工作，深度大于</w:t>
      </w:r>
      <w:r>
        <w:rPr>
          <w:rFonts w:ascii="Times New Roman" w:hAnsi="Times New Roman" w:eastAsia="宋体" w:cs="Times New Roman"/>
          <w:color w:val="auto"/>
          <w:spacing w:val="0"/>
          <w:position w:val="0"/>
          <w:sz w:val="24"/>
          <w:szCs w:val="24"/>
          <w:highlight w:val="none"/>
        </w:rPr>
        <w:t>3m</w:t>
      </w:r>
      <w:r>
        <w:rPr>
          <w:rFonts w:ascii="Times New Roman" w:hAnsi="Times New Roman" w:eastAsia="宋体" w:cs="宋体"/>
          <w:color w:val="auto"/>
          <w:spacing w:val="0"/>
          <w:position w:val="0"/>
          <w:sz w:val="24"/>
          <w:szCs w:val="24"/>
          <w:highlight w:val="none"/>
        </w:rPr>
        <w:t>、直径</w:t>
      </w:r>
      <w:r>
        <w:rPr>
          <w:rFonts w:ascii="Times New Roman" w:hAnsi="Times New Roman" w:eastAsia="宋体" w:cs="Times New Roman"/>
          <w:color w:val="auto"/>
          <w:spacing w:val="0"/>
          <w:position w:val="0"/>
          <w:sz w:val="24"/>
          <w:szCs w:val="24"/>
          <w:highlight w:val="none"/>
        </w:rPr>
        <w:t>1m</w:t>
      </w:r>
      <w:r>
        <w:rPr>
          <w:rFonts w:ascii="Times New Roman" w:hAnsi="Times New Roman" w:eastAsia="宋体" w:cs="宋体"/>
          <w:color w:val="auto"/>
          <w:spacing w:val="0"/>
          <w:position w:val="0"/>
          <w:sz w:val="24"/>
          <w:szCs w:val="24"/>
          <w:highlight w:val="none"/>
        </w:rPr>
        <w:t>以上，井口加盖密封。进行填埋时，在每次投入死尸后，应覆盖一层厚度大于</w:t>
      </w:r>
      <w:r>
        <w:rPr>
          <w:rFonts w:ascii="Times New Roman" w:hAnsi="Times New Roman" w:eastAsia="宋体" w:cs="Times New Roman"/>
          <w:color w:val="auto"/>
          <w:spacing w:val="0"/>
          <w:position w:val="0"/>
          <w:sz w:val="24"/>
          <w:szCs w:val="24"/>
          <w:highlight w:val="none"/>
        </w:rPr>
        <w:t>10cm</w:t>
      </w:r>
      <w:r>
        <w:rPr>
          <w:rFonts w:ascii="Times New Roman" w:hAnsi="Times New Roman" w:eastAsia="宋体" w:cs="宋体"/>
          <w:color w:val="auto"/>
          <w:spacing w:val="0"/>
          <w:position w:val="0"/>
          <w:sz w:val="24"/>
          <w:szCs w:val="24"/>
          <w:highlight w:val="none"/>
        </w:rPr>
        <w:t>的熟石灰。井填满后，须用粘土填埋压实并封口。</w:t>
      </w:r>
    </w:p>
    <w:p w14:paraId="3055D785">
      <w:pPr>
        <w:pStyle w:val="6"/>
        <w:ind w:firstLine="482"/>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rPr>
        <w:t>3.2.2.2</w:t>
      </w:r>
      <w:r>
        <w:rPr>
          <w:rFonts w:hint="eastAsia" w:ascii="Times New Roman" w:hAnsi="Times New Roman" w:eastAsia="宋体"/>
          <w:color w:val="auto"/>
          <w:highlight w:val="none"/>
          <w:lang w:val="en-US" w:eastAsia="zh-CN"/>
        </w:rPr>
        <w:t>产物节点分析</w:t>
      </w:r>
    </w:p>
    <w:p w14:paraId="0D7517F2">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废气：鸡舍养殖恶臭，</w:t>
      </w:r>
      <w:r>
        <w:rPr>
          <w:rFonts w:hint="eastAsia"/>
          <w:color w:val="auto"/>
          <w:highlight w:val="none"/>
          <w:lang w:eastAsia="zh-CN"/>
        </w:rPr>
        <w:t>废水收集池</w:t>
      </w:r>
      <w:r>
        <w:rPr>
          <w:rFonts w:ascii="Times New Roman" w:hAnsi="Times New Roman" w:eastAsia="宋体"/>
          <w:color w:val="auto"/>
          <w:highlight w:val="none"/>
        </w:rPr>
        <w:t>恶臭；</w:t>
      </w:r>
    </w:p>
    <w:p w14:paraId="1A5A49D6">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废水：鸡舍冲洗废水、职工生活污水；</w:t>
      </w:r>
    </w:p>
    <w:p w14:paraId="7E76EE32">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噪声：鸡叫声、设备噪声；</w:t>
      </w:r>
    </w:p>
    <w:p w14:paraId="12BF5066">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固体废物：鸡粪及散落羽毛，病死鸡，废弃包装物、生活垃圾、医疗废物。</w:t>
      </w:r>
    </w:p>
    <w:p w14:paraId="0E1A0DA4">
      <w:pPr>
        <w:pStyle w:val="4"/>
        <w:rPr>
          <w:rFonts w:ascii="Times New Roman" w:hAnsi="Times New Roman" w:eastAsia="宋体"/>
          <w:color w:val="auto"/>
          <w:highlight w:val="none"/>
        </w:rPr>
      </w:pPr>
      <w:bookmarkStart w:id="111" w:name="_Toc428807952"/>
      <w:bookmarkStart w:id="112" w:name="_Toc394331577"/>
      <w:bookmarkStart w:id="113" w:name="_Toc30834"/>
      <w:bookmarkStart w:id="114" w:name="_Toc414533970"/>
      <w:bookmarkStart w:id="115" w:name="_Toc106663470"/>
      <w:bookmarkStart w:id="116" w:name="_Toc17579"/>
      <w:bookmarkStart w:id="117" w:name="_Toc89619335"/>
      <w:r>
        <w:rPr>
          <w:rFonts w:ascii="Times New Roman" w:hAnsi="Times New Roman" w:eastAsia="宋体"/>
          <w:color w:val="auto"/>
          <w:highlight w:val="none"/>
        </w:rPr>
        <w:t>3.</w:t>
      </w:r>
      <w:bookmarkEnd w:id="111"/>
      <w:bookmarkEnd w:id="112"/>
      <w:bookmarkEnd w:id="113"/>
      <w:bookmarkEnd w:id="114"/>
      <w:r>
        <w:rPr>
          <w:rFonts w:hint="eastAsia" w:ascii="Times New Roman" w:hAnsi="Times New Roman" w:eastAsia="宋体"/>
          <w:color w:val="auto"/>
          <w:highlight w:val="none"/>
        </w:rPr>
        <w:t>3污染源源强分析</w:t>
      </w:r>
      <w:bookmarkEnd w:id="115"/>
      <w:bookmarkEnd w:id="116"/>
      <w:bookmarkEnd w:id="117"/>
    </w:p>
    <w:p w14:paraId="07528FF9">
      <w:pPr>
        <w:pStyle w:val="5"/>
        <w:rPr>
          <w:rFonts w:ascii="Times New Roman" w:hAnsi="Times New Roman" w:eastAsia="宋体"/>
          <w:color w:val="auto"/>
          <w:highlight w:val="none"/>
        </w:rPr>
      </w:pPr>
      <w:bookmarkStart w:id="118" w:name="_Toc106663471"/>
      <w:r>
        <w:rPr>
          <w:rFonts w:ascii="Times New Roman" w:hAnsi="Times New Roman" w:eastAsia="宋体"/>
          <w:color w:val="auto"/>
          <w:highlight w:val="none"/>
        </w:rPr>
        <w:t>3.</w:t>
      </w:r>
      <w:r>
        <w:rPr>
          <w:rFonts w:hint="eastAsia" w:ascii="Times New Roman" w:hAnsi="Times New Roman" w:eastAsia="宋体"/>
          <w:color w:val="auto"/>
          <w:highlight w:val="none"/>
        </w:rPr>
        <w:t>3</w:t>
      </w:r>
      <w:r>
        <w:rPr>
          <w:rFonts w:ascii="Times New Roman" w:hAnsi="Times New Roman" w:eastAsia="宋体"/>
          <w:color w:val="auto"/>
          <w:highlight w:val="none"/>
        </w:rPr>
        <w:t>.1施工期</w:t>
      </w:r>
      <w:r>
        <w:rPr>
          <w:rFonts w:hint="eastAsia" w:ascii="Times New Roman" w:hAnsi="Times New Roman" w:eastAsia="宋体"/>
          <w:color w:val="auto"/>
          <w:highlight w:val="none"/>
        </w:rPr>
        <w:t>污染源强</w:t>
      </w:r>
      <w:r>
        <w:rPr>
          <w:rFonts w:ascii="Times New Roman" w:hAnsi="Times New Roman" w:eastAsia="宋体"/>
          <w:color w:val="auto"/>
          <w:highlight w:val="none"/>
        </w:rPr>
        <w:t>分析</w:t>
      </w:r>
      <w:bookmarkEnd w:id="118"/>
    </w:p>
    <w:p w14:paraId="6419D27D">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3.3.1.1施工期大气污染源</w:t>
      </w:r>
    </w:p>
    <w:p w14:paraId="5BB0F5BD">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施工期间影响环境空气质量的主要污染物是施工扬尘、运送施工材料、设施的车辆，施工机械运行时排产生的废气。</w:t>
      </w:r>
    </w:p>
    <w:p w14:paraId="3354322C">
      <w:pPr>
        <w:ind w:firstLine="480"/>
        <w:rPr>
          <w:rFonts w:ascii="Times New Roman" w:hAnsi="Times New Roman" w:eastAsia="宋体"/>
          <w:color w:val="auto"/>
          <w:highlight w:val="none"/>
        </w:rPr>
      </w:pPr>
      <w:r>
        <w:rPr>
          <w:rFonts w:hint="eastAsia" w:ascii="Times New Roman" w:hAnsi="Times New Roman" w:eastAsia="宋体"/>
          <w:color w:val="auto"/>
          <w:highlight w:val="none"/>
        </w:rPr>
        <w:t>（1）施工扬尘</w:t>
      </w:r>
    </w:p>
    <w:p w14:paraId="70B79F78">
      <w:pPr>
        <w:ind w:firstLine="480"/>
        <w:rPr>
          <w:rFonts w:ascii="Times New Roman" w:hAnsi="Times New Roman" w:eastAsia="宋体"/>
          <w:color w:val="auto"/>
          <w:highlight w:val="none"/>
        </w:rPr>
      </w:pPr>
      <w:r>
        <w:rPr>
          <w:rFonts w:hint="eastAsia" w:ascii="Times New Roman" w:hAnsi="Times New Roman" w:eastAsia="宋体"/>
          <w:color w:val="auto"/>
          <w:highlight w:val="none"/>
        </w:rPr>
        <w:t>主体工程、辅助工程、公用工程基础施工、环保工程等的土建挖取土（石）、推土、场地平整、施工沙石材料等的装卸、运输过程中有扬尘产生，另外土石方的临时堆放过程中也将有扬尘产生。扬尘产生的大小与施工管理、气象（特别是风速）条件等密切相关，也与扬尘本身沉降速度有关。</w:t>
      </w:r>
    </w:p>
    <w:p w14:paraId="45C0CFDF">
      <w:pPr>
        <w:ind w:firstLine="480"/>
        <w:rPr>
          <w:rFonts w:ascii="Times New Roman" w:hAnsi="Times New Roman" w:eastAsia="宋体"/>
          <w:color w:val="auto"/>
          <w:highlight w:val="none"/>
        </w:rPr>
      </w:pPr>
      <w:r>
        <w:rPr>
          <w:rFonts w:hint="eastAsia" w:ascii="Times New Roman" w:hAnsi="Times New Roman" w:eastAsia="宋体"/>
          <w:color w:val="auto"/>
          <w:highlight w:val="none"/>
        </w:rPr>
        <w:t>①土石方施工及堆放扬尘</w:t>
      </w:r>
    </w:p>
    <w:p w14:paraId="07B6BC35">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施工期间静态起尘主要是土石方施工及堆放过程中土方开挖、回填过程中产生的扬尘以及临时土石方、建筑垃圾等堆放过程中因风力作用引起的扬尘，另外，在施工时地表清理、施工后临时土石方、弃方清理后将造成地表裸露，在风力作用下，亦可产生扬尘。由前述可知，此类扬尘产生量与气象风速、扬尘沉降速度有关，不同粒径扬尘的沉降速度见表3.3-1</w:t>
      </w:r>
      <w:r>
        <w:rPr>
          <w:rFonts w:ascii="Times New Roman" w:hAnsi="Times New Roman" w:eastAsia="宋体"/>
          <w:color w:val="auto"/>
          <w:highlight w:val="none"/>
        </w:rPr>
        <w:t>。</w:t>
      </w:r>
    </w:p>
    <w:p w14:paraId="7D475D18">
      <w:pPr>
        <w:pStyle w:val="10"/>
        <w:keepNext w:val="0"/>
        <w:keepLines w:val="0"/>
        <w:pageBreakBefore w:val="0"/>
        <w:widowControl w:val="0"/>
        <w:kinsoku/>
        <w:wordWrap/>
        <w:overflowPunct/>
        <w:topLinePunct w:val="0"/>
        <w:autoSpaceDE/>
        <w:autoSpaceDN/>
        <w:bidi w:val="0"/>
        <w:adjustRightInd/>
        <w:snapToGrid/>
        <w:spacing w:before="0" w:after="0"/>
        <w:textAlignment w:val="auto"/>
        <w:rPr>
          <w:rFonts w:ascii="Times New Roman" w:hAnsi="Times New Roman" w:eastAsia="宋体"/>
          <w:color w:val="auto"/>
          <w:highlight w:val="none"/>
        </w:rPr>
      </w:pPr>
      <w:r>
        <w:rPr>
          <w:rFonts w:hint="eastAsia" w:ascii="Times New Roman" w:hAnsi="Times New Roman" w:eastAsia="宋体"/>
          <w:color w:val="auto"/>
          <w:highlight w:val="none"/>
        </w:rPr>
        <w:t>表3.3-1不同粒径扬尘沉降速度一览表</w:t>
      </w:r>
    </w:p>
    <w:tbl>
      <w:tblPr>
        <w:tblStyle w:val="57"/>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986"/>
        <w:gridCol w:w="921"/>
        <w:gridCol w:w="857"/>
        <w:gridCol w:w="863"/>
        <w:gridCol w:w="1066"/>
        <w:gridCol w:w="1066"/>
        <w:gridCol w:w="1066"/>
      </w:tblGrid>
      <w:tr w14:paraId="35A8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4CB68188">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粉尘粒径（</w:t>
            </w:r>
            <w:r>
              <w:rPr>
                <w:rFonts w:hint="eastAsia" w:ascii="Times New Roman" w:hAnsi="Times New Roman" w:eastAsia="宋体"/>
                <w:color w:val="auto"/>
                <w:sz w:val="21"/>
                <w:szCs w:val="21"/>
                <w:highlight w:val="none"/>
                <w:lang w:eastAsia="en-US" w:bidi="en-US"/>
              </w:rPr>
              <w:t>μm</w:t>
            </w:r>
            <w:r>
              <w:rPr>
                <w:rFonts w:hint="eastAsia" w:ascii="Times New Roman" w:hAnsi="Times New Roman" w:eastAsia="宋体"/>
                <w:color w:val="auto"/>
                <w:sz w:val="21"/>
                <w:szCs w:val="21"/>
                <w:highlight w:val="none"/>
                <w:lang w:bidi="en-US"/>
              </w:rPr>
              <w:t>）</w:t>
            </w:r>
          </w:p>
        </w:tc>
        <w:tc>
          <w:tcPr>
            <w:tcW w:w="986" w:type="dxa"/>
            <w:vAlign w:val="center"/>
          </w:tcPr>
          <w:p w14:paraId="6446BF80">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10</w:t>
            </w:r>
          </w:p>
        </w:tc>
        <w:tc>
          <w:tcPr>
            <w:tcW w:w="921" w:type="dxa"/>
            <w:vAlign w:val="center"/>
          </w:tcPr>
          <w:p w14:paraId="375ADB59">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20</w:t>
            </w:r>
          </w:p>
        </w:tc>
        <w:tc>
          <w:tcPr>
            <w:tcW w:w="857" w:type="dxa"/>
            <w:vAlign w:val="center"/>
          </w:tcPr>
          <w:p w14:paraId="30B16615">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30</w:t>
            </w:r>
          </w:p>
        </w:tc>
        <w:tc>
          <w:tcPr>
            <w:tcW w:w="863" w:type="dxa"/>
            <w:vAlign w:val="center"/>
          </w:tcPr>
          <w:p w14:paraId="1EFE97C0">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40</w:t>
            </w:r>
          </w:p>
        </w:tc>
        <w:tc>
          <w:tcPr>
            <w:tcW w:w="1066" w:type="dxa"/>
            <w:vAlign w:val="center"/>
          </w:tcPr>
          <w:p w14:paraId="29EADA3A">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50</w:t>
            </w:r>
          </w:p>
        </w:tc>
        <w:tc>
          <w:tcPr>
            <w:tcW w:w="1066" w:type="dxa"/>
            <w:vAlign w:val="center"/>
          </w:tcPr>
          <w:p w14:paraId="5485364D">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60</w:t>
            </w:r>
          </w:p>
        </w:tc>
        <w:tc>
          <w:tcPr>
            <w:tcW w:w="1066" w:type="dxa"/>
            <w:vAlign w:val="center"/>
          </w:tcPr>
          <w:p w14:paraId="75DFE353">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70</w:t>
            </w:r>
          </w:p>
        </w:tc>
      </w:tr>
      <w:tr w14:paraId="17CE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58895927">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沉降速度（m/s）</w:t>
            </w:r>
          </w:p>
        </w:tc>
        <w:tc>
          <w:tcPr>
            <w:tcW w:w="986" w:type="dxa"/>
            <w:vAlign w:val="center"/>
          </w:tcPr>
          <w:p w14:paraId="09066468">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0.003</w:t>
            </w:r>
          </w:p>
        </w:tc>
        <w:tc>
          <w:tcPr>
            <w:tcW w:w="921" w:type="dxa"/>
            <w:vAlign w:val="center"/>
          </w:tcPr>
          <w:p w14:paraId="4F053D0B">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0.012</w:t>
            </w:r>
          </w:p>
        </w:tc>
        <w:tc>
          <w:tcPr>
            <w:tcW w:w="857" w:type="dxa"/>
            <w:vAlign w:val="center"/>
          </w:tcPr>
          <w:p w14:paraId="2DCC82EB">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0.027</w:t>
            </w:r>
          </w:p>
        </w:tc>
        <w:tc>
          <w:tcPr>
            <w:tcW w:w="863" w:type="dxa"/>
            <w:vAlign w:val="center"/>
          </w:tcPr>
          <w:p w14:paraId="7B30928F">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0.048</w:t>
            </w:r>
          </w:p>
        </w:tc>
        <w:tc>
          <w:tcPr>
            <w:tcW w:w="1066" w:type="dxa"/>
            <w:vAlign w:val="center"/>
          </w:tcPr>
          <w:p w14:paraId="76BD6126">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0.075</w:t>
            </w:r>
          </w:p>
        </w:tc>
        <w:tc>
          <w:tcPr>
            <w:tcW w:w="1066" w:type="dxa"/>
            <w:vAlign w:val="center"/>
          </w:tcPr>
          <w:p w14:paraId="77832BED">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0.108</w:t>
            </w:r>
          </w:p>
        </w:tc>
        <w:tc>
          <w:tcPr>
            <w:tcW w:w="1066" w:type="dxa"/>
            <w:vAlign w:val="center"/>
          </w:tcPr>
          <w:p w14:paraId="0CC196E7">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0.147</w:t>
            </w:r>
          </w:p>
        </w:tc>
      </w:tr>
      <w:tr w14:paraId="2549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3F5B6AF7">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粉尘粒径（</w:t>
            </w:r>
            <w:r>
              <w:rPr>
                <w:rFonts w:hint="eastAsia" w:ascii="Times New Roman" w:hAnsi="Times New Roman" w:eastAsia="宋体"/>
                <w:color w:val="auto"/>
                <w:sz w:val="21"/>
                <w:szCs w:val="21"/>
                <w:highlight w:val="none"/>
                <w:lang w:eastAsia="en-US" w:bidi="en-US"/>
              </w:rPr>
              <w:t>μm</w:t>
            </w:r>
            <w:r>
              <w:rPr>
                <w:rFonts w:hint="eastAsia" w:ascii="Times New Roman" w:hAnsi="Times New Roman" w:eastAsia="宋体"/>
                <w:color w:val="auto"/>
                <w:sz w:val="21"/>
                <w:szCs w:val="21"/>
                <w:highlight w:val="none"/>
                <w:lang w:bidi="en-US"/>
              </w:rPr>
              <w:t>）</w:t>
            </w:r>
          </w:p>
        </w:tc>
        <w:tc>
          <w:tcPr>
            <w:tcW w:w="986" w:type="dxa"/>
            <w:vAlign w:val="center"/>
          </w:tcPr>
          <w:p w14:paraId="11DC4666">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80</w:t>
            </w:r>
          </w:p>
        </w:tc>
        <w:tc>
          <w:tcPr>
            <w:tcW w:w="921" w:type="dxa"/>
            <w:vAlign w:val="center"/>
          </w:tcPr>
          <w:p w14:paraId="43961525">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90</w:t>
            </w:r>
          </w:p>
        </w:tc>
        <w:tc>
          <w:tcPr>
            <w:tcW w:w="857" w:type="dxa"/>
            <w:vAlign w:val="center"/>
          </w:tcPr>
          <w:p w14:paraId="18C41909">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100</w:t>
            </w:r>
          </w:p>
        </w:tc>
        <w:tc>
          <w:tcPr>
            <w:tcW w:w="863" w:type="dxa"/>
            <w:vAlign w:val="center"/>
          </w:tcPr>
          <w:p w14:paraId="101C1D01">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150</w:t>
            </w:r>
          </w:p>
        </w:tc>
        <w:tc>
          <w:tcPr>
            <w:tcW w:w="1066" w:type="dxa"/>
            <w:vAlign w:val="center"/>
          </w:tcPr>
          <w:p w14:paraId="51EE583B">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200</w:t>
            </w:r>
          </w:p>
        </w:tc>
        <w:tc>
          <w:tcPr>
            <w:tcW w:w="1066" w:type="dxa"/>
            <w:vAlign w:val="center"/>
          </w:tcPr>
          <w:p w14:paraId="48A88D64">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250</w:t>
            </w:r>
          </w:p>
        </w:tc>
        <w:tc>
          <w:tcPr>
            <w:tcW w:w="1066" w:type="dxa"/>
            <w:vAlign w:val="center"/>
          </w:tcPr>
          <w:p w14:paraId="6DBD1C9C">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350</w:t>
            </w:r>
          </w:p>
        </w:tc>
      </w:tr>
      <w:tr w14:paraId="38F0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112AF842">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沉降速度（m/s）</w:t>
            </w:r>
          </w:p>
        </w:tc>
        <w:tc>
          <w:tcPr>
            <w:tcW w:w="986" w:type="dxa"/>
            <w:vAlign w:val="center"/>
          </w:tcPr>
          <w:p w14:paraId="639BC8F6">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0.158</w:t>
            </w:r>
          </w:p>
        </w:tc>
        <w:tc>
          <w:tcPr>
            <w:tcW w:w="921" w:type="dxa"/>
            <w:vAlign w:val="center"/>
          </w:tcPr>
          <w:p w14:paraId="045FB5DA">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0.170</w:t>
            </w:r>
          </w:p>
        </w:tc>
        <w:tc>
          <w:tcPr>
            <w:tcW w:w="857" w:type="dxa"/>
            <w:vAlign w:val="center"/>
          </w:tcPr>
          <w:p w14:paraId="01ED8DAA">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0.182</w:t>
            </w:r>
          </w:p>
        </w:tc>
        <w:tc>
          <w:tcPr>
            <w:tcW w:w="863" w:type="dxa"/>
            <w:vAlign w:val="center"/>
          </w:tcPr>
          <w:p w14:paraId="1B8EC77E">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0.239</w:t>
            </w:r>
          </w:p>
        </w:tc>
        <w:tc>
          <w:tcPr>
            <w:tcW w:w="1066" w:type="dxa"/>
            <w:vAlign w:val="center"/>
          </w:tcPr>
          <w:p w14:paraId="63167477">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0.804</w:t>
            </w:r>
          </w:p>
        </w:tc>
        <w:tc>
          <w:tcPr>
            <w:tcW w:w="1066" w:type="dxa"/>
            <w:vAlign w:val="center"/>
          </w:tcPr>
          <w:p w14:paraId="1D40C35F">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1.005</w:t>
            </w:r>
          </w:p>
        </w:tc>
        <w:tc>
          <w:tcPr>
            <w:tcW w:w="1066" w:type="dxa"/>
            <w:vAlign w:val="center"/>
          </w:tcPr>
          <w:p w14:paraId="549095F9">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1.829</w:t>
            </w:r>
          </w:p>
        </w:tc>
      </w:tr>
      <w:tr w14:paraId="33AD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6899FD61">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粉尘粒径（</w:t>
            </w:r>
            <w:r>
              <w:rPr>
                <w:rFonts w:hint="eastAsia" w:ascii="Times New Roman" w:hAnsi="Times New Roman" w:eastAsia="宋体"/>
                <w:color w:val="auto"/>
                <w:sz w:val="21"/>
                <w:szCs w:val="21"/>
                <w:highlight w:val="none"/>
                <w:lang w:eastAsia="en-US" w:bidi="en-US"/>
              </w:rPr>
              <w:t>μm</w:t>
            </w:r>
            <w:r>
              <w:rPr>
                <w:rFonts w:hint="eastAsia" w:ascii="Times New Roman" w:hAnsi="Times New Roman" w:eastAsia="宋体"/>
                <w:color w:val="auto"/>
                <w:sz w:val="21"/>
                <w:szCs w:val="21"/>
                <w:highlight w:val="none"/>
                <w:lang w:bidi="en-US"/>
              </w:rPr>
              <w:t>）</w:t>
            </w:r>
          </w:p>
        </w:tc>
        <w:tc>
          <w:tcPr>
            <w:tcW w:w="986" w:type="dxa"/>
            <w:vAlign w:val="center"/>
          </w:tcPr>
          <w:p w14:paraId="749E8231">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450</w:t>
            </w:r>
          </w:p>
        </w:tc>
        <w:tc>
          <w:tcPr>
            <w:tcW w:w="921" w:type="dxa"/>
            <w:vAlign w:val="center"/>
          </w:tcPr>
          <w:p w14:paraId="1BB70DAB">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550</w:t>
            </w:r>
          </w:p>
        </w:tc>
        <w:tc>
          <w:tcPr>
            <w:tcW w:w="857" w:type="dxa"/>
            <w:vAlign w:val="center"/>
          </w:tcPr>
          <w:p w14:paraId="7217714D">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650</w:t>
            </w:r>
          </w:p>
        </w:tc>
        <w:tc>
          <w:tcPr>
            <w:tcW w:w="863" w:type="dxa"/>
            <w:vAlign w:val="center"/>
          </w:tcPr>
          <w:p w14:paraId="5B334339">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750</w:t>
            </w:r>
          </w:p>
        </w:tc>
        <w:tc>
          <w:tcPr>
            <w:tcW w:w="1066" w:type="dxa"/>
            <w:vAlign w:val="center"/>
          </w:tcPr>
          <w:p w14:paraId="49799415">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850</w:t>
            </w:r>
          </w:p>
        </w:tc>
        <w:tc>
          <w:tcPr>
            <w:tcW w:w="1066" w:type="dxa"/>
            <w:vAlign w:val="center"/>
          </w:tcPr>
          <w:p w14:paraId="0A2239E5">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950</w:t>
            </w:r>
          </w:p>
        </w:tc>
        <w:tc>
          <w:tcPr>
            <w:tcW w:w="1066" w:type="dxa"/>
            <w:vAlign w:val="center"/>
          </w:tcPr>
          <w:p w14:paraId="0CF67129">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1050</w:t>
            </w:r>
          </w:p>
        </w:tc>
      </w:tr>
      <w:tr w14:paraId="358F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3F94DC26">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沉降速度（m/s）</w:t>
            </w:r>
          </w:p>
        </w:tc>
        <w:tc>
          <w:tcPr>
            <w:tcW w:w="986" w:type="dxa"/>
            <w:vAlign w:val="center"/>
          </w:tcPr>
          <w:p w14:paraId="059CBA30">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2.211</w:t>
            </w:r>
          </w:p>
        </w:tc>
        <w:tc>
          <w:tcPr>
            <w:tcW w:w="921" w:type="dxa"/>
            <w:vAlign w:val="center"/>
          </w:tcPr>
          <w:p w14:paraId="5A102343">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2.614</w:t>
            </w:r>
          </w:p>
        </w:tc>
        <w:tc>
          <w:tcPr>
            <w:tcW w:w="857" w:type="dxa"/>
            <w:vAlign w:val="center"/>
          </w:tcPr>
          <w:p w14:paraId="031DA364">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3.016</w:t>
            </w:r>
          </w:p>
        </w:tc>
        <w:tc>
          <w:tcPr>
            <w:tcW w:w="863" w:type="dxa"/>
            <w:vAlign w:val="center"/>
          </w:tcPr>
          <w:p w14:paraId="534FC966">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3.418</w:t>
            </w:r>
          </w:p>
        </w:tc>
        <w:tc>
          <w:tcPr>
            <w:tcW w:w="1066" w:type="dxa"/>
            <w:vAlign w:val="center"/>
          </w:tcPr>
          <w:p w14:paraId="5BC0C384">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3.820</w:t>
            </w:r>
          </w:p>
        </w:tc>
        <w:tc>
          <w:tcPr>
            <w:tcW w:w="1066" w:type="dxa"/>
            <w:vAlign w:val="center"/>
          </w:tcPr>
          <w:p w14:paraId="7F9F7A51">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4.222</w:t>
            </w:r>
          </w:p>
        </w:tc>
        <w:tc>
          <w:tcPr>
            <w:tcW w:w="1066" w:type="dxa"/>
            <w:vAlign w:val="center"/>
          </w:tcPr>
          <w:p w14:paraId="3E377B95">
            <w:pPr>
              <w:widowControl/>
              <w:snapToGrid w:val="0"/>
              <w:spacing w:line="240" w:lineRule="auto"/>
              <w:ind w:firstLine="0" w:firstLineChars="0"/>
              <w:jc w:val="center"/>
              <w:rPr>
                <w:rFonts w:ascii="Times New Roman" w:hAnsi="Times New Roman" w:eastAsia="宋体"/>
                <w:color w:val="auto"/>
                <w:sz w:val="21"/>
                <w:szCs w:val="21"/>
                <w:highlight w:val="none"/>
                <w:lang w:bidi="en-US"/>
              </w:rPr>
            </w:pPr>
            <w:r>
              <w:rPr>
                <w:rFonts w:hint="eastAsia" w:ascii="Times New Roman" w:hAnsi="Times New Roman" w:eastAsia="宋体"/>
                <w:color w:val="auto"/>
                <w:sz w:val="21"/>
                <w:szCs w:val="21"/>
                <w:highlight w:val="none"/>
                <w:lang w:bidi="en-US"/>
              </w:rPr>
              <w:t>4.624</w:t>
            </w:r>
          </w:p>
        </w:tc>
      </w:tr>
    </w:tbl>
    <w:p w14:paraId="098BAE80">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由表3.3-1可知，粉尘的沉降速度随粒径的增大而迅速增大。当粒径为250</w:t>
      </w:r>
      <w:r>
        <w:rPr>
          <w:rFonts w:ascii="Times New Roman" w:hAnsi="Times New Roman" w:eastAsia="宋体"/>
          <w:color w:val="auto"/>
          <w:highlight w:val="none"/>
        </w:rPr>
        <w:t>μm</w:t>
      </w:r>
      <w:r>
        <w:rPr>
          <w:rFonts w:hint="eastAsia" w:ascii="Times New Roman" w:hAnsi="Times New Roman" w:eastAsia="宋体"/>
          <w:color w:val="auto"/>
          <w:highlight w:val="none"/>
        </w:rPr>
        <w:t>时，沉降速度为1.005m/s，因此可以认为当粒径大于250</w:t>
      </w:r>
      <w:r>
        <w:rPr>
          <w:rFonts w:ascii="Times New Roman" w:hAnsi="Times New Roman" w:eastAsia="宋体"/>
          <w:color w:val="auto"/>
          <w:highlight w:val="none"/>
        </w:rPr>
        <w:t>μm</w:t>
      </w:r>
      <w:r>
        <w:rPr>
          <w:rFonts w:hint="eastAsia" w:ascii="Times New Roman" w:hAnsi="Times New Roman" w:eastAsia="宋体"/>
          <w:color w:val="auto"/>
          <w:highlight w:val="none"/>
        </w:rPr>
        <w:t>时，主要影响范围在扬尘点下风向近距离范围内，本项目评价范围内无大气环境敏感点，因此，此类扬尘可造成施工区域附近TSP浓度暂时升高，对项目区周边评价范围内大气环境敏感点影响不大。</w:t>
      </w:r>
    </w:p>
    <w:p w14:paraId="64FC6DED">
      <w:pPr>
        <w:ind w:firstLine="480"/>
        <w:rPr>
          <w:rFonts w:ascii="Times New Roman" w:hAnsi="Times New Roman" w:eastAsia="宋体"/>
          <w:color w:val="auto"/>
          <w:highlight w:val="none"/>
        </w:rPr>
      </w:pPr>
      <w:r>
        <w:rPr>
          <w:rFonts w:hint="eastAsia" w:ascii="Times New Roman" w:hAnsi="Times New Roman" w:eastAsia="宋体"/>
          <w:color w:val="auto"/>
          <w:highlight w:val="none"/>
        </w:rPr>
        <w:t>②车辆运输扬尘</w:t>
      </w:r>
    </w:p>
    <w:p w14:paraId="5921C4D7">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动态起尘主要是各类施工机械、运输车辆在项目区内外来往形成的地面扬尘，据有关文献资料显示，在施工过程中，运输车辆行驶扬尘与车辆行驶速度、风速、气象条件、路面积尘量和积尘湿度等因素有关。</w:t>
      </w:r>
    </w:p>
    <w:p w14:paraId="60214204">
      <w:pPr>
        <w:ind w:firstLine="480"/>
        <w:rPr>
          <w:rFonts w:ascii="Times New Roman" w:hAnsi="Times New Roman" w:eastAsia="宋体"/>
          <w:color w:val="auto"/>
          <w:highlight w:val="none"/>
        </w:rPr>
      </w:pPr>
      <w:r>
        <w:rPr>
          <w:rFonts w:hint="eastAsia" w:ascii="Times New Roman" w:hAnsi="Times New Roman" w:eastAsia="宋体"/>
          <w:color w:val="auto"/>
          <w:highlight w:val="none"/>
        </w:rPr>
        <w:t>（2）燃油机械及机动车废气</w:t>
      </w:r>
    </w:p>
    <w:p w14:paraId="210F7BC8">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施工燃油机械和运输车辆运作过程中将产生含SO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、NO</w:t>
      </w:r>
      <w:r>
        <w:rPr>
          <w:rFonts w:hint="eastAsia" w:ascii="Times New Roman" w:hAnsi="Times New Roman" w:eastAsia="宋体"/>
          <w:color w:val="auto"/>
          <w:highlight w:val="none"/>
          <w:vertAlign w:val="subscript"/>
        </w:rPr>
        <w:t>x</w:t>
      </w:r>
      <w:r>
        <w:rPr>
          <w:rFonts w:hint="eastAsia" w:ascii="Times New Roman" w:hAnsi="Times New Roman" w:eastAsia="宋体"/>
          <w:color w:val="auto"/>
          <w:highlight w:val="none"/>
        </w:rPr>
        <w:t>、CO等气体。根据相关资料，每耗1升油料，排放空气污染物NO</w:t>
      </w:r>
      <w:r>
        <w:rPr>
          <w:rFonts w:hint="eastAsia" w:ascii="Times New Roman" w:hAnsi="Times New Roman" w:eastAsia="宋体"/>
          <w:color w:val="auto"/>
          <w:highlight w:val="none"/>
          <w:vertAlign w:val="subscript"/>
        </w:rPr>
        <w:t>x</w:t>
      </w:r>
      <w:r>
        <w:rPr>
          <w:rFonts w:hint="eastAsia" w:ascii="Times New Roman" w:hAnsi="Times New Roman" w:eastAsia="宋体"/>
          <w:color w:val="auto"/>
          <w:highlight w:val="none"/>
        </w:rPr>
        <w:t>9g，SO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3.24g，CO27g。本项目建设期消耗油料约2033</w:t>
      </w:r>
      <w:r>
        <w:rPr>
          <w:rFonts w:ascii="Times New Roman" w:hAnsi="Times New Roman" w:eastAsia="宋体"/>
          <w:color w:val="auto"/>
          <w:highlight w:val="none"/>
        </w:rPr>
        <w:t>.</w:t>
      </w:r>
      <w:r>
        <w:rPr>
          <w:rFonts w:hint="eastAsia" w:ascii="Times New Roman" w:hAnsi="Times New Roman" w:eastAsia="宋体"/>
          <w:color w:val="auto"/>
          <w:highlight w:val="none"/>
        </w:rPr>
        <w:t>9升，污染物排放量为NO</w:t>
      </w:r>
      <w:r>
        <w:rPr>
          <w:rFonts w:hint="eastAsia" w:ascii="Times New Roman" w:hAnsi="Times New Roman" w:eastAsia="宋体"/>
          <w:color w:val="auto"/>
          <w:highlight w:val="none"/>
          <w:vertAlign w:val="subscript"/>
        </w:rPr>
        <w:t>x</w:t>
      </w:r>
      <w:r>
        <w:rPr>
          <w:rFonts w:hint="eastAsia" w:ascii="Times New Roman" w:hAnsi="Times New Roman" w:eastAsia="宋体"/>
          <w:color w:val="auto"/>
          <w:highlight w:val="none"/>
        </w:rPr>
        <w:t>0.</w:t>
      </w:r>
      <w:r>
        <w:rPr>
          <w:rFonts w:ascii="Times New Roman" w:hAnsi="Times New Roman" w:eastAsia="宋体"/>
          <w:color w:val="auto"/>
          <w:highlight w:val="none"/>
        </w:rPr>
        <w:t>0</w:t>
      </w:r>
      <w:r>
        <w:rPr>
          <w:rFonts w:hint="eastAsia" w:ascii="Times New Roman" w:hAnsi="Times New Roman" w:eastAsia="宋体"/>
          <w:color w:val="auto"/>
          <w:highlight w:val="none"/>
        </w:rPr>
        <w:t>183t，SO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0.0</w:t>
      </w:r>
      <w:r>
        <w:rPr>
          <w:rFonts w:ascii="Times New Roman" w:hAnsi="Times New Roman" w:eastAsia="宋体"/>
          <w:color w:val="auto"/>
          <w:highlight w:val="none"/>
        </w:rPr>
        <w:t>0</w:t>
      </w:r>
      <w:r>
        <w:rPr>
          <w:rFonts w:hint="eastAsia" w:ascii="Times New Roman" w:hAnsi="Times New Roman" w:eastAsia="宋体"/>
          <w:color w:val="auto"/>
          <w:highlight w:val="none"/>
        </w:rPr>
        <w:t>7t，CO0.</w:t>
      </w:r>
      <w:r>
        <w:rPr>
          <w:rFonts w:ascii="Times New Roman" w:hAnsi="Times New Roman" w:eastAsia="宋体"/>
          <w:color w:val="auto"/>
          <w:highlight w:val="none"/>
        </w:rPr>
        <w:t>0</w:t>
      </w:r>
      <w:r>
        <w:rPr>
          <w:rFonts w:hint="eastAsia" w:ascii="Times New Roman" w:hAnsi="Times New Roman" w:eastAsia="宋体"/>
          <w:color w:val="auto"/>
          <w:highlight w:val="none"/>
        </w:rPr>
        <w:t>549t。由于此类废气系无组织流动性排放，废气经稀释扩散后不会对周边空气环境产生明显影响。</w:t>
      </w:r>
    </w:p>
    <w:p w14:paraId="73E562E4">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3.3.1.2施工期水污染源</w:t>
      </w:r>
    </w:p>
    <w:p w14:paraId="19CEE2E2">
      <w:pPr>
        <w:ind w:firstLine="480"/>
        <w:rPr>
          <w:rFonts w:ascii="Times New Roman" w:hAnsi="Times New Roman" w:eastAsia="宋体"/>
          <w:color w:val="auto"/>
          <w:highlight w:val="none"/>
        </w:rPr>
      </w:pPr>
      <w:r>
        <w:rPr>
          <w:rFonts w:ascii="Times New Roman" w:hAnsi="Times New Roman" w:eastAsia="宋体"/>
          <w:color w:val="auto"/>
          <w:highlight w:val="none"/>
        </w:rPr>
        <w:t>本项目施工期排放废水主要是施工废水和施工人员的日常生活废水。</w:t>
      </w:r>
    </w:p>
    <w:p w14:paraId="32A85930">
      <w:pPr>
        <w:ind w:firstLine="480"/>
        <w:rPr>
          <w:rFonts w:ascii="Times New Roman" w:hAnsi="Times New Roman" w:eastAsia="宋体"/>
          <w:color w:val="auto"/>
          <w:highlight w:val="none"/>
        </w:rPr>
      </w:pPr>
      <w:r>
        <w:rPr>
          <w:rFonts w:ascii="Times New Roman" w:hAnsi="Times New Roman" w:eastAsia="宋体"/>
          <w:color w:val="auto"/>
          <w:highlight w:val="none"/>
        </w:rPr>
        <w:t>（</w:t>
      </w:r>
      <w:r>
        <w:rPr>
          <w:rFonts w:hint="eastAsia" w:ascii="Times New Roman" w:hAnsi="Times New Roman" w:eastAsia="宋体"/>
          <w:color w:val="auto"/>
          <w:highlight w:val="none"/>
        </w:rPr>
        <w:t>1</w:t>
      </w:r>
      <w:r>
        <w:rPr>
          <w:rFonts w:ascii="Times New Roman" w:hAnsi="Times New Roman" w:eastAsia="宋体"/>
          <w:color w:val="auto"/>
          <w:highlight w:val="none"/>
        </w:rPr>
        <w:t>）施工废水</w:t>
      </w:r>
    </w:p>
    <w:p w14:paraId="278B9445">
      <w:pPr>
        <w:ind w:firstLine="480"/>
        <w:rPr>
          <w:rFonts w:ascii="Times New Roman" w:hAnsi="Times New Roman" w:eastAsia="宋体"/>
          <w:color w:val="auto"/>
          <w:highlight w:val="none"/>
        </w:rPr>
      </w:pPr>
      <w:r>
        <w:rPr>
          <w:rFonts w:ascii="Times New Roman" w:hAnsi="Times New Roman" w:eastAsia="宋体"/>
          <w:color w:val="auto"/>
          <w:highlight w:val="none"/>
        </w:rPr>
        <w:t>本项目不在施工区内洗车，施工废水主要包括混凝土废水、泥浆废水、混凝土保养时排放的废水，主要污染因子为SS，含一定量的泥沙和砾石碎屑等悬浮物，因施工场地分散工程进度不同，废水的产生量与排放量较难估算，在施工现场设置不小于3m</w:t>
      </w:r>
      <w:r>
        <w:rPr>
          <w:rFonts w:ascii="Times New Roman" w:hAnsi="Times New Roman" w:eastAsia="宋体"/>
          <w:color w:val="auto"/>
          <w:highlight w:val="none"/>
          <w:vertAlign w:val="superscript"/>
        </w:rPr>
        <w:t>3</w:t>
      </w:r>
      <w:r>
        <w:rPr>
          <w:rFonts w:ascii="Times New Roman" w:hAnsi="Times New Roman" w:eastAsia="宋体"/>
          <w:color w:val="auto"/>
          <w:highlight w:val="none"/>
        </w:rPr>
        <w:t>的简易防渗沉淀池沉淀后回用于生产，项目产生的施工废水作到零排放，不会恶化地下水水质。</w:t>
      </w:r>
    </w:p>
    <w:p w14:paraId="4647909E">
      <w:pPr>
        <w:ind w:firstLine="480"/>
        <w:rPr>
          <w:rFonts w:ascii="Times New Roman" w:hAnsi="Times New Roman" w:eastAsia="宋体"/>
          <w:color w:val="auto"/>
          <w:highlight w:val="none"/>
        </w:rPr>
      </w:pPr>
      <w:r>
        <w:rPr>
          <w:rFonts w:ascii="Times New Roman" w:hAnsi="Times New Roman" w:eastAsia="宋体"/>
          <w:color w:val="auto"/>
          <w:highlight w:val="none"/>
        </w:rPr>
        <w:t>（</w:t>
      </w:r>
      <w:r>
        <w:rPr>
          <w:rFonts w:hint="eastAsia" w:ascii="Times New Roman" w:hAnsi="Times New Roman" w:eastAsia="宋体"/>
          <w:color w:val="auto"/>
          <w:highlight w:val="none"/>
        </w:rPr>
        <w:t>2</w:t>
      </w:r>
      <w:r>
        <w:rPr>
          <w:rFonts w:ascii="Times New Roman" w:hAnsi="Times New Roman" w:eastAsia="宋体"/>
          <w:color w:val="auto"/>
          <w:highlight w:val="none"/>
        </w:rPr>
        <w:t>）生活污水</w:t>
      </w:r>
    </w:p>
    <w:p w14:paraId="38EC9C59">
      <w:pPr>
        <w:ind w:firstLine="480"/>
        <w:rPr>
          <w:rFonts w:ascii="Times New Roman" w:hAnsi="Times New Roman" w:eastAsia="宋体"/>
          <w:color w:val="auto"/>
          <w:highlight w:val="none"/>
        </w:rPr>
      </w:pPr>
      <w:r>
        <w:rPr>
          <w:rFonts w:ascii="Times New Roman" w:hAnsi="Times New Roman" w:eastAsia="宋体"/>
          <w:color w:val="auto"/>
          <w:highlight w:val="none"/>
        </w:rPr>
        <w:t>本项目施工人员高峰时约</w:t>
      </w:r>
      <w:r>
        <w:rPr>
          <w:rFonts w:hint="eastAsia" w:ascii="Times New Roman" w:hAnsi="Times New Roman" w:eastAsia="宋体"/>
          <w:color w:val="auto"/>
          <w:highlight w:val="none"/>
        </w:rPr>
        <w:t>30</w:t>
      </w:r>
      <w:r>
        <w:rPr>
          <w:rFonts w:ascii="Times New Roman" w:hAnsi="Times New Roman" w:eastAsia="宋体"/>
          <w:color w:val="auto"/>
          <w:highlight w:val="none"/>
        </w:rPr>
        <w:t>人，按平均每人每天用水量为</w:t>
      </w:r>
      <w:r>
        <w:rPr>
          <w:rFonts w:hint="eastAsia" w:ascii="Times New Roman" w:hAnsi="Times New Roman" w:eastAsia="宋体"/>
          <w:color w:val="auto"/>
          <w:highlight w:val="none"/>
        </w:rPr>
        <w:t>4</w:t>
      </w:r>
      <w:r>
        <w:rPr>
          <w:rFonts w:ascii="Times New Roman" w:hAnsi="Times New Roman" w:eastAsia="宋体"/>
          <w:color w:val="auto"/>
          <w:highlight w:val="none"/>
        </w:rPr>
        <w:t>0L计，污水排放量按用水量的80%计，则现场施工人员生活污水产生量约为</w:t>
      </w:r>
      <w:r>
        <w:rPr>
          <w:rFonts w:hint="eastAsia" w:ascii="Times New Roman" w:hAnsi="Times New Roman" w:eastAsia="宋体"/>
          <w:color w:val="auto"/>
          <w:highlight w:val="none"/>
        </w:rPr>
        <w:t>0.96</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/d。生活污水主要污染因子为SS、COD、BOD</w:t>
      </w:r>
      <w:r>
        <w:rPr>
          <w:rFonts w:ascii="Times New Roman" w:hAnsi="Times New Roman" w:eastAsia="宋体"/>
          <w:color w:val="auto"/>
          <w:highlight w:val="none"/>
          <w:vertAlign w:val="subscript"/>
        </w:rPr>
        <w:t>5</w:t>
      </w:r>
      <w:r>
        <w:rPr>
          <w:rFonts w:ascii="Times New Roman" w:hAnsi="Times New Roman" w:eastAsia="宋体"/>
          <w:color w:val="auto"/>
          <w:highlight w:val="none"/>
        </w:rPr>
        <w:t>、氨氮。</w:t>
      </w:r>
    </w:p>
    <w:p w14:paraId="16C1499B">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3.3.1.3施工期</w:t>
      </w:r>
      <w:r>
        <w:rPr>
          <w:rFonts w:ascii="Times New Roman" w:hAnsi="Times New Roman" w:eastAsia="宋体"/>
          <w:color w:val="auto"/>
          <w:highlight w:val="none"/>
        </w:rPr>
        <w:t>噪声</w:t>
      </w:r>
      <w:r>
        <w:rPr>
          <w:rFonts w:hint="eastAsia" w:ascii="Times New Roman" w:hAnsi="Times New Roman" w:eastAsia="宋体"/>
          <w:color w:val="auto"/>
          <w:highlight w:val="none"/>
        </w:rPr>
        <w:t>污染源</w:t>
      </w:r>
    </w:p>
    <w:p w14:paraId="382D6A4A">
      <w:pPr>
        <w:ind w:firstLine="480"/>
        <w:rPr>
          <w:rFonts w:ascii="Times New Roman" w:hAnsi="Times New Roman" w:eastAsia="宋体"/>
          <w:color w:val="auto"/>
          <w:highlight w:val="none"/>
        </w:rPr>
      </w:pPr>
      <w:r>
        <w:rPr>
          <w:rFonts w:ascii="Times New Roman" w:hAnsi="Times New Roman" w:eastAsia="宋体"/>
          <w:color w:val="auto"/>
          <w:highlight w:val="none"/>
        </w:rPr>
        <w:t>施工期噪声主要来自施工机械噪声、施工作业噪声和运输车辆噪声。施工机械噪声由施工机械所造成，如挖土机、打桩机、混凝土搅拌机、升降机等，多为点声源；施工作业噪声主要指一些零星的敲打声、装卸建材的撞击声、施工人员的吆喝声、拆装模板的撞击声等，多为瞬间噪声；运输车辆的噪声属于交通噪声。</w:t>
      </w:r>
    </w:p>
    <w:p w14:paraId="3575403E">
      <w:pPr>
        <w:ind w:firstLine="480"/>
        <w:rPr>
          <w:rFonts w:ascii="Times New Roman" w:hAnsi="Times New Roman" w:eastAsia="宋体"/>
          <w:color w:val="auto"/>
          <w:highlight w:val="none"/>
        </w:rPr>
      </w:pPr>
      <w:r>
        <w:rPr>
          <w:rFonts w:ascii="Times New Roman" w:hAnsi="Times New Roman" w:eastAsia="宋体"/>
          <w:color w:val="auto"/>
          <w:highlight w:val="none"/>
        </w:rPr>
        <w:t>各施工阶段的主要产噪机械设备、运输车辆及其声级值见表3.</w:t>
      </w:r>
      <w:r>
        <w:rPr>
          <w:rFonts w:hint="eastAsia" w:ascii="Times New Roman" w:hAnsi="Times New Roman" w:eastAsia="宋体"/>
          <w:color w:val="auto"/>
          <w:highlight w:val="none"/>
        </w:rPr>
        <w:t>3</w:t>
      </w:r>
      <w:r>
        <w:rPr>
          <w:rFonts w:ascii="Times New Roman" w:hAnsi="Times New Roman" w:eastAsia="宋体"/>
          <w:color w:val="auto"/>
          <w:highlight w:val="none"/>
        </w:rPr>
        <w:t>-2和表3.</w:t>
      </w:r>
      <w:r>
        <w:rPr>
          <w:rFonts w:hint="eastAsia" w:ascii="Times New Roman" w:hAnsi="Times New Roman" w:eastAsia="宋体"/>
          <w:color w:val="auto"/>
          <w:highlight w:val="none"/>
        </w:rPr>
        <w:t>3</w:t>
      </w:r>
      <w:r>
        <w:rPr>
          <w:rFonts w:ascii="Times New Roman" w:hAnsi="Times New Roman" w:eastAsia="宋体"/>
          <w:color w:val="auto"/>
          <w:highlight w:val="none"/>
        </w:rPr>
        <w:t>-3。</w:t>
      </w:r>
    </w:p>
    <w:p w14:paraId="4D23264D">
      <w:pPr>
        <w:pStyle w:val="10"/>
        <w:rPr>
          <w:rFonts w:ascii="Times New Roman" w:hAnsi="Times New Roman" w:eastAsia="宋体"/>
          <w:color w:val="auto"/>
          <w:highlight w:val="none"/>
        </w:rPr>
      </w:pPr>
      <w:r>
        <w:rPr>
          <w:rFonts w:hint="eastAsia" w:ascii="Times New Roman" w:hAnsi="Times New Roman" w:eastAsia="宋体"/>
          <w:color w:val="auto"/>
          <w:highlight w:val="none"/>
        </w:rPr>
        <w:t>表3.3-2施工噪声源强声级统计表单位：dB（A）</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130"/>
        <w:gridCol w:w="2131"/>
        <w:gridCol w:w="2130"/>
      </w:tblGrid>
      <w:tr w14:paraId="5115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1" w:type="dxa"/>
            <w:vAlign w:val="center"/>
          </w:tcPr>
          <w:p w14:paraId="7DE40EC8">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施工阶段</w:t>
            </w:r>
          </w:p>
        </w:tc>
        <w:tc>
          <w:tcPr>
            <w:tcW w:w="2130" w:type="dxa"/>
            <w:vAlign w:val="center"/>
          </w:tcPr>
          <w:p w14:paraId="3ED402DD">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声源</w:t>
            </w:r>
          </w:p>
        </w:tc>
        <w:tc>
          <w:tcPr>
            <w:tcW w:w="2131" w:type="dxa"/>
            <w:vAlign w:val="center"/>
          </w:tcPr>
          <w:p w14:paraId="61329742">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声源强度</w:t>
            </w:r>
          </w:p>
        </w:tc>
        <w:tc>
          <w:tcPr>
            <w:tcW w:w="2130" w:type="dxa"/>
            <w:vAlign w:val="center"/>
          </w:tcPr>
          <w:p w14:paraId="0E06ADD8">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声源性质</w:t>
            </w:r>
          </w:p>
        </w:tc>
      </w:tr>
      <w:tr w14:paraId="21E8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restart"/>
            <w:vAlign w:val="center"/>
          </w:tcPr>
          <w:p w14:paraId="6C9CB8E0">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土石方阶段</w:t>
            </w:r>
          </w:p>
        </w:tc>
        <w:tc>
          <w:tcPr>
            <w:tcW w:w="2130" w:type="dxa"/>
            <w:vAlign w:val="center"/>
          </w:tcPr>
          <w:p w14:paraId="0F648B8A">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挖掘机</w:t>
            </w:r>
          </w:p>
        </w:tc>
        <w:tc>
          <w:tcPr>
            <w:tcW w:w="2131" w:type="dxa"/>
            <w:vAlign w:val="center"/>
          </w:tcPr>
          <w:p w14:paraId="5920F14C">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78-96</w:t>
            </w:r>
          </w:p>
        </w:tc>
        <w:tc>
          <w:tcPr>
            <w:tcW w:w="2130" w:type="dxa"/>
            <w:vMerge w:val="restart"/>
            <w:vAlign w:val="center"/>
          </w:tcPr>
          <w:p w14:paraId="093BA611">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间歇性声源</w:t>
            </w:r>
          </w:p>
        </w:tc>
      </w:tr>
      <w:tr w14:paraId="7D9A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4FA01C6B">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14:paraId="7641451A">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推土机</w:t>
            </w:r>
          </w:p>
        </w:tc>
        <w:tc>
          <w:tcPr>
            <w:tcW w:w="2131" w:type="dxa"/>
            <w:vAlign w:val="center"/>
          </w:tcPr>
          <w:p w14:paraId="2C3DF272">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75-95</w:t>
            </w:r>
          </w:p>
        </w:tc>
        <w:tc>
          <w:tcPr>
            <w:tcW w:w="2130" w:type="dxa"/>
            <w:vMerge w:val="continue"/>
            <w:vAlign w:val="center"/>
          </w:tcPr>
          <w:p w14:paraId="5DFAC106">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2498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05906182">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14:paraId="6DF93EFE">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装载机</w:t>
            </w:r>
          </w:p>
        </w:tc>
        <w:tc>
          <w:tcPr>
            <w:tcW w:w="2131" w:type="dxa"/>
            <w:vAlign w:val="center"/>
          </w:tcPr>
          <w:p w14:paraId="221F4885">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75-95</w:t>
            </w:r>
          </w:p>
        </w:tc>
        <w:tc>
          <w:tcPr>
            <w:tcW w:w="2130" w:type="dxa"/>
            <w:vMerge w:val="continue"/>
            <w:vAlign w:val="center"/>
          </w:tcPr>
          <w:p w14:paraId="4BC354A1">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60E5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5862D01C">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14:paraId="49854ADE">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卷扬机</w:t>
            </w:r>
          </w:p>
        </w:tc>
        <w:tc>
          <w:tcPr>
            <w:tcW w:w="2131" w:type="dxa"/>
            <w:vAlign w:val="center"/>
          </w:tcPr>
          <w:p w14:paraId="572F15D2">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90-105</w:t>
            </w:r>
          </w:p>
        </w:tc>
        <w:tc>
          <w:tcPr>
            <w:tcW w:w="2130" w:type="dxa"/>
            <w:vMerge w:val="continue"/>
            <w:vAlign w:val="center"/>
          </w:tcPr>
          <w:p w14:paraId="58CDBC5F">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2E66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restart"/>
            <w:vAlign w:val="center"/>
          </w:tcPr>
          <w:p w14:paraId="2CE6CF12">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底板与结构阶段</w:t>
            </w:r>
          </w:p>
        </w:tc>
        <w:tc>
          <w:tcPr>
            <w:tcW w:w="2130" w:type="dxa"/>
            <w:vAlign w:val="center"/>
          </w:tcPr>
          <w:p w14:paraId="4280B480">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混凝土输送泵</w:t>
            </w:r>
          </w:p>
        </w:tc>
        <w:tc>
          <w:tcPr>
            <w:tcW w:w="2131" w:type="dxa"/>
            <w:vAlign w:val="center"/>
          </w:tcPr>
          <w:p w14:paraId="42AD9B1C">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90-100</w:t>
            </w:r>
          </w:p>
        </w:tc>
        <w:tc>
          <w:tcPr>
            <w:tcW w:w="2130" w:type="dxa"/>
            <w:vMerge w:val="continue"/>
            <w:vAlign w:val="center"/>
          </w:tcPr>
          <w:p w14:paraId="7D12B8AE">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117E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40E7C2F9">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14:paraId="3FEE1A25">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振捣器</w:t>
            </w:r>
          </w:p>
        </w:tc>
        <w:tc>
          <w:tcPr>
            <w:tcW w:w="2131" w:type="dxa"/>
            <w:vAlign w:val="center"/>
          </w:tcPr>
          <w:p w14:paraId="25134D53">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100-105</w:t>
            </w:r>
          </w:p>
        </w:tc>
        <w:tc>
          <w:tcPr>
            <w:tcW w:w="2130" w:type="dxa"/>
            <w:vMerge w:val="continue"/>
            <w:vAlign w:val="center"/>
          </w:tcPr>
          <w:p w14:paraId="56DE810D">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26CC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1A46CFC5">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14:paraId="3FF7048A">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电焊机</w:t>
            </w:r>
          </w:p>
        </w:tc>
        <w:tc>
          <w:tcPr>
            <w:tcW w:w="2131" w:type="dxa"/>
            <w:vAlign w:val="center"/>
          </w:tcPr>
          <w:p w14:paraId="7799D541">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90-95</w:t>
            </w:r>
          </w:p>
        </w:tc>
        <w:tc>
          <w:tcPr>
            <w:tcW w:w="2130" w:type="dxa"/>
            <w:vMerge w:val="continue"/>
            <w:vAlign w:val="center"/>
          </w:tcPr>
          <w:p w14:paraId="56797987">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3D0F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424581C8">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14:paraId="5677ABCF">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空压机</w:t>
            </w:r>
          </w:p>
        </w:tc>
        <w:tc>
          <w:tcPr>
            <w:tcW w:w="2131" w:type="dxa"/>
            <w:vAlign w:val="center"/>
          </w:tcPr>
          <w:p w14:paraId="4C56B444">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110</w:t>
            </w:r>
          </w:p>
        </w:tc>
        <w:tc>
          <w:tcPr>
            <w:tcW w:w="2130" w:type="dxa"/>
            <w:vMerge w:val="continue"/>
            <w:vAlign w:val="center"/>
          </w:tcPr>
          <w:p w14:paraId="5921176A">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5AE9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421657C3">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14:paraId="2E810EB6">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夯土机</w:t>
            </w:r>
          </w:p>
        </w:tc>
        <w:tc>
          <w:tcPr>
            <w:tcW w:w="2131" w:type="dxa"/>
            <w:vAlign w:val="center"/>
          </w:tcPr>
          <w:p w14:paraId="3BD4B4AF">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110</w:t>
            </w:r>
          </w:p>
        </w:tc>
        <w:tc>
          <w:tcPr>
            <w:tcW w:w="2130" w:type="dxa"/>
            <w:vMerge w:val="continue"/>
            <w:vAlign w:val="center"/>
          </w:tcPr>
          <w:p w14:paraId="51BE8553">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4A76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restart"/>
            <w:vAlign w:val="center"/>
          </w:tcPr>
          <w:p w14:paraId="4892D948">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装修、安装阶段</w:t>
            </w:r>
          </w:p>
        </w:tc>
        <w:tc>
          <w:tcPr>
            <w:tcW w:w="2130" w:type="dxa"/>
            <w:vAlign w:val="center"/>
          </w:tcPr>
          <w:p w14:paraId="32AAC6D5">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电钻</w:t>
            </w:r>
          </w:p>
        </w:tc>
        <w:tc>
          <w:tcPr>
            <w:tcW w:w="2131" w:type="dxa"/>
            <w:vAlign w:val="center"/>
          </w:tcPr>
          <w:p w14:paraId="4C11B0B7">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100-105</w:t>
            </w:r>
          </w:p>
        </w:tc>
        <w:tc>
          <w:tcPr>
            <w:tcW w:w="2130" w:type="dxa"/>
            <w:vMerge w:val="continue"/>
            <w:vAlign w:val="center"/>
          </w:tcPr>
          <w:p w14:paraId="5168740B">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1EBC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06943855">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14:paraId="0D9CA72D">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多功能木工刨</w:t>
            </w:r>
          </w:p>
        </w:tc>
        <w:tc>
          <w:tcPr>
            <w:tcW w:w="2131" w:type="dxa"/>
            <w:vAlign w:val="center"/>
          </w:tcPr>
          <w:p w14:paraId="3225D2B1">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90-100</w:t>
            </w:r>
          </w:p>
        </w:tc>
        <w:tc>
          <w:tcPr>
            <w:tcW w:w="2130" w:type="dxa"/>
            <w:vMerge w:val="continue"/>
            <w:vAlign w:val="center"/>
          </w:tcPr>
          <w:p w14:paraId="5785A7B2">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7D55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06A7ACC6">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14:paraId="76134F61">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角向磨光机</w:t>
            </w:r>
          </w:p>
        </w:tc>
        <w:tc>
          <w:tcPr>
            <w:tcW w:w="2131" w:type="dxa"/>
            <w:vAlign w:val="center"/>
          </w:tcPr>
          <w:p w14:paraId="571BF3F7">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100-115</w:t>
            </w:r>
          </w:p>
        </w:tc>
        <w:tc>
          <w:tcPr>
            <w:tcW w:w="2130" w:type="dxa"/>
            <w:vMerge w:val="continue"/>
            <w:vAlign w:val="center"/>
          </w:tcPr>
          <w:p w14:paraId="3E8DE338">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026E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vMerge w:val="continue"/>
            <w:vAlign w:val="center"/>
          </w:tcPr>
          <w:p w14:paraId="2C3E56F0">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2130" w:type="dxa"/>
            <w:vAlign w:val="center"/>
          </w:tcPr>
          <w:p w14:paraId="1CB933DA">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手工钻</w:t>
            </w:r>
          </w:p>
        </w:tc>
        <w:tc>
          <w:tcPr>
            <w:tcW w:w="2131" w:type="dxa"/>
            <w:vAlign w:val="center"/>
          </w:tcPr>
          <w:p w14:paraId="747E9A4F">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100-105</w:t>
            </w:r>
          </w:p>
        </w:tc>
        <w:tc>
          <w:tcPr>
            <w:tcW w:w="2130" w:type="dxa"/>
            <w:vMerge w:val="continue"/>
            <w:vAlign w:val="center"/>
          </w:tcPr>
          <w:p w14:paraId="34B758D0">
            <w:pPr>
              <w:snapToGrid w:val="0"/>
              <w:spacing w:line="240" w:lineRule="auto"/>
              <w:ind w:firstLine="0" w:firstLineChars="0"/>
              <w:jc w:val="center"/>
              <w:rPr>
                <w:rFonts w:ascii="Times New Roman" w:hAnsi="Times New Roman" w:eastAsia="宋体"/>
                <w:color w:val="auto"/>
                <w:kern w:val="2"/>
                <w:sz w:val="21"/>
                <w:szCs w:val="21"/>
                <w:highlight w:val="none"/>
              </w:rPr>
            </w:pPr>
          </w:p>
        </w:tc>
      </w:tr>
    </w:tbl>
    <w:p w14:paraId="1C720744">
      <w:pPr>
        <w:pStyle w:val="10"/>
        <w:rPr>
          <w:rFonts w:ascii="Times New Roman" w:hAnsi="Times New Roman" w:eastAsia="宋体"/>
          <w:color w:val="auto"/>
          <w:highlight w:val="none"/>
        </w:rPr>
      </w:pPr>
      <w:r>
        <w:rPr>
          <w:rFonts w:hint="eastAsia" w:ascii="Times New Roman" w:hAnsi="Times New Roman" w:eastAsia="宋体"/>
          <w:color w:val="auto"/>
          <w:highlight w:val="none"/>
        </w:rPr>
        <w:t>表3.3-3运输车辆交通噪声源强统计表单位：dB（A）</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4"/>
        <w:gridCol w:w="2666"/>
        <w:gridCol w:w="2131"/>
        <w:gridCol w:w="2131"/>
      </w:tblGrid>
      <w:tr w14:paraId="1D4F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4" w:type="dxa"/>
            <w:vAlign w:val="center"/>
          </w:tcPr>
          <w:p w14:paraId="150118FB">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施工阶段</w:t>
            </w:r>
          </w:p>
        </w:tc>
        <w:tc>
          <w:tcPr>
            <w:tcW w:w="2666" w:type="dxa"/>
            <w:vAlign w:val="center"/>
          </w:tcPr>
          <w:p w14:paraId="544CDF2A">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运输内容</w:t>
            </w:r>
          </w:p>
        </w:tc>
        <w:tc>
          <w:tcPr>
            <w:tcW w:w="2131" w:type="dxa"/>
            <w:vAlign w:val="center"/>
          </w:tcPr>
          <w:p w14:paraId="52CF8305">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车辆类型</w:t>
            </w:r>
          </w:p>
        </w:tc>
        <w:tc>
          <w:tcPr>
            <w:tcW w:w="2131" w:type="dxa"/>
            <w:vAlign w:val="center"/>
          </w:tcPr>
          <w:p w14:paraId="2C057615">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声源强度</w:t>
            </w:r>
          </w:p>
        </w:tc>
      </w:tr>
      <w:tr w14:paraId="7041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vAlign w:val="center"/>
          </w:tcPr>
          <w:p w14:paraId="7289F271">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基础工程</w:t>
            </w:r>
          </w:p>
        </w:tc>
        <w:tc>
          <w:tcPr>
            <w:tcW w:w="2666" w:type="dxa"/>
            <w:vAlign w:val="center"/>
          </w:tcPr>
          <w:p w14:paraId="11BB1071">
            <w:pPr>
              <w:snapToGrid w:val="0"/>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弃土外运</w:t>
            </w:r>
          </w:p>
        </w:tc>
        <w:tc>
          <w:tcPr>
            <w:tcW w:w="2131" w:type="dxa"/>
            <w:vAlign w:val="center"/>
          </w:tcPr>
          <w:p w14:paraId="65AC5E64">
            <w:pPr>
              <w:snapToGrid w:val="0"/>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大型载重车</w:t>
            </w:r>
          </w:p>
        </w:tc>
        <w:tc>
          <w:tcPr>
            <w:tcW w:w="2131" w:type="dxa"/>
            <w:vAlign w:val="center"/>
          </w:tcPr>
          <w:p w14:paraId="6E9BBBD3">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84-89</w:t>
            </w:r>
          </w:p>
        </w:tc>
      </w:tr>
      <w:tr w14:paraId="6A4A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vAlign w:val="center"/>
          </w:tcPr>
          <w:p w14:paraId="45A05DE1">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主体工程</w:t>
            </w:r>
          </w:p>
        </w:tc>
        <w:tc>
          <w:tcPr>
            <w:tcW w:w="2666" w:type="dxa"/>
            <w:vAlign w:val="center"/>
          </w:tcPr>
          <w:p w14:paraId="566C2F06">
            <w:pPr>
              <w:snapToGrid w:val="0"/>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钢筋、商品混凝土</w:t>
            </w:r>
          </w:p>
        </w:tc>
        <w:tc>
          <w:tcPr>
            <w:tcW w:w="2131" w:type="dxa"/>
            <w:vAlign w:val="center"/>
          </w:tcPr>
          <w:p w14:paraId="1BD1B5E1">
            <w:pPr>
              <w:snapToGrid w:val="0"/>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混凝土罐车、载重车</w:t>
            </w:r>
          </w:p>
        </w:tc>
        <w:tc>
          <w:tcPr>
            <w:tcW w:w="2131" w:type="dxa"/>
            <w:vAlign w:val="center"/>
          </w:tcPr>
          <w:p w14:paraId="1420E113">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80-85</w:t>
            </w:r>
          </w:p>
        </w:tc>
      </w:tr>
      <w:tr w14:paraId="7162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4" w:type="dxa"/>
            <w:vAlign w:val="center"/>
          </w:tcPr>
          <w:p w14:paraId="264E3E6E">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装饰工程</w:t>
            </w:r>
          </w:p>
        </w:tc>
        <w:tc>
          <w:tcPr>
            <w:tcW w:w="2666" w:type="dxa"/>
            <w:vAlign w:val="center"/>
          </w:tcPr>
          <w:p w14:paraId="4C592302">
            <w:pPr>
              <w:snapToGrid w:val="0"/>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各种装修材料及必备设备</w:t>
            </w:r>
          </w:p>
        </w:tc>
        <w:tc>
          <w:tcPr>
            <w:tcW w:w="2131" w:type="dxa"/>
            <w:vAlign w:val="center"/>
          </w:tcPr>
          <w:p w14:paraId="799B3462">
            <w:pPr>
              <w:snapToGrid w:val="0"/>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轻型载重卡车</w:t>
            </w:r>
          </w:p>
        </w:tc>
        <w:tc>
          <w:tcPr>
            <w:tcW w:w="2131" w:type="dxa"/>
            <w:vAlign w:val="center"/>
          </w:tcPr>
          <w:p w14:paraId="1FF85BFB">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75-80</w:t>
            </w:r>
          </w:p>
        </w:tc>
      </w:tr>
    </w:tbl>
    <w:p w14:paraId="32553C90">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3.3.1.4施工期</w:t>
      </w:r>
      <w:r>
        <w:rPr>
          <w:rFonts w:ascii="Times New Roman" w:hAnsi="Times New Roman" w:eastAsia="宋体"/>
          <w:color w:val="auto"/>
          <w:highlight w:val="none"/>
        </w:rPr>
        <w:t>固体废物</w:t>
      </w:r>
    </w:p>
    <w:p w14:paraId="1E99A517">
      <w:pPr>
        <w:ind w:firstLine="480"/>
        <w:rPr>
          <w:rFonts w:ascii="Times New Roman" w:hAnsi="Times New Roman" w:eastAsia="宋体"/>
          <w:color w:val="auto"/>
          <w:highlight w:val="none"/>
        </w:rPr>
      </w:pPr>
      <w:r>
        <w:rPr>
          <w:rFonts w:ascii="Times New Roman" w:hAnsi="Times New Roman" w:eastAsia="宋体"/>
          <w:color w:val="auto"/>
          <w:highlight w:val="none"/>
        </w:rPr>
        <w:t>施工期间固体废物主要源于施工人员生活垃圾和施工场地产生的建筑垃圾（废弃砖块、废钢筋等）。</w:t>
      </w:r>
    </w:p>
    <w:p w14:paraId="5A8140BE">
      <w:pPr>
        <w:ind w:firstLine="480"/>
        <w:rPr>
          <w:rFonts w:ascii="Times New Roman" w:hAnsi="Times New Roman" w:eastAsia="宋体"/>
          <w:color w:val="auto"/>
          <w:highlight w:val="none"/>
        </w:rPr>
      </w:pPr>
      <w:r>
        <w:rPr>
          <w:rFonts w:ascii="Times New Roman" w:hAnsi="Times New Roman" w:eastAsia="宋体"/>
          <w:color w:val="auto"/>
          <w:highlight w:val="none"/>
        </w:rPr>
        <w:t>本项目主要建筑物为</w:t>
      </w:r>
      <w:r>
        <w:rPr>
          <w:rFonts w:hint="eastAsia" w:ascii="Times New Roman" w:hAnsi="Times New Roman" w:eastAsia="宋体"/>
          <w:color w:val="auto"/>
          <w:highlight w:val="none"/>
        </w:rPr>
        <w:t>标准化</w:t>
      </w:r>
      <w:r>
        <w:rPr>
          <w:rFonts w:hint="eastAsia"/>
          <w:color w:val="auto"/>
          <w:highlight w:val="none"/>
          <w:lang w:val="en-US" w:eastAsia="zh-CN"/>
        </w:rPr>
        <w:t>鸡</w:t>
      </w:r>
      <w:r>
        <w:rPr>
          <w:rFonts w:hint="eastAsia" w:ascii="Times New Roman" w:hAnsi="Times New Roman" w:eastAsia="宋体"/>
          <w:color w:val="auto"/>
          <w:highlight w:val="none"/>
        </w:rPr>
        <w:t>舍</w:t>
      </w:r>
      <w:r>
        <w:rPr>
          <w:rFonts w:ascii="Times New Roman" w:hAnsi="Times New Roman" w:eastAsia="宋体"/>
          <w:color w:val="auto"/>
          <w:highlight w:val="none"/>
        </w:rPr>
        <w:t>及相应的配套设施，在建设过程中会产生碎砖块、砂浆、桩头、水泥、钢筋、涂料和包装材料等建筑垃圾。此类固体废物应按相关环境保护要求及时清运至</w:t>
      </w:r>
      <w:r>
        <w:rPr>
          <w:rFonts w:hint="eastAsia" w:ascii="Times New Roman" w:hAnsi="Times New Roman" w:eastAsia="宋体"/>
          <w:color w:val="auto"/>
          <w:highlight w:val="none"/>
          <w:lang w:eastAsia="zh-CN"/>
        </w:rPr>
        <w:t>玛纳斯县</w:t>
      </w:r>
      <w:r>
        <w:rPr>
          <w:rFonts w:ascii="Times New Roman" w:hAnsi="Times New Roman" w:eastAsia="宋体"/>
          <w:color w:val="auto"/>
          <w:highlight w:val="none"/>
        </w:rPr>
        <w:t>建筑垃圾填埋场填埋，建筑垃圾使用加盖篷布的车辆运输。施工产生的固体废物中遗留在现场的建筑废物要及时清运或回填，将建筑垃圾运至指定地点。各施工单位要加强施工管理，对施工产生的生活垃圾和建筑垃圾不得随意倾倒。</w:t>
      </w:r>
    </w:p>
    <w:p w14:paraId="44189AAC">
      <w:pPr>
        <w:ind w:firstLine="480"/>
        <w:rPr>
          <w:rFonts w:ascii="Times New Roman" w:hAnsi="Times New Roman" w:eastAsia="宋体"/>
          <w:color w:val="auto"/>
          <w:highlight w:val="none"/>
        </w:rPr>
      </w:pPr>
      <w:r>
        <w:rPr>
          <w:rFonts w:ascii="Times New Roman" w:hAnsi="Times New Roman" w:eastAsia="宋体"/>
          <w:color w:val="auto"/>
          <w:highlight w:val="none"/>
        </w:rPr>
        <w:t>生活垃圾按</w:t>
      </w:r>
      <w:r>
        <w:rPr>
          <w:rFonts w:hint="eastAsia" w:ascii="Times New Roman" w:hAnsi="Times New Roman" w:eastAsia="宋体"/>
          <w:color w:val="auto"/>
          <w:highlight w:val="none"/>
        </w:rPr>
        <w:t>0.5</w:t>
      </w:r>
      <w:r>
        <w:rPr>
          <w:rFonts w:ascii="Times New Roman" w:hAnsi="Times New Roman" w:eastAsia="宋体"/>
          <w:color w:val="auto"/>
          <w:highlight w:val="none"/>
        </w:rPr>
        <w:t>kg/人·d计，则施工期生活垃圾产生量为</w:t>
      </w:r>
      <w:r>
        <w:rPr>
          <w:rFonts w:hint="eastAsia" w:ascii="Times New Roman" w:hAnsi="Times New Roman" w:eastAsia="宋体"/>
          <w:color w:val="auto"/>
          <w:highlight w:val="none"/>
        </w:rPr>
        <w:t>15</w:t>
      </w:r>
      <w:r>
        <w:rPr>
          <w:rFonts w:ascii="Times New Roman" w:hAnsi="Times New Roman" w:eastAsia="宋体"/>
          <w:color w:val="auto"/>
          <w:highlight w:val="none"/>
        </w:rPr>
        <w:t>kg/d。对施工人员产生的生活垃圾，设置垃圾箱，集中收集后交由环卫部门统一处置。</w:t>
      </w:r>
    </w:p>
    <w:p w14:paraId="002A6FE2">
      <w:pPr>
        <w:ind w:firstLine="480"/>
        <w:rPr>
          <w:rFonts w:ascii="Times New Roman" w:hAnsi="Times New Roman" w:eastAsia="宋体"/>
          <w:color w:val="auto"/>
          <w:highlight w:val="none"/>
        </w:rPr>
      </w:pPr>
      <w:r>
        <w:rPr>
          <w:rFonts w:ascii="Times New Roman" w:hAnsi="Times New Roman" w:eastAsia="宋体"/>
          <w:color w:val="auto"/>
          <w:highlight w:val="none"/>
        </w:rPr>
        <w:t>施工期项目的固体废弃物排放是暂时的，随着施工的结束而减小，通过积极有效的施工管理，施工期固体废弃物对环境造成的影响不大。</w:t>
      </w:r>
    </w:p>
    <w:p w14:paraId="7BDCBAAA">
      <w:pPr>
        <w:pStyle w:val="5"/>
        <w:rPr>
          <w:rFonts w:ascii="Times New Roman" w:hAnsi="Times New Roman" w:eastAsia="宋体"/>
          <w:color w:val="auto"/>
          <w:highlight w:val="none"/>
        </w:rPr>
      </w:pPr>
      <w:bookmarkStart w:id="119" w:name="_Toc106663472"/>
      <w:r>
        <w:rPr>
          <w:rFonts w:ascii="Times New Roman" w:hAnsi="Times New Roman" w:eastAsia="宋体"/>
          <w:color w:val="auto"/>
          <w:highlight w:val="none"/>
        </w:rPr>
        <w:t>3.</w:t>
      </w:r>
      <w:r>
        <w:rPr>
          <w:rFonts w:hint="eastAsia" w:ascii="Times New Roman" w:hAnsi="Times New Roman" w:eastAsia="宋体"/>
          <w:color w:val="auto"/>
          <w:highlight w:val="none"/>
        </w:rPr>
        <w:t>3</w:t>
      </w:r>
      <w:r>
        <w:rPr>
          <w:rFonts w:ascii="Times New Roman" w:hAnsi="Times New Roman" w:eastAsia="宋体"/>
          <w:color w:val="auto"/>
          <w:highlight w:val="none"/>
        </w:rPr>
        <w:t>.2运营期</w:t>
      </w:r>
      <w:r>
        <w:rPr>
          <w:rFonts w:hint="eastAsia" w:ascii="Times New Roman" w:hAnsi="Times New Roman" w:eastAsia="宋体"/>
          <w:color w:val="auto"/>
          <w:highlight w:val="none"/>
        </w:rPr>
        <w:t>污染源强</w:t>
      </w:r>
      <w:r>
        <w:rPr>
          <w:rFonts w:ascii="Times New Roman" w:hAnsi="Times New Roman" w:eastAsia="宋体"/>
          <w:color w:val="auto"/>
          <w:highlight w:val="none"/>
        </w:rPr>
        <w:t>分析</w:t>
      </w:r>
      <w:bookmarkEnd w:id="119"/>
    </w:p>
    <w:p w14:paraId="664536BC">
      <w:pPr>
        <w:pStyle w:val="6"/>
        <w:ind w:firstLine="482"/>
        <w:rPr>
          <w:rFonts w:ascii="Times New Roman" w:hAnsi="Times New Roman" w:eastAsia="宋体"/>
          <w:color w:val="auto"/>
          <w:highlight w:val="none"/>
        </w:rPr>
      </w:pPr>
      <w:r>
        <w:rPr>
          <w:rFonts w:ascii="Times New Roman" w:hAnsi="Times New Roman" w:eastAsia="宋体"/>
          <w:color w:val="auto"/>
          <w:highlight w:val="none"/>
        </w:rPr>
        <w:t>3.</w:t>
      </w:r>
      <w:r>
        <w:rPr>
          <w:rFonts w:hint="eastAsia" w:ascii="Times New Roman" w:hAnsi="Times New Roman" w:eastAsia="宋体"/>
          <w:color w:val="auto"/>
          <w:highlight w:val="none"/>
        </w:rPr>
        <w:t>3</w:t>
      </w:r>
      <w:r>
        <w:rPr>
          <w:rFonts w:ascii="Times New Roman" w:hAnsi="Times New Roman" w:eastAsia="宋体"/>
          <w:color w:val="auto"/>
          <w:highlight w:val="none"/>
        </w:rPr>
        <w:t>.2.1</w:t>
      </w:r>
      <w:r>
        <w:rPr>
          <w:rFonts w:hint="eastAsia" w:ascii="Times New Roman" w:hAnsi="Times New Roman" w:eastAsia="宋体"/>
          <w:color w:val="auto"/>
          <w:highlight w:val="none"/>
        </w:rPr>
        <w:t>运营期大气污染源</w:t>
      </w:r>
    </w:p>
    <w:p w14:paraId="26D8E4F7">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本项目冬季供暖采用电锅炉供暖，不使用天然气和燃煤锅炉，因此，本项目废气主要是恶臭气体。</w:t>
      </w:r>
    </w:p>
    <w:p w14:paraId="4016D31B">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1、恶臭气体</w:t>
      </w:r>
    </w:p>
    <w:p w14:paraId="347FCAEF">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（1）</w:t>
      </w:r>
      <w:bookmarkStart w:id="120" w:name="_Hlk107835040"/>
      <w:r>
        <w:rPr>
          <w:rFonts w:hint="eastAsia" w:ascii="Times New Roman" w:hAnsi="Times New Roman" w:eastAsia="宋体"/>
          <w:color w:val="auto"/>
          <w:spacing w:val="0"/>
          <w:sz w:val="24"/>
          <w:highlight w:val="none"/>
        </w:rPr>
        <w:t>圈舍</w:t>
      </w:r>
      <w:bookmarkEnd w:id="120"/>
      <w:r>
        <w:rPr>
          <w:rFonts w:hint="eastAsia" w:ascii="Times New Roman" w:hAnsi="Times New Roman" w:eastAsia="宋体"/>
          <w:color w:val="auto"/>
          <w:spacing w:val="0"/>
          <w:sz w:val="24"/>
          <w:highlight w:val="none"/>
        </w:rPr>
        <w:t>恶臭</w:t>
      </w:r>
    </w:p>
    <w:p w14:paraId="276D90B0">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①来源及组成</w:t>
      </w:r>
    </w:p>
    <w:p w14:paraId="265A1D76">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ascii="Times New Roman" w:hAnsi="Times New Roman" w:eastAsia="宋体"/>
          <w:color w:val="auto"/>
          <w:spacing w:val="0"/>
          <w:sz w:val="24"/>
          <w:highlight w:val="none"/>
        </w:rPr>
        <w:t>本项目恶臭污染物主要来源于养殖区，恶臭气体产生量一般夏季大于冬季，臭味强度夏季大于冬季，其主要原因是夏季温度高，易于细菌生长繁殖，也容易出现粪便腐化现象，粪便腐化时臭气产生量、排放量均较大。</w:t>
      </w:r>
    </w:p>
    <w:p w14:paraId="1D279344">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ascii="Times New Roman" w:hAnsi="Times New Roman" w:eastAsia="宋体"/>
          <w:color w:val="auto"/>
          <w:spacing w:val="0"/>
          <w:sz w:val="24"/>
          <w:highlight w:val="none"/>
        </w:rPr>
        <w:t>鸡粪臭气成份主要是有机物中氨和硫生产的氨气</w:t>
      </w:r>
      <w:r>
        <w:rPr>
          <w:rFonts w:hint="eastAsia"/>
          <w:color w:val="auto"/>
          <w:spacing w:val="0"/>
          <w:sz w:val="24"/>
          <w:highlight w:val="none"/>
          <w:lang w:eastAsia="zh-CN"/>
        </w:rPr>
        <w:t>（</w:t>
      </w:r>
      <w:r>
        <w:rPr>
          <w:rFonts w:ascii="Times New Roman" w:hAnsi="Times New Roman" w:eastAsia="宋体"/>
          <w:color w:val="auto"/>
          <w:spacing w:val="0"/>
          <w:sz w:val="24"/>
          <w:highlight w:val="none"/>
        </w:rPr>
        <w:t>NH</w:t>
      </w:r>
      <w:r>
        <w:rPr>
          <w:rFonts w:ascii="Times New Roman" w:hAnsi="Times New Roman" w:eastAsia="宋体"/>
          <w:color w:val="auto"/>
          <w:spacing w:val="0"/>
          <w:sz w:val="24"/>
          <w:highlight w:val="none"/>
          <w:vertAlign w:val="subscript"/>
        </w:rPr>
        <w:t>3</w:t>
      </w:r>
      <w:r>
        <w:rPr>
          <w:rFonts w:hint="eastAsia"/>
          <w:color w:val="auto"/>
          <w:spacing w:val="0"/>
          <w:sz w:val="24"/>
          <w:highlight w:val="none"/>
          <w:lang w:eastAsia="zh-CN"/>
        </w:rPr>
        <w:t>）</w:t>
      </w:r>
      <w:r>
        <w:rPr>
          <w:rFonts w:ascii="Times New Roman" w:hAnsi="Times New Roman" w:eastAsia="宋体"/>
          <w:color w:val="auto"/>
          <w:spacing w:val="0"/>
          <w:sz w:val="24"/>
          <w:highlight w:val="none"/>
        </w:rPr>
        <w:t>和硫化氢</w:t>
      </w:r>
      <w:r>
        <w:rPr>
          <w:rFonts w:hint="eastAsia"/>
          <w:color w:val="auto"/>
          <w:spacing w:val="0"/>
          <w:sz w:val="24"/>
          <w:highlight w:val="none"/>
          <w:lang w:eastAsia="zh-CN"/>
        </w:rPr>
        <w:t>（</w:t>
      </w:r>
      <w:r>
        <w:rPr>
          <w:rFonts w:ascii="Times New Roman" w:hAnsi="Times New Roman" w:eastAsia="宋体"/>
          <w:color w:val="auto"/>
          <w:spacing w:val="0"/>
          <w:sz w:val="24"/>
          <w:highlight w:val="none"/>
        </w:rPr>
        <w:t>H</w:t>
      </w:r>
      <w:r>
        <w:rPr>
          <w:rFonts w:ascii="Times New Roman" w:hAnsi="Times New Roman" w:eastAsia="宋体"/>
          <w:color w:val="auto"/>
          <w:spacing w:val="0"/>
          <w:sz w:val="24"/>
          <w:highlight w:val="none"/>
          <w:vertAlign w:val="subscript"/>
        </w:rPr>
        <w:t>2</w:t>
      </w:r>
      <w:r>
        <w:rPr>
          <w:rFonts w:ascii="Times New Roman" w:hAnsi="Times New Roman" w:eastAsia="宋体"/>
          <w:color w:val="auto"/>
          <w:spacing w:val="0"/>
          <w:sz w:val="24"/>
          <w:highlight w:val="none"/>
        </w:rPr>
        <w:t>S</w:t>
      </w:r>
      <w:r>
        <w:rPr>
          <w:rFonts w:hint="eastAsia"/>
          <w:color w:val="auto"/>
          <w:spacing w:val="0"/>
          <w:sz w:val="24"/>
          <w:highlight w:val="none"/>
          <w:lang w:eastAsia="zh-CN"/>
        </w:rPr>
        <w:t>）</w:t>
      </w:r>
      <w:r>
        <w:rPr>
          <w:rFonts w:ascii="Times New Roman" w:hAnsi="Times New Roman" w:eastAsia="宋体"/>
          <w:color w:val="auto"/>
          <w:spacing w:val="0"/>
          <w:sz w:val="24"/>
          <w:highlight w:val="none"/>
        </w:rPr>
        <w:t>，其次为甲硫醇</w:t>
      </w:r>
      <w:r>
        <w:rPr>
          <w:rFonts w:hint="eastAsia"/>
          <w:color w:val="auto"/>
          <w:spacing w:val="0"/>
          <w:sz w:val="24"/>
          <w:highlight w:val="none"/>
          <w:lang w:eastAsia="zh-CN"/>
        </w:rPr>
        <w:t>（</w:t>
      </w:r>
      <w:r>
        <w:rPr>
          <w:rFonts w:ascii="Times New Roman" w:hAnsi="Times New Roman" w:eastAsia="宋体"/>
          <w:color w:val="auto"/>
          <w:spacing w:val="0"/>
          <w:sz w:val="24"/>
          <w:highlight w:val="none"/>
        </w:rPr>
        <w:t>CH</w:t>
      </w:r>
      <w:r>
        <w:rPr>
          <w:rFonts w:ascii="Times New Roman" w:hAnsi="Times New Roman" w:eastAsia="宋体"/>
          <w:color w:val="auto"/>
          <w:spacing w:val="0"/>
          <w:sz w:val="24"/>
          <w:highlight w:val="none"/>
          <w:vertAlign w:val="subscript"/>
        </w:rPr>
        <w:t>3</w:t>
      </w:r>
      <w:r>
        <w:rPr>
          <w:rFonts w:ascii="Times New Roman" w:hAnsi="Times New Roman" w:eastAsia="宋体"/>
          <w:color w:val="auto"/>
          <w:spacing w:val="0"/>
          <w:sz w:val="24"/>
          <w:highlight w:val="none"/>
        </w:rPr>
        <w:t>SH</w:t>
      </w:r>
      <w:r>
        <w:rPr>
          <w:rFonts w:hint="eastAsia"/>
          <w:color w:val="auto"/>
          <w:spacing w:val="0"/>
          <w:sz w:val="24"/>
          <w:highlight w:val="none"/>
          <w:lang w:eastAsia="zh-CN"/>
        </w:rPr>
        <w:t>）</w:t>
      </w:r>
      <w:r>
        <w:rPr>
          <w:rFonts w:ascii="Times New Roman" w:hAnsi="Times New Roman" w:eastAsia="宋体"/>
          <w:color w:val="auto"/>
          <w:spacing w:val="0"/>
          <w:sz w:val="24"/>
          <w:highlight w:val="none"/>
        </w:rPr>
        <w:t>、甲硫醚、三甲胺等恶臭物质，刺激人的嗅觉器官，引起人的厌恶和不快。气味大小与臭气在空气中的浓度有关。H</w:t>
      </w:r>
      <w:r>
        <w:rPr>
          <w:rFonts w:ascii="Times New Roman" w:hAnsi="Times New Roman" w:eastAsia="宋体"/>
          <w:color w:val="auto"/>
          <w:spacing w:val="0"/>
          <w:sz w:val="24"/>
          <w:highlight w:val="none"/>
          <w:vertAlign w:val="subscript"/>
        </w:rPr>
        <w:t>2</w:t>
      </w:r>
      <w:r>
        <w:rPr>
          <w:rFonts w:ascii="Times New Roman" w:hAnsi="Times New Roman" w:eastAsia="宋体"/>
          <w:color w:val="auto"/>
          <w:spacing w:val="0"/>
          <w:sz w:val="24"/>
          <w:highlight w:val="none"/>
        </w:rPr>
        <w:t>S为无色气体，具有臭鸡蛋腐败气味，其嗅觉阈值</w:t>
      </w:r>
      <w:r>
        <w:rPr>
          <w:rFonts w:hint="eastAsia"/>
          <w:color w:val="auto"/>
          <w:spacing w:val="0"/>
          <w:sz w:val="24"/>
          <w:highlight w:val="none"/>
          <w:lang w:eastAsia="zh-CN"/>
        </w:rPr>
        <w:t>（</w:t>
      </w:r>
      <w:r>
        <w:rPr>
          <w:rFonts w:ascii="Times New Roman" w:hAnsi="Times New Roman" w:eastAsia="宋体"/>
          <w:color w:val="auto"/>
          <w:spacing w:val="0"/>
          <w:sz w:val="24"/>
          <w:highlight w:val="none"/>
        </w:rPr>
        <w:t>正常人勉强可感到臭味的浓度</w:t>
      </w:r>
      <w:r>
        <w:rPr>
          <w:rFonts w:hint="eastAsia"/>
          <w:color w:val="auto"/>
          <w:spacing w:val="0"/>
          <w:sz w:val="24"/>
          <w:highlight w:val="none"/>
          <w:lang w:eastAsia="zh-CN"/>
        </w:rPr>
        <w:t>）</w:t>
      </w:r>
      <w:r>
        <w:rPr>
          <w:rFonts w:ascii="Times New Roman" w:hAnsi="Times New Roman" w:eastAsia="宋体"/>
          <w:color w:val="auto"/>
          <w:spacing w:val="0"/>
          <w:sz w:val="24"/>
          <w:highlight w:val="none"/>
        </w:rPr>
        <w:t>为0.0005ppm。NH</w:t>
      </w:r>
      <w:r>
        <w:rPr>
          <w:rFonts w:ascii="Times New Roman" w:hAnsi="Times New Roman" w:eastAsia="宋体"/>
          <w:color w:val="auto"/>
          <w:spacing w:val="0"/>
          <w:sz w:val="24"/>
          <w:highlight w:val="none"/>
          <w:vertAlign w:val="subscript"/>
        </w:rPr>
        <w:t>3</w:t>
      </w:r>
      <w:r>
        <w:rPr>
          <w:rFonts w:ascii="Times New Roman" w:hAnsi="Times New Roman" w:eastAsia="宋体"/>
          <w:color w:val="auto"/>
          <w:spacing w:val="0"/>
          <w:sz w:val="24"/>
          <w:highlight w:val="none"/>
        </w:rPr>
        <w:t>为无色气体，有强烈的刺激气味，嗅觉阈值为0.037ppm。甲硫醇为有特殊臭味的气体；甲硫醚为无色易燃烧液体，有不愉快的气味；三甲胺为无色气体，有氨和鱼腥的气味；这三种物质的嗅觉阈值均为0.0001ppm。</w:t>
      </w:r>
    </w:p>
    <w:p w14:paraId="3AB61C58">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olor w:val="auto"/>
          <w:spacing w:val="0"/>
          <w:sz w:val="24"/>
          <w:highlight w:val="none"/>
        </w:rPr>
      </w:pPr>
      <w:r>
        <w:rPr>
          <w:rFonts w:ascii="Times New Roman" w:hAnsi="Times New Roman" w:eastAsia="宋体"/>
          <w:color w:val="auto"/>
          <w:spacing w:val="0"/>
          <w:sz w:val="24"/>
          <w:highlight w:val="none"/>
        </w:rPr>
        <w:t>（</w:t>
      </w:r>
      <w:r>
        <w:rPr>
          <w:rFonts w:hint="eastAsia" w:ascii="Times New Roman" w:hAnsi="Times New Roman" w:eastAsia="宋体"/>
          <w:color w:val="auto"/>
          <w:spacing w:val="0"/>
          <w:sz w:val="24"/>
          <w:highlight w:val="none"/>
        </w:rPr>
        <w:t>2</w:t>
      </w:r>
      <w:r>
        <w:rPr>
          <w:rFonts w:ascii="Times New Roman" w:hAnsi="Times New Roman" w:eastAsia="宋体"/>
          <w:color w:val="auto"/>
          <w:spacing w:val="0"/>
          <w:sz w:val="24"/>
          <w:highlight w:val="none"/>
        </w:rPr>
        <w:t>）</w:t>
      </w:r>
      <w:r>
        <w:rPr>
          <w:rFonts w:ascii="Times New Roman" w:hAnsi="Times New Roman" w:eastAsia="宋体" w:cs="宋体"/>
          <w:color w:val="auto"/>
          <w:spacing w:val="0"/>
          <w:sz w:val="24"/>
          <w:szCs w:val="24"/>
          <w:highlight w:val="none"/>
        </w:rPr>
        <w:t>恶臭污染的特点</w:t>
      </w:r>
    </w:p>
    <w:p w14:paraId="108C7121">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①恶臭是感觉性公害，判断恶臭对人们的影响，主要是以给人们带来不舒服感觉的影响为中心进行的，是一种心理上的反应，故主观因素很强。然而，人们的嗅觉鉴别能力要比其他感觉能力强，因此受影响者的主观感觉是评价恶臭污染程度的主要依据。</w:t>
      </w:r>
    </w:p>
    <w:p w14:paraId="58516FBA">
      <w:pPr>
        <w:keepNext w:val="0"/>
        <w:keepLines w:val="0"/>
        <w:pageBreakBefore w:val="0"/>
        <w:widowControl w:val="0"/>
        <w:kinsoku/>
        <w:wordWrap/>
        <w:overflowPunct/>
        <w:topLinePunct w:val="0"/>
        <w:autoSpaceDE/>
        <w:autoSpaceDN/>
        <w:bidi w:val="0"/>
        <w:adjustRightInd/>
        <w:snapToGrid/>
        <w:spacing w:line="480" w:lineRule="exact"/>
        <w:ind w:left="0" w:right="0" w:firstLine="479"/>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②恶臭通常是由多种成份气体形成的，各种成份气体的阈值或最小检知浓度不相同，在浓度较低时，一般不易察觉，但是如果恶臭一旦达到阈值以后，大多会立即发生强烈的恶臭反应。</w:t>
      </w:r>
    </w:p>
    <w:p w14:paraId="33EC5782">
      <w:pPr>
        <w:keepNext w:val="0"/>
        <w:keepLines w:val="0"/>
        <w:pageBreakBefore w:val="0"/>
        <w:widowControl w:val="0"/>
        <w:kinsoku/>
        <w:wordWrap/>
        <w:overflowPunct/>
        <w:topLinePunct w:val="0"/>
        <w:autoSpaceDE/>
        <w:autoSpaceDN/>
        <w:bidi w:val="0"/>
        <w:adjustRightInd/>
        <w:snapToGrid/>
        <w:spacing w:line="480" w:lineRule="exact"/>
        <w:ind w:left="0" w:right="0" w:firstLine="479"/>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③人们对恶臭的厌恶感与恶臭气体成份的性质、强度及浓度有关，并且包含着周边环境、气象条件和个人条件</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身体条件和精神状况等</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等因素在内。恶臭成份大部分被去除后，在人的嗅觉中并不会感到相应程度的降低或减轻。因此，对于防治恶臭污染而言，受影响者并不是要求减轻或降低恶臭气味，而是要求必须没有恶臭气味。</w:t>
      </w:r>
    </w:p>
    <w:p w14:paraId="24A2768F">
      <w:pPr>
        <w:keepNext w:val="0"/>
        <w:keepLines w:val="0"/>
        <w:pageBreakBefore w:val="0"/>
        <w:widowControl w:val="0"/>
        <w:kinsoku/>
        <w:wordWrap/>
        <w:overflowPunct/>
        <w:topLinePunct w:val="0"/>
        <w:autoSpaceDE/>
        <w:autoSpaceDN/>
        <w:bidi w:val="0"/>
        <w:adjustRightInd/>
        <w:snapToGrid/>
        <w:spacing w:line="480" w:lineRule="exact"/>
        <w:ind w:left="0" w:right="0" w:firstLine="45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④受到恶臭污染影响的人一般立即离开，到清洁空气环境内，积极换气就可以解除受到是污染影响。</w:t>
      </w:r>
    </w:p>
    <w:p w14:paraId="68C69D7E">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3</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恶臭源强</w:t>
      </w:r>
    </w:p>
    <w:p w14:paraId="4D3EC582">
      <w:pPr>
        <w:keepNext w:val="0"/>
        <w:keepLines w:val="0"/>
        <w:pageBreakBefore w:val="0"/>
        <w:widowControl w:val="0"/>
        <w:kinsoku/>
        <w:wordWrap/>
        <w:overflowPunct/>
        <w:topLinePunct w:val="0"/>
        <w:autoSpaceDE/>
        <w:autoSpaceDN/>
        <w:bidi w:val="0"/>
        <w:adjustRightInd/>
        <w:snapToGrid/>
        <w:spacing w:line="480" w:lineRule="exact"/>
        <w:ind w:left="0" w:right="0" w:firstLine="479"/>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本项目恶臭气体主要来源于鸡舍和</w:t>
      </w:r>
      <w:r>
        <w:rPr>
          <w:rFonts w:hint="eastAsia" w:cs="宋体"/>
          <w:color w:val="auto"/>
          <w:spacing w:val="0"/>
          <w:sz w:val="24"/>
          <w:szCs w:val="24"/>
          <w:highlight w:val="none"/>
          <w:lang w:eastAsia="zh-CN"/>
        </w:rPr>
        <w:t>废水收集池</w:t>
      </w:r>
      <w:r>
        <w:rPr>
          <w:rFonts w:ascii="Times New Roman" w:hAnsi="Times New Roman" w:eastAsia="宋体" w:cs="宋体"/>
          <w:color w:val="auto"/>
          <w:spacing w:val="0"/>
          <w:sz w:val="24"/>
          <w:szCs w:val="24"/>
          <w:highlight w:val="none"/>
        </w:rPr>
        <w:t>，恶臭气体主要为</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w:t>
      </w:r>
      <w:r>
        <w:rPr>
          <w:rFonts w:ascii="Times New Roman" w:hAnsi="Times New Roman" w:eastAsia="宋体" w:cs="Times New Roman"/>
          <w:color w:val="auto"/>
          <w:spacing w:val="0"/>
          <w:sz w:val="24"/>
          <w:szCs w:val="24"/>
          <w:highlight w:val="none"/>
        </w:rPr>
        <w:t>H</w:t>
      </w:r>
      <w:r>
        <w:rPr>
          <w:rFonts w:ascii="Times New Roman" w:hAnsi="Times New Roman" w:eastAsia="宋体" w:cs="Times New Roman"/>
          <w:color w:val="auto"/>
          <w:spacing w:val="0"/>
          <w:sz w:val="24"/>
          <w:szCs w:val="15"/>
          <w:highlight w:val="none"/>
          <w:vertAlign w:val="subscript"/>
        </w:rPr>
        <w:t>2</w:t>
      </w:r>
      <w:r>
        <w:rPr>
          <w:rFonts w:ascii="Times New Roman" w:hAnsi="Times New Roman" w:eastAsia="宋体" w:cs="Times New Roman"/>
          <w:color w:val="auto"/>
          <w:spacing w:val="0"/>
          <w:sz w:val="24"/>
          <w:szCs w:val="24"/>
          <w:highlight w:val="none"/>
        </w:rPr>
        <w:t>S</w:t>
      </w:r>
      <w:r>
        <w:rPr>
          <w:rFonts w:ascii="Times New Roman" w:hAnsi="Times New Roman" w:eastAsia="宋体" w:cs="宋体"/>
          <w:color w:val="auto"/>
          <w:spacing w:val="0"/>
          <w:sz w:val="24"/>
          <w:szCs w:val="24"/>
          <w:highlight w:val="none"/>
        </w:rPr>
        <w:t>等。</w:t>
      </w:r>
    </w:p>
    <w:p w14:paraId="7971230D">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①鸡舍</w:t>
      </w:r>
    </w:p>
    <w:p w14:paraId="42CB8A1A">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hint="eastAsia" w:ascii="Times New Roman" w:hAnsi="Times New Roman" w:eastAsia="宋体" w:cs="Times New Roman"/>
          <w:color w:val="auto"/>
          <w:spacing w:val="0"/>
          <w:sz w:val="24"/>
          <w:szCs w:val="24"/>
          <w:highlight w:val="none"/>
          <w:lang w:eastAsia="zh-CN"/>
        </w:rPr>
      </w:pPr>
      <w:r>
        <w:rPr>
          <w:rFonts w:ascii="Times New Roman" w:hAnsi="Times New Roman" w:eastAsia="宋体" w:cs="宋体"/>
          <w:color w:val="auto"/>
          <w:spacing w:val="0"/>
          <w:sz w:val="24"/>
          <w:szCs w:val="24"/>
          <w:highlight w:val="none"/>
        </w:rPr>
        <w:t>大量的氮固定在鸡粪中，少量的损失挥发。根据《排放源统计调查产排污核算方法和系数手册</w:t>
      </w:r>
      <w:r>
        <w:rPr>
          <w:rFonts w:ascii="Times New Roman" w:hAnsi="Times New Roman" w:eastAsia="宋体" w:cs="Times New Roman"/>
          <w:color w:val="auto"/>
          <w:spacing w:val="0"/>
          <w:sz w:val="24"/>
          <w:szCs w:val="24"/>
          <w:highlight w:val="none"/>
        </w:rPr>
        <w:t>-</w:t>
      </w:r>
      <w:r>
        <w:rPr>
          <w:rFonts w:ascii="Times New Roman" w:hAnsi="Times New Roman" w:eastAsia="宋体" w:cs="宋体"/>
          <w:color w:val="auto"/>
          <w:spacing w:val="0"/>
          <w:sz w:val="24"/>
          <w:szCs w:val="24"/>
          <w:highlight w:val="none"/>
        </w:rPr>
        <w:t>农业源产排污系数手册》中表</w:t>
      </w:r>
      <w:r>
        <w:rPr>
          <w:rFonts w:ascii="Times New Roman" w:hAnsi="Times New Roman" w:eastAsia="宋体" w:cs="Times New Roman"/>
          <w:color w:val="auto"/>
          <w:spacing w:val="0"/>
          <w:sz w:val="24"/>
          <w:szCs w:val="24"/>
          <w:highlight w:val="none"/>
        </w:rPr>
        <w:t>2</w:t>
      </w:r>
      <w:r>
        <w:rPr>
          <w:rFonts w:ascii="Times New Roman" w:hAnsi="Times New Roman" w:eastAsia="宋体" w:cs="宋体"/>
          <w:color w:val="auto"/>
          <w:spacing w:val="0"/>
          <w:sz w:val="24"/>
          <w:szCs w:val="24"/>
          <w:highlight w:val="none"/>
        </w:rPr>
        <w:t>畜禽规模化养殖产污系数</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新疆维吾尔自治区</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，蛋鸡鸡粪中</w:t>
      </w:r>
      <w:r>
        <w:rPr>
          <w:rFonts w:ascii="Times New Roman" w:hAnsi="Times New Roman" w:eastAsia="宋体" w:cs="Times New Roman"/>
          <w:color w:val="auto"/>
          <w:spacing w:val="0"/>
          <w:sz w:val="24"/>
          <w:szCs w:val="24"/>
          <w:highlight w:val="none"/>
        </w:rPr>
        <w:t>TN</w:t>
      </w:r>
      <w:r>
        <w:rPr>
          <w:rFonts w:ascii="Times New Roman" w:hAnsi="Times New Roman" w:eastAsia="宋体" w:cs="宋体"/>
          <w:color w:val="auto"/>
          <w:spacing w:val="0"/>
          <w:sz w:val="24"/>
          <w:szCs w:val="24"/>
          <w:highlight w:val="none"/>
        </w:rPr>
        <w:t>含量为</w:t>
      </w:r>
      <w:r>
        <w:rPr>
          <w:rFonts w:ascii="Times New Roman" w:hAnsi="Times New Roman" w:eastAsia="宋体" w:cs="Times New Roman"/>
          <w:color w:val="auto"/>
          <w:spacing w:val="0"/>
          <w:sz w:val="24"/>
          <w:szCs w:val="24"/>
          <w:highlight w:val="none"/>
        </w:rPr>
        <w:t>0.565kg/</w:t>
      </w:r>
      <w:r>
        <w:rPr>
          <w:rFonts w:ascii="Times New Roman" w:hAnsi="Times New Roman" w:eastAsia="宋体" w:cs="宋体"/>
          <w:color w:val="auto"/>
          <w:spacing w:val="0"/>
          <w:sz w:val="24"/>
          <w:szCs w:val="24"/>
          <w:highlight w:val="none"/>
        </w:rPr>
        <w:t>羽，则</w:t>
      </w:r>
      <w:r>
        <w:rPr>
          <w:rFonts w:ascii="Times New Roman" w:hAnsi="Times New Roman" w:eastAsia="宋体" w:cs="Times New Roman"/>
          <w:color w:val="auto"/>
          <w:spacing w:val="0"/>
          <w:sz w:val="24"/>
          <w:szCs w:val="24"/>
          <w:highlight w:val="none"/>
        </w:rPr>
        <w:t>TN</w:t>
      </w:r>
      <w:r>
        <w:rPr>
          <w:rFonts w:ascii="Times New Roman" w:hAnsi="Times New Roman" w:eastAsia="宋体" w:cs="宋体"/>
          <w:color w:val="auto"/>
          <w:spacing w:val="0"/>
          <w:sz w:val="24"/>
          <w:szCs w:val="24"/>
          <w:highlight w:val="none"/>
        </w:rPr>
        <w:t>产生量</w:t>
      </w:r>
      <w:r>
        <w:rPr>
          <w:rFonts w:hint="eastAsia" w:ascii="Times New Roman" w:hAnsi="Times New Roman" w:eastAsia="宋体" w:cs="Times New Roman"/>
          <w:color w:val="auto"/>
          <w:spacing w:val="0"/>
          <w:sz w:val="24"/>
          <w:szCs w:val="24"/>
          <w:highlight w:val="none"/>
          <w:lang w:val="en-US" w:eastAsia="zh-CN"/>
        </w:rPr>
        <w:t>406.8</w:t>
      </w:r>
      <w:r>
        <w:rPr>
          <w:rFonts w:ascii="Times New Roman" w:hAnsi="Times New Roman" w:eastAsia="宋体" w:cs="Times New Roman"/>
          <w:color w:val="auto"/>
          <w:spacing w:val="0"/>
          <w:sz w:val="24"/>
          <w:szCs w:val="24"/>
          <w:highlight w:val="none"/>
        </w:rPr>
        <w:t>t/a</w:t>
      </w:r>
      <w:r>
        <w:rPr>
          <w:rFonts w:ascii="Times New Roman" w:hAnsi="Times New Roman" w:eastAsia="宋体" w:cs="宋体"/>
          <w:color w:val="auto"/>
          <w:spacing w:val="0"/>
          <w:sz w:val="24"/>
          <w:szCs w:val="24"/>
          <w:highlight w:val="none"/>
        </w:rPr>
        <w:t>。氮挥发量约占总量的</w:t>
      </w:r>
      <w:r>
        <w:rPr>
          <w:rFonts w:ascii="Times New Roman" w:hAnsi="Times New Roman" w:eastAsia="宋体" w:cs="Times New Roman"/>
          <w:color w:val="auto"/>
          <w:spacing w:val="0"/>
          <w:sz w:val="24"/>
          <w:szCs w:val="24"/>
          <w:highlight w:val="none"/>
        </w:rPr>
        <w:t>10%</w:t>
      </w:r>
      <w:r>
        <w:rPr>
          <w:rFonts w:ascii="Times New Roman" w:hAnsi="Times New Roman" w:eastAsia="宋体" w:cs="宋体"/>
          <w:color w:val="auto"/>
          <w:spacing w:val="0"/>
          <w:sz w:val="24"/>
          <w:szCs w:val="24"/>
          <w:highlight w:val="none"/>
        </w:rPr>
        <w:t>，其中</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占氮挥发量的</w:t>
      </w:r>
      <w:r>
        <w:rPr>
          <w:rFonts w:ascii="Times New Roman" w:hAnsi="Times New Roman" w:eastAsia="宋体" w:cs="Times New Roman"/>
          <w:color w:val="auto"/>
          <w:spacing w:val="0"/>
          <w:sz w:val="24"/>
          <w:szCs w:val="24"/>
          <w:highlight w:val="none"/>
        </w:rPr>
        <w:t>25%</w:t>
      </w:r>
      <w:r>
        <w:rPr>
          <w:rFonts w:ascii="Times New Roman" w:hAnsi="Times New Roman" w:eastAsia="宋体" w:cs="宋体"/>
          <w:color w:val="auto"/>
          <w:spacing w:val="0"/>
          <w:sz w:val="24"/>
          <w:szCs w:val="24"/>
          <w:highlight w:val="none"/>
        </w:rPr>
        <w:t>，</w:t>
      </w:r>
      <w:r>
        <w:rPr>
          <w:rFonts w:ascii="Times New Roman" w:hAnsi="Times New Roman" w:eastAsia="宋体" w:cs="Times New Roman"/>
          <w:color w:val="auto"/>
          <w:spacing w:val="0"/>
          <w:sz w:val="24"/>
          <w:szCs w:val="24"/>
          <w:highlight w:val="none"/>
        </w:rPr>
        <w:t>H</w:t>
      </w:r>
      <w:r>
        <w:rPr>
          <w:rFonts w:ascii="Times New Roman" w:hAnsi="Times New Roman" w:eastAsia="宋体" w:cs="Times New Roman"/>
          <w:color w:val="auto"/>
          <w:spacing w:val="0"/>
          <w:sz w:val="24"/>
          <w:szCs w:val="15"/>
          <w:highlight w:val="none"/>
          <w:vertAlign w:val="subscript"/>
        </w:rPr>
        <w:t>2</w:t>
      </w:r>
      <w:r>
        <w:rPr>
          <w:rFonts w:ascii="Times New Roman" w:hAnsi="Times New Roman" w:eastAsia="宋体" w:cs="Times New Roman"/>
          <w:color w:val="auto"/>
          <w:spacing w:val="0"/>
          <w:sz w:val="24"/>
          <w:szCs w:val="24"/>
          <w:highlight w:val="none"/>
        </w:rPr>
        <w:t>S</w:t>
      </w:r>
      <w:r>
        <w:rPr>
          <w:rFonts w:ascii="Times New Roman" w:hAnsi="Times New Roman" w:eastAsia="宋体" w:cs="宋体"/>
          <w:color w:val="auto"/>
          <w:spacing w:val="0"/>
          <w:sz w:val="24"/>
          <w:szCs w:val="24"/>
          <w:highlight w:val="none"/>
        </w:rPr>
        <w:t>含量约为</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的</w:t>
      </w:r>
      <w:r>
        <w:rPr>
          <w:rFonts w:ascii="Times New Roman" w:hAnsi="Times New Roman" w:eastAsia="宋体" w:cs="Times New Roman"/>
          <w:color w:val="auto"/>
          <w:spacing w:val="0"/>
          <w:sz w:val="24"/>
          <w:szCs w:val="24"/>
          <w:highlight w:val="none"/>
        </w:rPr>
        <w:t>10%</w:t>
      </w:r>
      <w:r>
        <w:rPr>
          <w:rFonts w:hint="eastAsia" w:ascii="Times New Roman" w:hAnsi="Times New Roman" w:eastAsia="宋体" w:cs="Times New Roman"/>
          <w:color w:val="auto"/>
          <w:spacing w:val="0"/>
          <w:sz w:val="24"/>
          <w:szCs w:val="24"/>
          <w:highlight w:val="none"/>
          <w:lang w:eastAsia="zh-CN"/>
        </w:rPr>
        <w:t>。本项目运营期产生的鸡粪以及NH</w:t>
      </w:r>
      <w:r>
        <w:rPr>
          <w:rFonts w:hint="eastAsia" w:ascii="Times New Roman" w:hAnsi="Times New Roman" w:eastAsia="宋体" w:cs="Times New Roman"/>
          <w:color w:val="auto"/>
          <w:spacing w:val="0"/>
          <w:sz w:val="24"/>
          <w:szCs w:val="24"/>
          <w:highlight w:val="none"/>
          <w:vertAlign w:val="subscript"/>
          <w:lang w:eastAsia="zh-CN"/>
        </w:rPr>
        <w:t>3</w:t>
      </w:r>
      <w:r>
        <w:rPr>
          <w:rFonts w:hint="eastAsia" w:ascii="Times New Roman" w:hAnsi="Times New Roman" w:eastAsia="宋体" w:cs="Times New Roman"/>
          <w:color w:val="auto"/>
          <w:spacing w:val="0"/>
          <w:sz w:val="24"/>
          <w:szCs w:val="24"/>
          <w:highlight w:val="none"/>
          <w:lang w:eastAsia="zh-CN"/>
        </w:rPr>
        <w:t>、H</w:t>
      </w:r>
      <w:r>
        <w:rPr>
          <w:rFonts w:hint="eastAsia" w:ascii="Times New Roman" w:hAnsi="Times New Roman" w:eastAsia="宋体" w:cs="Times New Roman"/>
          <w:color w:val="auto"/>
          <w:spacing w:val="0"/>
          <w:sz w:val="24"/>
          <w:szCs w:val="24"/>
          <w:highlight w:val="none"/>
          <w:vertAlign w:val="subscript"/>
          <w:lang w:eastAsia="zh-CN"/>
        </w:rPr>
        <w:t>2</w:t>
      </w:r>
      <w:r>
        <w:rPr>
          <w:rFonts w:hint="eastAsia" w:ascii="Times New Roman" w:hAnsi="Times New Roman" w:eastAsia="宋体" w:cs="Times New Roman"/>
          <w:color w:val="auto"/>
          <w:spacing w:val="0"/>
          <w:sz w:val="24"/>
          <w:szCs w:val="24"/>
          <w:highlight w:val="none"/>
          <w:lang w:eastAsia="zh-CN"/>
        </w:rPr>
        <w:t>S产生量详见表</w:t>
      </w:r>
      <w:r>
        <w:rPr>
          <w:rFonts w:hint="eastAsia" w:ascii="Times New Roman" w:hAnsi="Times New Roman" w:eastAsia="宋体" w:cs="Times New Roman"/>
          <w:color w:val="auto"/>
          <w:spacing w:val="0"/>
          <w:sz w:val="24"/>
          <w:szCs w:val="24"/>
          <w:highlight w:val="none"/>
          <w:lang w:val="en-US" w:eastAsia="zh-CN"/>
        </w:rPr>
        <w:t>3.3-4</w:t>
      </w:r>
      <w:r>
        <w:rPr>
          <w:rFonts w:hint="eastAsia" w:ascii="Times New Roman" w:hAnsi="Times New Roman" w:eastAsia="宋体" w:cs="Times New Roman"/>
          <w:color w:val="auto"/>
          <w:spacing w:val="0"/>
          <w:sz w:val="24"/>
          <w:szCs w:val="24"/>
          <w:highlight w:val="none"/>
          <w:lang w:eastAsia="zh-CN"/>
        </w:rPr>
        <w:t>。</w:t>
      </w:r>
    </w:p>
    <w:p w14:paraId="12AF3692">
      <w:pPr>
        <w:spacing w:before="68" w:line="232" w:lineRule="auto"/>
        <w:ind w:left="461"/>
        <w:rPr>
          <w:rFonts w:hint="eastAsia" w:ascii="Times New Roman" w:hAnsi="Times New Roman" w:eastAsia="宋体" w:cstheme="majorBidi"/>
          <w:b/>
          <w:color w:val="auto"/>
          <w:sz w:val="24"/>
          <w:szCs w:val="22"/>
          <w:highlight w:val="none"/>
          <w:lang w:val="en-US" w:eastAsia="zh-CN" w:bidi="ar-SA"/>
        </w:rPr>
      </w:pPr>
      <w:r>
        <w:rPr>
          <w:rFonts w:hint="eastAsia" w:ascii="Times New Roman" w:hAnsi="Times New Roman" w:eastAsia="宋体" w:cstheme="majorBidi"/>
          <w:b/>
          <w:color w:val="auto"/>
          <w:sz w:val="24"/>
          <w:szCs w:val="22"/>
          <w:highlight w:val="none"/>
          <w:lang w:val="en-US" w:eastAsia="zh-CN" w:bidi="ar-SA"/>
        </w:rPr>
        <w:t>表3.3-4拟建项目鸡粪以及NH</w:t>
      </w:r>
      <w:r>
        <w:rPr>
          <w:rFonts w:hint="eastAsia" w:ascii="Times New Roman" w:hAnsi="Times New Roman" w:eastAsia="宋体" w:cstheme="majorBidi"/>
          <w:b/>
          <w:color w:val="auto"/>
          <w:sz w:val="24"/>
          <w:szCs w:val="22"/>
          <w:highlight w:val="none"/>
          <w:vertAlign w:val="subscript"/>
          <w:lang w:val="en-US" w:eastAsia="zh-CN" w:bidi="ar-SA"/>
        </w:rPr>
        <w:t>3</w:t>
      </w:r>
      <w:r>
        <w:rPr>
          <w:rFonts w:hint="eastAsia" w:ascii="Times New Roman" w:hAnsi="Times New Roman" w:eastAsia="宋体" w:cstheme="majorBidi"/>
          <w:b/>
          <w:color w:val="auto"/>
          <w:sz w:val="24"/>
          <w:szCs w:val="22"/>
          <w:highlight w:val="none"/>
          <w:lang w:val="en-US" w:eastAsia="zh-CN" w:bidi="ar-SA"/>
        </w:rPr>
        <w:t>、H</w:t>
      </w:r>
      <w:r>
        <w:rPr>
          <w:rFonts w:hint="eastAsia" w:ascii="Times New Roman" w:hAnsi="Times New Roman" w:eastAsia="宋体" w:cstheme="majorBidi"/>
          <w:b/>
          <w:color w:val="auto"/>
          <w:sz w:val="24"/>
          <w:szCs w:val="22"/>
          <w:highlight w:val="none"/>
          <w:vertAlign w:val="subscript"/>
          <w:lang w:val="en-US" w:eastAsia="zh-CN" w:bidi="ar-SA"/>
        </w:rPr>
        <w:t>2</w:t>
      </w:r>
      <w:r>
        <w:rPr>
          <w:rFonts w:hint="eastAsia" w:ascii="Times New Roman" w:hAnsi="Times New Roman" w:eastAsia="宋体" w:cstheme="majorBidi"/>
          <w:b/>
          <w:color w:val="auto"/>
          <w:sz w:val="24"/>
          <w:szCs w:val="22"/>
          <w:highlight w:val="none"/>
          <w:lang w:val="en-US" w:eastAsia="zh-CN" w:bidi="ar-SA"/>
        </w:rPr>
        <w:t>S产生量一览表单位：t/a</w:t>
      </w:r>
    </w:p>
    <w:tbl>
      <w:tblPr>
        <w:tblStyle w:val="176"/>
        <w:tblW w:w="83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42"/>
        <w:gridCol w:w="1977"/>
        <w:gridCol w:w="1811"/>
        <w:gridCol w:w="1872"/>
      </w:tblGrid>
      <w:tr w14:paraId="73F47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642" w:type="dxa"/>
            <w:vAlign w:val="center"/>
          </w:tcPr>
          <w:p w14:paraId="24E0664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鸡粪含</w:t>
            </w:r>
            <w:r>
              <w:rPr>
                <w:rFonts w:ascii="Times New Roman" w:hAnsi="Times New Roman" w:eastAsia="宋体" w:cs="Times New Roman"/>
                <w:color w:val="auto"/>
                <w:spacing w:val="0"/>
                <w:position w:val="0"/>
                <w:sz w:val="21"/>
                <w:szCs w:val="21"/>
                <w:highlight w:val="none"/>
              </w:rPr>
              <w:t>N</w:t>
            </w:r>
            <w:r>
              <w:rPr>
                <w:rFonts w:ascii="Times New Roman" w:hAnsi="Times New Roman" w:eastAsia="宋体" w:cs="宋体"/>
                <w:color w:val="auto"/>
                <w:spacing w:val="0"/>
                <w:position w:val="0"/>
                <w:sz w:val="21"/>
                <w:szCs w:val="21"/>
                <w:highlight w:val="none"/>
              </w:rPr>
              <w:t>量</w:t>
            </w:r>
          </w:p>
        </w:tc>
        <w:tc>
          <w:tcPr>
            <w:tcW w:w="1977" w:type="dxa"/>
            <w:vAlign w:val="center"/>
          </w:tcPr>
          <w:p w14:paraId="1E9CBC5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氮挥发量</w:t>
            </w:r>
          </w:p>
        </w:tc>
        <w:tc>
          <w:tcPr>
            <w:tcW w:w="1811" w:type="dxa"/>
            <w:vAlign w:val="center"/>
          </w:tcPr>
          <w:p w14:paraId="581D2B1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折合成</w:t>
            </w: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p>
        </w:tc>
        <w:tc>
          <w:tcPr>
            <w:tcW w:w="1872" w:type="dxa"/>
            <w:vAlign w:val="center"/>
          </w:tcPr>
          <w:p w14:paraId="4D7A02A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H</w:t>
            </w:r>
            <w:r>
              <w:rPr>
                <w:rFonts w:ascii="Times New Roman" w:hAnsi="Times New Roman" w:eastAsia="宋体" w:cs="Times New Roman"/>
                <w:color w:val="auto"/>
                <w:spacing w:val="0"/>
                <w:position w:val="0"/>
                <w:sz w:val="21"/>
                <w:szCs w:val="14"/>
                <w:highlight w:val="none"/>
                <w:vertAlign w:val="subscript"/>
              </w:rPr>
              <w:t>2</w:t>
            </w:r>
            <w:r>
              <w:rPr>
                <w:rFonts w:ascii="Times New Roman" w:hAnsi="Times New Roman" w:eastAsia="宋体" w:cs="Times New Roman"/>
                <w:color w:val="auto"/>
                <w:spacing w:val="0"/>
                <w:position w:val="0"/>
                <w:sz w:val="21"/>
                <w:szCs w:val="21"/>
                <w:highlight w:val="none"/>
              </w:rPr>
              <w:t>S</w:t>
            </w:r>
          </w:p>
        </w:tc>
      </w:tr>
      <w:tr w14:paraId="27F3D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642" w:type="dxa"/>
            <w:vAlign w:val="center"/>
          </w:tcPr>
          <w:p w14:paraId="2AF90A5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406.8</w:t>
            </w:r>
          </w:p>
        </w:tc>
        <w:tc>
          <w:tcPr>
            <w:tcW w:w="1977" w:type="dxa"/>
            <w:vAlign w:val="center"/>
          </w:tcPr>
          <w:p w14:paraId="31D9A37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40.68</w:t>
            </w:r>
          </w:p>
        </w:tc>
        <w:tc>
          <w:tcPr>
            <w:tcW w:w="1811" w:type="dxa"/>
            <w:vAlign w:val="center"/>
          </w:tcPr>
          <w:p w14:paraId="0B54CC5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10.17</w:t>
            </w:r>
          </w:p>
        </w:tc>
        <w:tc>
          <w:tcPr>
            <w:tcW w:w="1872" w:type="dxa"/>
            <w:vAlign w:val="center"/>
          </w:tcPr>
          <w:p w14:paraId="1363B67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1.017</w:t>
            </w:r>
          </w:p>
        </w:tc>
      </w:tr>
    </w:tbl>
    <w:p w14:paraId="36D88718">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hint="eastAsia" w:ascii="Times New Roman" w:hAnsi="Times New Roman" w:eastAsia="宋体"/>
          <w:color w:val="auto"/>
          <w:spacing w:val="0"/>
          <w:sz w:val="24"/>
          <w:highlight w:val="none"/>
          <w:lang w:eastAsia="zh-CN"/>
        </w:rPr>
      </w:pPr>
      <w:r>
        <w:rPr>
          <w:rFonts w:hint="eastAsia" w:ascii="Times New Roman" w:hAnsi="Times New Roman" w:eastAsia="宋体"/>
          <w:color w:val="auto"/>
          <w:spacing w:val="0"/>
          <w:sz w:val="24"/>
          <w:highlight w:val="none"/>
        </w:rPr>
        <w:t>②</w:t>
      </w:r>
      <w:r>
        <w:rPr>
          <w:rFonts w:hint="eastAsia"/>
          <w:color w:val="auto"/>
          <w:spacing w:val="0"/>
          <w:sz w:val="24"/>
          <w:highlight w:val="none"/>
          <w:lang w:eastAsia="zh-CN"/>
        </w:rPr>
        <w:t>废水收集池</w:t>
      </w:r>
    </w:p>
    <w:p w14:paraId="1C3EEE98">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hint="eastAsia"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鸡舍冲洗废水在暂存的过程中会产生恶臭，</w:t>
      </w:r>
      <w:r>
        <w:rPr>
          <w:rFonts w:hint="eastAsia"/>
          <w:color w:val="auto"/>
          <w:spacing w:val="0"/>
          <w:sz w:val="24"/>
          <w:highlight w:val="none"/>
          <w:lang w:eastAsia="zh-CN"/>
        </w:rPr>
        <w:t>废水收集池</w:t>
      </w:r>
      <w:r>
        <w:rPr>
          <w:rFonts w:hint="eastAsia" w:ascii="Times New Roman" w:hAnsi="Times New Roman" w:eastAsia="宋体"/>
          <w:color w:val="auto"/>
          <w:spacing w:val="0"/>
          <w:sz w:val="24"/>
          <w:highlight w:val="none"/>
        </w:rPr>
        <w:t>采取加盖密封的方式，鸡舍冲洗废水排入</w:t>
      </w:r>
      <w:r>
        <w:rPr>
          <w:rFonts w:hint="eastAsia" w:ascii="Times New Roman" w:hAnsi="Times New Roman" w:eastAsia="宋体"/>
          <w:color w:val="auto"/>
          <w:spacing w:val="0"/>
          <w:sz w:val="24"/>
          <w:highlight w:val="none"/>
          <w:lang w:val="en-US" w:eastAsia="zh-CN"/>
        </w:rPr>
        <w:t>废水收集池（150m</w:t>
      </w:r>
      <w:r>
        <w:rPr>
          <w:rFonts w:hint="eastAsia" w:ascii="Times New Roman" w:hAnsi="Times New Roman" w:eastAsia="宋体"/>
          <w:color w:val="auto"/>
          <w:spacing w:val="0"/>
          <w:sz w:val="24"/>
          <w:highlight w:val="none"/>
          <w:vertAlign w:val="superscript"/>
          <w:lang w:val="en-US" w:eastAsia="zh-CN"/>
        </w:rPr>
        <w:t>3</w:t>
      </w:r>
      <w:r>
        <w:rPr>
          <w:rFonts w:hint="eastAsia" w:ascii="Times New Roman" w:hAnsi="Times New Roman" w:eastAsia="宋体"/>
          <w:color w:val="auto"/>
          <w:spacing w:val="0"/>
          <w:sz w:val="24"/>
          <w:highlight w:val="none"/>
          <w:lang w:val="en-US" w:eastAsia="zh-CN"/>
        </w:rPr>
        <w:t>）经过预处理后用作农肥。</w:t>
      </w:r>
      <w:r>
        <w:rPr>
          <w:rFonts w:hint="eastAsia" w:ascii="Times New Roman" w:hAnsi="Times New Roman" w:eastAsia="宋体"/>
          <w:color w:val="auto"/>
          <w:spacing w:val="0"/>
          <w:sz w:val="24"/>
          <w:highlight w:val="none"/>
        </w:rPr>
        <w:t>释放污染物量较少。</w:t>
      </w:r>
    </w:p>
    <w:p w14:paraId="29E56B93">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hint="eastAsia"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本项目通过合理设计鸡舍，粪便及时清除，正确选用饲料、合理饲喂、科学管理、喷洒除臭剂等措施，可有效削减鸡舍恶臭污染物的产生量，参考2011年05月《规模畜禽养殖场污染防治最佳可行技术指南(试行)编制说明》，本项目选取的源头废气削减系数详见下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5777"/>
        <w:gridCol w:w="1154"/>
        <w:gridCol w:w="1081"/>
      </w:tblGrid>
      <w:tr w14:paraId="46FF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14:paraId="7DE7479A">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eastAsia"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序号</w:t>
            </w:r>
          </w:p>
        </w:tc>
        <w:tc>
          <w:tcPr>
            <w:tcW w:w="3388" w:type="pct"/>
            <w:vAlign w:val="center"/>
          </w:tcPr>
          <w:p w14:paraId="58317347">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源头消减措施</w:t>
            </w:r>
          </w:p>
        </w:tc>
        <w:tc>
          <w:tcPr>
            <w:tcW w:w="677" w:type="pct"/>
            <w:vAlign w:val="center"/>
          </w:tcPr>
          <w:p w14:paraId="45425132">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消减效率（%）</w:t>
            </w:r>
          </w:p>
        </w:tc>
        <w:tc>
          <w:tcPr>
            <w:tcW w:w="634" w:type="pct"/>
            <w:vAlign w:val="center"/>
          </w:tcPr>
          <w:p w14:paraId="4365027E">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本次评价取值（%）</w:t>
            </w:r>
          </w:p>
        </w:tc>
      </w:tr>
      <w:tr w14:paraId="6194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14:paraId="42EA525D">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eastAsia"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1</w:t>
            </w:r>
          </w:p>
        </w:tc>
        <w:tc>
          <w:tcPr>
            <w:tcW w:w="3388" w:type="pct"/>
            <w:vAlign w:val="center"/>
          </w:tcPr>
          <w:p w14:paraId="217F10A3">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选用优质饲料、添加微生物剂等来提高饲料的消化率和转化率，有效减少</w:t>
            </w:r>
          </w:p>
        </w:tc>
        <w:tc>
          <w:tcPr>
            <w:tcW w:w="677" w:type="pct"/>
            <w:vAlign w:val="center"/>
          </w:tcPr>
          <w:p w14:paraId="405DD426">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15~20</w:t>
            </w:r>
          </w:p>
        </w:tc>
        <w:tc>
          <w:tcPr>
            <w:tcW w:w="634" w:type="pct"/>
            <w:vAlign w:val="center"/>
          </w:tcPr>
          <w:p w14:paraId="7B6DB96E">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20</w:t>
            </w:r>
          </w:p>
        </w:tc>
      </w:tr>
      <w:tr w14:paraId="28A8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14:paraId="4DE02180">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eastAsia"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2</w:t>
            </w:r>
          </w:p>
        </w:tc>
        <w:tc>
          <w:tcPr>
            <w:tcW w:w="3388" w:type="pct"/>
            <w:vAlign w:val="center"/>
          </w:tcPr>
          <w:p w14:paraId="41596CA3">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ascii="Times New Roman" w:hAnsi="Times New Roman" w:eastAsia="宋体"/>
                <w:color w:val="auto"/>
                <w:spacing w:val="0"/>
                <w:sz w:val="21"/>
                <w:highlight w:val="none"/>
                <w:vertAlign w:val="baseline"/>
                <w:lang w:val="en-US" w:eastAsia="zh-CN"/>
              </w:rPr>
              <w:t>鸡舍选用密闭式鸡舍，除必要通风换气口外，无其他开口。鸡舍构型合理，同时舍内通过自动环境控制系统调节温度、湿度等，诚缓发酵速度</w:t>
            </w:r>
          </w:p>
        </w:tc>
        <w:tc>
          <w:tcPr>
            <w:tcW w:w="677" w:type="pct"/>
            <w:vAlign w:val="center"/>
          </w:tcPr>
          <w:p w14:paraId="069E4899">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67</w:t>
            </w:r>
          </w:p>
        </w:tc>
        <w:tc>
          <w:tcPr>
            <w:tcW w:w="634" w:type="pct"/>
            <w:vAlign w:val="center"/>
          </w:tcPr>
          <w:p w14:paraId="4FB594E8">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50</w:t>
            </w:r>
          </w:p>
        </w:tc>
      </w:tr>
      <w:tr w14:paraId="43F0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vAlign w:val="center"/>
          </w:tcPr>
          <w:p w14:paraId="08CD7246">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eastAsia"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3</w:t>
            </w:r>
          </w:p>
        </w:tc>
        <w:tc>
          <w:tcPr>
            <w:tcW w:w="3388" w:type="pct"/>
            <w:vAlign w:val="center"/>
          </w:tcPr>
          <w:p w14:paraId="3B034DF8">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eastAsia" w:ascii="Times New Roman" w:hAnsi="Times New Roman" w:eastAsia="宋体"/>
                <w:color w:val="auto"/>
                <w:spacing w:val="0"/>
                <w:sz w:val="21"/>
                <w:highlight w:val="none"/>
                <w:vertAlign w:val="baseline"/>
              </w:rPr>
            </w:pPr>
            <w:r>
              <w:rPr>
                <w:rFonts w:hint="eastAsia" w:ascii="Times New Roman" w:hAnsi="Times New Roman" w:eastAsia="宋体"/>
                <w:color w:val="auto"/>
                <w:spacing w:val="0"/>
                <w:sz w:val="21"/>
                <w:highlight w:val="none"/>
                <w:vertAlign w:val="baseline"/>
              </w:rPr>
              <w:t>采用干清粪法，粪便日产日清，充分减少粪便发酵产生的恶臭气</w:t>
            </w:r>
          </w:p>
        </w:tc>
        <w:tc>
          <w:tcPr>
            <w:tcW w:w="677" w:type="pct"/>
            <w:vAlign w:val="center"/>
          </w:tcPr>
          <w:p w14:paraId="0880F19B">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26</w:t>
            </w:r>
          </w:p>
        </w:tc>
        <w:tc>
          <w:tcPr>
            <w:tcW w:w="634" w:type="pct"/>
            <w:vAlign w:val="center"/>
          </w:tcPr>
          <w:p w14:paraId="576622D7">
            <w:pPr>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default" w:ascii="Times New Roman" w:hAnsi="Times New Roman" w:eastAsia="宋体"/>
                <w:color w:val="auto"/>
                <w:spacing w:val="0"/>
                <w:sz w:val="21"/>
                <w:highlight w:val="none"/>
                <w:vertAlign w:val="baseline"/>
                <w:lang w:val="en-US" w:eastAsia="zh-CN"/>
              </w:rPr>
            </w:pPr>
            <w:r>
              <w:rPr>
                <w:rFonts w:hint="eastAsia"/>
                <w:color w:val="auto"/>
                <w:spacing w:val="0"/>
                <w:sz w:val="21"/>
                <w:highlight w:val="none"/>
                <w:vertAlign w:val="baseline"/>
                <w:lang w:val="en-US" w:eastAsia="zh-CN"/>
              </w:rPr>
              <w:t>20</w:t>
            </w:r>
          </w:p>
        </w:tc>
      </w:tr>
    </w:tbl>
    <w:p w14:paraId="7BAEFCA4">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hint="eastAsia" w:ascii="Times New Roman" w:hAnsi="Times New Roman" w:eastAsia="宋体"/>
          <w:color w:val="auto"/>
          <w:spacing w:val="0"/>
          <w:sz w:val="24"/>
          <w:highlight w:val="none"/>
          <w:lang w:eastAsia="zh-CN"/>
        </w:rPr>
      </w:pPr>
      <w:r>
        <w:rPr>
          <w:rFonts w:hint="eastAsia" w:ascii="Times New Roman" w:hAnsi="Times New Roman" w:eastAsia="宋体"/>
          <w:color w:val="auto"/>
          <w:spacing w:val="0"/>
          <w:sz w:val="24"/>
          <w:highlight w:val="none"/>
        </w:rPr>
        <w:t>此外，根据《生物活菌除臭剂改善鸡舍环境效果的研究》(中国家禽2010年第32卷第24期)研究结果显示:鸡舍内喷洒除臭剂后，可使NH</w:t>
      </w:r>
      <w:r>
        <w:rPr>
          <w:rFonts w:hint="eastAsia"/>
          <w:color w:val="auto"/>
          <w:spacing w:val="0"/>
          <w:sz w:val="24"/>
          <w:highlight w:val="none"/>
          <w:lang w:eastAsia="zh-CN"/>
        </w:rPr>
        <w:t>；</w:t>
      </w:r>
      <w:r>
        <w:rPr>
          <w:rFonts w:hint="eastAsia" w:ascii="Times New Roman" w:hAnsi="Times New Roman" w:eastAsia="宋体"/>
          <w:color w:val="auto"/>
          <w:spacing w:val="0"/>
          <w:sz w:val="24"/>
          <w:highlight w:val="none"/>
        </w:rPr>
        <w:t>和HS的浓度分别降低41.12%和54.56%</w:t>
      </w:r>
      <w:r>
        <w:rPr>
          <w:rFonts w:hint="eastAsia"/>
          <w:color w:val="auto"/>
          <w:spacing w:val="0"/>
          <w:sz w:val="24"/>
          <w:highlight w:val="none"/>
          <w:lang w:eastAsia="zh-CN"/>
        </w:rPr>
        <w:t>。</w:t>
      </w:r>
    </w:p>
    <w:p w14:paraId="123272E9">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hint="eastAsia" w:ascii="Times New Roman" w:hAnsi="Times New Roman" w:eastAsia="宋体"/>
          <w:color w:val="auto"/>
          <w:spacing w:val="0"/>
          <w:sz w:val="24"/>
          <w:highlight w:val="none"/>
        </w:rPr>
      </w:pPr>
      <w:r>
        <w:rPr>
          <w:rFonts w:hint="eastAsia" w:ascii="Times New Roman" w:hAnsi="Times New Roman" w:eastAsia="宋体"/>
          <w:color w:val="auto"/>
          <w:spacing w:val="0"/>
          <w:sz w:val="24"/>
          <w:highlight w:val="none"/>
        </w:rPr>
        <w:t>本项目通过采用经氨基酸平衡的低蛋白饲料:科学合理地安排饲料配比，提高日粮营养物质消化率:在饲料中添加EM有效微生物:鸡舍构型合理，通过自动环境控制系统调节温度、湿度等，减缓鸡粪发酵速度:采用干清粪法，鸡粪日产日清:鸡舍定期喷洒除臭剂等措施，降低鸡舍恶臭气体对周围环境的影响。</w:t>
      </w:r>
    </w:p>
    <w:p w14:paraId="3F9A07D8">
      <w:pPr>
        <w:keepNext w:val="0"/>
        <w:keepLines w:val="0"/>
        <w:pageBreakBefore w:val="0"/>
        <w:widowControl w:val="0"/>
        <w:kinsoku/>
        <w:wordWrap/>
        <w:overflowPunct/>
        <w:topLinePunct w:val="0"/>
        <w:autoSpaceDE/>
        <w:autoSpaceDN/>
        <w:bidi w:val="0"/>
        <w:adjustRightInd/>
        <w:snapToGrid/>
        <w:spacing w:line="480" w:lineRule="exact"/>
        <w:ind w:left="0" w:right="0" w:firstLine="484"/>
        <w:textAlignment w:val="auto"/>
        <w:rPr>
          <w:rFonts w:ascii="Times New Roman" w:hAnsi="Times New Roman" w:eastAsia="宋体"/>
          <w:color w:val="auto"/>
          <w:highlight w:val="none"/>
        </w:rPr>
      </w:pPr>
      <w:r>
        <w:rPr>
          <w:rFonts w:hint="eastAsia" w:ascii="Times New Roman" w:hAnsi="Times New Roman" w:eastAsia="宋体"/>
          <w:color w:val="auto"/>
          <w:spacing w:val="0"/>
          <w:sz w:val="24"/>
          <w:highlight w:val="none"/>
        </w:rPr>
        <w:t>恶臭排放情况见表</w:t>
      </w:r>
      <w:r>
        <w:rPr>
          <w:rFonts w:ascii="Times New Roman" w:hAnsi="Times New Roman" w:eastAsia="宋体"/>
          <w:color w:val="auto"/>
          <w:spacing w:val="0"/>
          <w:sz w:val="24"/>
          <w:highlight w:val="none"/>
        </w:rPr>
        <w:t>3</w:t>
      </w:r>
      <w:r>
        <w:rPr>
          <w:rFonts w:hint="eastAsia" w:ascii="Times New Roman" w:hAnsi="Times New Roman" w:eastAsia="宋体"/>
          <w:color w:val="auto"/>
          <w:spacing w:val="0"/>
          <w:sz w:val="24"/>
          <w:highlight w:val="none"/>
        </w:rPr>
        <w:t>.</w:t>
      </w:r>
      <w:r>
        <w:rPr>
          <w:rFonts w:ascii="Times New Roman" w:hAnsi="Times New Roman" w:eastAsia="宋体"/>
          <w:color w:val="auto"/>
          <w:spacing w:val="0"/>
          <w:sz w:val="24"/>
          <w:highlight w:val="none"/>
        </w:rPr>
        <w:t>3</w:t>
      </w:r>
      <w:r>
        <w:rPr>
          <w:rFonts w:hint="eastAsia" w:ascii="Times New Roman" w:hAnsi="Times New Roman" w:eastAsia="宋体"/>
          <w:color w:val="auto"/>
          <w:spacing w:val="0"/>
          <w:sz w:val="24"/>
          <w:highlight w:val="none"/>
        </w:rPr>
        <w:t>-5。</w:t>
      </w:r>
    </w:p>
    <w:p w14:paraId="657CF234">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w:t>
      </w:r>
      <w:r>
        <w:rPr>
          <w:rFonts w:ascii="Times New Roman" w:hAnsi="Times New Roman" w:eastAsia="宋体"/>
          <w:color w:val="auto"/>
          <w:sz w:val="24"/>
          <w:szCs w:val="22"/>
          <w:highlight w:val="none"/>
        </w:rPr>
        <w:t>3</w:t>
      </w:r>
      <w:r>
        <w:rPr>
          <w:rFonts w:hint="eastAsia" w:ascii="Times New Roman" w:hAnsi="Times New Roman" w:eastAsia="宋体"/>
          <w:color w:val="auto"/>
          <w:sz w:val="24"/>
          <w:szCs w:val="22"/>
          <w:highlight w:val="none"/>
        </w:rPr>
        <w:t>.</w:t>
      </w:r>
      <w:r>
        <w:rPr>
          <w:rFonts w:ascii="Times New Roman" w:hAnsi="Times New Roman" w:eastAsia="宋体"/>
          <w:color w:val="auto"/>
          <w:sz w:val="24"/>
          <w:szCs w:val="22"/>
          <w:highlight w:val="none"/>
        </w:rPr>
        <w:t>3</w:t>
      </w:r>
      <w:r>
        <w:rPr>
          <w:rFonts w:hint="eastAsia" w:ascii="Times New Roman" w:hAnsi="Times New Roman" w:eastAsia="宋体"/>
          <w:color w:val="auto"/>
          <w:sz w:val="24"/>
          <w:szCs w:val="22"/>
          <w:highlight w:val="none"/>
        </w:rPr>
        <w:t>-5恶臭源强统计一览表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97"/>
        <w:gridCol w:w="1418"/>
        <w:gridCol w:w="1290"/>
        <w:gridCol w:w="1549"/>
        <w:gridCol w:w="1290"/>
        <w:gridCol w:w="1465"/>
      </w:tblGrid>
      <w:tr w14:paraId="79A91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780" w:type="pct"/>
            <w:vMerge w:val="restart"/>
            <w:tcBorders>
              <w:bottom w:val="nil"/>
            </w:tcBorders>
            <w:vAlign w:val="center"/>
          </w:tcPr>
          <w:p w14:paraId="184223B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地点</w:t>
            </w:r>
          </w:p>
        </w:tc>
        <w:tc>
          <w:tcPr>
            <w:tcW w:w="853" w:type="pct"/>
            <w:vMerge w:val="restart"/>
            <w:tcBorders>
              <w:bottom w:val="nil"/>
            </w:tcBorders>
            <w:vAlign w:val="center"/>
          </w:tcPr>
          <w:p w14:paraId="0BA0E94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排放方式</w:t>
            </w:r>
          </w:p>
        </w:tc>
        <w:tc>
          <w:tcPr>
            <w:tcW w:w="1708" w:type="pct"/>
            <w:gridSpan w:val="2"/>
            <w:vAlign w:val="center"/>
          </w:tcPr>
          <w:p w14:paraId="726FDD8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排放速率</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kg/h</w:t>
            </w:r>
            <w:r>
              <w:rPr>
                <w:rFonts w:hint="eastAsia" w:cs="宋体"/>
                <w:color w:val="auto"/>
                <w:spacing w:val="0"/>
                <w:sz w:val="21"/>
                <w:szCs w:val="21"/>
                <w:highlight w:val="none"/>
                <w:lang w:eastAsia="zh-CN"/>
              </w:rPr>
              <w:t>）</w:t>
            </w:r>
          </w:p>
        </w:tc>
        <w:tc>
          <w:tcPr>
            <w:tcW w:w="1657" w:type="pct"/>
            <w:gridSpan w:val="2"/>
            <w:vAlign w:val="center"/>
          </w:tcPr>
          <w:p w14:paraId="130D90D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排放量</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t/a</w:t>
            </w:r>
            <w:r>
              <w:rPr>
                <w:rFonts w:hint="eastAsia" w:cs="宋体"/>
                <w:color w:val="auto"/>
                <w:spacing w:val="0"/>
                <w:sz w:val="21"/>
                <w:szCs w:val="21"/>
                <w:highlight w:val="none"/>
                <w:lang w:eastAsia="zh-CN"/>
              </w:rPr>
              <w:t>）</w:t>
            </w:r>
          </w:p>
        </w:tc>
      </w:tr>
      <w:tr w14:paraId="76C4C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780" w:type="pct"/>
            <w:vMerge w:val="continue"/>
            <w:tcBorders>
              <w:top w:val="nil"/>
            </w:tcBorders>
            <w:vAlign w:val="center"/>
          </w:tcPr>
          <w:p w14:paraId="7B4D180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853" w:type="pct"/>
            <w:vMerge w:val="continue"/>
            <w:tcBorders>
              <w:top w:val="nil"/>
            </w:tcBorders>
            <w:vAlign w:val="center"/>
          </w:tcPr>
          <w:p w14:paraId="4629BBE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776" w:type="pct"/>
            <w:vAlign w:val="center"/>
          </w:tcPr>
          <w:p w14:paraId="17EA34C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14"/>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932" w:type="pct"/>
            <w:vAlign w:val="center"/>
          </w:tcPr>
          <w:p w14:paraId="6291DA7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776" w:type="pct"/>
            <w:vAlign w:val="center"/>
          </w:tcPr>
          <w:p w14:paraId="65C3D19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14"/>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880" w:type="pct"/>
            <w:vAlign w:val="center"/>
          </w:tcPr>
          <w:p w14:paraId="616C9BD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r>
      <w:tr w14:paraId="00C40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780" w:type="pct"/>
            <w:vAlign w:val="center"/>
          </w:tcPr>
          <w:p w14:paraId="580D078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鸡舍</w:t>
            </w:r>
          </w:p>
        </w:tc>
        <w:tc>
          <w:tcPr>
            <w:tcW w:w="853" w:type="pct"/>
            <w:vAlign w:val="center"/>
          </w:tcPr>
          <w:p w14:paraId="5469D1D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无组织排放</w:t>
            </w:r>
          </w:p>
        </w:tc>
        <w:tc>
          <w:tcPr>
            <w:tcW w:w="776" w:type="pct"/>
            <w:vAlign w:val="center"/>
          </w:tcPr>
          <w:p w14:paraId="03DB66C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0.07</w:t>
            </w:r>
          </w:p>
        </w:tc>
        <w:tc>
          <w:tcPr>
            <w:tcW w:w="932" w:type="pct"/>
            <w:vAlign w:val="center"/>
          </w:tcPr>
          <w:p w14:paraId="26C0DC4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0.005</w:t>
            </w:r>
          </w:p>
        </w:tc>
        <w:tc>
          <w:tcPr>
            <w:tcW w:w="776" w:type="pct"/>
            <w:vAlign w:val="center"/>
          </w:tcPr>
          <w:p w14:paraId="5CAC784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0.6</w:t>
            </w:r>
          </w:p>
        </w:tc>
        <w:tc>
          <w:tcPr>
            <w:tcW w:w="880" w:type="pct"/>
            <w:vAlign w:val="center"/>
          </w:tcPr>
          <w:p w14:paraId="0A34C43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0.046</w:t>
            </w:r>
          </w:p>
        </w:tc>
      </w:tr>
    </w:tbl>
    <w:p w14:paraId="08C41208">
      <w:pPr>
        <w:pStyle w:val="6"/>
        <w:ind w:firstLine="482"/>
        <w:rPr>
          <w:rFonts w:ascii="Times New Roman" w:hAnsi="Times New Roman" w:eastAsia="宋体"/>
          <w:color w:val="auto"/>
          <w:highlight w:val="none"/>
        </w:rPr>
      </w:pPr>
      <w:r>
        <w:rPr>
          <w:rFonts w:ascii="Times New Roman" w:hAnsi="Times New Roman" w:eastAsia="宋体"/>
          <w:color w:val="auto"/>
          <w:highlight w:val="none"/>
        </w:rPr>
        <w:t>3.</w:t>
      </w:r>
      <w:r>
        <w:rPr>
          <w:rFonts w:hint="eastAsia" w:ascii="Times New Roman" w:hAnsi="Times New Roman" w:eastAsia="宋体"/>
          <w:color w:val="auto"/>
          <w:highlight w:val="none"/>
        </w:rPr>
        <w:t>3</w:t>
      </w:r>
      <w:r>
        <w:rPr>
          <w:rFonts w:ascii="Times New Roman" w:hAnsi="Times New Roman" w:eastAsia="宋体"/>
          <w:color w:val="auto"/>
          <w:highlight w:val="none"/>
        </w:rPr>
        <w:t>.2.2</w:t>
      </w:r>
      <w:r>
        <w:rPr>
          <w:rFonts w:hint="eastAsia" w:ascii="Times New Roman" w:hAnsi="Times New Roman" w:eastAsia="宋体"/>
          <w:color w:val="auto"/>
          <w:highlight w:val="none"/>
        </w:rPr>
        <w:t>运营期水污染源</w:t>
      </w:r>
    </w:p>
    <w:p w14:paraId="6E006B52">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本项目废水主要有鸡舍冲洗废水、生活污水。</w:t>
      </w:r>
    </w:p>
    <w:p w14:paraId="176F5BFB">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w:t>
      </w:r>
      <w:r>
        <w:rPr>
          <w:rFonts w:hint="eastAsia"/>
          <w:color w:val="auto"/>
          <w:highlight w:val="none"/>
          <w:lang w:eastAsia="zh-CN"/>
        </w:rPr>
        <w:t>）</w:t>
      </w:r>
      <w:r>
        <w:rPr>
          <w:rFonts w:hint="eastAsia" w:ascii="Times New Roman" w:hAnsi="Times New Roman" w:eastAsia="宋体"/>
          <w:color w:val="auto"/>
          <w:highlight w:val="none"/>
        </w:rPr>
        <w:t>生活污水</w:t>
      </w:r>
    </w:p>
    <w:p w14:paraId="1F59118F">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根据《新疆维吾尔自治区工业和生活用水定额》中相关数据，工作人员用水约80L/人·d，本项目劳动定员20人，则工作人员的生活用水量为584m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按365天计</w:t>
      </w:r>
      <w:r>
        <w:rPr>
          <w:rFonts w:hint="eastAsia"/>
          <w:color w:val="auto"/>
          <w:highlight w:val="none"/>
          <w:lang w:eastAsia="zh-CN"/>
        </w:rPr>
        <w:t>）</w:t>
      </w:r>
      <w:r>
        <w:rPr>
          <w:rFonts w:hint="eastAsia" w:ascii="Times New Roman" w:hAnsi="Times New Roman" w:eastAsia="宋体"/>
          <w:color w:val="auto"/>
          <w:highlight w:val="none"/>
        </w:rPr>
        <w:t>。生活污水按照用水量的80%计算，则生活污水排放量约为467.2m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/a。生活污水中污染物浓度约为COD</w:t>
      </w:r>
      <w:r>
        <w:rPr>
          <w:rFonts w:hint="eastAsia" w:ascii="Times New Roman" w:hAnsi="Times New Roman" w:eastAsia="宋体"/>
          <w:color w:val="auto"/>
          <w:highlight w:val="none"/>
          <w:vertAlign w:val="subscript"/>
        </w:rPr>
        <w:t>Cr</w:t>
      </w:r>
      <w:r>
        <w:rPr>
          <w:rFonts w:hint="eastAsia" w:ascii="Times New Roman" w:hAnsi="Times New Roman" w:eastAsia="宋体"/>
          <w:color w:val="auto"/>
          <w:highlight w:val="none"/>
        </w:rPr>
        <w:t>：400mg/L，BOD</w:t>
      </w:r>
      <w:r>
        <w:rPr>
          <w:rFonts w:hint="eastAsia" w:ascii="Times New Roman" w:hAnsi="Times New Roman" w:eastAsia="宋体"/>
          <w:color w:val="auto"/>
          <w:highlight w:val="none"/>
          <w:vertAlign w:val="subscript"/>
        </w:rPr>
        <w:t>5</w:t>
      </w:r>
      <w:r>
        <w:rPr>
          <w:rFonts w:hint="eastAsia" w:ascii="Times New Roman" w:hAnsi="Times New Roman" w:eastAsia="宋体"/>
          <w:color w:val="auto"/>
          <w:highlight w:val="none"/>
        </w:rPr>
        <w:t>：250mg/L，SS：150mg/L，NH</w:t>
      </w:r>
      <w:r>
        <w:rPr>
          <w:rFonts w:hint="eastAsia" w:ascii="Times New Roman" w:hAnsi="Times New Roman" w:eastAsia="宋体"/>
          <w:color w:val="auto"/>
          <w:highlight w:val="none"/>
          <w:vertAlign w:val="subscript"/>
        </w:rPr>
        <w:t>3</w:t>
      </w:r>
      <w:r>
        <w:rPr>
          <w:rFonts w:hint="eastAsia" w:ascii="Times New Roman" w:hAnsi="Times New Roman" w:eastAsia="宋体"/>
          <w:color w:val="auto"/>
          <w:highlight w:val="none"/>
        </w:rPr>
        <w:t>-N：50mg/L。</w:t>
      </w:r>
    </w:p>
    <w:p w14:paraId="359445C9">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本项目生活污水产生量见表</w:t>
      </w:r>
      <w:r>
        <w:rPr>
          <w:rFonts w:hint="eastAsia" w:ascii="Times New Roman" w:hAnsi="Times New Roman" w:eastAsia="宋体"/>
          <w:color w:val="auto"/>
          <w:highlight w:val="none"/>
          <w:lang w:val="en-US" w:eastAsia="zh-CN"/>
        </w:rPr>
        <w:t>3.3-6</w:t>
      </w:r>
      <w:r>
        <w:rPr>
          <w:rFonts w:hint="eastAsia" w:ascii="Times New Roman" w:hAnsi="Times New Roman" w:eastAsia="宋体"/>
          <w:color w:val="auto"/>
          <w:highlight w:val="none"/>
        </w:rPr>
        <w:t>。</w:t>
      </w:r>
    </w:p>
    <w:p w14:paraId="7EB5427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b/>
          <w:bCs/>
          <w:color w:val="auto"/>
          <w:highlight w:val="none"/>
        </w:rPr>
      </w:pPr>
      <w:r>
        <w:rPr>
          <w:rFonts w:hint="eastAsia" w:ascii="Times New Roman" w:hAnsi="Times New Roman" w:eastAsia="宋体"/>
          <w:b/>
          <w:bCs/>
          <w:color w:val="auto"/>
          <w:highlight w:val="none"/>
        </w:rPr>
        <w:t>表</w:t>
      </w:r>
      <w:r>
        <w:rPr>
          <w:rFonts w:hint="eastAsia" w:ascii="Times New Roman" w:hAnsi="Times New Roman" w:eastAsia="宋体"/>
          <w:b/>
          <w:bCs/>
          <w:color w:val="auto"/>
          <w:highlight w:val="none"/>
          <w:lang w:val="en-US" w:eastAsia="zh-CN"/>
        </w:rPr>
        <w:t>3.3-6</w:t>
      </w:r>
      <w:r>
        <w:rPr>
          <w:rFonts w:hint="eastAsia" w:ascii="Times New Roman" w:hAnsi="Times New Roman" w:eastAsia="宋体"/>
          <w:b/>
          <w:bCs/>
          <w:color w:val="auto"/>
          <w:highlight w:val="none"/>
        </w:rPr>
        <w:t>生活污水产生量</w:t>
      </w:r>
    </w:p>
    <w:p w14:paraId="4B7AC74F">
      <w:pPr>
        <w:spacing w:line="20" w:lineRule="exact"/>
        <w:rPr>
          <w:rFonts w:ascii="Times New Roman" w:hAnsi="Times New Roman" w:eastAsia="宋体"/>
          <w:color w:val="auto"/>
          <w:highlight w:val="none"/>
        </w:rPr>
      </w:pPr>
    </w:p>
    <w:tbl>
      <w:tblPr>
        <w:tblStyle w:val="176"/>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09"/>
        <w:gridCol w:w="1501"/>
        <w:gridCol w:w="1504"/>
        <w:gridCol w:w="1810"/>
        <w:gridCol w:w="1983"/>
      </w:tblGrid>
      <w:tr w14:paraId="16FDD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jc w:val="center"/>
        </w:trPr>
        <w:tc>
          <w:tcPr>
            <w:tcW w:w="908" w:type="pct"/>
            <w:vAlign w:val="center"/>
          </w:tcPr>
          <w:p w14:paraId="4D8BCBF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废水来源</w:t>
            </w:r>
          </w:p>
        </w:tc>
        <w:tc>
          <w:tcPr>
            <w:tcW w:w="903" w:type="pct"/>
            <w:vAlign w:val="center"/>
          </w:tcPr>
          <w:p w14:paraId="17027B2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废水量</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c>
          <w:tcPr>
            <w:tcW w:w="905" w:type="pct"/>
            <w:vAlign w:val="center"/>
          </w:tcPr>
          <w:p w14:paraId="4A0D4E3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w:t>
            </w:r>
          </w:p>
        </w:tc>
        <w:tc>
          <w:tcPr>
            <w:tcW w:w="1089" w:type="pct"/>
            <w:vAlign w:val="center"/>
          </w:tcPr>
          <w:p w14:paraId="4BC98D2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产生浓度</w:t>
            </w:r>
          </w:p>
          <w:p w14:paraId="1A36820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mg/L</w:t>
            </w:r>
            <w:r>
              <w:rPr>
                <w:rFonts w:hint="eastAsia" w:cs="宋体"/>
                <w:color w:val="auto"/>
                <w:spacing w:val="0"/>
                <w:position w:val="0"/>
                <w:sz w:val="21"/>
                <w:szCs w:val="21"/>
                <w:highlight w:val="none"/>
                <w:lang w:eastAsia="zh-CN"/>
              </w:rPr>
              <w:t>）</w:t>
            </w:r>
          </w:p>
        </w:tc>
        <w:tc>
          <w:tcPr>
            <w:tcW w:w="1192" w:type="pct"/>
            <w:vAlign w:val="center"/>
          </w:tcPr>
          <w:p w14:paraId="0188DE4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产生量</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r>
      <w:tr w14:paraId="059C2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jc w:val="center"/>
        </w:trPr>
        <w:tc>
          <w:tcPr>
            <w:tcW w:w="908" w:type="pct"/>
            <w:vMerge w:val="restart"/>
            <w:tcBorders>
              <w:bottom w:val="nil"/>
            </w:tcBorders>
            <w:vAlign w:val="center"/>
          </w:tcPr>
          <w:p w14:paraId="674AC2B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生活污水</w:t>
            </w:r>
          </w:p>
        </w:tc>
        <w:tc>
          <w:tcPr>
            <w:tcW w:w="903" w:type="pct"/>
            <w:vMerge w:val="restart"/>
            <w:tcBorders>
              <w:bottom w:val="nil"/>
            </w:tcBorders>
            <w:vAlign w:val="center"/>
          </w:tcPr>
          <w:p w14:paraId="7EF7AD6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467.2</w:t>
            </w:r>
          </w:p>
        </w:tc>
        <w:tc>
          <w:tcPr>
            <w:tcW w:w="905" w:type="pct"/>
            <w:vAlign w:val="center"/>
          </w:tcPr>
          <w:p w14:paraId="6F0C609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CODcr</w:t>
            </w:r>
          </w:p>
        </w:tc>
        <w:tc>
          <w:tcPr>
            <w:tcW w:w="1089" w:type="pct"/>
            <w:vAlign w:val="center"/>
          </w:tcPr>
          <w:p w14:paraId="2203BF3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400</w:t>
            </w:r>
          </w:p>
        </w:tc>
        <w:tc>
          <w:tcPr>
            <w:tcW w:w="1192" w:type="pct"/>
            <w:vAlign w:val="center"/>
          </w:tcPr>
          <w:p w14:paraId="6E64894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0.19</w:t>
            </w:r>
          </w:p>
        </w:tc>
      </w:tr>
      <w:tr w14:paraId="6184A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jc w:val="center"/>
        </w:trPr>
        <w:tc>
          <w:tcPr>
            <w:tcW w:w="908" w:type="pct"/>
            <w:vMerge w:val="continue"/>
            <w:tcBorders>
              <w:top w:val="nil"/>
              <w:bottom w:val="nil"/>
            </w:tcBorders>
            <w:vAlign w:val="center"/>
          </w:tcPr>
          <w:p w14:paraId="48B152D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op w:val="nil"/>
              <w:bottom w:val="nil"/>
            </w:tcBorders>
            <w:vAlign w:val="center"/>
          </w:tcPr>
          <w:p w14:paraId="43A2798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vAlign w:val="center"/>
          </w:tcPr>
          <w:p w14:paraId="36CF414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Times New Roman"/>
                <w:color w:val="auto"/>
                <w:spacing w:val="0"/>
                <w:position w:val="0"/>
                <w:sz w:val="21"/>
                <w:szCs w:val="21"/>
                <w:highlight w:val="none"/>
              </w:rPr>
              <w:t>BOD</w:t>
            </w:r>
            <w:r>
              <w:rPr>
                <w:rFonts w:ascii="Times New Roman" w:hAnsi="Times New Roman" w:eastAsia="宋体" w:cs="Times New Roman"/>
                <w:color w:val="auto"/>
                <w:spacing w:val="0"/>
                <w:position w:val="0"/>
                <w:sz w:val="21"/>
                <w:szCs w:val="14"/>
                <w:highlight w:val="none"/>
                <w:vertAlign w:val="subscript"/>
              </w:rPr>
              <w:t>5</w:t>
            </w:r>
          </w:p>
        </w:tc>
        <w:tc>
          <w:tcPr>
            <w:tcW w:w="1089" w:type="pct"/>
            <w:vAlign w:val="center"/>
          </w:tcPr>
          <w:p w14:paraId="374B8AA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250</w:t>
            </w:r>
          </w:p>
        </w:tc>
        <w:tc>
          <w:tcPr>
            <w:tcW w:w="1192" w:type="pct"/>
            <w:vAlign w:val="center"/>
          </w:tcPr>
          <w:p w14:paraId="373AE40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0.12</w:t>
            </w:r>
          </w:p>
        </w:tc>
      </w:tr>
      <w:tr w14:paraId="20F50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jc w:val="center"/>
        </w:trPr>
        <w:tc>
          <w:tcPr>
            <w:tcW w:w="908" w:type="pct"/>
            <w:vMerge w:val="continue"/>
            <w:tcBorders>
              <w:top w:val="nil"/>
              <w:bottom w:val="nil"/>
            </w:tcBorders>
            <w:vAlign w:val="center"/>
          </w:tcPr>
          <w:p w14:paraId="7C0A7AB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op w:val="nil"/>
              <w:bottom w:val="nil"/>
            </w:tcBorders>
            <w:vAlign w:val="center"/>
          </w:tcPr>
          <w:p w14:paraId="5415932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vAlign w:val="center"/>
          </w:tcPr>
          <w:p w14:paraId="287A1B2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SS</w:t>
            </w:r>
          </w:p>
        </w:tc>
        <w:tc>
          <w:tcPr>
            <w:tcW w:w="1089" w:type="pct"/>
            <w:vAlign w:val="center"/>
          </w:tcPr>
          <w:p w14:paraId="55C5E39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150</w:t>
            </w:r>
          </w:p>
        </w:tc>
        <w:tc>
          <w:tcPr>
            <w:tcW w:w="1192" w:type="pct"/>
            <w:vAlign w:val="center"/>
          </w:tcPr>
          <w:p w14:paraId="10F5AF6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0.07</w:t>
            </w:r>
          </w:p>
        </w:tc>
      </w:tr>
      <w:tr w14:paraId="18A08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908" w:type="pct"/>
            <w:vMerge w:val="continue"/>
            <w:tcBorders>
              <w:top w:val="nil"/>
            </w:tcBorders>
            <w:vAlign w:val="center"/>
          </w:tcPr>
          <w:p w14:paraId="346D042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op w:val="nil"/>
            </w:tcBorders>
            <w:vAlign w:val="center"/>
          </w:tcPr>
          <w:p w14:paraId="36F684E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vAlign w:val="center"/>
          </w:tcPr>
          <w:p w14:paraId="44C40C3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r>
              <w:rPr>
                <w:rFonts w:ascii="Times New Roman" w:hAnsi="Times New Roman" w:eastAsia="宋体" w:cs="Times New Roman"/>
                <w:color w:val="auto"/>
                <w:spacing w:val="0"/>
                <w:position w:val="0"/>
                <w:sz w:val="21"/>
                <w:szCs w:val="21"/>
                <w:highlight w:val="none"/>
              </w:rPr>
              <w:t>-N</w:t>
            </w:r>
          </w:p>
        </w:tc>
        <w:tc>
          <w:tcPr>
            <w:tcW w:w="1089" w:type="pct"/>
            <w:vAlign w:val="center"/>
          </w:tcPr>
          <w:p w14:paraId="007689C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50</w:t>
            </w:r>
          </w:p>
        </w:tc>
        <w:tc>
          <w:tcPr>
            <w:tcW w:w="1192" w:type="pct"/>
            <w:vAlign w:val="center"/>
          </w:tcPr>
          <w:p w14:paraId="6978F6A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0.02</w:t>
            </w:r>
          </w:p>
        </w:tc>
      </w:tr>
    </w:tbl>
    <w:p w14:paraId="725D4929">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2</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鸡舍冲洗废水</w:t>
      </w:r>
    </w:p>
    <w:p w14:paraId="5E1EB8C0">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s="Times New Roman"/>
          <w:color w:val="auto"/>
          <w:spacing w:val="0"/>
          <w:position w:val="0"/>
          <w:sz w:val="24"/>
          <w:szCs w:val="24"/>
          <w:highlight w:val="none"/>
        </w:rPr>
      </w:pPr>
      <w:r>
        <w:rPr>
          <w:rFonts w:ascii="Times New Roman" w:hAnsi="Times New Roman" w:eastAsia="宋体"/>
          <w:color w:val="auto"/>
          <w:highlight w:val="none"/>
        </w:rPr>
        <w:t>本项目每年从天康公司的现代化专业蛋鸡育雏场购买出壳鸡苗，饲养方式采取全进全出制，0-6周</w:t>
      </w:r>
      <w:r>
        <w:rPr>
          <w:rFonts w:hint="eastAsia"/>
          <w:color w:val="auto"/>
          <w:highlight w:val="none"/>
          <w:lang w:eastAsia="zh-CN"/>
        </w:rPr>
        <w:t>（</w:t>
      </w:r>
      <w:r>
        <w:rPr>
          <w:rFonts w:ascii="Times New Roman" w:hAnsi="Times New Roman" w:eastAsia="宋体"/>
          <w:color w:val="auto"/>
          <w:highlight w:val="none"/>
        </w:rPr>
        <w:t>42天</w:t>
      </w:r>
      <w:r>
        <w:rPr>
          <w:rFonts w:hint="eastAsia"/>
          <w:color w:val="auto"/>
          <w:highlight w:val="none"/>
          <w:lang w:eastAsia="zh-CN"/>
        </w:rPr>
        <w:t>）</w:t>
      </w:r>
      <w:r>
        <w:rPr>
          <w:rFonts w:ascii="Times New Roman" w:hAnsi="Times New Roman" w:eastAsia="宋体"/>
          <w:color w:val="auto"/>
          <w:highlight w:val="none"/>
        </w:rPr>
        <w:t>在育雏舍进行养殖，7周-16周</w:t>
      </w:r>
      <w:r>
        <w:rPr>
          <w:rFonts w:hint="eastAsia"/>
          <w:color w:val="auto"/>
          <w:highlight w:val="none"/>
          <w:lang w:eastAsia="zh-CN"/>
        </w:rPr>
        <w:t>（</w:t>
      </w:r>
      <w:r>
        <w:rPr>
          <w:rFonts w:ascii="Times New Roman" w:hAnsi="Times New Roman" w:eastAsia="宋体"/>
          <w:color w:val="auto"/>
          <w:highlight w:val="none"/>
        </w:rPr>
        <w:t>70天</w:t>
      </w:r>
      <w:r>
        <w:rPr>
          <w:rFonts w:hint="eastAsia"/>
          <w:color w:val="auto"/>
          <w:highlight w:val="none"/>
          <w:lang w:eastAsia="zh-CN"/>
        </w:rPr>
        <w:t>）</w:t>
      </w:r>
      <w:r>
        <w:rPr>
          <w:rFonts w:ascii="Times New Roman" w:hAnsi="Times New Roman" w:eastAsia="宋体"/>
          <w:color w:val="auto"/>
          <w:highlight w:val="none"/>
        </w:rPr>
        <w:t>转至育成舍进行养殖，饲养16周左右外售给头工乡蛋鸡产业园。根据《无公害食品畜禽饲养兽医防疫准则》</w:t>
      </w:r>
      <w:r>
        <w:rPr>
          <w:rFonts w:hint="eastAsia"/>
          <w:color w:val="auto"/>
          <w:highlight w:val="none"/>
          <w:lang w:eastAsia="zh-CN"/>
        </w:rPr>
        <w:t>（</w:t>
      </w:r>
      <w:r>
        <w:rPr>
          <w:rFonts w:ascii="Times New Roman" w:hAnsi="Times New Roman" w:eastAsia="宋体"/>
          <w:color w:val="auto"/>
          <w:highlight w:val="none"/>
        </w:rPr>
        <w:t>NY/T5339-2017</w:t>
      </w:r>
      <w:r>
        <w:rPr>
          <w:rFonts w:hint="eastAsia"/>
          <w:color w:val="auto"/>
          <w:highlight w:val="none"/>
          <w:lang w:eastAsia="zh-CN"/>
        </w:rPr>
        <w:t>）</w:t>
      </w:r>
      <w:r>
        <w:rPr>
          <w:rFonts w:ascii="Times New Roman" w:hAnsi="Times New Roman" w:eastAsia="宋体"/>
          <w:color w:val="auto"/>
          <w:highlight w:val="none"/>
        </w:rPr>
        <w:t>中相关规定，</w:t>
      </w:r>
      <w:r>
        <w:rPr>
          <w:rFonts w:hint="eastAsia"/>
          <w:color w:val="auto"/>
          <w:highlight w:val="none"/>
          <w:lang w:eastAsia="zh-CN"/>
        </w:rPr>
        <w:t>”</w:t>
      </w:r>
      <w:r>
        <w:rPr>
          <w:rFonts w:ascii="Times New Roman" w:hAnsi="Times New Roman" w:eastAsia="宋体"/>
          <w:color w:val="auto"/>
          <w:highlight w:val="none"/>
        </w:rPr>
        <w:t>畜禽转舍、售出后，应对空舍进行严格清洁和消毒，消毒后至少空舍一周后，再引入畜禽饲养</w:t>
      </w:r>
      <w:r>
        <w:rPr>
          <w:rFonts w:hint="eastAsia"/>
          <w:color w:val="auto"/>
          <w:highlight w:val="none"/>
          <w:lang w:eastAsia="zh-CN"/>
        </w:rPr>
        <w:t>”</w:t>
      </w:r>
      <w:r>
        <w:rPr>
          <w:rFonts w:ascii="Times New Roman" w:hAnsi="Times New Roman" w:eastAsia="宋体"/>
          <w:color w:val="auto"/>
          <w:highlight w:val="none"/>
        </w:rPr>
        <w:t>，鸡舍在一个饲养周期结束，全部转出后进行冲洗；本项目鸡舍每4个月出一批，每年出3批，因此，每4个月对鸡舍冲洗1次。类比其他同类型蛋鸡养殖场实际生产经验，鸡舍冲洗用水量2m</w:t>
      </w:r>
      <w:r>
        <w:rPr>
          <w:rFonts w:ascii="Times New Roman" w:hAnsi="Times New Roman" w:eastAsia="宋体"/>
          <w:color w:val="auto"/>
          <w:highlight w:val="none"/>
          <w:vertAlign w:val="superscript"/>
        </w:rPr>
        <w:t>3</w:t>
      </w:r>
      <w:r>
        <w:rPr>
          <w:rFonts w:ascii="Times New Roman" w:hAnsi="Times New Roman" w:eastAsia="宋体"/>
          <w:color w:val="auto"/>
          <w:highlight w:val="none"/>
        </w:rPr>
        <w:t>/100m</w:t>
      </w:r>
      <w:r>
        <w:rPr>
          <w:rFonts w:ascii="Times New Roman" w:hAnsi="Times New Roman" w:eastAsia="宋体"/>
          <w:color w:val="auto"/>
          <w:highlight w:val="none"/>
          <w:vertAlign w:val="superscript"/>
        </w:rPr>
        <w:t>2</w:t>
      </w:r>
      <w:r>
        <w:rPr>
          <w:rFonts w:ascii="Times New Roman" w:hAnsi="Times New Roman" w:eastAsia="宋体"/>
          <w:color w:val="auto"/>
          <w:highlight w:val="none"/>
        </w:rPr>
        <w:t>计，项目区计划设置鸡舍</w:t>
      </w:r>
      <w:r>
        <w:rPr>
          <w:rFonts w:hint="eastAsia" w:ascii="Times New Roman" w:hAnsi="Times New Roman" w:eastAsia="宋体"/>
          <w:color w:val="auto"/>
          <w:highlight w:val="none"/>
          <w:lang w:val="en-US" w:eastAsia="zh-CN"/>
        </w:rPr>
        <w:t>6</w:t>
      </w:r>
      <w:r>
        <w:rPr>
          <w:rFonts w:ascii="Times New Roman" w:hAnsi="Times New Roman" w:eastAsia="宋体"/>
          <w:color w:val="auto"/>
          <w:highlight w:val="none"/>
        </w:rPr>
        <w:t>栋，每栋鸡舍建筑面积为</w:t>
      </w:r>
      <w:r>
        <w:rPr>
          <w:rFonts w:hint="eastAsia" w:ascii="Times New Roman" w:hAnsi="Times New Roman" w:eastAsia="宋体"/>
          <w:color w:val="auto"/>
          <w:highlight w:val="none"/>
          <w:lang w:val="en-US" w:eastAsia="zh-CN"/>
        </w:rPr>
        <w:t>1080</w:t>
      </w:r>
      <w:r>
        <w:rPr>
          <w:rFonts w:ascii="Times New Roman" w:hAnsi="Times New Roman" w:eastAsia="宋体"/>
          <w:color w:val="auto"/>
          <w:highlight w:val="none"/>
        </w:rPr>
        <w:t>m</w:t>
      </w:r>
      <w:r>
        <w:rPr>
          <w:rFonts w:ascii="Times New Roman" w:hAnsi="Times New Roman" w:eastAsia="宋体"/>
          <w:color w:val="auto"/>
          <w:highlight w:val="none"/>
          <w:vertAlign w:val="superscript"/>
        </w:rPr>
        <w:t>2</w:t>
      </w:r>
      <w:r>
        <w:rPr>
          <w:rFonts w:hint="eastAsia"/>
          <w:color w:val="auto"/>
          <w:highlight w:val="none"/>
          <w:lang w:eastAsia="zh-CN"/>
        </w:rPr>
        <w:t>（</w:t>
      </w:r>
      <w:r>
        <w:rPr>
          <w:rFonts w:ascii="Times New Roman" w:hAnsi="Times New Roman" w:eastAsia="宋体"/>
          <w:color w:val="auto"/>
          <w:highlight w:val="none"/>
        </w:rPr>
        <w:t>共</w:t>
      </w:r>
      <w:r>
        <w:rPr>
          <w:rFonts w:hint="eastAsia" w:ascii="Times New Roman" w:hAnsi="Times New Roman" w:eastAsia="宋体"/>
          <w:color w:val="auto"/>
          <w:highlight w:val="none"/>
          <w:lang w:val="en-US" w:eastAsia="zh-CN"/>
        </w:rPr>
        <w:t>6480</w:t>
      </w:r>
      <w:r>
        <w:rPr>
          <w:rFonts w:ascii="Times New Roman" w:hAnsi="Times New Roman" w:eastAsia="宋体"/>
          <w:color w:val="auto"/>
          <w:highlight w:val="none"/>
        </w:rPr>
        <w:t>m</w:t>
      </w:r>
      <w:r>
        <w:rPr>
          <w:rFonts w:ascii="Times New Roman" w:hAnsi="Times New Roman" w:eastAsia="宋体"/>
          <w:color w:val="auto"/>
          <w:highlight w:val="none"/>
          <w:vertAlign w:val="superscript"/>
        </w:rPr>
        <w:t>2</w:t>
      </w:r>
      <w:r>
        <w:rPr>
          <w:rFonts w:hint="eastAsia"/>
          <w:color w:val="auto"/>
          <w:highlight w:val="none"/>
          <w:lang w:eastAsia="zh-CN"/>
        </w:rPr>
        <w:t>）</w:t>
      </w:r>
      <w:r>
        <w:rPr>
          <w:rFonts w:ascii="Times New Roman" w:hAnsi="Times New Roman" w:eastAsia="宋体"/>
          <w:color w:val="auto"/>
          <w:highlight w:val="none"/>
        </w:rPr>
        <w:t>，则项目区每栋鸡舍冲洗用水量为21.6m</w:t>
      </w:r>
      <w:r>
        <w:rPr>
          <w:rFonts w:ascii="Times New Roman" w:hAnsi="Times New Roman" w:eastAsia="宋体"/>
          <w:color w:val="auto"/>
          <w:highlight w:val="none"/>
          <w:vertAlign w:val="superscript"/>
        </w:rPr>
        <w:t>3</w:t>
      </w:r>
      <w:r>
        <w:rPr>
          <w:rFonts w:ascii="Times New Roman" w:hAnsi="Times New Roman" w:eastAsia="宋体"/>
          <w:color w:val="auto"/>
          <w:highlight w:val="none"/>
        </w:rPr>
        <w:t>/次，</w:t>
      </w:r>
      <w:r>
        <w:rPr>
          <w:rFonts w:hint="eastAsia" w:ascii="Times New Roman" w:hAnsi="Times New Roman" w:eastAsia="宋体"/>
          <w:color w:val="auto"/>
          <w:highlight w:val="none"/>
          <w:lang w:val="en-US" w:eastAsia="zh-CN"/>
        </w:rPr>
        <w:t>64.8</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r>
        <w:rPr>
          <w:rFonts w:hint="eastAsia"/>
          <w:color w:val="auto"/>
          <w:highlight w:val="none"/>
          <w:lang w:eastAsia="zh-CN"/>
        </w:rPr>
        <w:t>（</w:t>
      </w:r>
      <w:r>
        <w:rPr>
          <w:rFonts w:ascii="Times New Roman" w:hAnsi="Times New Roman" w:eastAsia="宋体"/>
          <w:color w:val="auto"/>
          <w:highlight w:val="none"/>
        </w:rPr>
        <w:t>全场共</w:t>
      </w:r>
      <w:r>
        <w:rPr>
          <w:rFonts w:hint="eastAsia" w:ascii="Times New Roman" w:hAnsi="Times New Roman" w:eastAsia="宋体"/>
          <w:color w:val="auto"/>
          <w:highlight w:val="none"/>
          <w:lang w:val="en-US" w:eastAsia="zh-CN"/>
        </w:rPr>
        <w:t>388.8</w:t>
      </w:r>
      <w:r>
        <w:rPr>
          <w:rFonts w:ascii="Times New Roman" w:hAnsi="Times New Roman" w:eastAsia="宋体"/>
          <w:color w:val="auto"/>
          <w:highlight w:val="none"/>
        </w:rPr>
        <w:t>m</w:t>
      </w:r>
      <w:r>
        <w:rPr>
          <w:rFonts w:ascii="Times New Roman" w:hAnsi="Times New Roman" w:eastAsia="宋体"/>
          <w:color w:val="auto"/>
          <w:highlight w:val="none"/>
          <w:vertAlign w:val="superscript"/>
        </w:rPr>
        <w:t>3</w:t>
      </w:r>
      <w:r>
        <w:rPr>
          <w:rFonts w:ascii="Times New Roman" w:hAnsi="Times New Roman" w:eastAsia="宋体"/>
          <w:color w:val="auto"/>
          <w:highlight w:val="none"/>
        </w:rPr>
        <w:t>/a</w:t>
      </w:r>
      <w:r>
        <w:rPr>
          <w:rFonts w:hint="eastAsia"/>
          <w:color w:val="auto"/>
          <w:highlight w:val="none"/>
          <w:lang w:eastAsia="zh-CN"/>
        </w:rPr>
        <w:t>）</w:t>
      </w:r>
      <w:r>
        <w:rPr>
          <w:rFonts w:ascii="Times New Roman" w:hAnsi="Times New Roman" w:eastAsia="宋体"/>
          <w:color w:val="auto"/>
          <w:highlight w:val="none"/>
        </w:rPr>
        <w:t>。</w:t>
      </w:r>
    </w:p>
    <w:p w14:paraId="7B9903BC">
      <w:pPr>
        <w:keepNext w:val="0"/>
        <w:keepLines w:val="0"/>
        <w:pageBreakBefore w:val="0"/>
        <w:widowControl w:val="0"/>
        <w:kinsoku/>
        <w:wordWrap/>
        <w:overflowPunct/>
        <w:topLinePunct w:val="0"/>
        <w:autoSpaceDE/>
        <w:autoSpaceDN/>
        <w:bidi w:val="0"/>
        <w:adjustRightInd/>
        <w:snapToGrid/>
        <w:spacing w:line="480" w:lineRule="exact"/>
        <w:ind w:left="0" w:right="0" w:firstLine="46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根据《规模畜禽养殖场污染防治最佳可行技术指南</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试行</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HJ-BAT-10</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中规定，鸡舍冲洗废水的产生浓度为</w:t>
      </w:r>
      <w:r>
        <w:rPr>
          <w:rFonts w:ascii="Times New Roman" w:hAnsi="Times New Roman" w:eastAsia="宋体" w:cs="Times New Roman"/>
          <w:color w:val="auto"/>
          <w:spacing w:val="0"/>
          <w:position w:val="0"/>
          <w:sz w:val="24"/>
          <w:szCs w:val="24"/>
          <w:highlight w:val="none"/>
        </w:rPr>
        <w:t>COD</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3040mg/L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BOD</w:t>
      </w:r>
      <w:r>
        <w:rPr>
          <w:rFonts w:ascii="Times New Roman" w:hAnsi="Times New Roman" w:eastAsia="宋体" w:cs="Times New Roman"/>
          <w:color w:val="auto"/>
          <w:spacing w:val="0"/>
          <w:position w:val="0"/>
          <w:sz w:val="24"/>
          <w:szCs w:val="15"/>
          <w:highlight w:val="none"/>
          <w:vertAlign w:val="subscript"/>
        </w:rPr>
        <w:t>5</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800mg/L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SS</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1200mg/L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NH</w:t>
      </w:r>
      <w:r>
        <w:rPr>
          <w:rFonts w:ascii="Times New Roman" w:hAnsi="Times New Roman" w:eastAsia="宋体" w:cs="Times New Roman"/>
          <w:color w:val="auto"/>
          <w:spacing w:val="0"/>
          <w:position w:val="0"/>
          <w:sz w:val="24"/>
          <w:szCs w:val="15"/>
          <w:highlight w:val="none"/>
          <w:vertAlign w:val="subscript"/>
        </w:rPr>
        <w:t>3</w:t>
      </w:r>
      <w:r>
        <w:rPr>
          <w:rFonts w:ascii="Times New Roman" w:hAnsi="Times New Roman" w:eastAsia="宋体" w:cs="Times New Roman"/>
          <w:color w:val="auto"/>
          <w:spacing w:val="0"/>
          <w:position w:val="0"/>
          <w:sz w:val="24"/>
          <w:szCs w:val="24"/>
          <w:highlight w:val="none"/>
        </w:rPr>
        <w:t>-N</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200mg/L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TP</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20mg/L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TN</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150mg/L</w:t>
      </w:r>
      <w:r>
        <w:rPr>
          <w:rFonts w:ascii="Times New Roman" w:hAnsi="Times New Roman" w:eastAsia="宋体" w:cs="宋体"/>
          <w:color w:val="auto"/>
          <w:spacing w:val="0"/>
          <w:position w:val="0"/>
          <w:sz w:val="24"/>
          <w:szCs w:val="24"/>
          <w:highlight w:val="none"/>
        </w:rPr>
        <w:t>。本项目鸡舍冲洗</w:t>
      </w:r>
    </w:p>
    <w:p w14:paraId="7FA0C84A">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废水产生量及产生浓度见表</w:t>
      </w:r>
      <w:r>
        <w:rPr>
          <w:rFonts w:hint="eastAsia" w:ascii="Times New Roman" w:hAnsi="Times New Roman" w:eastAsia="宋体" w:cs="宋体"/>
          <w:color w:val="auto"/>
          <w:spacing w:val="0"/>
          <w:position w:val="0"/>
          <w:sz w:val="24"/>
          <w:szCs w:val="24"/>
          <w:highlight w:val="none"/>
          <w:lang w:val="en-US" w:eastAsia="zh-CN"/>
        </w:rPr>
        <w:t>3.3-7</w:t>
      </w:r>
      <w:r>
        <w:rPr>
          <w:rFonts w:ascii="Times New Roman" w:hAnsi="Times New Roman" w:eastAsia="宋体" w:cs="宋体"/>
          <w:color w:val="auto"/>
          <w:spacing w:val="0"/>
          <w:position w:val="0"/>
          <w:sz w:val="24"/>
          <w:szCs w:val="24"/>
          <w:highlight w:val="none"/>
        </w:rPr>
        <w:t>。</w:t>
      </w:r>
    </w:p>
    <w:p w14:paraId="5E2D0F88">
      <w:pPr>
        <w:keepNext w:val="0"/>
        <w:keepLines w:val="0"/>
        <w:pageBreakBefore w:val="0"/>
        <w:widowControl w:val="0"/>
        <w:kinsoku/>
        <w:wordWrap/>
        <w:overflowPunct/>
        <w:topLinePunct w:val="0"/>
        <w:autoSpaceDE/>
        <w:autoSpaceDN/>
        <w:bidi w:val="0"/>
        <w:adjustRightInd/>
        <w:snapToGrid/>
        <w:spacing w:line="480" w:lineRule="exact"/>
        <w:ind w:left="0" w:right="0" w:firstLine="0" w:firstLineChars="0"/>
        <w:jc w:val="center"/>
        <w:textAlignment w:val="auto"/>
        <w:rPr>
          <w:rFonts w:ascii="Times New Roman" w:hAnsi="Times New Roman" w:eastAsia="宋体" w:cs="黑体"/>
          <w:b/>
          <w:bCs/>
          <w:color w:val="auto"/>
          <w:spacing w:val="0"/>
          <w:position w:val="0"/>
          <w:sz w:val="24"/>
          <w:szCs w:val="21"/>
          <w:highlight w:val="none"/>
        </w:rPr>
      </w:pPr>
      <w:r>
        <w:rPr>
          <w:rFonts w:ascii="Times New Roman" w:hAnsi="Times New Roman" w:eastAsia="宋体" w:cs="黑体"/>
          <w:b/>
          <w:bCs/>
          <w:color w:val="auto"/>
          <w:spacing w:val="0"/>
          <w:position w:val="0"/>
          <w:sz w:val="24"/>
          <w:szCs w:val="21"/>
          <w:highlight w:val="none"/>
        </w:rPr>
        <w:t>表</w:t>
      </w:r>
      <w:r>
        <w:rPr>
          <w:rFonts w:hint="eastAsia" w:ascii="Times New Roman" w:hAnsi="Times New Roman" w:eastAsia="宋体" w:cs="黑体"/>
          <w:b/>
          <w:bCs/>
          <w:color w:val="auto"/>
          <w:spacing w:val="0"/>
          <w:position w:val="0"/>
          <w:sz w:val="24"/>
          <w:szCs w:val="21"/>
          <w:highlight w:val="none"/>
          <w:lang w:val="en-US" w:eastAsia="zh-CN"/>
        </w:rPr>
        <w:t>3.3-7</w:t>
      </w:r>
      <w:r>
        <w:rPr>
          <w:rFonts w:ascii="Times New Roman" w:hAnsi="Times New Roman" w:eastAsia="宋体" w:cs="黑体"/>
          <w:b/>
          <w:bCs/>
          <w:color w:val="auto"/>
          <w:spacing w:val="0"/>
          <w:position w:val="0"/>
          <w:sz w:val="24"/>
          <w:szCs w:val="21"/>
          <w:highlight w:val="none"/>
        </w:rPr>
        <w:t>鸡舍冲洗废水产生量</w:t>
      </w:r>
    </w:p>
    <w:p w14:paraId="7C7A4631">
      <w:pPr>
        <w:spacing w:line="20" w:lineRule="exact"/>
        <w:rPr>
          <w:rFonts w:ascii="Times New Roman" w:hAnsi="Times New Roman" w:eastAsia="宋体"/>
          <w:color w:val="auto"/>
          <w:highlight w:val="none"/>
        </w:rPr>
      </w:pPr>
    </w:p>
    <w:tbl>
      <w:tblPr>
        <w:tblStyle w:val="176"/>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09"/>
        <w:gridCol w:w="1501"/>
        <w:gridCol w:w="1504"/>
        <w:gridCol w:w="1810"/>
        <w:gridCol w:w="1983"/>
      </w:tblGrid>
      <w:tr w14:paraId="2750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908" w:type="pct"/>
            <w:tcBorders>
              <w:tl2br w:val="nil"/>
              <w:tr2bl w:val="nil"/>
            </w:tcBorders>
            <w:vAlign w:val="center"/>
          </w:tcPr>
          <w:p w14:paraId="339179E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废水来源</w:t>
            </w:r>
          </w:p>
        </w:tc>
        <w:tc>
          <w:tcPr>
            <w:tcW w:w="903" w:type="pct"/>
            <w:tcBorders>
              <w:tl2br w:val="nil"/>
              <w:tr2bl w:val="nil"/>
            </w:tcBorders>
            <w:vAlign w:val="center"/>
          </w:tcPr>
          <w:p w14:paraId="69FEC48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废水量</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c>
          <w:tcPr>
            <w:tcW w:w="905" w:type="pct"/>
            <w:tcBorders>
              <w:tl2br w:val="nil"/>
              <w:tr2bl w:val="nil"/>
            </w:tcBorders>
            <w:vAlign w:val="center"/>
          </w:tcPr>
          <w:p w14:paraId="665761B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w:t>
            </w:r>
          </w:p>
        </w:tc>
        <w:tc>
          <w:tcPr>
            <w:tcW w:w="1089" w:type="pct"/>
            <w:tcBorders>
              <w:tl2br w:val="nil"/>
              <w:tr2bl w:val="nil"/>
            </w:tcBorders>
            <w:vAlign w:val="center"/>
          </w:tcPr>
          <w:p w14:paraId="5F8DFB1C">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产生浓度</w:t>
            </w:r>
          </w:p>
          <w:p w14:paraId="4B847DD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mg/L</w:t>
            </w:r>
            <w:r>
              <w:rPr>
                <w:rFonts w:hint="eastAsia" w:cs="宋体"/>
                <w:color w:val="auto"/>
                <w:spacing w:val="0"/>
                <w:position w:val="0"/>
                <w:sz w:val="21"/>
                <w:szCs w:val="21"/>
                <w:highlight w:val="none"/>
                <w:lang w:eastAsia="zh-CN"/>
              </w:rPr>
              <w:t>）</w:t>
            </w:r>
          </w:p>
        </w:tc>
        <w:tc>
          <w:tcPr>
            <w:tcW w:w="1192" w:type="pct"/>
            <w:tcBorders>
              <w:tl2br w:val="nil"/>
              <w:tr2bl w:val="nil"/>
            </w:tcBorders>
            <w:vAlign w:val="center"/>
          </w:tcPr>
          <w:p w14:paraId="004E100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产生量</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r>
      <w:tr w14:paraId="7A81E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908" w:type="pct"/>
            <w:vMerge w:val="restart"/>
            <w:tcBorders>
              <w:tl2br w:val="nil"/>
              <w:tr2bl w:val="nil"/>
            </w:tcBorders>
            <w:vAlign w:val="center"/>
          </w:tcPr>
          <w:p w14:paraId="412F747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鸡舍冲洗废水</w:t>
            </w:r>
          </w:p>
        </w:tc>
        <w:tc>
          <w:tcPr>
            <w:tcW w:w="903" w:type="pct"/>
            <w:vMerge w:val="restart"/>
            <w:tcBorders>
              <w:tl2br w:val="nil"/>
              <w:tr2bl w:val="nil"/>
            </w:tcBorders>
            <w:vAlign w:val="center"/>
          </w:tcPr>
          <w:p w14:paraId="71A72B6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388.8</w:t>
            </w:r>
          </w:p>
        </w:tc>
        <w:tc>
          <w:tcPr>
            <w:tcW w:w="905" w:type="pct"/>
            <w:tcBorders>
              <w:tl2br w:val="nil"/>
              <w:tr2bl w:val="nil"/>
            </w:tcBorders>
            <w:vAlign w:val="center"/>
          </w:tcPr>
          <w:p w14:paraId="78D28B6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CODcr</w:t>
            </w:r>
          </w:p>
        </w:tc>
        <w:tc>
          <w:tcPr>
            <w:tcW w:w="1089" w:type="pct"/>
            <w:tcBorders>
              <w:tl2br w:val="nil"/>
              <w:tr2bl w:val="nil"/>
            </w:tcBorders>
            <w:vAlign w:val="center"/>
          </w:tcPr>
          <w:p w14:paraId="6FD06DE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3040</w:t>
            </w:r>
          </w:p>
        </w:tc>
        <w:tc>
          <w:tcPr>
            <w:tcW w:w="1192" w:type="pct"/>
            <w:tcBorders>
              <w:tl2br w:val="nil"/>
              <w:tr2bl w:val="nil"/>
            </w:tcBorders>
            <w:vAlign w:val="center"/>
          </w:tcPr>
          <w:p w14:paraId="4F05ADF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1.18</w:t>
            </w:r>
          </w:p>
        </w:tc>
      </w:tr>
      <w:tr w14:paraId="255BA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908" w:type="pct"/>
            <w:vMerge w:val="continue"/>
            <w:tcBorders>
              <w:tl2br w:val="nil"/>
              <w:tr2bl w:val="nil"/>
            </w:tcBorders>
            <w:vAlign w:val="center"/>
          </w:tcPr>
          <w:p w14:paraId="6F7C62F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l2br w:val="nil"/>
              <w:tr2bl w:val="nil"/>
            </w:tcBorders>
            <w:vAlign w:val="center"/>
          </w:tcPr>
          <w:p w14:paraId="0057309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tcBorders>
              <w:tl2br w:val="nil"/>
              <w:tr2bl w:val="nil"/>
            </w:tcBorders>
            <w:vAlign w:val="center"/>
          </w:tcPr>
          <w:p w14:paraId="12203E0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Times New Roman"/>
                <w:color w:val="auto"/>
                <w:spacing w:val="0"/>
                <w:position w:val="0"/>
                <w:sz w:val="21"/>
                <w:szCs w:val="21"/>
                <w:highlight w:val="none"/>
              </w:rPr>
              <w:t>BOD</w:t>
            </w:r>
            <w:r>
              <w:rPr>
                <w:rFonts w:ascii="Times New Roman" w:hAnsi="Times New Roman" w:eastAsia="宋体" w:cs="Times New Roman"/>
                <w:color w:val="auto"/>
                <w:spacing w:val="0"/>
                <w:position w:val="0"/>
                <w:sz w:val="21"/>
                <w:szCs w:val="14"/>
                <w:highlight w:val="none"/>
                <w:vertAlign w:val="subscript"/>
              </w:rPr>
              <w:t>5</w:t>
            </w:r>
          </w:p>
        </w:tc>
        <w:tc>
          <w:tcPr>
            <w:tcW w:w="1089" w:type="pct"/>
            <w:tcBorders>
              <w:tl2br w:val="nil"/>
              <w:tr2bl w:val="nil"/>
            </w:tcBorders>
            <w:vAlign w:val="center"/>
          </w:tcPr>
          <w:p w14:paraId="282ADE6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800</w:t>
            </w:r>
          </w:p>
        </w:tc>
        <w:tc>
          <w:tcPr>
            <w:tcW w:w="1192" w:type="pct"/>
            <w:tcBorders>
              <w:tl2br w:val="nil"/>
              <w:tr2bl w:val="nil"/>
            </w:tcBorders>
            <w:vAlign w:val="center"/>
          </w:tcPr>
          <w:p w14:paraId="4B230CA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0.31</w:t>
            </w:r>
          </w:p>
        </w:tc>
      </w:tr>
      <w:tr w14:paraId="7A8C9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908" w:type="pct"/>
            <w:vMerge w:val="continue"/>
            <w:tcBorders>
              <w:tl2br w:val="nil"/>
              <w:tr2bl w:val="nil"/>
            </w:tcBorders>
            <w:vAlign w:val="center"/>
          </w:tcPr>
          <w:p w14:paraId="74B9AD8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l2br w:val="nil"/>
              <w:tr2bl w:val="nil"/>
            </w:tcBorders>
            <w:vAlign w:val="center"/>
          </w:tcPr>
          <w:p w14:paraId="4ABF0E0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tcBorders>
              <w:tl2br w:val="nil"/>
              <w:tr2bl w:val="nil"/>
            </w:tcBorders>
            <w:vAlign w:val="center"/>
          </w:tcPr>
          <w:p w14:paraId="64A8A06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SS</w:t>
            </w:r>
          </w:p>
        </w:tc>
        <w:tc>
          <w:tcPr>
            <w:tcW w:w="1089" w:type="pct"/>
            <w:tcBorders>
              <w:tl2br w:val="nil"/>
              <w:tr2bl w:val="nil"/>
            </w:tcBorders>
            <w:vAlign w:val="center"/>
          </w:tcPr>
          <w:p w14:paraId="3BACA0A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1200</w:t>
            </w:r>
          </w:p>
        </w:tc>
        <w:tc>
          <w:tcPr>
            <w:tcW w:w="1192" w:type="pct"/>
            <w:tcBorders>
              <w:tl2br w:val="nil"/>
              <w:tr2bl w:val="nil"/>
            </w:tcBorders>
            <w:vAlign w:val="center"/>
          </w:tcPr>
          <w:p w14:paraId="6138E4F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0.47</w:t>
            </w:r>
          </w:p>
        </w:tc>
      </w:tr>
      <w:tr w14:paraId="74359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908" w:type="pct"/>
            <w:vMerge w:val="continue"/>
            <w:tcBorders>
              <w:tl2br w:val="nil"/>
              <w:tr2bl w:val="nil"/>
            </w:tcBorders>
            <w:vAlign w:val="center"/>
          </w:tcPr>
          <w:p w14:paraId="5FFD94A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l2br w:val="nil"/>
              <w:tr2bl w:val="nil"/>
            </w:tcBorders>
            <w:vAlign w:val="center"/>
          </w:tcPr>
          <w:p w14:paraId="11DA313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tcBorders>
              <w:tl2br w:val="nil"/>
              <w:tr2bl w:val="nil"/>
            </w:tcBorders>
            <w:vAlign w:val="center"/>
          </w:tcPr>
          <w:p w14:paraId="72E6513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r>
              <w:rPr>
                <w:rFonts w:ascii="Times New Roman" w:hAnsi="Times New Roman" w:eastAsia="宋体" w:cs="Times New Roman"/>
                <w:color w:val="auto"/>
                <w:spacing w:val="0"/>
                <w:position w:val="0"/>
                <w:sz w:val="21"/>
                <w:szCs w:val="21"/>
                <w:highlight w:val="none"/>
              </w:rPr>
              <w:t>-N</w:t>
            </w:r>
          </w:p>
        </w:tc>
        <w:tc>
          <w:tcPr>
            <w:tcW w:w="1089" w:type="pct"/>
            <w:tcBorders>
              <w:tl2br w:val="nil"/>
              <w:tr2bl w:val="nil"/>
            </w:tcBorders>
            <w:vAlign w:val="center"/>
          </w:tcPr>
          <w:p w14:paraId="597737A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200</w:t>
            </w:r>
          </w:p>
        </w:tc>
        <w:tc>
          <w:tcPr>
            <w:tcW w:w="1192" w:type="pct"/>
            <w:tcBorders>
              <w:tl2br w:val="nil"/>
              <w:tr2bl w:val="nil"/>
            </w:tcBorders>
            <w:vAlign w:val="center"/>
          </w:tcPr>
          <w:p w14:paraId="7ECD5DCF">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0.08</w:t>
            </w:r>
          </w:p>
        </w:tc>
      </w:tr>
      <w:tr w14:paraId="2DC78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908" w:type="pct"/>
            <w:vMerge w:val="continue"/>
            <w:tcBorders>
              <w:tl2br w:val="nil"/>
              <w:tr2bl w:val="nil"/>
            </w:tcBorders>
            <w:vAlign w:val="center"/>
          </w:tcPr>
          <w:p w14:paraId="76FFE1A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l2br w:val="nil"/>
              <w:tr2bl w:val="nil"/>
            </w:tcBorders>
            <w:vAlign w:val="center"/>
          </w:tcPr>
          <w:p w14:paraId="0BE4481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tcBorders>
              <w:tl2br w:val="nil"/>
              <w:tr2bl w:val="nil"/>
            </w:tcBorders>
            <w:vAlign w:val="center"/>
          </w:tcPr>
          <w:p w14:paraId="67816F7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TP</w:t>
            </w:r>
          </w:p>
        </w:tc>
        <w:tc>
          <w:tcPr>
            <w:tcW w:w="1089" w:type="pct"/>
            <w:tcBorders>
              <w:tl2br w:val="nil"/>
              <w:tr2bl w:val="nil"/>
            </w:tcBorders>
            <w:vAlign w:val="center"/>
          </w:tcPr>
          <w:p w14:paraId="64F2495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20</w:t>
            </w:r>
          </w:p>
        </w:tc>
        <w:tc>
          <w:tcPr>
            <w:tcW w:w="1192" w:type="pct"/>
            <w:tcBorders>
              <w:tl2br w:val="nil"/>
              <w:tr2bl w:val="nil"/>
            </w:tcBorders>
            <w:vAlign w:val="center"/>
          </w:tcPr>
          <w:p w14:paraId="2906EB0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0.008</w:t>
            </w:r>
          </w:p>
        </w:tc>
      </w:tr>
      <w:tr w14:paraId="092ED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908" w:type="pct"/>
            <w:vMerge w:val="continue"/>
            <w:tcBorders>
              <w:tl2br w:val="nil"/>
              <w:tr2bl w:val="nil"/>
            </w:tcBorders>
            <w:vAlign w:val="center"/>
          </w:tcPr>
          <w:p w14:paraId="13AD31E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3" w:type="pct"/>
            <w:vMerge w:val="continue"/>
            <w:tcBorders>
              <w:tl2br w:val="nil"/>
              <w:tr2bl w:val="nil"/>
            </w:tcBorders>
            <w:vAlign w:val="center"/>
          </w:tcPr>
          <w:p w14:paraId="7E072FD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position w:val="0"/>
                <w:sz w:val="21"/>
                <w:highlight w:val="none"/>
              </w:rPr>
            </w:pPr>
          </w:p>
        </w:tc>
        <w:tc>
          <w:tcPr>
            <w:tcW w:w="905" w:type="pct"/>
            <w:tcBorders>
              <w:tl2br w:val="nil"/>
              <w:tr2bl w:val="nil"/>
            </w:tcBorders>
            <w:vAlign w:val="center"/>
          </w:tcPr>
          <w:p w14:paraId="5415625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TN</w:t>
            </w:r>
          </w:p>
        </w:tc>
        <w:tc>
          <w:tcPr>
            <w:tcW w:w="1089" w:type="pct"/>
            <w:tcBorders>
              <w:tl2br w:val="nil"/>
              <w:tr2bl w:val="nil"/>
            </w:tcBorders>
            <w:vAlign w:val="center"/>
          </w:tcPr>
          <w:p w14:paraId="618610A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150</w:t>
            </w:r>
          </w:p>
        </w:tc>
        <w:tc>
          <w:tcPr>
            <w:tcW w:w="1192" w:type="pct"/>
            <w:tcBorders>
              <w:tl2br w:val="nil"/>
              <w:tr2bl w:val="nil"/>
            </w:tcBorders>
            <w:vAlign w:val="center"/>
          </w:tcPr>
          <w:p w14:paraId="710D642F">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Times New Roman"/>
                <w:color w:val="auto"/>
                <w:spacing w:val="0"/>
                <w:position w:val="0"/>
                <w:sz w:val="21"/>
                <w:szCs w:val="21"/>
                <w:highlight w:val="none"/>
                <w:lang w:eastAsia="zh-CN"/>
              </w:rPr>
            </w:pPr>
            <w:r>
              <w:rPr>
                <w:rFonts w:hint="eastAsia" w:cs="Times New Roman"/>
                <w:color w:val="auto"/>
                <w:spacing w:val="0"/>
                <w:position w:val="0"/>
                <w:sz w:val="21"/>
                <w:szCs w:val="21"/>
                <w:highlight w:val="none"/>
                <w:lang w:eastAsia="zh-CN"/>
              </w:rPr>
              <w:t>0.046</w:t>
            </w:r>
          </w:p>
        </w:tc>
      </w:tr>
    </w:tbl>
    <w:p w14:paraId="6825AE80">
      <w:pPr>
        <w:ind w:firstLine="480"/>
        <w:rPr>
          <w:rFonts w:ascii="Times New Roman" w:hAnsi="Times New Roman" w:eastAsia="宋体"/>
          <w:color w:val="auto"/>
          <w:highlight w:val="none"/>
        </w:rPr>
      </w:pPr>
      <w:r>
        <w:rPr>
          <w:rFonts w:ascii="Times New Roman" w:hAnsi="Times New Roman" w:eastAsia="宋体" w:cs="宋体"/>
          <w:color w:val="auto"/>
          <w:spacing w:val="-12"/>
          <w:sz w:val="24"/>
          <w:szCs w:val="24"/>
          <w:highlight w:val="none"/>
        </w:rPr>
        <w:t>生活污</w:t>
      </w:r>
      <w:r>
        <w:rPr>
          <w:rFonts w:ascii="Times New Roman" w:hAnsi="Times New Roman" w:eastAsia="宋体" w:cs="宋体"/>
          <w:color w:val="auto"/>
          <w:spacing w:val="-9"/>
          <w:sz w:val="24"/>
          <w:szCs w:val="24"/>
          <w:highlight w:val="none"/>
        </w:rPr>
        <w:t>水</w:t>
      </w:r>
      <w:r>
        <w:rPr>
          <w:rFonts w:ascii="Times New Roman" w:hAnsi="Times New Roman" w:eastAsia="宋体" w:cs="宋体"/>
          <w:color w:val="auto"/>
          <w:spacing w:val="-6"/>
          <w:sz w:val="24"/>
          <w:szCs w:val="24"/>
          <w:highlight w:val="none"/>
        </w:rPr>
        <w:t>直接排入下水管网，最终进入玛纳斯县城污水处理厂；鸡舍冲洗废</w:t>
      </w:r>
      <w:r>
        <w:rPr>
          <w:rFonts w:ascii="Times New Roman" w:hAnsi="Times New Roman" w:eastAsia="宋体" w:cs="宋体"/>
          <w:color w:val="auto"/>
          <w:spacing w:val="-2"/>
          <w:sz w:val="24"/>
          <w:szCs w:val="24"/>
          <w:highlight w:val="none"/>
        </w:rPr>
        <w:t>水鸡舍冲洗废水排入</w:t>
      </w:r>
      <w:r>
        <w:rPr>
          <w:rFonts w:hint="eastAsia" w:ascii="Times New Roman" w:hAnsi="Times New Roman" w:eastAsia="宋体" w:cs="宋体"/>
          <w:color w:val="auto"/>
          <w:spacing w:val="-2"/>
          <w:sz w:val="24"/>
          <w:szCs w:val="24"/>
          <w:highlight w:val="none"/>
          <w:lang w:val="en-US" w:eastAsia="zh-CN"/>
        </w:rPr>
        <w:t>废水收集池（150m</w:t>
      </w:r>
      <w:r>
        <w:rPr>
          <w:rFonts w:hint="eastAsia" w:ascii="Times New Roman" w:hAnsi="Times New Roman" w:eastAsia="宋体" w:cs="宋体"/>
          <w:color w:val="auto"/>
          <w:spacing w:val="-2"/>
          <w:sz w:val="24"/>
          <w:szCs w:val="24"/>
          <w:highlight w:val="none"/>
          <w:vertAlign w:val="superscript"/>
          <w:lang w:val="en-US" w:eastAsia="zh-CN"/>
        </w:rPr>
        <w:t>3</w:t>
      </w:r>
      <w:r>
        <w:rPr>
          <w:rFonts w:hint="eastAsia" w:ascii="Times New Roman" w:hAnsi="Times New Roman" w:eastAsia="宋体" w:cs="宋体"/>
          <w:color w:val="auto"/>
          <w:spacing w:val="-2"/>
          <w:sz w:val="24"/>
          <w:szCs w:val="24"/>
          <w:highlight w:val="none"/>
          <w:lang w:val="en-US" w:eastAsia="zh-CN"/>
        </w:rPr>
        <w:t>）经过预处理后用作农肥。</w:t>
      </w:r>
    </w:p>
    <w:p w14:paraId="5F2C4500">
      <w:pPr>
        <w:pStyle w:val="6"/>
        <w:ind w:firstLine="482"/>
        <w:rPr>
          <w:rFonts w:ascii="Times New Roman" w:hAnsi="Times New Roman" w:eastAsia="宋体"/>
          <w:color w:val="auto"/>
          <w:highlight w:val="none"/>
        </w:rPr>
      </w:pPr>
      <w:r>
        <w:rPr>
          <w:rFonts w:ascii="Times New Roman" w:hAnsi="Times New Roman" w:eastAsia="宋体"/>
          <w:color w:val="auto"/>
          <w:highlight w:val="none"/>
        </w:rPr>
        <w:t>3.</w:t>
      </w:r>
      <w:r>
        <w:rPr>
          <w:rFonts w:hint="eastAsia" w:ascii="Times New Roman" w:hAnsi="Times New Roman" w:eastAsia="宋体"/>
          <w:color w:val="auto"/>
          <w:highlight w:val="none"/>
        </w:rPr>
        <w:t>3</w:t>
      </w:r>
      <w:r>
        <w:rPr>
          <w:rFonts w:ascii="Times New Roman" w:hAnsi="Times New Roman" w:eastAsia="宋体"/>
          <w:color w:val="auto"/>
          <w:highlight w:val="none"/>
        </w:rPr>
        <w:t>.2.3固废</w:t>
      </w:r>
    </w:p>
    <w:p w14:paraId="658A437E">
      <w:pPr>
        <w:keepNext w:val="0"/>
        <w:keepLines w:val="0"/>
        <w:pageBreakBefore w:val="0"/>
        <w:widowControl w:val="0"/>
        <w:kinsoku/>
        <w:wordWrap/>
        <w:overflowPunct/>
        <w:topLinePunct w:val="0"/>
        <w:autoSpaceDE/>
        <w:autoSpaceDN/>
        <w:bidi w:val="0"/>
        <w:adjustRightInd/>
        <w:snapToGrid/>
        <w:spacing w:line="480" w:lineRule="exact"/>
        <w:ind w:left="0" w:right="0" w:firstLine="477"/>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本项目产生的固体废物主要为鸡粪及散落羽毛、病死鸡只、废弃包装物、生活垃圾、医疗废物。</w:t>
      </w:r>
    </w:p>
    <w:p w14:paraId="747196C8">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1</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鸡粪及散落羽毛</w:t>
      </w:r>
    </w:p>
    <w:p w14:paraId="3F5EB4EC">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根据《</w:t>
      </w:r>
      <w:r>
        <w:rPr>
          <w:rFonts w:ascii="Times New Roman" w:hAnsi="Times New Roman" w:eastAsia="宋体"/>
          <w:color w:val="auto"/>
          <w:spacing w:val="0"/>
          <w:sz w:val="24"/>
          <w:highlight w:val="none"/>
        </w:rPr>
        <w:fldChar w:fldCharType="begin"/>
      </w:r>
      <w:r>
        <w:rPr>
          <w:rFonts w:ascii="Times New Roman" w:hAnsi="Times New Roman" w:eastAsia="宋体"/>
          <w:color w:val="auto"/>
          <w:spacing w:val="0"/>
          <w:sz w:val="24"/>
          <w:highlight w:val="none"/>
        </w:rPr>
        <w:instrText xml:space="preserve"> HYPERLINK "http://www.mee.gov.cn/ywgz/fgbz/bz/bzwb/pwxk/201906/W020190620431392417623.pdf" </w:instrText>
      </w:r>
      <w:r>
        <w:rPr>
          <w:rFonts w:ascii="Times New Roman" w:hAnsi="Times New Roman" w:eastAsia="宋体"/>
          <w:color w:val="auto"/>
          <w:spacing w:val="0"/>
          <w:sz w:val="24"/>
          <w:highlight w:val="none"/>
        </w:rPr>
        <w:fldChar w:fldCharType="separate"/>
      </w:r>
      <w:r>
        <w:rPr>
          <w:rFonts w:ascii="Times New Roman" w:hAnsi="Times New Roman" w:eastAsia="宋体" w:cs="宋体"/>
          <w:color w:val="auto"/>
          <w:spacing w:val="0"/>
          <w:sz w:val="24"/>
          <w:szCs w:val="24"/>
          <w:highlight w:val="none"/>
        </w:rPr>
        <w:t>排污许可证申请与核发技术规范畜禽养殖行业</w:t>
      </w:r>
      <w:r>
        <w:rPr>
          <w:rFonts w:ascii="Times New Roman" w:hAnsi="Times New Roman" w:eastAsia="宋体" w:cs="宋体"/>
          <w:color w:val="auto"/>
          <w:spacing w:val="0"/>
          <w:sz w:val="24"/>
          <w:szCs w:val="24"/>
          <w:highlight w:val="none"/>
        </w:rPr>
        <w:fldChar w:fldCharType="end"/>
      </w:r>
      <w:r>
        <w:rPr>
          <w:rFonts w:ascii="Times New Roman" w:hAnsi="Times New Roman" w:eastAsia="宋体" w:cs="宋体"/>
          <w:color w:val="auto"/>
          <w:spacing w:val="0"/>
          <w:sz w:val="24"/>
          <w:szCs w:val="24"/>
          <w:highlight w:val="none"/>
        </w:rPr>
        <w:t>》</w:t>
      </w: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HJ1029-2019</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表</w:t>
      </w:r>
      <w:r>
        <w:rPr>
          <w:rFonts w:ascii="Times New Roman" w:hAnsi="Times New Roman" w:eastAsia="宋体" w:cs="Times New Roman"/>
          <w:color w:val="auto"/>
          <w:spacing w:val="0"/>
          <w:sz w:val="24"/>
          <w:szCs w:val="24"/>
          <w:highlight w:val="none"/>
        </w:rPr>
        <w:t>9</w:t>
      </w:r>
      <w:r>
        <w:rPr>
          <w:rFonts w:ascii="Times New Roman" w:hAnsi="Times New Roman" w:eastAsia="宋体" w:cs="宋体"/>
          <w:color w:val="auto"/>
          <w:spacing w:val="0"/>
          <w:sz w:val="24"/>
          <w:szCs w:val="24"/>
          <w:highlight w:val="none"/>
        </w:rPr>
        <w:t>各类畜禽污染物产生量，蛋鸡粪便产生量为</w:t>
      </w:r>
      <w:r>
        <w:rPr>
          <w:rFonts w:ascii="Times New Roman" w:hAnsi="Times New Roman" w:eastAsia="宋体" w:cs="Times New Roman"/>
          <w:color w:val="auto"/>
          <w:spacing w:val="0"/>
          <w:sz w:val="24"/>
          <w:szCs w:val="24"/>
          <w:highlight w:val="none"/>
        </w:rPr>
        <w:t>0.13kg/d</w:t>
      </w:r>
      <w:r>
        <w:rPr>
          <w:rFonts w:ascii="Times New Roman" w:hAnsi="Times New Roman" w:eastAsia="宋体" w:cs="宋体"/>
          <w:color w:val="auto"/>
          <w:spacing w:val="0"/>
          <w:sz w:val="24"/>
          <w:szCs w:val="24"/>
          <w:highlight w:val="none"/>
        </w:rPr>
        <w:t>•只，鸡舍每日产生的鸡粪日产日清，年出栏共</w:t>
      </w:r>
      <w:r>
        <w:rPr>
          <w:rFonts w:hint="eastAsia" w:ascii="Times New Roman" w:hAnsi="Times New Roman" w:eastAsia="宋体" w:cs="宋体"/>
          <w:color w:val="auto"/>
          <w:spacing w:val="0"/>
          <w:sz w:val="24"/>
          <w:szCs w:val="24"/>
          <w:highlight w:val="none"/>
          <w:lang w:val="en-US" w:eastAsia="zh-CN"/>
        </w:rPr>
        <w:t>72</w:t>
      </w:r>
      <w:r>
        <w:rPr>
          <w:rFonts w:ascii="Times New Roman" w:hAnsi="Times New Roman" w:eastAsia="宋体" w:cs="宋体"/>
          <w:color w:val="auto"/>
          <w:spacing w:val="0"/>
          <w:sz w:val="24"/>
          <w:szCs w:val="24"/>
          <w:highlight w:val="none"/>
        </w:rPr>
        <w:t>万羽</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每批次存栏共</w:t>
      </w:r>
      <w:r>
        <w:rPr>
          <w:rFonts w:hint="eastAsia" w:ascii="Times New Roman" w:hAnsi="Times New Roman" w:eastAsia="宋体" w:cs="宋体"/>
          <w:color w:val="auto"/>
          <w:spacing w:val="0"/>
          <w:sz w:val="24"/>
          <w:szCs w:val="24"/>
          <w:highlight w:val="none"/>
          <w:lang w:val="en-US" w:eastAsia="zh-CN"/>
        </w:rPr>
        <w:t>24</w:t>
      </w:r>
      <w:r>
        <w:rPr>
          <w:rFonts w:ascii="Times New Roman" w:hAnsi="Times New Roman" w:eastAsia="宋体" w:cs="宋体"/>
          <w:color w:val="auto"/>
          <w:spacing w:val="0"/>
          <w:sz w:val="24"/>
          <w:szCs w:val="24"/>
          <w:highlight w:val="none"/>
        </w:rPr>
        <w:t>万羽，每年出</w:t>
      </w:r>
      <w:r>
        <w:rPr>
          <w:rFonts w:ascii="Times New Roman" w:hAnsi="Times New Roman" w:eastAsia="宋体" w:cs="Times New Roman"/>
          <w:color w:val="auto"/>
          <w:spacing w:val="0"/>
          <w:sz w:val="24"/>
          <w:szCs w:val="24"/>
          <w:highlight w:val="none"/>
        </w:rPr>
        <w:t>3</w:t>
      </w:r>
      <w:r>
        <w:rPr>
          <w:rFonts w:ascii="Times New Roman" w:hAnsi="Times New Roman" w:eastAsia="宋体" w:cs="宋体"/>
          <w:color w:val="auto"/>
          <w:spacing w:val="0"/>
          <w:sz w:val="24"/>
          <w:szCs w:val="24"/>
          <w:highlight w:val="none"/>
        </w:rPr>
        <w:t>批</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，故鸡粪量为</w:t>
      </w:r>
      <w:r>
        <w:rPr>
          <w:rFonts w:hint="eastAsia" w:ascii="Times New Roman" w:hAnsi="Times New Roman" w:eastAsia="宋体" w:cs="宋体"/>
          <w:color w:val="auto"/>
          <w:spacing w:val="0"/>
          <w:sz w:val="24"/>
          <w:szCs w:val="24"/>
          <w:highlight w:val="none"/>
          <w:lang w:val="en-US" w:eastAsia="zh-CN"/>
        </w:rPr>
        <w:t>31.2</w:t>
      </w:r>
      <w:r>
        <w:rPr>
          <w:rFonts w:ascii="Times New Roman" w:hAnsi="Times New Roman" w:eastAsia="宋体" w:cs="Times New Roman"/>
          <w:color w:val="auto"/>
          <w:spacing w:val="0"/>
          <w:sz w:val="24"/>
          <w:szCs w:val="24"/>
          <w:highlight w:val="none"/>
        </w:rPr>
        <w:t>t/d</w:t>
      </w:r>
      <w:r>
        <w:rPr>
          <w:rFonts w:ascii="Times New Roman" w:hAnsi="Times New Roman" w:eastAsia="宋体" w:cs="宋体"/>
          <w:color w:val="auto"/>
          <w:spacing w:val="0"/>
          <w:sz w:val="24"/>
          <w:szCs w:val="24"/>
          <w:highlight w:val="none"/>
        </w:rPr>
        <w:t>。每天采用密封清粪车运输，</w:t>
      </w:r>
      <w:r>
        <w:rPr>
          <w:rFonts w:hint="eastAsia"/>
          <w:color w:val="auto"/>
          <w:highlight w:val="none"/>
          <w:lang w:val="en-US" w:eastAsia="zh-CN"/>
        </w:rPr>
        <w:t>外售</w:t>
      </w:r>
      <w:r>
        <w:rPr>
          <w:rFonts w:ascii="Times New Roman" w:hAnsi="Times New Roman" w:eastAsia="宋体"/>
          <w:color w:val="auto"/>
          <w:highlight w:val="none"/>
        </w:rPr>
        <w:t>有机肥生产公司作为有机肥生产的原料</w:t>
      </w:r>
      <w:r>
        <w:rPr>
          <w:rFonts w:ascii="Times New Roman" w:hAnsi="Times New Roman" w:eastAsia="宋体" w:cs="宋体"/>
          <w:color w:val="auto"/>
          <w:spacing w:val="0"/>
          <w:sz w:val="24"/>
          <w:szCs w:val="24"/>
          <w:highlight w:val="none"/>
        </w:rPr>
        <w:t>。</w:t>
      </w:r>
    </w:p>
    <w:p w14:paraId="21FCFBAE">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2</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病死鸡只</w:t>
      </w:r>
    </w:p>
    <w:p w14:paraId="6F0AC6E1">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本项目常年存栏量蛋鸡为</w:t>
      </w:r>
      <w:r>
        <w:rPr>
          <w:rFonts w:hint="eastAsia" w:ascii="Times New Roman" w:hAnsi="Times New Roman" w:eastAsia="宋体" w:cs="宋体"/>
          <w:color w:val="auto"/>
          <w:spacing w:val="0"/>
          <w:sz w:val="24"/>
          <w:szCs w:val="24"/>
          <w:highlight w:val="none"/>
          <w:lang w:val="en-US" w:eastAsia="zh-CN"/>
        </w:rPr>
        <w:t>24</w:t>
      </w:r>
      <w:r>
        <w:rPr>
          <w:rFonts w:ascii="Times New Roman" w:hAnsi="Times New Roman" w:eastAsia="宋体" w:cs="宋体"/>
          <w:color w:val="auto"/>
          <w:spacing w:val="0"/>
          <w:sz w:val="24"/>
          <w:szCs w:val="24"/>
          <w:highlight w:val="none"/>
        </w:rPr>
        <w:t>万羽，病死率与饲养水平等有关，正常情况下年雏鸡的死亡率一般为存栏量的</w:t>
      </w:r>
      <w:r>
        <w:rPr>
          <w:rFonts w:ascii="Times New Roman" w:hAnsi="Times New Roman" w:eastAsia="宋体" w:cs="Times New Roman"/>
          <w:color w:val="auto"/>
          <w:spacing w:val="0"/>
          <w:sz w:val="24"/>
          <w:szCs w:val="24"/>
          <w:highlight w:val="none"/>
        </w:rPr>
        <w:t>3%</w:t>
      </w:r>
      <w:r>
        <w:rPr>
          <w:rFonts w:ascii="Times New Roman" w:hAnsi="Times New Roman" w:eastAsia="宋体" w:cs="宋体"/>
          <w:color w:val="auto"/>
          <w:spacing w:val="0"/>
          <w:sz w:val="24"/>
          <w:szCs w:val="24"/>
          <w:highlight w:val="none"/>
        </w:rPr>
        <w:t>左右，病死鸡重量平均为</w:t>
      </w:r>
      <w:r>
        <w:rPr>
          <w:rFonts w:ascii="Times New Roman" w:hAnsi="Times New Roman" w:eastAsia="宋体" w:cs="Times New Roman"/>
          <w:color w:val="auto"/>
          <w:spacing w:val="0"/>
          <w:sz w:val="24"/>
          <w:szCs w:val="24"/>
          <w:highlight w:val="none"/>
        </w:rPr>
        <w:t>0.5kg/</w:t>
      </w:r>
      <w:r>
        <w:rPr>
          <w:rFonts w:ascii="Times New Roman" w:hAnsi="Times New Roman" w:eastAsia="宋体" w:cs="宋体"/>
          <w:color w:val="auto"/>
          <w:spacing w:val="0"/>
          <w:sz w:val="24"/>
          <w:szCs w:val="24"/>
          <w:highlight w:val="none"/>
        </w:rPr>
        <w:t>只，病死鸡产生量为</w:t>
      </w:r>
      <w:r>
        <w:rPr>
          <w:rFonts w:hint="eastAsia" w:ascii="Times New Roman" w:hAnsi="Times New Roman" w:eastAsia="宋体" w:cs="宋体"/>
          <w:color w:val="auto"/>
          <w:spacing w:val="0"/>
          <w:sz w:val="24"/>
          <w:szCs w:val="24"/>
          <w:highlight w:val="none"/>
          <w:lang w:val="en-US" w:eastAsia="zh-CN"/>
        </w:rPr>
        <w:t>3.6</w:t>
      </w:r>
      <w:r>
        <w:rPr>
          <w:rFonts w:ascii="Times New Roman" w:hAnsi="Times New Roman" w:eastAsia="宋体" w:cs="Times New Roman"/>
          <w:color w:val="auto"/>
          <w:spacing w:val="0"/>
          <w:sz w:val="24"/>
          <w:szCs w:val="24"/>
          <w:highlight w:val="none"/>
        </w:rPr>
        <w:t>t/a</w:t>
      </w:r>
      <w:r>
        <w:rPr>
          <w:rFonts w:ascii="Times New Roman" w:hAnsi="Times New Roman" w:eastAsia="宋体" w:cs="宋体"/>
          <w:color w:val="auto"/>
          <w:spacing w:val="0"/>
          <w:sz w:val="24"/>
          <w:szCs w:val="24"/>
          <w:highlight w:val="none"/>
        </w:rPr>
        <w:t>。</w:t>
      </w:r>
    </w:p>
    <w:p w14:paraId="1941C6A2">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3</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废弃包装物</w:t>
      </w:r>
    </w:p>
    <w:p w14:paraId="47374523">
      <w:pPr>
        <w:keepNext w:val="0"/>
        <w:keepLines w:val="0"/>
        <w:pageBreakBefore w:val="0"/>
        <w:widowControl w:val="0"/>
        <w:kinsoku/>
        <w:wordWrap/>
        <w:overflowPunct/>
        <w:topLinePunct w:val="0"/>
        <w:autoSpaceDE/>
        <w:autoSpaceDN/>
        <w:bidi w:val="0"/>
        <w:adjustRightInd/>
        <w:snapToGrid/>
        <w:spacing w:line="480" w:lineRule="exact"/>
        <w:ind w:left="0" w:right="0" w:firstLine="478"/>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本项目外购饲料会产生废包装袋，根据类比同类企业，废弃包装物产生量约为</w:t>
      </w:r>
      <w:r>
        <w:rPr>
          <w:rFonts w:ascii="Times New Roman" w:hAnsi="Times New Roman" w:eastAsia="宋体" w:cs="Times New Roman"/>
          <w:color w:val="auto"/>
          <w:spacing w:val="0"/>
          <w:sz w:val="24"/>
          <w:szCs w:val="24"/>
          <w:highlight w:val="none"/>
        </w:rPr>
        <w:t>1.2t/a</w:t>
      </w:r>
      <w:r>
        <w:rPr>
          <w:rFonts w:ascii="Times New Roman" w:hAnsi="Times New Roman" w:eastAsia="宋体" w:cs="宋体"/>
          <w:color w:val="auto"/>
          <w:spacing w:val="0"/>
          <w:sz w:val="24"/>
          <w:szCs w:val="24"/>
          <w:highlight w:val="none"/>
        </w:rPr>
        <w:t>，废饲料包装袋进行外售。</w:t>
      </w:r>
    </w:p>
    <w:p w14:paraId="1DC13F4B">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4</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生活垃圾</w:t>
      </w:r>
    </w:p>
    <w:p w14:paraId="59B151C7">
      <w:pPr>
        <w:keepNext w:val="0"/>
        <w:keepLines w:val="0"/>
        <w:pageBreakBefore w:val="0"/>
        <w:widowControl w:val="0"/>
        <w:kinsoku/>
        <w:wordWrap/>
        <w:overflowPunct/>
        <w:topLinePunct w:val="0"/>
        <w:autoSpaceDE/>
        <w:autoSpaceDN/>
        <w:bidi w:val="0"/>
        <w:adjustRightInd/>
        <w:snapToGrid/>
        <w:spacing w:line="480" w:lineRule="exact"/>
        <w:ind w:left="0" w:right="0" w:firstLine="479"/>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本项目职工人数为</w:t>
      </w:r>
      <w:r>
        <w:rPr>
          <w:rFonts w:ascii="Times New Roman" w:hAnsi="Times New Roman" w:eastAsia="宋体" w:cs="Times New Roman"/>
          <w:color w:val="auto"/>
          <w:spacing w:val="0"/>
          <w:sz w:val="24"/>
          <w:szCs w:val="24"/>
          <w:highlight w:val="none"/>
        </w:rPr>
        <w:t>20</w:t>
      </w:r>
      <w:r>
        <w:rPr>
          <w:rFonts w:ascii="Times New Roman" w:hAnsi="Times New Roman" w:eastAsia="宋体" w:cs="宋体"/>
          <w:color w:val="auto"/>
          <w:spacing w:val="0"/>
          <w:sz w:val="24"/>
          <w:szCs w:val="24"/>
          <w:highlight w:val="none"/>
        </w:rPr>
        <w:t>人，年工作</w:t>
      </w:r>
      <w:r>
        <w:rPr>
          <w:rFonts w:ascii="Times New Roman" w:hAnsi="Times New Roman" w:eastAsia="宋体" w:cs="Times New Roman"/>
          <w:color w:val="auto"/>
          <w:spacing w:val="0"/>
          <w:sz w:val="24"/>
          <w:szCs w:val="24"/>
          <w:highlight w:val="none"/>
        </w:rPr>
        <w:t>365</w:t>
      </w:r>
      <w:r>
        <w:rPr>
          <w:rFonts w:ascii="Times New Roman" w:hAnsi="Times New Roman" w:eastAsia="宋体" w:cs="宋体"/>
          <w:color w:val="auto"/>
          <w:spacing w:val="0"/>
          <w:sz w:val="24"/>
          <w:szCs w:val="24"/>
          <w:highlight w:val="none"/>
        </w:rPr>
        <w:t>天，生活垃圾按</w:t>
      </w:r>
      <w:r>
        <w:rPr>
          <w:rFonts w:ascii="Times New Roman" w:hAnsi="Times New Roman" w:eastAsia="宋体" w:cs="Times New Roman"/>
          <w:color w:val="auto"/>
          <w:spacing w:val="0"/>
          <w:sz w:val="24"/>
          <w:szCs w:val="24"/>
          <w:highlight w:val="none"/>
        </w:rPr>
        <w:t>0.5kg/</w:t>
      </w:r>
      <w:r>
        <w:rPr>
          <w:rFonts w:ascii="Times New Roman" w:hAnsi="Times New Roman" w:eastAsia="宋体" w:cs="宋体"/>
          <w:color w:val="auto"/>
          <w:spacing w:val="0"/>
          <w:sz w:val="24"/>
          <w:szCs w:val="24"/>
          <w:highlight w:val="none"/>
        </w:rPr>
        <w:t>人</w:t>
      </w:r>
      <w:r>
        <w:rPr>
          <w:rFonts w:ascii="Times New Roman" w:hAnsi="Times New Roman" w:eastAsia="宋体" w:cs="Times New Roman"/>
          <w:color w:val="auto"/>
          <w:spacing w:val="0"/>
          <w:sz w:val="24"/>
          <w:szCs w:val="24"/>
          <w:highlight w:val="none"/>
        </w:rPr>
        <w:t>·d</w:t>
      </w:r>
      <w:r>
        <w:rPr>
          <w:rFonts w:ascii="Times New Roman" w:hAnsi="Times New Roman" w:eastAsia="宋体" w:cs="宋体"/>
          <w:color w:val="auto"/>
          <w:spacing w:val="0"/>
          <w:sz w:val="24"/>
          <w:szCs w:val="24"/>
          <w:highlight w:val="none"/>
        </w:rPr>
        <w:t>计，生活垃圾产生量为</w:t>
      </w:r>
      <w:r>
        <w:rPr>
          <w:rFonts w:ascii="Times New Roman" w:hAnsi="Times New Roman" w:eastAsia="宋体" w:cs="Times New Roman"/>
          <w:color w:val="auto"/>
          <w:spacing w:val="0"/>
          <w:sz w:val="24"/>
          <w:szCs w:val="24"/>
          <w:highlight w:val="none"/>
        </w:rPr>
        <w:t>10kg/d</w:t>
      </w:r>
      <w:r>
        <w:rPr>
          <w:rFonts w:ascii="Times New Roman" w:hAnsi="Times New Roman" w:eastAsia="宋体" w:cs="宋体"/>
          <w:color w:val="auto"/>
          <w:spacing w:val="0"/>
          <w:sz w:val="24"/>
          <w:szCs w:val="24"/>
          <w:highlight w:val="none"/>
        </w:rPr>
        <w:t>，即</w:t>
      </w:r>
      <w:r>
        <w:rPr>
          <w:rFonts w:ascii="Times New Roman" w:hAnsi="Times New Roman" w:eastAsia="宋体" w:cs="Times New Roman"/>
          <w:color w:val="auto"/>
          <w:spacing w:val="0"/>
          <w:sz w:val="24"/>
          <w:szCs w:val="24"/>
          <w:highlight w:val="none"/>
        </w:rPr>
        <w:t>3.65t/a</w:t>
      </w:r>
      <w:r>
        <w:rPr>
          <w:rFonts w:ascii="Times New Roman" w:hAnsi="Times New Roman" w:eastAsia="宋体" w:cs="宋体"/>
          <w:color w:val="auto"/>
          <w:spacing w:val="0"/>
          <w:sz w:val="24"/>
          <w:szCs w:val="24"/>
          <w:highlight w:val="none"/>
        </w:rPr>
        <w:t>。生活垃圾集中收集由当地环卫部门处置。</w:t>
      </w:r>
    </w:p>
    <w:p w14:paraId="4E67B80D">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5</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医疗废物</w:t>
      </w:r>
    </w:p>
    <w:p w14:paraId="40632361">
      <w:pPr>
        <w:keepNext w:val="0"/>
        <w:keepLines w:val="0"/>
        <w:pageBreakBefore w:val="0"/>
        <w:widowControl w:val="0"/>
        <w:kinsoku/>
        <w:wordWrap/>
        <w:overflowPunct/>
        <w:topLinePunct w:val="0"/>
        <w:autoSpaceDE/>
        <w:autoSpaceDN/>
        <w:bidi w:val="0"/>
        <w:adjustRightInd/>
        <w:snapToGrid/>
        <w:spacing w:line="480" w:lineRule="exact"/>
        <w:ind w:left="0" w:right="0" w:firstLine="24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本项目对蛋鸡进行防疫、治疗过程中产生少量废弃药品、废针管等，产生量约为</w:t>
      </w:r>
      <w:r>
        <w:rPr>
          <w:rFonts w:ascii="Times New Roman" w:hAnsi="Times New Roman" w:eastAsia="宋体" w:cs="Times New Roman"/>
          <w:color w:val="auto"/>
          <w:spacing w:val="0"/>
          <w:sz w:val="24"/>
          <w:szCs w:val="24"/>
          <w:highlight w:val="none"/>
        </w:rPr>
        <w:t>0.03t/a</w:t>
      </w:r>
      <w:r>
        <w:rPr>
          <w:rFonts w:ascii="Times New Roman" w:hAnsi="Times New Roman" w:eastAsia="宋体" w:cs="宋体"/>
          <w:color w:val="auto"/>
          <w:spacing w:val="0"/>
          <w:sz w:val="24"/>
          <w:szCs w:val="24"/>
          <w:highlight w:val="none"/>
        </w:rPr>
        <w:t>。医疗垃圾属于</w:t>
      </w:r>
      <w:r>
        <w:rPr>
          <w:rFonts w:ascii="Times New Roman" w:hAnsi="Times New Roman" w:eastAsia="宋体" w:cs="Times New Roman"/>
          <w:color w:val="auto"/>
          <w:spacing w:val="0"/>
          <w:sz w:val="24"/>
          <w:szCs w:val="24"/>
          <w:highlight w:val="none"/>
        </w:rPr>
        <w:t>HW01</w:t>
      </w:r>
      <w:r>
        <w:rPr>
          <w:rFonts w:ascii="Times New Roman" w:hAnsi="Times New Roman" w:eastAsia="宋体" w:cs="宋体"/>
          <w:color w:val="auto"/>
          <w:spacing w:val="0"/>
          <w:sz w:val="24"/>
          <w:szCs w:val="24"/>
          <w:highlight w:val="none"/>
        </w:rPr>
        <w:t>类危险废物，储存于</w:t>
      </w:r>
      <w:r>
        <w:rPr>
          <w:rFonts w:hint="eastAsia" w:cs="宋体"/>
          <w:color w:val="auto"/>
          <w:spacing w:val="0"/>
          <w:sz w:val="24"/>
          <w:szCs w:val="24"/>
          <w:highlight w:val="none"/>
          <w:lang w:eastAsia="zh-CN"/>
        </w:rPr>
        <w:t>医疗废物暂存间</w:t>
      </w:r>
      <w:r>
        <w:rPr>
          <w:rFonts w:ascii="Times New Roman" w:hAnsi="Times New Roman" w:eastAsia="宋体" w:cs="宋体"/>
          <w:color w:val="auto"/>
          <w:spacing w:val="0"/>
          <w:sz w:val="24"/>
          <w:szCs w:val="24"/>
          <w:highlight w:val="none"/>
        </w:rPr>
        <w:t>，交由有资质的单位进行处理。</w:t>
      </w:r>
    </w:p>
    <w:p w14:paraId="28BF3C6F">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default" w:ascii="Times New Roman" w:hAnsi="Times New Roman" w:eastAsia="宋体" w:cs="宋体"/>
          <w:color w:val="auto"/>
          <w:spacing w:val="0"/>
          <w:sz w:val="24"/>
          <w:szCs w:val="24"/>
          <w:highlight w:val="none"/>
          <w:lang w:val="en-US" w:eastAsia="zh-CN"/>
        </w:rPr>
      </w:pPr>
      <w:r>
        <w:rPr>
          <w:rFonts w:hint="eastAsia" w:cs="宋体"/>
          <w:color w:val="auto"/>
          <w:spacing w:val="0"/>
          <w:sz w:val="24"/>
          <w:szCs w:val="24"/>
          <w:highlight w:val="none"/>
          <w:lang w:eastAsia="zh-CN"/>
        </w:rPr>
        <w:t>（</w:t>
      </w:r>
      <w:r>
        <w:rPr>
          <w:rFonts w:hint="eastAsia" w:cs="宋体"/>
          <w:color w:val="auto"/>
          <w:spacing w:val="0"/>
          <w:sz w:val="24"/>
          <w:szCs w:val="24"/>
          <w:highlight w:val="none"/>
          <w:lang w:val="en-US" w:eastAsia="zh-CN"/>
        </w:rPr>
        <w:t>6</w:t>
      </w:r>
      <w:r>
        <w:rPr>
          <w:rFonts w:hint="eastAsia" w:cs="宋体"/>
          <w:color w:val="auto"/>
          <w:spacing w:val="0"/>
          <w:sz w:val="24"/>
          <w:szCs w:val="24"/>
          <w:highlight w:val="none"/>
          <w:lang w:eastAsia="zh-CN"/>
        </w:rPr>
        <w:t>）</w:t>
      </w:r>
      <w:r>
        <w:rPr>
          <w:rFonts w:hint="eastAsia" w:cs="宋体"/>
          <w:color w:val="auto"/>
          <w:spacing w:val="0"/>
          <w:sz w:val="24"/>
          <w:szCs w:val="24"/>
          <w:highlight w:val="none"/>
          <w:lang w:val="en-US" w:eastAsia="zh-CN"/>
        </w:rPr>
        <w:t>废水收集池污泥</w:t>
      </w:r>
    </w:p>
    <w:p w14:paraId="6E696D02">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default" w:ascii="Times New Roman" w:hAnsi="Times New Roman" w:eastAsia="宋体" w:cs="宋体"/>
          <w:color w:val="auto"/>
          <w:spacing w:val="0"/>
          <w:sz w:val="24"/>
          <w:szCs w:val="24"/>
          <w:highlight w:val="none"/>
          <w:lang w:val="en-US" w:eastAsia="zh-CN"/>
        </w:rPr>
      </w:pPr>
      <w:r>
        <w:rPr>
          <w:rFonts w:hint="eastAsia" w:cs="宋体"/>
          <w:color w:val="auto"/>
          <w:spacing w:val="0"/>
          <w:sz w:val="24"/>
          <w:szCs w:val="24"/>
          <w:highlight w:val="none"/>
          <w:lang w:val="en-US" w:eastAsia="zh-CN"/>
        </w:rPr>
        <w:t>项目废水收集池仅用于收集冲洗鸡舍的冲洗废水收集使用，污泥产生量约1.0t/a，与收集鸡粪一并外售有机肥生产公司作为有机肥生产的原料。资源综合利用外排。</w:t>
      </w:r>
    </w:p>
    <w:p w14:paraId="2BFBCA7A">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本项目医疗废物分类见表</w:t>
      </w:r>
      <w:r>
        <w:rPr>
          <w:rFonts w:hint="eastAsia" w:ascii="Times New Roman" w:hAnsi="Times New Roman" w:eastAsia="宋体" w:cs="宋体"/>
          <w:color w:val="auto"/>
          <w:spacing w:val="0"/>
          <w:sz w:val="24"/>
          <w:szCs w:val="24"/>
          <w:highlight w:val="none"/>
          <w:lang w:val="en-US" w:eastAsia="zh-CN"/>
        </w:rPr>
        <w:t>3.3-8</w:t>
      </w:r>
      <w:r>
        <w:rPr>
          <w:rFonts w:ascii="Times New Roman" w:hAnsi="Times New Roman" w:eastAsia="宋体" w:cs="宋体"/>
          <w:color w:val="auto"/>
          <w:spacing w:val="0"/>
          <w:sz w:val="24"/>
          <w:szCs w:val="24"/>
          <w:highlight w:val="none"/>
        </w:rPr>
        <w:t>。</w:t>
      </w:r>
    </w:p>
    <w:p w14:paraId="0312ADD2">
      <w:pPr>
        <w:keepNext w:val="0"/>
        <w:keepLines w:val="0"/>
        <w:pageBreakBefore w:val="0"/>
        <w:widowControl w:val="0"/>
        <w:kinsoku/>
        <w:wordWrap/>
        <w:overflowPunct/>
        <w:topLinePunct w:val="0"/>
        <w:autoSpaceDE/>
        <w:autoSpaceDN/>
        <w:bidi w:val="0"/>
        <w:adjustRightInd/>
        <w:snapToGrid/>
        <w:spacing w:line="480" w:lineRule="exact"/>
        <w:ind w:left="0" w:right="0" w:firstLine="0" w:firstLineChars="0"/>
        <w:jc w:val="center"/>
        <w:textAlignment w:val="auto"/>
        <w:rPr>
          <w:rFonts w:ascii="Times New Roman" w:hAnsi="Times New Roman" w:eastAsia="宋体" w:cs="黑体"/>
          <w:b/>
          <w:bCs/>
          <w:color w:val="auto"/>
          <w:spacing w:val="0"/>
          <w:sz w:val="24"/>
          <w:szCs w:val="21"/>
          <w:highlight w:val="none"/>
        </w:rPr>
      </w:pPr>
      <w:r>
        <w:rPr>
          <w:rFonts w:ascii="Times New Roman" w:hAnsi="Times New Roman" w:eastAsia="宋体" w:cs="黑体"/>
          <w:b/>
          <w:bCs/>
          <w:color w:val="auto"/>
          <w:spacing w:val="0"/>
          <w:sz w:val="24"/>
          <w:szCs w:val="21"/>
          <w:highlight w:val="none"/>
        </w:rPr>
        <w:t>表</w:t>
      </w:r>
      <w:r>
        <w:rPr>
          <w:rFonts w:hint="eastAsia" w:ascii="Times New Roman" w:hAnsi="Times New Roman" w:eastAsia="宋体" w:cs="黑体"/>
          <w:b/>
          <w:bCs/>
          <w:color w:val="auto"/>
          <w:spacing w:val="0"/>
          <w:sz w:val="24"/>
          <w:szCs w:val="21"/>
          <w:highlight w:val="none"/>
          <w:lang w:val="en-US" w:eastAsia="zh-CN"/>
        </w:rPr>
        <w:t>3.3-8</w:t>
      </w:r>
      <w:r>
        <w:rPr>
          <w:rFonts w:ascii="Times New Roman" w:hAnsi="Times New Roman" w:eastAsia="宋体" w:cs="黑体"/>
          <w:b/>
          <w:bCs/>
          <w:color w:val="auto"/>
          <w:spacing w:val="0"/>
          <w:sz w:val="24"/>
          <w:szCs w:val="21"/>
          <w:highlight w:val="none"/>
        </w:rPr>
        <w:t>本项目医疗废物分类表</w:t>
      </w:r>
    </w:p>
    <w:p w14:paraId="096C7880">
      <w:pPr>
        <w:spacing w:line="21" w:lineRule="exact"/>
        <w:rPr>
          <w:rFonts w:ascii="Times New Roman" w:hAnsi="Times New Roman" w:eastAsia="宋体"/>
          <w:color w:val="auto"/>
          <w:highlight w:val="none"/>
        </w:rPr>
      </w:pPr>
    </w:p>
    <w:tbl>
      <w:tblPr>
        <w:tblStyle w:val="176"/>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48"/>
        <w:gridCol w:w="1197"/>
        <w:gridCol w:w="1032"/>
        <w:gridCol w:w="2273"/>
        <w:gridCol w:w="2213"/>
        <w:gridCol w:w="856"/>
      </w:tblGrid>
      <w:tr w14:paraId="44C61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449" w:type="pct"/>
            <w:tcBorders>
              <w:top w:val="single" w:color="000000" w:sz="2" w:space="0"/>
              <w:bottom w:val="single" w:color="000000" w:sz="2" w:space="0"/>
            </w:tcBorders>
            <w:vAlign w:val="center"/>
          </w:tcPr>
          <w:p w14:paraId="72CEC36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序号</w:t>
            </w:r>
          </w:p>
        </w:tc>
        <w:tc>
          <w:tcPr>
            <w:tcW w:w="719" w:type="pct"/>
            <w:tcBorders>
              <w:top w:val="single" w:color="000000" w:sz="2" w:space="0"/>
              <w:bottom w:val="single" w:color="000000" w:sz="2" w:space="0"/>
            </w:tcBorders>
            <w:vAlign w:val="center"/>
          </w:tcPr>
          <w:p w14:paraId="171E1B5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废物代码</w:t>
            </w:r>
          </w:p>
        </w:tc>
        <w:tc>
          <w:tcPr>
            <w:tcW w:w="620" w:type="pct"/>
            <w:tcBorders>
              <w:top w:val="single" w:color="000000" w:sz="2" w:space="0"/>
              <w:bottom w:val="single" w:color="000000" w:sz="2" w:space="0"/>
            </w:tcBorders>
            <w:vAlign w:val="center"/>
          </w:tcPr>
          <w:p w14:paraId="4879D44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危险废物</w:t>
            </w:r>
          </w:p>
        </w:tc>
        <w:tc>
          <w:tcPr>
            <w:tcW w:w="1365" w:type="pct"/>
            <w:tcBorders>
              <w:top w:val="single" w:color="000000" w:sz="2" w:space="0"/>
              <w:bottom w:val="single" w:color="000000" w:sz="2" w:space="0"/>
            </w:tcBorders>
            <w:vAlign w:val="center"/>
          </w:tcPr>
          <w:p w14:paraId="05206F0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特征</w:t>
            </w:r>
          </w:p>
        </w:tc>
        <w:tc>
          <w:tcPr>
            <w:tcW w:w="1329" w:type="pct"/>
            <w:tcBorders>
              <w:top w:val="single" w:color="000000" w:sz="2" w:space="0"/>
              <w:bottom w:val="single" w:color="000000" w:sz="2" w:space="0"/>
            </w:tcBorders>
            <w:vAlign w:val="center"/>
          </w:tcPr>
          <w:p w14:paraId="0F06DFA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废物名称</w:t>
            </w:r>
          </w:p>
        </w:tc>
        <w:tc>
          <w:tcPr>
            <w:tcW w:w="514" w:type="pct"/>
            <w:tcBorders>
              <w:top w:val="single" w:color="000000" w:sz="2" w:space="0"/>
              <w:bottom w:val="single" w:color="000000" w:sz="2" w:space="0"/>
            </w:tcBorders>
            <w:vAlign w:val="center"/>
          </w:tcPr>
          <w:p w14:paraId="1F47B38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产生量</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r>
      <w:tr w14:paraId="34FD6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3" w:hRule="atLeast"/>
          <w:jc w:val="center"/>
        </w:trPr>
        <w:tc>
          <w:tcPr>
            <w:tcW w:w="449" w:type="pct"/>
            <w:tcBorders>
              <w:top w:val="single" w:color="000000" w:sz="2" w:space="0"/>
              <w:bottom w:val="single" w:color="000000" w:sz="2" w:space="0"/>
            </w:tcBorders>
            <w:vAlign w:val="center"/>
          </w:tcPr>
          <w:p w14:paraId="2994254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719" w:type="pct"/>
            <w:vMerge w:val="restart"/>
            <w:tcBorders>
              <w:top w:val="single" w:color="000000" w:sz="2" w:space="0"/>
              <w:bottom w:val="nil"/>
            </w:tcBorders>
            <w:vAlign w:val="center"/>
          </w:tcPr>
          <w:p w14:paraId="04D0B11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900-001-01</w:t>
            </w:r>
          </w:p>
        </w:tc>
        <w:tc>
          <w:tcPr>
            <w:tcW w:w="620" w:type="pct"/>
            <w:tcBorders>
              <w:top w:val="single" w:color="000000" w:sz="2" w:space="0"/>
              <w:bottom w:val="single" w:color="000000" w:sz="2" w:space="0"/>
            </w:tcBorders>
            <w:vAlign w:val="center"/>
          </w:tcPr>
          <w:p w14:paraId="4B6A8B7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感染性废物</w:t>
            </w:r>
          </w:p>
        </w:tc>
        <w:tc>
          <w:tcPr>
            <w:tcW w:w="1365" w:type="pct"/>
            <w:tcBorders>
              <w:top w:val="single" w:color="000000" w:sz="2" w:space="0"/>
              <w:bottom w:val="single" w:color="000000" w:sz="2" w:space="0"/>
            </w:tcBorders>
            <w:vAlign w:val="center"/>
          </w:tcPr>
          <w:p w14:paraId="43B86C2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携带病原微生物具有引发感染性疾病传播危险的医疗废物</w:t>
            </w:r>
          </w:p>
        </w:tc>
        <w:tc>
          <w:tcPr>
            <w:tcW w:w="1329" w:type="pct"/>
            <w:tcBorders>
              <w:top w:val="single" w:color="000000" w:sz="2" w:space="0"/>
              <w:bottom w:val="single" w:color="000000" w:sz="2" w:space="0"/>
            </w:tcBorders>
            <w:vAlign w:val="center"/>
          </w:tcPr>
          <w:p w14:paraId="24C678C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主要是废弃的或一次性的注射器</w:t>
            </w:r>
          </w:p>
        </w:tc>
        <w:tc>
          <w:tcPr>
            <w:tcW w:w="514" w:type="pct"/>
            <w:tcBorders>
              <w:top w:val="single" w:color="000000" w:sz="2" w:space="0"/>
              <w:bottom w:val="single" w:color="000000" w:sz="2" w:space="0"/>
            </w:tcBorders>
            <w:vAlign w:val="center"/>
          </w:tcPr>
          <w:p w14:paraId="10A2D7B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p w14:paraId="4287B52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0.01</w:t>
            </w:r>
          </w:p>
        </w:tc>
      </w:tr>
      <w:tr w14:paraId="152C0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3" w:hRule="atLeast"/>
          <w:jc w:val="center"/>
        </w:trPr>
        <w:tc>
          <w:tcPr>
            <w:tcW w:w="449" w:type="pct"/>
            <w:tcBorders>
              <w:top w:val="single" w:color="000000" w:sz="2" w:space="0"/>
              <w:bottom w:val="single" w:color="000000" w:sz="2" w:space="0"/>
            </w:tcBorders>
            <w:vAlign w:val="center"/>
          </w:tcPr>
          <w:p w14:paraId="60CE9B5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w:t>
            </w:r>
          </w:p>
        </w:tc>
        <w:tc>
          <w:tcPr>
            <w:tcW w:w="719" w:type="pct"/>
            <w:vMerge w:val="continue"/>
            <w:tcBorders>
              <w:top w:val="nil"/>
              <w:bottom w:val="single" w:color="000000" w:sz="2" w:space="0"/>
            </w:tcBorders>
            <w:vAlign w:val="center"/>
          </w:tcPr>
          <w:p w14:paraId="31A2A4A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620" w:type="pct"/>
            <w:tcBorders>
              <w:top w:val="single" w:color="000000" w:sz="2" w:space="0"/>
              <w:bottom w:val="single" w:color="000000" w:sz="2" w:space="0"/>
            </w:tcBorders>
            <w:vAlign w:val="center"/>
          </w:tcPr>
          <w:p w14:paraId="35E5426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药物性废物</w:t>
            </w:r>
          </w:p>
        </w:tc>
        <w:tc>
          <w:tcPr>
            <w:tcW w:w="1365" w:type="pct"/>
            <w:tcBorders>
              <w:top w:val="single" w:color="000000" w:sz="2" w:space="0"/>
              <w:bottom w:val="single" w:color="000000" w:sz="2" w:space="0"/>
            </w:tcBorders>
            <w:vAlign w:val="center"/>
          </w:tcPr>
          <w:p w14:paraId="17F2476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过期、淘汰、变质或者被污染的废弃药品</w:t>
            </w:r>
          </w:p>
        </w:tc>
        <w:tc>
          <w:tcPr>
            <w:tcW w:w="1329" w:type="pct"/>
            <w:tcBorders>
              <w:top w:val="single" w:color="000000" w:sz="2" w:space="0"/>
              <w:bottom w:val="single" w:color="000000" w:sz="2" w:space="0"/>
            </w:tcBorders>
            <w:vAlign w:val="center"/>
          </w:tcPr>
          <w:p w14:paraId="0B09B49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主要是过期的药品、废弃疫苗和血液制品等</w:t>
            </w:r>
          </w:p>
        </w:tc>
        <w:tc>
          <w:tcPr>
            <w:tcW w:w="514" w:type="pct"/>
            <w:tcBorders>
              <w:top w:val="single" w:color="000000" w:sz="2" w:space="0"/>
              <w:bottom w:val="single" w:color="000000" w:sz="2" w:space="0"/>
            </w:tcBorders>
            <w:vAlign w:val="center"/>
          </w:tcPr>
          <w:p w14:paraId="3AA7062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p w14:paraId="509AA08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0.02</w:t>
            </w:r>
          </w:p>
        </w:tc>
      </w:tr>
    </w:tbl>
    <w:p w14:paraId="29AD8C2F">
      <w:pPr>
        <w:keepNext w:val="0"/>
        <w:keepLines w:val="0"/>
        <w:pageBreakBefore w:val="0"/>
        <w:widowControl w:val="0"/>
        <w:kinsoku/>
        <w:wordWrap/>
        <w:overflowPunct/>
        <w:topLinePunct w:val="0"/>
        <w:autoSpaceDE/>
        <w:autoSpaceDN/>
        <w:bidi w:val="0"/>
        <w:adjustRightInd/>
        <w:snapToGrid/>
        <w:spacing w:line="480" w:lineRule="exact"/>
        <w:ind w:lef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本项目固废产生量见表</w:t>
      </w:r>
      <w:r>
        <w:rPr>
          <w:rFonts w:hint="eastAsia" w:ascii="Times New Roman" w:hAnsi="Times New Roman" w:eastAsia="宋体" w:cs="宋体"/>
          <w:color w:val="auto"/>
          <w:spacing w:val="0"/>
          <w:sz w:val="24"/>
          <w:szCs w:val="24"/>
          <w:highlight w:val="none"/>
          <w:lang w:val="en-US" w:eastAsia="zh-CN"/>
        </w:rPr>
        <w:t>3.3-9</w:t>
      </w:r>
      <w:r>
        <w:rPr>
          <w:rFonts w:ascii="Times New Roman" w:hAnsi="Times New Roman" w:eastAsia="宋体" w:cs="宋体"/>
          <w:color w:val="auto"/>
          <w:spacing w:val="0"/>
          <w:sz w:val="24"/>
          <w:szCs w:val="24"/>
          <w:highlight w:val="none"/>
        </w:rPr>
        <w:t>。</w:t>
      </w:r>
    </w:p>
    <w:p w14:paraId="4C49BC94">
      <w:pPr>
        <w:keepNext w:val="0"/>
        <w:keepLines w:val="0"/>
        <w:pageBreakBefore w:val="0"/>
        <w:widowControl w:val="0"/>
        <w:kinsoku/>
        <w:wordWrap/>
        <w:overflowPunct/>
        <w:topLinePunct w:val="0"/>
        <w:autoSpaceDE/>
        <w:autoSpaceDN/>
        <w:bidi w:val="0"/>
        <w:adjustRightInd/>
        <w:snapToGrid/>
        <w:spacing w:line="480" w:lineRule="exact"/>
        <w:ind w:left="0" w:firstLine="0" w:firstLineChars="0"/>
        <w:jc w:val="center"/>
        <w:textAlignment w:val="auto"/>
        <w:rPr>
          <w:rFonts w:ascii="Times New Roman" w:hAnsi="Times New Roman" w:eastAsia="宋体" w:cs="黑体"/>
          <w:b/>
          <w:bCs/>
          <w:color w:val="auto"/>
          <w:spacing w:val="0"/>
          <w:sz w:val="24"/>
          <w:szCs w:val="21"/>
          <w:highlight w:val="none"/>
        </w:rPr>
      </w:pPr>
      <w:r>
        <w:rPr>
          <w:rFonts w:ascii="Times New Roman" w:hAnsi="Times New Roman" w:eastAsia="宋体" w:cs="黑体"/>
          <w:b/>
          <w:bCs/>
          <w:color w:val="auto"/>
          <w:spacing w:val="0"/>
          <w:sz w:val="24"/>
          <w:szCs w:val="21"/>
          <w:highlight w:val="none"/>
        </w:rPr>
        <w:t>表</w:t>
      </w:r>
      <w:r>
        <w:rPr>
          <w:rFonts w:hint="eastAsia" w:ascii="Times New Roman" w:hAnsi="Times New Roman" w:eastAsia="宋体" w:cs="黑体"/>
          <w:b/>
          <w:bCs/>
          <w:color w:val="auto"/>
          <w:spacing w:val="0"/>
          <w:sz w:val="24"/>
          <w:szCs w:val="21"/>
          <w:highlight w:val="none"/>
          <w:lang w:val="en-US" w:eastAsia="zh-CN"/>
        </w:rPr>
        <w:t>3.3-9</w:t>
      </w:r>
      <w:r>
        <w:rPr>
          <w:rFonts w:ascii="Times New Roman" w:hAnsi="Times New Roman" w:eastAsia="宋体" w:cs="黑体"/>
          <w:b/>
          <w:bCs/>
          <w:color w:val="auto"/>
          <w:spacing w:val="0"/>
          <w:sz w:val="24"/>
          <w:szCs w:val="21"/>
          <w:highlight w:val="none"/>
        </w:rPr>
        <w:t>项目固体废弃物产生量</w:t>
      </w:r>
    </w:p>
    <w:p w14:paraId="0E43CD53">
      <w:pPr>
        <w:spacing w:line="19" w:lineRule="exact"/>
        <w:rPr>
          <w:rFonts w:ascii="Times New Roman" w:hAnsi="Times New Roman" w:eastAsia="宋体"/>
          <w:color w:val="auto"/>
          <w:highlight w:val="none"/>
        </w:rPr>
      </w:pP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3"/>
        <w:gridCol w:w="1146"/>
        <w:gridCol w:w="600"/>
        <w:gridCol w:w="1580"/>
        <w:gridCol w:w="2837"/>
        <w:gridCol w:w="1503"/>
      </w:tblGrid>
      <w:tr w14:paraId="6C39B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jc w:val="center"/>
        </w:trPr>
        <w:tc>
          <w:tcPr>
            <w:tcW w:w="387" w:type="pct"/>
            <w:vAlign w:val="center"/>
          </w:tcPr>
          <w:p w14:paraId="4ED8DC3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序号</w:t>
            </w:r>
          </w:p>
        </w:tc>
        <w:tc>
          <w:tcPr>
            <w:tcW w:w="689" w:type="pct"/>
            <w:vAlign w:val="center"/>
          </w:tcPr>
          <w:p w14:paraId="68E3384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名称</w:t>
            </w:r>
          </w:p>
        </w:tc>
        <w:tc>
          <w:tcPr>
            <w:tcW w:w="361" w:type="pct"/>
            <w:textDirection w:val="tbRlV"/>
            <w:vAlign w:val="center"/>
          </w:tcPr>
          <w:p w14:paraId="0466EF6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属性</w:t>
            </w:r>
          </w:p>
        </w:tc>
        <w:tc>
          <w:tcPr>
            <w:tcW w:w="950" w:type="pct"/>
            <w:vAlign w:val="center"/>
          </w:tcPr>
          <w:p w14:paraId="495301C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产生量</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t/a</w:t>
            </w:r>
            <w:r>
              <w:rPr>
                <w:rFonts w:hint="eastAsia" w:cs="宋体"/>
                <w:color w:val="auto"/>
                <w:spacing w:val="0"/>
                <w:sz w:val="21"/>
                <w:szCs w:val="21"/>
                <w:highlight w:val="none"/>
                <w:lang w:eastAsia="zh-CN"/>
              </w:rPr>
              <w:t>）</w:t>
            </w:r>
          </w:p>
        </w:tc>
        <w:tc>
          <w:tcPr>
            <w:tcW w:w="1706" w:type="pct"/>
            <w:vAlign w:val="center"/>
          </w:tcPr>
          <w:p w14:paraId="76690BB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拟采取的处置方式</w:t>
            </w:r>
          </w:p>
        </w:tc>
        <w:tc>
          <w:tcPr>
            <w:tcW w:w="904" w:type="pct"/>
            <w:vAlign w:val="center"/>
          </w:tcPr>
          <w:p w14:paraId="6C8C84B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排放量</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t/a</w:t>
            </w:r>
            <w:r>
              <w:rPr>
                <w:rFonts w:hint="eastAsia" w:cs="宋体"/>
                <w:color w:val="auto"/>
                <w:spacing w:val="0"/>
                <w:sz w:val="21"/>
                <w:szCs w:val="21"/>
                <w:highlight w:val="none"/>
                <w:lang w:eastAsia="zh-CN"/>
              </w:rPr>
              <w:t>）</w:t>
            </w:r>
          </w:p>
        </w:tc>
      </w:tr>
      <w:tr w14:paraId="046CD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jc w:val="center"/>
        </w:trPr>
        <w:tc>
          <w:tcPr>
            <w:tcW w:w="387" w:type="pct"/>
            <w:vAlign w:val="center"/>
          </w:tcPr>
          <w:p w14:paraId="257C03F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w:t>
            </w:r>
          </w:p>
        </w:tc>
        <w:tc>
          <w:tcPr>
            <w:tcW w:w="689" w:type="pct"/>
            <w:vAlign w:val="center"/>
          </w:tcPr>
          <w:p w14:paraId="7066494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鸡粪及散落羽毛</w:t>
            </w:r>
          </w:p>
        </w:tc>
        <w:tc>
          <w:tcPr>
            <w:tcW w:w="361" w:type="pct"/>
            <w:vMerge w:val="restart"/>
            <w:tcBorders>
              <w:bottom w:val="nil"/>
            </w:tcBorders>
            <w:textDirection w:val="tbRlV"/>
            <w:vAlign w:val="center"/>
          </w:tcPr>
          <w:p w14:paraId="266EBBE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一般工业固体废物</w:t>
            </w:r>
          </w:p>
        </w:tc>
        <w:tc>
          <w:tcPr>
            <w:tcW w:w="950" w:type="pct"/>
            <w:vAlign w:val="center"/>
          </w:tcPr>
          <w:p w14:paraId="75ED2CB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hint="eastAsia" w:ascii="Times New Roman" w:hAnsi="Times New Roman" w:eastAsia="宋体" w:cs="Times New Roman"/>
                <w:color w:val="auto"/>
                <w:spacing w:val="0"/>
                <w:sz w:val="21"/>
                <w:szCs w:val="21"/>
                <w:highlight w:val="none"/>
                <w:lang w:val="en-US" w:eastAsia="zh-CN"/>
              </w:rPr>
              <w:t>31.2</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t/d</w:t>
            </w:r>
            <w:r>
              <w:rPr>
                <w:rFonts w:hint="eastAsia" w:cs="宋体"/>
                <w:color w:val="auto"/>
                <w:spacing w:val="0"/>
                <w:sz w:val="21"/>
                <w:szCs w:val="21"/>
                <w:highlight w:val="none"/>
                <w:lang w:eastAsia="zh-CN"/>
              </w:rPr>
              <w:t>）</w:t>
            </w:r>
          </w:p>
        </w:tc>
        <w:tc>
          <w:tcPr>
            <w:tcW w:w="1706" w:type="pct"/>
            <w:vAlign w:val="center"/>
          </w:tcPr>
          <w:p w14:paraId="76C950F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hint="eastAsia" w:cs="宋体"/>
                <w:color w:val="auto"/>
                <w:spacing w:val="0"/>
                <w:sz w:val="21"/>
                <w:szCs w:val="21"/>
                <w:highlight w:val="none"/>
                <w:lang w:eastAsia="zh-CN"/>
              </w:rPr>
              <w:t>鸡粪及散落羽毛采用自动清粪系统清理与废水收集池污泥</w:t>
            </w:r>
            <w:r>
              <w:rPr>
                <w:rFonts w:ascii="Times New Roman" w:hAnsi="Times New Roman" w:eastAsia="宋体" w:cs="宋体"/>
                <w:color w:val="auto"/>
                <w:spacing w:val="0"/>
                <w:sz w:val="21"/>
                <w:szCs w:val="21"/>
                <w:highlight w:val="none"/>
              </w:rPr>
              <w:t>，</w:t>
            </w:r>
            <w:r>
              <w:rPr>
                <w:rFonts w:hint="eastAsia" w:ascii="Times New Roman" w:hAnsi="Times New Roman" w:eastAsia="宋体" w:cs="宋体"/>
                <w:color w:val="auto"/>
                <w:spacing w:val="0"/>
                <w:sz w:val="21"/>
                <w:szCs w:val="21"/>
                <w:highlight w:val="none"/>
                <w:lang w:val="en-US" w:eastAsia="zh-CN"/>
              </w:rPr>
              <w:t>外售</w:t>
            </w:r>
            <w:r>
              <w:rPr>
                <w:rFonts w:ascii="Times New Roman" w:hAnsi="Times New Roman" w:eastAsia="宋体" w:cs="宋体"/>
                <w:color w:val="auto"/>
                <w:spacing w:val="0"/>
                <w:sz w:val="21"/>
                <w:szCs w:val="21"/>
                <w:highlight w:val="none"/>
              </w:rPr>
              <w:t>有机肥生产公司作为有机肥生产的原料</w:t>
            </w:r>
          </w:p>
        </w:tc>
        <w:tc>
          <w:tcPr>
            <w:tcW w:w="904" w:type="pct"/>
            <w:vAlign w:val="center"/>
          </w:tcPr>
          <w:p w14:paraId="5A71153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Times New Roman"/>
                <w:color w:val="auto"/>
                <w:spacing w:val="0"/>
                <w:sz w:val="21"/>
                <w:szCs w:val="21"/>
                <w:highlight w:val="none"/>
                <w:lang w:eastAsia="zh-CN"/>
              </w:rPr>
            </w:pPr>
            <w:r>
              <w:rPr>
                <w:rFonts w:hint="eastAsia" w:ascii="Times New Roman" w:hAnsi="Times New Roman" w:eastAsia="宋体" w:cs="Times New Roman"/>
                <w:color w:val="auto"/>
                <w:spacing w:val="0"/>
                <w:sz w:val="21"/>
                <w:szCs w:val="21"/>
                <w:highlight w:val="none"/>
                <w:lang w:val="en-US" w:eastAsia="zh-CN"/>
              </w:rPr>
              <w:t>31.2</w:t>
            </w:r>
            <w:r>
              <w:rPr>
                <w:rFonts w:hint="eastAsia" w:cs="Times New Roman"/>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t/d</w:t>
            </w:r>
            <w:r>
              <w:rPr>
                <w:rFonts w:hint="eastAsia" w:cs="Times New Roman"/>
                <w:color w:val="auto"/>
                <w:spacing w:val="0"/>
                <w:sz w:val="21"/>
                <w:szCs w:val="21"/>
                <w:highlight w:val="none"/>
                <w:lang w:eastAsia="zh-CN"/>
              </w:rPr>
              <w:t>）</w:t>
            </w:r>
          </w:p>
        </w:tc>
      </w:tr>
      <w:tr w14:paraId="67B92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jc w:val="center"/>
        </w:trPr>
        <w:tc>
          <w:tcPr>
            <w:tcW w:w="387" w:type="pct"/>
            <w:vAlign w:val="center"/>
          </w:tcPr>
          <w:p w14:paraId="2D68588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689" w:type="pct"/>
            <w:vAlign w:val="center"/>
          </w:tcPr>
          <w:p w14:paraId="3CF0E1E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val="en-US" w:eastAsia="zh-CN"/>
              </w:rPr>
            </w:pPr>
            <w:r>
              <w:rPr>
                <w:rFonts w:hint="eastAsia" w:cs="宋体"/>
                <w:color w:val="auto"/>
                <w:spacing w:val="0"/>
                <w:sz w:val="21"/>
                <w:szCs w:val="21"/>
                <w:highlight w:val="none"/>
                <w:lang w:val="en-US" w:eastAsia="zh-CN"/>
              </w:rPr>
              <w:t>污泥</w:t>
            </w:r>
          </w:p>
        </w:tc>
        <w:tc>
          <w:tcPr>
            <w:tcW w:w="361" w:type="pct"/>
            <w:vMerge w:val="continue"/>
            <w:textDirection w:val="tbRlV"/>
            <w:vAlign w:val="center"/>
          </w:tcPr>
          <w:p w14:paraId="714D712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950" w:type="pct"/>
            <w:vAlign w:val="center"/>
          </w:tcPr>
          <w:p w14:paraId="76646D0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w:t>
            </w:r>
          </w:p>
        </w:tc>
        <w:tc>
          <w:tcPr>
            <w:tcW w:w="1706" w:type="pct"/>
            <w:vAlign w:val="center"/>
          </w:tcPr>
          <w:p w14:paraId="4D87B03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val="en-US" w:eastAsia="zh-CN"/>
              </w:rPr>
            </w:pPr>
            <w:r>
              <w:rPr>
                <w:rFonts w:hint="eastAsia" w:cs="宋体"/>
                <w:color w:val="auto"/>
                <w:spacing w:val="0"/>
                <w:sz w:val="21"/>
                <w:szCs w:val="21"/>
                <w:highlight w:val="none"/>
                <w:lang w:val="en-US" w:eastAsia="zh-CN"/>
              </w:rPr>
              <w:t>与鸡</w:t>
            </w:r>
            <w:r>
              <w:rPr>
                <w:rFonts w:ascii="Times New Roman" w:hAnsi="Times New Roman" w:eastAsia="宋体" w:cs="宋体"/>
                <w:color w:val="auto"/>
                <w:spacing w:val="0"/>
                <w:sz w:val="21"/>
                <w:szCs w:val="21"/>
                <w:highlight w:val="none"/>
              </w:rPr>
              <w:t>粪系统清理后，</w:t>
            </w:r>
            <w:r>
              <w:rPr>
                <w:rFonts w:hint="eastAsia" w:ascii="Times New Roman" w:hAnsi="Times New Roman" w:eastAsia="宋体" w:cs="宋体"/>
                <w:color w:val="auto"/>
                <w:spacing w:val="0"/>
                <w:sz w:val="21"/>
                <w:szCs w:val="21"/>
                <w:highlight w:val="none"/>
                <w:lang w:val="en-US" w:eastAsia="zh-CN"/>
              </w:rPr>
              <w:t>外售</w:t>
            </w:r>
            <w:r>
              <w:rPr>
                <w:rFonts w:ascii="Times New Roman" w:hAnsi="Times New Roman" w:eastAsia="宋体" w:cs="宋体"/>
                <w:color w:val="auto"/>
                <w:spacing w:val="0"/>
                <w:sz w:val="21"/>
                <w:szCs w:val="21"/>
                <w:highlight w:val="none"/>
              </w:rPr>
              <w:t>有机肥生产公司作为有机肥生产的原料</w:t>
            </w:r>
          </w:p>
        </w:tc>
        <w:tc>
          <w:tcPr>
            <w:tcW w:w="904" w:type="pct"/>
            <w:vAlign w:val="center"/>
          </w:tcPr>
          <w:p w14:paraId="5D8A0E6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w:t>
            </w:r>
          </w:p>
        </w:tc>
      </w:tr>
      <w:tr w14:paraId="6AB98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387" w:type="pct"/>
            <w:vAlign w:val="center"/>
          </w:tcPr>
          <w:p w14:paraId="1CB89AA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2</w:t>
            </w:r>
          </w:p>
        </w:tc>
        <w:tc>
          <w:tcPr>
            <w:tcW w:w="689" w:type="pct"/>
            <w:vAlign w:val="center"/>
          </w:tcPr>
          <w:p w14:paraId="418BC56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废弃包装物</w:t>
            </w:r>
          </w:p>
        </w:tc>
        <w:tc>
          <w:tcPr>
            <w:tcW w:w="361" w:type="pct"/>
            <w:vMerge w:val="continue"/>
            <w:tcBorders>
              <w:top w:val="nil"/>
              <w:bottom w:val="nil"/>
            </w:tcBorders>
            <w:textDirection w:val="tbRlV"/>
            <w:vAlign w:val="center"/>
          </w:tcPr>
          <w:p w14:paraId="5CABB26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950" w:type="pct"/>
            <w:vAlign w:val="center"/>
          </w:tcPr>
          <w:p w14:paraId="49D92CD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w:t>
            </w:r>
          </w:p>
        </w:tc>
        <w:tc>
          <w:tcPr>
            <w:tcW w:w="1706" w:type="pct"/>
            <w:vAlign w:val="center"/>
          </w:tcPr>
          <w:p w14:paraId="03058F2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饲料包装袋进行外售</w:t>
            </w:r>
          </w:p>
        </w:tc>
        <w:tc>
          <w:tcPr>
            <w:tcW w:w="904" w:type="pct"/>
            <w:vAlign w:val="center"/>
          </w:tcPr>
          <w:p w14:paraId="08C13CA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w:t>
            </w:r>
          </w:p>
        </w:tc>
      </w:tr>
      <w:tr w14:paraId="3E709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387" w:type="pct"/>
            <w:vAlign w:val="center"/>
          </w:tcPr>
          <w:p w14:paraId="462B206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w:t>
            </w:r>
          </w:p>
        </w:tc>
        <w:tc>
          <w:tcPr>
            <w:tcW w:w="689" w:type="pct"/>
            <w:vAlign w:val="center"/>
          </w:tcPr>
          <w:p w14:paraId="07E6A93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生活垃圾</w:t>
            </w:r>
          </w:p>
        </w:tc>
        <w:tc>
          <w:tcPr>
            <w:tcW w:w="361" w:type="pct"/>
            <w:vMerge w:val="continue"/>
            <w:tcBorders>
              <w:top w:val="nil"/>
            </w:tcBorders>
            <w:textDirection w:val="tbRlV"/>
            <w:vAlign w:val="center"/>
          </w:tcPr>
          <w:p w14:paraId="79520AF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950" w:type="pct"/>
            <w:vAlign w:val="center"/>
          </w:tcPr>
          <w:p w14:paraId="006B128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3.65</w:t>
            </w:r>
          </w:p>
        </w:tc>
        <w:tc>
          <w:tcPr>
            <w:tcW w:w="1706" w:type="pct"/>
            <w:vAlign w:val="center"/>
          </w:tcPr>
          <w:p w14:paraId="72019A6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经集中收集后当地环卫部门处置</w:t>
            </w:r>
          </w:p>
        </w:tc>
        <w:tc>
          <w:tcPr>
            <w:tcW w:w="904" w:type="pct"/>
            <w:vAlign w:val="center"/>
          </w:tcPr>
          <w:p w14:paraId="0FAD186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3.65</w:t>
            </w:r>
          </w:p>
        </w:tc>
      </w:tr>
      <w:tr w14:paraId="65BEB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387" w:type="pct"/>
            <w:vAlign w:val="center"/>
          </w:tcPr>
          <w:p w14:paraId="1F51613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w:t>
            </w:r>
          </w:p>
        </w:tc>
        <w:tc>
          <w:tcPr>
            <w:tcW w:w="689" w:type="pct"/>
            <w:vAlign w:val="center"/>
          </w:tcPr>
          <w:p w14:paraId="366BC69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病死鸡只</w:t>
            </w:r>
          </w:p>
        </w:tc>
        <w:tc>
          <w:tcPr>
            <w:tcW w:w="361" w:type="pct"/>
            <w:vMerge w:val="restart"/>
            <w:tcBorders>
              <w:bottom w:val="nil"/>
            </w:tcBorders>
            <w:textDirection w:val="tbRlV"/>
            <w:vAlign w:val="center"/>
          </w:tcPr>
          <w:p w14:paraId="3D85588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危险废物</w:t>
            </w:r>
          </w:p>
        </w:tc>
        <w:tc>
          <w:tcPr>
            <w:tcW w:w="950" w:type="pct"/>
            <w:vAlign w:val="center"/>
          </w:tcPr>
          <w:p w14:paraId="7D12BB2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3.6</w:t>
            </w:r>
          </w:p>
        </w:tc>
        <w:tc>
          <w:tcPr>
            <w:tcW w:w="1706" w:type="pct"/>
            <w:vAlign w:val="center"/>
          </w:tcPr>
          <w:p w14:paraId="45F0B1D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经设置的填埋井</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常见疾病病死鸡只</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进行填埋</w:t>
            </w:r>
          </w:p>
        </w:tc>
        <w:tc>
          <w:tcPr>
            <w:tcW w:w="904" w:type="pct"/>
            <w:vAlign w:val="center"/>
          </w:tcPr>
          <w:p w14:paraId="63BE9C5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3.6</w:t>
            </w:r>
          </w:p>
        </w:tc>
      </w:tr>
      <w:tr w14:paraId="3874C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387" w:type="pct"/>
            <w:vAlign w:val="center"/>
          </w:tcPr>
          <w:p w14:paraId="0F70ED3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5</w:t>
            </w:r>
          </w:p>
        </w:tc>
        <w:tc>
          <w:tcPr>
            <w:tcW w:w="689" w:type="pct"/>
            <w:vAlign w:val="center"/>
          </w:tcPr>
          <w:p w14:paraId="1B276B3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医疗垃圾</w:t>
            </w:r>
          </w:p>
        </w:tc>
        <w:tc>
          <w:tcPr>
            <w:tcW w:w="361" w:type="pct"/>
            <w:vMerge w:val="continue"/>
            <w:tcBorders>
              <w:top w:val="nil"/>
            </w:tcBorders>
            <w:textDirection w:val="tbRlV"/>
            <w:vAlign w:val="center"/>
          </w:tcPr>
          <w:p w14:paraId="4E0BCAA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950" w:type="pct"/>
            <w:vAlign w:val="center"/>
          </w:tcPr>
          <w:p w14:paraId="3A92CA9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0.03</w:t>
            </w:r>
          </w:p>
        </w:tc>
        <w:tc>
          <w:tcPr>
            <w:tcW w:w="1706" w:type="pct"/>
            <w:vAlign w:val="center"/>
          </w:tcPr>
          <w:p w14:paraId="085EF33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有医疗垃圾处理资质的单位进行处置</w:t>
            </w:r>
          </w:p>
        </w:tc>
        <w:tc>
          <w:tcPr>
            <w:tcW w:w="904" w:type="pct"/>
            <w:vAlign w:val="center"/>
          </w:tcPr>
          <w:p w14:paraId="4D9284D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0.03</w:t>
            </w:r>
          </w:p>
        </w:tc>
      </w:tr>
    </w:tbl>
    <w:p w14:paraId="133F5424">
      <w:pPr>
        <w:pStyle w:val="6"/>
        <w:ind w:firstLine="482"/>
        <w:rPr>
          <w:rFonts w:ascii="Times New Roman" w:hAnsi="Times New Roman" w:eastAsia="宋体"/>
          <w:color w:val="auto"/>
          <w:highlight w:val="none"/>
        </w:rPr>
      </w:pPr>
      <w:r>
        <w:rPr>
          <w:rFonts w:ascii="Times New Roman" w:hAnsi="Times New Roman" w:eastAsia="宋体"/>
          <w:color w:val="auto"/>
          <w:highlight w:val="none"/>
        </w:rPr>
        <w:t>3.</w:t>
      </w:r>
      <w:r>
        <w:rPr>
          <w:rFonts w:hint="eastAsia" w:ascii="Times New Roman" w:hAnsi="Times New Roman" w:eastAsia="宋体"/>
          <w:color w:val="auto"/>
          <w:highlight w:val="none"/>
        </w:rPr>
        <w:t>3</w:t>
      </w:r>
      <w:r>
        <w:rPr>
          <w:rFonts w:ascii="Times New Roman" w:hAnsi="Times New Roman" w:eastAsia="宋体"/>
          <w:color w:val="auto"/>
          <w:highlight w:val="none"/>
        </w:rPr>
        <w:t>.2.4噪声</w:t>
      </w:r>
    </w:p>
    <w:p w14:paraId="5AF6857A">
      <w:pPr>
        <w:ind w:firstLine="480"/>
        <w:rPr>
          <w:rFonts w:ascii="Times New Roman" w:hAnsi="Times New Roman" w:eastAsia="宋体"/>
          <w:color w:val="auto"/>
          <w:highlight w:val="none"/>
        </w:rPr>
      </w:pPr>
      <w:r>
        <w:rPr>
          <w:rFonts w:ascii="Times New Roman" w:hAnsi="Times New Roman" w:eastAsia="宋体"/>
          <w:color w:val="auto"/>
          <w:highlight w:val="none"/>
        </w:rPr>
        <w:t>本项目在运营期间噪声主要来源于</w:t>
      </w:r>
      <w:r>
        <w:rPr>
          <w:rFonts w:hint="eastAsia" w:ascii="Times New Roman" w:hAnsi="Times New Roman" w:eastAsia="宋体"/>
          <w:color w:val="auto"/>
          <w:highlight w:val="none"/>
          <w:lang w:val="en-US" w:eastAsia="zh-CN"/>
        </w:rPr>
        <w:t>鸡叫</w:t>
      </w:r>
      <w:r>
        <w:rPr>
          <w:rFonts w:hint="eastAsia" w:ascii="Times New Roman" w:hAnsi="Times New Roman" w:eastAsia="宋体"/>
          <w:color w:val="auto"/>
          <w:highlight w:val="none"/>
        </w:rPr>
        <w:t>、排气扇</w:t>
      </w:r>
      <w:r>
        <w:rPr>
          <w:rFonts w:ascii="Times New Roman" w:hAnsi="Times New Roman" w:eastAsia="宋体"/>
          <w:color w:val="auto"/>
          <w:highlight w:val="none"/>
        </w:rPr>
        <w:t>等设备</w:t>
      </w:r>
      <w:r>
        <w:rPr>
          <w:rFonts w:hint="eastAsia" w:ascii="Times New Roman" w:hAnsi="Times New Roman" w:eastAsia="宋体"/>
          <w:color w:val="auto"/>
          <w:highlight w:val="none"/>
        </w:rPr>
        <w:t>产生的噪声，经过类比调查，</w:t>
      </w:r>
      <w:r>
        <w:rPr>
          <w:rFonts w:ascii="Times New Roman" w:hAnsi="Times New Roman" w:eastAsia="宋体"/>
          <w:color w:val="auto"/>
          <w:highlight w:val="none"/>
        </w:rPr>
        <w:t>本项目主要噪声源强见表3.</w:t>
      </w:r>
      <w:r>
        <w:rPr>
          <w:rFonts w:hint="eastAsia" w:ascii="Times New Roman" w:hAnsi="Times New Roman" w:eastAsia="宋体"/>
          <w:color w:val="auto"/>
          <w:highlight w:val="none"/>
        </w:rPr>
        <w:t>3</w:t>
      </w:r>
      <w:r>
        <w:rPr>
          <w:rFonts w:ascii="Times New Roman" w:hAnsi="Times New Roman" w:eastAsia="宋体"/>
          <w:color w:val="auto"/>
          <w:highlight w:val="none"/>
        </w:rPr>
        <w:t>-1</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rPr>
        <w:t>。</w:t>
      </w:r>
    </w:p>
    <w:p w14:paraId="6E61814D">
      <w:pPr>
        <w:pStyle w:val="10"/>
        <w:rPr>
          <w:rFonts w:ascii="Times New Roman" w:hAnsi="Times New Roman" w:eastAsia="宋体"/>
          <w:color w:val="auto"/>
          <w:highlight w:val="none"/>
        </w:rPr>
      </w:pPr>
      <w:r>
        <w:rPr>
          <w:rFonts w:hint="eastAsia" w:ascii="Times New Roman" w:hAnsi="Times New Roman" w:eastAsia="宋体"/>
          <w:color w:val="auto"/>
          <w:highlight w:val="none"/>
        </w:rPr>
        <w:t>表3.3-1</w:t>
      </w:r>
      <w:r>
        <w:rPr>
          <w:rFonts w:hint="eastAsia" w:ascii="Times New Roman" w:hAnsi="Times New Roman" w:eastAsia="宋体"/>
          <w:color w:val="auto"/>
          <w:highlight w:val="none"/>
          <w:lang w:val="en-US" w:eastAsia="zh-CN"/>
        </w:rPr>
        <w:t>0</w:t>
      </w:r>
      <w:r>
        <w:rPr>
          <w:rFonts w:hint="eastAsia" w:ascii="Times New Roman" w:hAnsi="Times New Roman" w:eastAsia="宋体"/>
          <w:color w:val="auto"/>
          <w:highlight w:val="none"/>
        </w:rPr>
        <w:t>项目主要噪声源强表单位：dB（A）</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79"/>
        <w:gridCol w:w="2075"/>
        <w:gridCol w:w="2075"/>
        <w:gridCol w:w="2080"/>
      </w:tblGrid>
      <w:tr w14:paraId="12837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1251" w:type="pct"/>
            <w:vAlign w:val="center"/>
          </w:tcPr>
          <w:p w14:paraId="0292E3C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序号</w:t>
            </w:r>
          </w:p>
        </w:tc>
        <w:tc>
          <w:tcPr>
            <w:tcW w:w="1248" w:type="pct"/>
            <w:vAlign w:val="center"/>
          </w:tcPr>
          <w:p w14:paraId="481CB23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设备名称</w:t>
            </w:r>
          </w:p>
        </w:tc>
        <w:tc>
          <w:tcPr>
            <w:tcW w:w="1248" w:type="pct"/>
            <w:vAlign w:val="center"/>
          </w:tcPr>
          <w:p w14:paraId="1F034CE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噪声值</w:t>
            </w:r>
          </w:p>
          <w:p w14:paraId="21E3AAA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Times New Roman"/>
                <w:color w:val="auto"/>
                <w:spacing w:val="0"/>
                <w:position w:val="0"/>
                <w:sz w:val="21"/>
                <w:szCs w:val="21"/>
                <w:highlight w:val="none"/>
              </w:rPr>
              <w:t>dB</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A</w:t>
            </w:r>
            <w:r>
              <w:rPr>
                <w:rFonts w:hint="eastAsia" w:cs="宋体"/>
                <w:color w:val="auto"/>
                <w:spacing w:val="0"/>
                <w:position w:val="0"/>
                <w:sz w:val="21"/>
                <w:szCs w:val="21"/>
                <w:highlight w:val="none"/>
                <w:lang w:eastAsia="zh-CN"/>
              </w:rPr>
              <w:t>）</w:t>
            </w:r>
          </w:p>
        </w:tc>
        <w:tc>
          <w:tcPr>
            <w:tcW w:w="1251" w:type="pct"/>
            <w:vAlign w:val="center"/>
          </w:tcPr>
          <w:p w14:paraId="57F768F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所在位置</w:t>
            </w:r>
          </w:p>
        </w:tc>
      </w:tr>
      <w:tr w14:paraId="519CA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251" w:type="pct"/>
            <w:vAlign w:val="center"/>
          </w:tcPr>
          <w:p w14:paraId="5DBB71E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1248" w:type="pct"/>
            <w:vAlign w:val="center"/>
          </w:tcPr>
          <w:p w14:paraId="1D40D54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鸡叫声</w:t>
            </w:r>
          </w:p>
        </w:tc>
        <w:tc>
          <w:tcPr>
            <w:tcW w:w="1248" w:type="pct"/>
            <w:vAlign w:val="center"/>
          </w:tcPr>
          <w:p w14:paraId="5F70EF0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65~70</w:t>
            </w:r>
          </w:p>
        </w:tc>
        <w:tc>
          <w:tcPr>
            <w:tcW w:w="1251" w:type="pct"/>
            <w:vAlign w:val="center"/>
          </w:tcPr>
          <w:p w14:paraId="138309D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w:t>
            </w:r>
          </w:p>
        </w:tc>
      </w:tr>
      <w:tr w14:paraId="56396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251" w:type="pct"/>
            <w:vAlign w:val="center"/>
          </w:tcPr>
          <w:p w14:paraId="2369CD1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w:t>
            </w:r>
          </w:p>
        </w:tc>
        <w:tc>
          <w:tcPr>
            <w:tcW w:w="1248" w:type="pct"/>
            <w:vAlign w:val="center"/>
          </w:tcPr>
          <w:p w14:paraId="719E4CA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排风扇</w:t>
            </w:r>
          </w:p>
        </w:tc>
        <w:tc>
          <w:tcPr>
            <w:tcW w:w="1248" w:type="pct"/>
            <w:vAlign w:val="center"/>
          </w:tcPr>
          <w:p w14:paraId="5DD0E12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70~80</w:t>
            </w:r>
          </w:p>
        </w:tc>
        <w:tc>
          <w:tcPr>
            <w:tcW w:w="1251" w:type="pct"/>
            <w:vAlign w:val="center"/>
          </w:tcPr>
          <w:p w14:paraId="6D8107C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w:t>
            </w:r>
          </w:p>
        </w:tc>
      </w:tr>
      <w:tr w14:paraId="142FE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251" w:type="pct"/>
            <w:vAlign w:val="center"/>
          </w:tcPr>
          <w:p w14:paraId="271B97E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w:t>
            </w:r>
          </w:p>
        </w:tc>
        <w:tc>
          <w:tcPr>
            <w:tcW w:w="1248" w:type="pct"/>
            <w:vAlign w:val="center"/>
          </w:tcPr>
          <w:p w14:paraId="6DEFC0F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运输车辆噪声</w:t>
            </w:r>
          </w:p>
        </w:tc>
        <w:tc>
          <w:tcPr>
            <w:tcW w:w="1248" w:type="pct"/>
            <w:vAlign w:val="center"/>
          </w:tcPr>
          <w:p w14:paraId="0FF480A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75~80</w:t>
            </w:r>
          </w:p>
        </w:tc>
        <w:tc>
          <w:tcPr>
            <w:tcW w:w="1251" w:type="pct"/>
            <w:vAlign w:val="center"/>
          </w:tcPr>
          <w:p w14:paraId="291146C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厂区内</w:t>
            </w:r>
          </w:p>
        </w:tc>
      </w:tr>
    </w:tbl>
    <w:p w14:paraId="65F228DA">
      <w:pPr>
        <w:pStyle w:val="4"/>
        <w:rPr>
          <w:rFonts w:ascii="Times New Roman" w:hAnsi="Times New Roman" w:eastAsia="宋体"/>
          <w:color w:val="auto"/>
          <w:highlight w:val="none"/>
        </w:rPr>
      </w:pPr>
      <w:bookmarkStart w:id="121" w:name="_Toc310503790"/>
      <w:bookmarkStart w:id="122" w:name="_Toc224388084"/>
      <w:bookmarkStart w:id="123" w:name="_Toc106663473"/>
      <w:bookmarkStart w:id="124" w:name="_Toc321043910"/>
      <w:bookmarkStart w:id="125" w:name="_Toc10130"/>
      <w:bookmarkStart w:id="126" w:name="_Toc89619336"/>
      <w:bookmarkStart w:id="127" w:name="_Toc291499394"/>
      <w:bookmarkStart w:id="128" w:name="_Toc16418"/>
      <w:bookmarkStart w:id="129" w:name="_Toc289360091"/>
      <w:r>
        <w:rPr>
          <w:rFonts w:ascii="Times New Roman" w:hAnsi="Times New Roman" w:eastAsia="宋体"/>
          <w:color w:val="auto"/>
          <w:highlight w:val="none"/>
        </w:rPr>
        <w:t>3.</w:t>
      </w:r>
      <w:r>
        <w:rPr>
          <w:rFonts w:hint="eastAsia" w:ascii="Times New Roman" w:hAnsi="Times New Roman" w:eastAsia="宋体"/>
          <w:color w:val="auto"/>
          <w:highlight w:val="none"/>
        </w:rPr>
        <w:t>4</w:t>
      </w:r>
      <w:r>
        <w:rPr>
          <w:rFonts w:ascii="Times New Roman" w:hAnsi="Times New Roman" w:eastAsia="宋体"/>
          <w:color w:val="auto"/>
          <w:highlight w:val="none"/>
        </w:rPr>
        <w:t>污染物</w:t>
      </w:r>
      <w:r>
        <w:rPr>
          <w:rFonts w:hint="eastAsia"/>
          <w:color w:val="auto"/>
          <w:highlight w:val="none"/>
          <w:lang w:eastAsia="zh-CN"/>
        </w:rPr>
        <w:t>”</w:t>
      </w:r>
      <w:r>
        <w:rPr>
          <w:rFonts w:ascii="Times New Roman" w:hAnsi="Times New Roman" w:eastAsia="宋体"/>
          <w:color w:val="auto"/>
          <w:highlight w:val="none"/>
        </w:rPr>
        <w:t>三废</w:t>
      </w:r>
      <w:r>
        <w:rPr>
          <w:rFonts w:hint="eastAsia"/>
          <w:color w:val="auto"/>
          <w:highlight w:val="none"/>
          <w:lang w:eastAsia="zh-CN"/>
        </w:rPr>
        <w:t>”</w:t>
      </w:r>
      <w:r>
        <w:rPr>
          <w:rFonts w:ascii="Times New Roman" w:hAnsi="Times New Roman" w:eastAsia="宋体"/>
          <w:color w:val="auto"/>
          <w:highlight w:val="none"/>
        </w:rPr>
        <w:t>排放</w:t>
      </w:r>
      <w:bookmarkEnd w:id="121"/>
      <w:bookmarkEnd w:id="122"/>
      <w:bookmarkEnd w:id="123"/>
      <w:bookmarkEnd w:id="124"/>
      <w:bookmarkEnd w:id="125"/>
      <w:bookmarkEnd w:id="126"/>
      <w:bookmarkEnd w:id="127"/>
      <w:bookmarkEnd w:id="128"/>
      <w:bookmarkEnd w:id="129"/>
    </w:p>
    <w:p w14:paraId="17B5B6E5">
      <w:pPr>
        <w:ind w:firstLine="480"/>
        <w:rPr>
          <w:rFonts w:ascii="Times New Roman" w:hAnsi="Times New Roman" w:eastAsia="宋体"/>
          <w:color w:val="auto"/>
          <w:highlight w:val="none"/>
        </w:rPr>
      </w:pPr>
      <w:r>
        <w:rPr>
          <w:rFonts w:ascii="Times New Roman" w:hAnsi="Times New Roman" w:eastAsia="宋体"/>
          <w:color w:val="auto"/>
          <w:highlight w:val="none"/>
        </w:rPr>
        <w:t>本项目污染物</w:t>
      </w:r>
      <w:r>
        <w:rPr>
          <w:rFonts w:hint="eastAsia"/>
          <w:color w:val="auto"/>
          <w:highlight w:val="none"/>
          <w:lang w:eastAsia="zh-CN"/>
        </w:rPr>
        <w:t>”</w:t>
      </w:r>
      <w:r>
        <w:rPr>
          <w:rFonts w:ascii="Times New Roman" w:hAnsi="Times New Roman" w:eastAsia="宋体"/>
          <w:color w:val="auto"/>
          <w:highlight w:val="none"/>
        </w:rPr>
        <w:t>三废</w:t>
      </w:r>
      <w:r>
        <w:rPr>
          <w:rFonts w:hint="eastAsia"/>
          <w:color w:val="auto"/>
          <w:highlight w:val="none"/>
          <w:lang w:eastAsia="zh-CN"/>
        </w:rPr>
        <w:t>”</w:t>
      </w:r>
      <w:r>
        <w:rPr>
          <w:rFonts w:ascii="Times New Roman" w:hAnsi="Times New Roman" w:eastAsia="宋体"/>
          <w:color w:val="auto"/>
          <w:highlight w:val="none"/>
        </w:rPr>
        <w:t>产生及排放统计见表3.</w:t>
      </w:r>
      <w:r>
        <w:rPr>
          <w:rFonts w:hint="eastAsia" w:ascii="Times New Roman" w:hAnsi="Times New Roman" w:eastAsia="宋体"/>
          <w:color w:val="auto"/>
          <w:highlight w:val="none"/>
        </w:rPr>
        <w:t>4</w:t>
      </w:r>
      <w:r>
        <w:rPr>
          <w:rFonts w:ascii="Times New Roman" w:hAnsi="Times New Roman" w:eastAsia="宋体"/>
          <w:color w:val="auto"/>
          <w:highlight w:val="none"/>
        </w:rPr>
        <w:t>-1。</w:t>
      </w:r>
    </w:p>
    <w:p w14:paraId="4C3C44BE">
      <w:pPr>
        <w:pStyle w:val="10"/>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3.4-1</w:t>
      </w:r>
      <w:r>
        <w:rPr>
          <w:rFonts w:ascii="Times New Roman" w:hAnsi="Times New Roman" w:eastAsia="宋体"/>
          <w:color w:val="auto"/>
          <w:highlight w:val="none"/>
        </w:rPr>
        <w:t>污染物</w:t>
      </w:r>
      <w:r>
        <w:rPr>
          <w:rFonts w:hint="eastAsia"/>
          <w:color w:val="auto"/>
          <w:highlight w:val="none"/>
          <w:lang w:eastAsia="zh-CN"/>
        </w:rPr>
        <w:t>”</w:t>
      </w:r>
      <w:r>
        <w:rPr>
          <w:rFonts w:ascii="Times New Roman" w:hAnsi="Times New Roman" w:eastAsia="宋体"/>
          <w:color w:val="auto"/>
          <w:highlight w:val="none"/>
        </w:rPr>
        <w:t>三废</w:t>
      </w:r>
      <w:r>
        <w:rPr>
          <w:rFonts w:hint="eastAsia"/>
          <w:color w:val="auto"/>
          <w:highlight w:val="none"/>
          <w:lang w:eastAsia="zh-CN"/>
        </w:rPr>
        <w:t>”</w:t>
      </w:r>
      <w:r>
        <w:rPr>
          <w:rFonts w:ascii="Times New Roman" w:hAnsi="Times New Roman" w:eastAsia="宋体"/>
          <w:color w:val="auto"/>
          <w:highlight w:val="none"/>
        </w:rPr>
        <w:t>产生及排放统计表</w:t>
      </w:r>
    </w:p>
    <w:tbl>
      <w:tblPr>
        <w:tblStyle w:val="176"/>
        <w:tblW w:w="501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7"/>
        <w:gridCol w:w="945"/>
        <w:gridCol w:w="1274"/>
        <w:gridCol w:w="1490"/>
        <w:gridCol w:w="3086"/>
        <w:gridCol w:w="1112"/>
      </w:tblGrid>
      <w:tr w14:paraId="3380D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823" w:type="pct"/>
            <w:gridSpan w:val="2"/>
            <w:tcBorders>
              <w:tl2br w:val="nil"/>
              <w:tr2bl w:val="nil"/>
            </w:tcBorders>
            <w:vAlign w:val="center"/>
          </w:tcPr>
          <w:p w14:paraId="01121CB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污染源</w:t>
            </w:r>
          </w:p>
        </w:tc>
        <w:tc>
          <w:tcPr>
            <w:tcW w:w="764" w:type="pct"/>
            <w:tcBorders>
              <w:tl2br w:val="nil"/>
              <w:tr2bl w:val="nil"/>
            </w:tcBorders>
            <w:vAlign w:val="center"/>
          </w:tcPr>
          <w:p w14:paraId="6D54534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主要污染物</w:t>
            </w:r>
          </w:p>
        </w:tc>
        <w:tc>
          <w:tcPr>
            <w:tcW w:w="894" w:type="pct"/>
            <w:tcBorders>
              <w:tl2br w:val="nil"/>
              <w:tr2bl w:val="nil"/>
            </w:tcBorders>
            <w:vAlign w:val="center"/>
          </w:tcPr>
          <w:p w14:paraId="0C02C9A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产生量</w:t>
            </w:r>
          </w:p>
        </w:tc>
        <w:tc>
          <w:tcPr>
            <w:tcW w:w="1851" w:type="pct"/>
            <w:tcBorders>
              <w:tl2br w:val="nil"/>
              <w:tr2bl w:val="nil"/>
            </w:tcBorders>
            <w:vAlign w:val="center"/>
          </w:tcPr>
          <w:p w14:paraId="5ED7FDB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处置措施</w:t>
            </w:r>
          </w:p>
        </w:tc>
        <w:tc>
          <w:tcPr>
            <w:tcW w:w="666" w:type="pct"/>
            <w:tcBorders>
              <w:tl2br w:val="nil"/>
              <w:tr2bl w:val="nil"/>
            </w:tcBorders>
            <w:vAlign w:val="center"/>
          </w:tcPr>
          <w:p w14:paraId="6387D38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排放量</w:t>
            </w:r>
          </w:p>
        </w:tc>
      </w:tr>
      <w:tr w14:paraId="559CB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6" w:type="pct"/>
            <w:vMerge w:val="restart"/>
            <w:tcBorders>
              <w:tl2br w:val="nil"/>
              <w:tr2bl w:val="nil"/>
            </w:tcBorders>
            <w:textDirection w:val="tbRlV"/>
            <w:vAlign w:val="center"/>
          </w:tcPr>
          <w:p w14:paraId="6471593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废气</w:t>
            </w:r>
          </w:p>
        </w:tc>
        <w:tc>
          <w:tcPr>
            <w:tcW w:w="567" w:type="pct"/>
            <w:vMerge w:val="restart"/>
            <w:tcBorders>
              <w:tl2br w:val="nil"/>
              <w:tr2bl w:val="nil"/>
            </w:tcBorders>
            <w:vAlign w:val="center"/>
          </w:tcPr>
          <w:p w14:paraId="5CF14F4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圈舍无组织</w:t>
            </w:r>
          </w:p>
        </w:tc>
        <w:tc>
          <w:tcPr>
            <w:tcW w:w="764" w:type="pct"/>
            <w:tcBorders>
              <w:tl2br w:val="nil"/>
              <w:tr2bl w:val="nil"/>
            </w:tcBorders>
            <w:vAlign w:val="center"/>
          </w:tcPr>
          <w:p w14:paraId="7F2BA56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14"/>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894" w:type="pct"/>
            <w:tcBorders>
              <w:tl2br w:val="nil"/>
              <w:tr2bl w:val="nil"/>
            </w:tcBorders>
            <w:vAlign w:val="center"/>
          </w:tcPr>
          <w:p w14:paraId="2AAA2D5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10.17</w:t>
            </w:r>
            <w:r>
              <w:rPr>
                <w:rFonts w:ascii="Times New Roman" w:hAnsi="Times New Roman" w:eastAsia="宋体" w:cs="Times New Roman"/>
                <w:color w:val="auto"/>
                <w:spacing w:val="0"/>
                <w:sz w:val="21"/>
                <w:szCs w:val="21"/>
                <w:highlight w:val="none"/>
              </w:rPr>
              <w:t>t/a</w:t>
            </w:r>
          </w:p>
        </w:tc>
        <w:tc>
          <w:tcPr>
            <w:tcW w:w="1851" w:type="pct"/>
            <w:vMerge w:val="restart"/>
            <w:tcBorders>
              <w:tl2br w:val="nil"/>
              <w:tr2bl w:val="nil"/>
            </w:tcBorders>
            <w:vAlign w:val="center"/>
          </w:tcPr>
          <w:p w14:paraId="7B9D4D7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圈舍定期喷洒除臭剂，鸡粪日产日清；圈舍四周绿化</w:t>
            </w:r>
          </w:p>
        </w:tc>
        <w:tc>
          <w:tcPr>
            <w:tcW w:w="666" w:type="pct"/>
            <w:tcBorders>
              <w:tl2br w:val="nil"/>
              <w:tr2bl w:val="nil"/>
            </w:tcBorders>
            <w:vAlign w:val="center"/>
          </w:tcPr>
          <w:p w14:paraId="074E818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cs="Times New Roman"/>
                <w:color w:val="auto"/>
                <w:spacing w:val="0"/>
                <w:sz w:val="21"/>
                <w:szCs w:val="21"/>
                <w:highlight w:val="none"/>
                <w:lang w:val="en-US" w:eastAsia="zh-CN"/>
              </w:rPr>
              <w:t>0.6</w:t>
            </w:r>
            <w:r>
              <w:rPr>
                <w:rFonts w:ascii="Times New Roman" w:hAnsi="Times New Roman" w:eastAsia="宋体" w:cs="Times New Roman"/>
                <w:color w:val="auto"/>
                <w:spacing w:val="0"/>
                <w:sz w:val="21"/>
                <w:szCs w:val="21"/>
                <w:highlight w:val="none"/>
              </w:rPr>
              <w:t>t/a</w:t>
            </w:r>
          </w:p>
        </w:tc>
      </w:tr>
      <w:tr w14:paraId="48753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6" w:type="pct"/>
            <w:vMerge w:val="continue"/>
            <w:tcBorders>
              <w:tl2br w:val="nil"/>
              <w:tr2bl w:val="nil"/>
            </w:tcBorders>
            <w:textDirection w:val="tbRlV"/>
            <w:vAlign w:val="center"/>
          </w:tcPr>
          <w:p w14:paraId="7846199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vMerge w:val="continue"/>
            <w:tcBorders>
              <w:tl2br w:val="nil"/>
              <w:tr2bl w:val="nil"/>
            </w:tcBorders>
            <w:vAlign w:val="center"/>
          </w:tcPr>
          <w:p w14:paraId="2A8E55A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764" w:type="pct"/>
            <w:tcBorders>
              <w:tl2br w:val="nil"/>
              <w:tr2bl w:val="nil"/>
            </w:tcBorders>
            <w:vAlign w:val="center"/>
          </w:tcPr>
          <w:p w14:paraId="465202B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894" w:type="pct"/>
            <w:tcBorders>
              <w:tl2br w:val="nil"/>
              <w:tr2bl w:val="nil"/>
            </w:tcBorders>
            <w:vAlign w:val="center"/>
          </w:tcPr>
          <w:p w14:paraId="16F36C5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1.017</w:t>
            </w:r>
            <w:r>
              <w:rPr>
                <w:rFonts w:ascii="Times New Roman" w:hAnsi="Times New Roman" w:eastAsia="宋体" w:cs="Times New Roman"/>
                <w:color w:val="auto"/>
                <w:spacing w:val="0"/>
                <w:sz w:val="21"/>
                <w:szCs w:val="21"/>
                <w:highlight w:val="none"/>
              </w:rPr>
              <w:t>t/a</w:t>
            </w:r>
          </w:p>
        </w:tc>
        <w:tc>
          <w:tcPr>
            <w:tcW w:w="1851" w:type="pct"/>
            <w:vMerge w:val="continue"/>
            <w:tcBorders>
              <w:tl2br w:val="nil"/>
              <w:tr2bl w:val="nil"/>
            </w:tcBorders>
            <w:vAlign w:val="center"/>
          </w:tcPr>
          <w:p w14:paraId="43900FE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666" w:type="pct"/>
            <w:tcBorders>
              <w:tl2br w:val="nil"/>
              <w:tr2bl w:val="nil"/>
            </w:tcBorders>
            <w:vAlign w:val="center"/>
          </w:tcPr>
          <w:p w14:paraId="6F8ED59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cs="Times New Roman"/>
                <w:color w:val="auto"/>
                <w:spacing w:val="0"/>
                <w:sz w:val="21"/>
                <w:szCs w:val="21"/>
                <w:highlight w:val="none"/>
                <w:lang w:val="en-US" w:eastAsia="zh-CN"/>
              </w:rPr>
              <w:t>0.046</w:t>
            </w:r>
            <w:r>
              <w:rPr>
                <w:rFonts w:ascii="Times New Roman" w:hAnsi="Times New Roman" w:eastAsia="宋体" w:cs="Times New Roman"/>
                <w:color w:val="auto"/>
                <w:spacing w:val="0"/>
                <w:sz w:val="21"/>
                <w:szCs w:val="21"/>
                <w:highlight w:val="none"/>
              </w:rPr>
              <w:t>t/a</w:t>
            </w:r>
          </w:p>
        </w:tc>
      </w:tr>
      <w:tr w14:paraId="71060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6" w:type="pct"/>
            <w:vMerge w:val="continue"/>
            <w:tcBorders>
              <w:tl2br w:val="nil"/>
              <w:tr2bl w:val="nil"/>
            </w:tcBorders>
            <w:textDirection w:val="tbRlV"/>
            <w:vAlign w:val="center"/>
          </w:tcPr>
          <w:p w14:paraId="7884CD6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vMerge w:val="restart"/>
            <w:tcBorders>
              <w:tl2br w:val="nil"/>
              <w:tr2bl w:val="nil"/>
            </w:tcBorders>
            <w:vAlign w:val="center"/>
          </w:tcPr>
          <w:p w14:paraId="348D1BF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pacing w:val="0"/>
                <w:sz w:val="21"/>
                <w:highlight w:val="none"/>
                <w:lang w:val="en-US" w:eastAsia="zh-CN"/>
              </w:rPr>
            </w:pPr>
            <w:r>
              <w:rPr>
                <w:rFonts w:hint="eastAsia"/>
                <w:color w:val="auto"/>
                <w:spacing w:val="0"/>
                <w:sz w:val="21"/>
                <w:highlight w:val="none"/>
                <w:lang w:val="en-US" w:eastAsia="zh-CN"/>
              </w:rPr>
              <w:t>废水收集池</w:t>
            </w:r>
          </w:p>
        </w:tc>
        <w:tc>
          <w:tcPr>
            <w:tcW w:w="764" w:type="pct"/>
            <w:tcBorders>
              <w:tl2br w:val="nil"/>
              <w:tr2bl w:val="nil"/>
            </w:tcBorders>
            <w:vAlign w:val="center"/>
          </w:tcPr>
          <w:p w14:paraId="0B722EE4">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894" w:type="pct"/>
            <w:tcBorders>
              <w:tl2br w:val="nil"/>
              <w:tr2bl w:val="nil"/>
            </w:tcBorders>
            <w:vAlign w:val="center"/>
          </w:tcPr>
          <w:p w14:paraId="495E209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c>
          <w:tcPr>
            <w:tcW w:w="1851" w:type="pct"/>
            <w:vMerge w:val="restart"/>
            <w:tcBorders>
              <w:tl2br w:val="nil"/>
              <w:tr2bl w:val="nil"/>
            </w:tcBorders>
            <w:vAlign w:val="center"/>
          </w:tcPr>
          <w:p w14:paraId="716EAC4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olor w:val="auto"/>
                <w:spacing w:val="0"/>
                <w:sz w:val="21"/>
                <w:highlight w:val="none"/>
                <w:lang w:val="en-US" w:eastAsia="zh-CN"/>
              </w:rPr>
            </w:pPr>
            <w:r>
              <w:rPr>
                <w:rFonts w:hint="eastAsia"/>
                <w:color w:val="auto"/>
                <w:spacing w:val="0"/>
                <w:sz w:val="21"/>
                <w:highlight w:val="none"/>
                <w:lang w:val="en-US" w:eastAsia="zh-CN"/>
              </w:rPr>
              <w:t>进行加盖密闭，定期喷洒除臭剂，加强绿化</w:t>
            </w:r>
          </w:p>
        </w:tc>
        <w:tc>
          <w:tcPr>
            <w:tcW w:w="666" w:type="pct"/>
            <w:tcBorders>
              <w:tl2br w:val="nil"/>
              <w:tr2bl w:val="nil"/>
            </w:tcBorders>
            <w:vAlign w:val="center"/>
          </w:tcPr>
          <w:p w14:paraId="73F34FE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14:paraId="7C0E1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6" w:type="pct"/>
            <w:vMerge w:val="continue"/>
            <w:tcBorders>
              <w:tl2br w:val="nil"/>
              <w:tr2bl w:val="nil"/>
            </w:tcBorders>
            <w:textDirection w:val="tbRlV"/>
            <w:vAlign w:val="center"/>
          </w:tcPr>
          <w:p w14:paraId="5A35DC6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vMerge w:val="continue"/>
            <w:tcBorders>
              <w:tl2br w:val="nil"/>
              <w:tr2bl w:val="nil"/>
            </w:tcBorders>
            <w:vAlign w:val="center"/>
          </w:tcPr>
          <w:p w14:paraId="4DCDD42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764" w:type="pct"/>
            <w:tcBorders>
              <w:tl2br w:val="nil"/>
              <w:tr2bl w:val="nil"/>
            </w:tcBorders>
            <w:vAlign w:val="center"/>
          </w:tcPr>
          <w:p w14:paraId="13875FC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894" w:type="pct"/>
            <w:tcBorders>
              <w:tl2br w:val="nil"/>
              <w:tr2bl w:val="nil"/>
            </w:tcBorders>
            <w:vAlign w:val="center"/>
          </w:tcPr>
          <w:p w14:paraId="2660728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c>
          <w:tcPr>
            <w:tcW w:w="1851" w:type="pct"/>
            <w:vMerge w:val="continue"/>
            <w:tcBorders>
              <w:tl2br w:val="nil"/>
              <w:tr2bl w:val="nil"/>
            </w:tcBorders>
            <w:vAlign w:val="center"/>
          </w:tcPr>
          <w:p w14:paraId="0289E59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olor w:val="auto"/>
                <w:spacing w:val="0"/>
                <w:sz w:val="21"/>
                <w:highlight w:val="none"/>
              </w:rPr>
            </w:pPr>
          </w:p>
        </w:tc>
        <w:tc>
          <w:tcPr>
            <w:tcW w:w="666" w:type="pct"/>
            <w:tcBorders>
              <w:tl2br w:val="nil"/>
              <w:tr2bl w:val="nil"/>
            </w:tcBorders>
            <w:vAlign w:val="center"/>
          </w:tcPr>
          <w:p w14:paraId="32823A89">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14:paraId="1572D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jc w:val="center"/>
        </w:trPr>
        <w:tc>
          <w:tcPr>
            <w:tcW w:w="256" w:type="pct"/>
            <w:vMerge w:val="restart"/>
            <w:tcBorders>
              <w:tl2br w:val="nil"/>
              <w:tr2bl w:val="nil"/>
            </w:tcBorders>
            <w:textDirection w:val="tbRlV"/>
            <w:vAlign w:val="center"/>
          </w:tcPr>
          <w:p w14:paraId="497B9F0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废水</w:t>
            </w:r>
          </w:p>
        </w:tc>
        <w:tc>
          <w:tcPr>
            <w:tcW w:w="567" w:type="pct"/>
            <w:tcBorders>
              <w:tl2br w:val="nil"/>
              <w:tr2bl w:val="nil"/>
            </w:tcBorders>
            <w:vAlign w:val="center"/>
          </w:tcPr>
          <w:p w14:paraId="3822AD7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w:t>
            </w:r>
          </w:p>
        </w:tc>
        <w:tc>
          <w:tcPr>
            <w:tcW w:w="764" w:type="pct"/>
            <w:tcBorders>
              <w:tl2br w:val="nil"/>
              <w:tr2bl w:val="nil"/>
            </w:tcBorders>
            <w:vAlign w:val="center"/>
          </w:tcPr>
          <w:p w14:paraId="66C6369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鸡舍冲洗废水</w:t>
            </w:r>
          </w:p>
        </w:tc>
        <w:tc>
          <w:tcPr>
            <w:tcW w:w="894" w:type="pct"/>
            <w:tcBorders>
              <w:tl2br w:val="nil"/>
              <w:tr2bl w:val="nil"/>
            </w:tcBorders>
            <w:vAlign w:val="center"/>
          </w:tcPr>
          <w:p w14:paraId="1D7EEAD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311.04m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Times New Roman"/>
                <w:color w:val="auto"/>
                <w:spacing w:val="0"/>
                <w:sz w:val="21"/>
                <w:szCs w:val="21"/>
                <w:highlight w:val="none"/>
              </w:rPr>
              <w:t>/a</w:t>
            </w:r>
          </w:p>
        </w:tc>
        <w:tc>
          <w:tcPr>
            <w:tcW w:w="1851" w:type="pct"/>
            <w:tcBorders>
              <w:tl2br w:val="nil"/>
              <w:tr2bl w:val="nil"/>
            </w:tcBorders>
            <w:vAlign w:val="center"/>
          </w:tcPr>
          <w:p w14:paraId="6373344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宋体"/>
                <w:color w:val="auto"/>
                <w:spacing w:val="0"/>
                <w:sz w:val="21"/>
                <w:szCs w:val="21"/>
                <w:highlight w:val="none"/>
                <w:lang w:val="en-US"/>
              </w:rPr>
            </w:pPr>
            <w:r>
              <w:rPr>
                <w:rFonts w:ascii="Times New Roman" w:hAnsi="Times New Roman" w:eastAsia="宋体" w:cs="宋体"/>
                <w:color w:val="auto"/>
                <w:spacing w:val="0"/>
                <w:sz w:val="21"/>
                <w:szCs w:val="21"/>
                <w:highlight w:val="none"/>
              </w:rPr>
              <w:t>鸡舍冲洗废水排入</w:t>
            </w:r>
            <w:r>
              <w:rPr>
                <w:rFonts w:hint="eastAsia" w:cs="宋体"/>
                <w:color w:val="auto"/>
                <w:spacing w:val="0"/>
                <w:sz w:val="21"/>
                <w:szCs w:val="21"/>
                <w:highlight w:val="none"/>
                <w:lang w:eastAsia="zh-CN"/>
              </w:rPr>
              <w:t>废水收集池（</w:t>
            </w:r>
            <w:r>
              <w:rPr>
                <w:rFonts w:ascii="Times New Roman" w:hAnsi="Times New Roman" w:eastAsia="宋体" w:cs="宋体"/>
                <w:color w:val="auto"/>
                <w:spacing w:val="0"/>
                <w:sz w:val="21"/>
                <w:szCs w:val="21"/>
                <w:highlight w:val="none"/>
              </w:rPr>
              <w:t>座配备</w:t>
            </w:r>
            <w:r>
              <w:rPr>
                <w:rFonts w:hint="eastAsia" w:cs="宋体"/>
                <w:color w:val="auto"/>
                <w:spacing w:val="0"/>
                <w:sz w:val="21"/>
                <w:szCs w:val="21"/>
                <w:highlight w:val="none"/>
                <w:lang w:val="en-US" w:eastAsia="zh-CN"/>
              </w:rPr>
              <w:t>150</w:t>
            </w:r>
            <w:r>
              <w:rPr>
                <w:rFonts w:ascii="Times New Roman" w:hAnsi="Times New Roman" w:eastAsia="宋体" w:cs="Times New Roman"/>
                <w:color w:val="auto"/>
                <w:spacing w:val="0"/>
                <w:sz w:val="21"/>
                <w:szCs w:val="21"/>
                <w:highlight w:val="none"/>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宋体"/>
                <w:color w:val="auto"/>
                <w:spacing w:val="0"/>
                <w:sz w:val="21"/>
                <w:szCs w:val="21"/>
                <w:highlight w:val="none"/>
              </w:rPr>
              <w:t>的</w:t>
            </w:r>
            <w:r>
              <w:rPr>
                <w:rFonts w:hint="eastAsia" w:cs="宋体"/>
                <w:color w:val="auto"/>
                <w:spacing w:val="0"/>
                <w:sz w:val="21"/>
                <w:szCs w:val="21"/>
                <w:highlight w:val="none"/>
                <w:lang w:eastAsia="zh-CN"/>
              </w:rPr>
              <w:t>废水收集池）</w:t>
            </w:r>
            <w:r>
              <w:rPr>
                <w:rFonts w:hint="eastAsia" w:cs="宋体"/>
                <w:color w:val="auto"/>
                <w:spacing w:val="0"/>
                <w:sz w:val="21"/>
                <w:szCs w:val="21"/>
                <w:highlight w:val="none"/>
                <w:lang w:val="en-US" w:eastAsia="zh-CN"/>
              </w:rPr>
              <w:t>经预处理后用作农肥</w:t>
            </w:r>
          </w:p>
        </w:tc>
        <w:tc>
          <w:tcPr>
            <w:tcW w:w="666" w:type="pct"/>
            <w:tcBorders>
              <w:tl2br w:val="nil"/>
              <w:tr2bl w:val="nil"/>
            </w:tcBorders>
            <w:vAlign w:val="center"/>
          </w:tcPr>
          <w:p w14:paraId="68602AC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vertAlign w:val="baseline"/>
                <w:lang w:val="en-US"/>
              </w:rPr>
            </w:pPr>
            <w:r>
              <w:rPr>
                <w:rFonts w:hint="eastAsia" w:ascii="Times New Roman" w:hAnsi="Times New Roman" w:eastAsia="宋体" w:cs="Times New Roman"/>
                <w:color w:val="auto"/>
                <w:spacing w:val="0"/>
                <w:position w:val="7"/>
                <w:sz w:val="21"/>
                <w:szCs w:val="21"/>
                <w:highlight w:val="none"/>
                <w:lang w:val="en-US" w:eastAsia="zh-CN"/>
              </w:rPr>
              <w:t>311.04m</w:t>
            </w:r>
            <w:r>
              <w:rPr>
                <w:rFonts w:hint="eastAsia" w:ascii="Times New Roman" w:hAnsi="Times New Roman" w:eastAsia="宋体" w:cs="Times New Roman"/>
                <w:color w:val="auto"/>
                <w:spacing w:val="0"/>
                <w:position w:val="7"/>
                <w:sz w:val="21"/>
                <w:szCs w:val="21"/>
                <w:highlight w:val="none"/>
                <w:vertAlign w:val="superscript"/>
                <w:lang w:val="en-US" w:eastAsia="zh-CN"/>
              </w:rPr>
              <w:t>3</w:t>
            </w:r>
            <w:r>
              <w:rPr>
                <w:rFonts w:hint="eastAsia" w:ascii="Times New Roman" w:hAnsi="Times New Roman" w:eastAsia="宋体" w:cs="Times New Roman"/>
                <w:color w:val="auto"/>
                <w:spacing w:val="0"/>
                <w:position w:val="7"/>
                <w:sz w:val="21"/>
                <w:szCs w:val="21"/>
                <w:highlight w:val="none"/>
                <w:vertAlign w:val="baseline"/>
                <w:lang w:val="en-US" w:eastAsia="zh-CN"/>
              </w:rPr>
              <w:t>/a</w:t>
            </w:r>
          </w:p>
        </w:tc>
      </w:tr>
      <w:tr w14:paraId="704C7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6" w:type="pct"/>
            <w:vMerge w:val="continue"/>
            <w:tcBorders>
              <w:tl2br w:val="nil"/>
              <w:tr2bl w:val="nil"/>
            </w:tcBorders>
            <w:textDirection w:val="tbRlV"/>
            <w:vAlign w:val="center"/>
          </w:tcPr>
          <w:p w14:paraId="691CDF4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14:paraId="580C44C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生活办公区</w:t>
            </w:r>
          </w:p>
        </w:tc>
        <w:tc>
          <w:tcPr>
            <w:tcW w:w="764" w:type="pct"/>
            <w:tcBorders>
              <w:tl2br w:val="nil"/>
              <w:tr2bl w:val="nil"/>
            </w:tcBorders>
            <w:vAlign w:val="center"/>
          </w:tcPr>
          <w:p w14:paraId="2D8D09B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生活污水</w:t>
            </w:r>
          </w:p>
        </w:tc>
        <w:tc>
          <w:tcPr>
            <w:tcW w:w="894" w:type="pct"/>
            <w:tcBorders>
              <w:tl2br w:val="nil"/>
              <w:tr2bl w:val="nil"/>
            </w:tcBorders>
            <w:vAlign w:val="center"/>
          </w:tcPr>
          <w:p w14:paraId="03EF083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467.2</w:t>
            </w:r>
            <w:r>
              <w:rPr>
                <w:rFonts w:hint="eastAsia" w:ascii="Times New Roman" w:hAnsi="Times New Roman" w:eastAsia="宋体" w:cs="Times New Roman"/>
                <w:color w:val="auto"/>
                <w:spacing w:val="0"/>
                <w:sz w:val="21"/>
                <w:szCs w:val="21"/>
                <w:highlight w:val="none"/>
                <w:lang w:val="en-US" w:eastAsia="zh-CN"/>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Times New Roman"/>
                <w:color w:val="auto"/>
                <w:spacing w:val="0"/>
                <w:sz w:val="21"/>
                <w:szCs w:val="21"/>
                <w:highlight w:val="none"/>
              </w:rPr>
              <w:t>/a</w:t>
            </w:r>
          </w:p>
        </w:tc>
        <w:tc>
          <w:tcPr>
            <w:tcW w:w="1851" w:type="pct"/>
            <w:tcBorders>
              <w:tl2br w:val="nil"/>
              <w:tr2bl w:val="nil"/>
            </w:tcBorders>
            <w:vAlign w:val="center"/>
          </w:tcPr>
          <w:p w14:paraId="327A66F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直接排入下水管网，最终进入污水处理厂</w:t>
            </w:r>
          </w:p>
        </w:tc>
        <w:tc>
          <w:tcPr>
            <w:tcW w:w="666" w:type="pct"/>
            <w:tcBorders>
              <w:tl2br w:val="nil"/>
              <w:tr2bl w:val="nil"/>
            </w:tcBorders>
            <w:vAlign w:val="center"/>
          </w:tcPr>
          <w:p w14:paraId="11B7271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467.2</w:t>
            </w:r>
            <w:r>
              <w:rPr>
                <w:rFonts w:hint="eastAsia" w:ascii="Times New Roman" w:hAnsi="Times New Roman" w:eastAsia="宋体" w:cs="Times New Roman"/>
                <w:color w:val="auto"/>
                <w:spacing w:val="0"/>
                <w:sz w:val="21"/>
                <w:szCs w:val="21"/>
                <w:highlight w:val="none"/>
                <w:lang w:val="en-US" w:eastAsia="zh-CN"/>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Times New Roman"/>
                <w:color w:val="auto"/>
                <w:spacing w:val="0"/>
                <w:sz w:val="21"/>
                <w:szCs w:val="21"/>
                <w:highlight w:val="none"/>
              </w:rPr>
              <w:t>/a</w:t>
            </w:r>
          </w:p>
        </w:tc>
      </w:tr>
      <w:tr w14:paraId="57F39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6" w:type="pct"/>
            <w:vMerge w:val="restart"/>
            <w:tcBorders>
              <w:tl2br w:val="nil"/>
              <w:tr2bl w:val="nil"/>
            </w:tcBorders>
            <w:vAlign w:val="center"/>
          </w:tcPr>
          <w:p w14:paraId="57A6A10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固体废物</w:t>
            </w:r>
          </w:p>
        </w:tc>
        <w:tc>
          <w:tcPr>
            <w:tcW w:w="567" w:type="pct"/>
            <w:tcBorders>
              <w:tl2br w:val="nil"/>
              <w:tr2bl w:val="nil"/>
            </w:tcBorders>
            <w:vAlign w:val="center"/>
          </w:tcPr>
          <w:p w14:paraId="309BCB4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w:t>
            </w:r>
          </w:p>
        </w:tc>
        <w:tc>
          <w:tcPr>
            <w:tcW w:w="764" w:type="pct"/>
            <w:tcBorders>
              <w:tl2br w:val="nil"/>
              <w:tr2bl w:val="nil"/>
            </w:tcBorders>
            <w:vAlign w:val="center"/>
          </w:tcPr>
          <w:p w14:paraId="395AD38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鸡粪及散落羽毛</w:t>
            </w:r>
          </w:p>
        </w:tc>
        <w:tc>
          <w:tcPr>
            <w:tcW w:w="894" w:type="pct"/>
            <w:tcBorders>
              <w:tl2br w:val="nil"/>
              <w:tr2bl w:val="nil"/>
            </w:tcBorders>
            <w:vAlign w:val="center"/>
          </w:tcPr>
          <w:p w14:paraId="5B9C21B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31.2</w:t>
            </w:r>
            <w:r>
              <w:rPr>
                <w:rFonts w:ascii="Times New Roman" w:hAnsi="Times New Roman" w:eastAsia="宋体" w:cs="Times New Roman"/>
                <w:color w:val="auto"/>
                <w:spacing w:val="0"/>
                <w:sz w:val="21"/>
                <w:szCs w:val="21"/>
                <w:highlight w:val="none"/>
              </w:rPr>
              <w:t>t/d</w:t>
            </w:r>
          </w:p>
        </w:tc>
        <w:tc>
          <w:tcPr>
            <w:tcW w:w="1851" w:type="pct"/>
            <w:vMerge w:val="restart"/>
            <w:tcBorders>
              <w:tl2br w:val="nil"/>
              <w:tr2bl w:val="nil"/>
            </w:tcBorders>
            <w:vAlign w:val="center"/>
          </w:tcPr>
          <w:p w14:paraId="39EA103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清理后外售作为有机肥使用</w:t>
            </w:r>
          </w:p>
        </w:tc>
        <w:tc>
          <w:tcPr>
            <w:tcW w:w="666" w:type="pct"/>
            <w:tcBorders>
              <w:tl2br w:val="nil"/>
              <w:tr2bl w:val="nil"/>
            </w:tcBorders>
            <w:vAlign w:val="center"/>
          </w:tcPr>
          <w:p w14:paraId="41C881F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31.2</w:t>
            </w:r>
            <w:r>
              <w:rPr>
                <w:rFonts w:ascii="Times New Roman" w:hAnsi="Times New Roman" w:eastAsia="宋体" w:cs="Times New Roman"/>
                <w:color w:val="auto"/>
                <w:spacing w:val="0"/>
                <w:sz w:val="21"/>
                <w:szCs w:val="21"/>
                <w:highlight w:val="none"/>
              </w:rPr>
              <w:t>t/d</w:t>
            </w:r>
          </w:p>
        </w:tc>
      </w:tr>
      <w:tr w14:paraId="5E341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6" w:type="pct"/>
            <w:vMerge w:val="continue"/>
            <w:tcBorders>
              <w:tl2br w:val="nil"/>
              <w:tr2bl w:val="nil"/>
            </w:tcBorders>
            <w:vAlign w:val="center"/>
          </w:tcPr>
          <w:p w14:paraId="39DD8FA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567" w:type="pct"/>
            <w:tcBorders>
              <w:tl2br w:val="nil"/>
              <w:tr2bl w:val="nil"/>
            </w:tcBorders>
            <w:vAlign w:val="center"/>
          </w:tcPr>
          <w:p w14:paraId="2779544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宋体"/>
                <w:color w:val="auto"/>
                <w:spacing w:val="0"/>
                <w:sz w:val="21"/>
                <w:szCs w:val="21"/>
                <w:highlight w:val="none"/>
                <w:lang w:val="en-US" w:eastAsia="zh-CN"/>
              </w:rPr>
            </w:pPr>
            <w:r>
              <w:rPr>
                <w:rFonts w:hint="eastAsia" w:cs="宋体"/>
                <w:color w:val="auto"/>
                <w:spacing w:val="0"/>
                <w:sz w:val="21"/>
                <w:szCs w:val="21"/>
                <w:highlight w:val="none"/>
                <w:lang w:val="en-US" w:eastAsia="zh-CN"/>
              </w:rPr>
              <w:t>废水收集池</w:t>
            </w:r>
          </w:p>
        </w:tc>
        <w:tc>
          <w:tcPr>
            <w:tcW w:w="764" w:type="pct"/>
            <w:tcBorders>
              <w:tl2br w:val="nil"/>
              <w:tr2bl w:val="nil"/>
            </w:tcBorders>
            <w:vAlign w:val="center"/>
          </w:tcPr>
          <w:p w14:paraId="0B123C1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val="en-US" w:eastAsia="zh-CN"/>
              </w:rPr>
            </w:pPr>
            <w:r>
              <w:rPr>
                <w:rFonts w:hint="eastAsia" w:cs="宋体"/>
                <w:color w:val="auto"/>
                <w:spacing w:val="0"/>
                <w:sz w:val="21"/>
                <w:szCs w:val="21"/>
                <w:highlight w:val="none"/>
                <w:lang w:val="en-US" w:eastAsia="zh-CN"/>
              </w:rPr>
              <w:t>污泥</w:t>
            </w:r>
          </w:p>
        </w:tc>
        <w:tc>
          <w:tcPr>
            <w:tcW w:w="894" w:type="pct"/>
            <w:tcBorders>
              <w:tl2br w:val="nil"/>
              <w:tr2bl w:val="nil"/>
            </w:tcBorders>
            <w:vAlign w:val="center"/>
          </w:tcPr>
          <w:p w14:paraId="7D080FE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1.0t/a</w:t>
            </w:r>
          </w:p>
        </w:tc>
        <w:tc>
          <w:tcPr>
            <w:tcW w:w="1851" w:type="pct"/>
            <w:vMerge w:val="continue"/>
            <w:tcBorders>
              <w:tl2br w:val="nil"/>
              <w:tr2bl w:val="nil"/>
            </w:tcBorders>
            <w:vAlign w:val="center"/>
          </w:tcPr>
          <w:p w14:paraId="7DE934F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666" w:type="pct"/>
            <w:tcBorders>
              <w:tl2br w:val="nil"/>
              <w:tr2bl w:val="nil"/>
            </w:tcBorders>
            <w:vAlign w:val="center"/>
          </w:tcPr>
          <w:p w14:paraId="6508C51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1.0t/a</w:t>
            </w:r>
          </w:p>
        </w:tc>
      </w:tr>
      <w:tr w14:paraId="5C66D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256" w:type="pct"/>
            <w:vMerge w:val="continue"/>
            <w:tcBorders>
              <w:tl2br w:val="nil"/>
              <w:tr2bl w:val="nil"/>
            </w:tcBorders>
            <w:textDirection w:val="tbRlV"/>
            <w:vAlign w:val="center"/>
          </w:tcPr>
          <w:p w14:paraId="149BC00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14:paraId="4650D2C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养殖区</w:t>
            </w:r>
          </w:p>
        </w:tc>
        <w:tc>
          <w:tcPr>
            <w:tcW w:w="764" w:type="pct"/>
            <w:tcBorders>
              <w:tl2br w:val="nil"/>
              <w:tr2bl w:val="nil"/>
            </w:tcBorders>
            <w:vAlign w:val="center"/>
          </w:tcPr>
          <w:p w14:paraId="3ACE9E9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病死鸡只</w:t>
            </w:r>
          </w:p>
        </w:tc>
        <w:tc>
          <w:tcPr>
            <w:tcW w:w="894" w:type="pct"/>
            <w:tcBorders>
              <w:tl2br w:val="nil"/>
              <w:tr2bl w:val="nil"/>
            </w:tcBorders>
            <w:vAlign w:val="center"/>
          </w:tcPr>
          <w:p w14:paraId="5A6849B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3.6</w:t>
            </w:r>
            <w:r>
              <w:rPr>
                <w:rFonts w:ascii="Times New Roman" w:hAnsi="Times New Roman" w:eastAsia="宋体" w:cs="Times New Roman"/>
                <w:color w:val="auto"/>
                <w:spacing w:val="0"/>
                <w:sz w:val="21"/>
                <w:szCs w:val="21"/>
                <w:highlight w:val="none"/>
              </w:rPr>
              <w:t>t/a</w:t>
            </w:r>
          </w:p>
        </w:tc>
        <w:tc>
          <w:tcPr>
            <w:tcW w:w="1851" w:type="pct"/>
            <w:tcBorders>
              <w:tl2br w:val="nil"/>
              <w:tr2bl w:val="nil"/>
            </w:tcBorders>
            <w:vAlign w:val="center"/>
          </w:tcPr>
          <w:p w14:paraId="79FCA86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经设置的安全填埋井深埋处置</w:t>
            </w:r>
          </w:p>
        </w:tc>
        <w:tc>
          <w:tcPr>
            <w:tcW w:w="666" w:type="pct"/>
            <w:tcBorders>
              <w:tl2br w:val="nil"/>
              <w:tr2bl w:val="nil"/>
            </w:tcBorders>
            <w:vAlign w:val="center"/>
          </w:tcPr>
          <w:p w14:paraId="4F7C613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w:t>
            </w:r>
          </w:p>
        </w:tc>
      </w:tr>
      <w:tr w14:paraId="73CFA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256" w:type="pct"/>
            <w:vMerge w:val="continue"/>
            <w:tcBorders>
              <w:tl2br w:val="nil"/>
              <w:tr2bl w:val="nil"/>
            </w:tcBorders>
            <w:textDirection w:val="tbRlV"/>
            <w:vAlign w:val="center"/>
          </w:tcPr>
          <w:p w14:paraId="7D18593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567" w:type="pct"/>
            <w:tcBorders>
              <w:tl2br w:val="nil"/>
              <w:tr2bl w:val="nil"/>
            </w:tcBorders>
            <w:vAlign w:val="center"/>
          </w:tcPr>
          <w:p w14:paraId="391D00C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兽医站</w:t>
            </w:r>
          </w:p>
        </w:tc>
        <w:tc>
          <w:tcPr>
            <w:tcW w:w="764" w:type="pct"/>
            <w:tcBorders>
              <w:tl2br w:val="nil"/>
              <w:tr2bl w:val="nil"/>
            </w:tcBorders>
            <w:vAlign w:val="center"/>
          </w:tcPr>
          <w:p w14:paraId="3574921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医疗垃圾</w:t>
            </w:r>
          </w:p>
        </w:tc>
        <w:tc>
          <w:tcPr>
            <w:tcW w:w="894" w:type="pct"/>
            <w:tcBorders>
              <w:tl2br w:val="nil"/>
              <w:tr2bl w:val="nil"/>
            </w:tcBorders>
            <w:vAlign w:val="center"/>
          </w:tcPr>
          <w:p w14:paraId="284C601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0.03t/a</w:t>
            </w:r>
          </w:p>
        </w:tc>
        <w:tc>
          <w:tcPr>
            <w:tcW w:w="1851" w:type="pct"/>
            <w:tcBorders>
              <w:tl2br w:val="nil"/>
              <w:tr2bl w:val="nil"/>
            </w:tcBorders>
            <w:vAlign w:val="center"/>
          </w:tcPr>
          <w:p w14:paraId="6E2DB35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设置</w:t>
            </w:r>
            <w:r>
              <w:rPr>
                <w:rFonts w:hint="eastAsia" w:cs="宋体"/>
                <w:color w:val="auto"/>
                <w:spacing w:val="0"/>
                <w:sz w:val="21"/>
                <w:szCs w:val="21"/>
                <w:highlight w:val="none"/>
                <w:lang w:eastAsia="zh-CN"/>
              </w:rPr>
              <w:t>医疗废物暂存间</w:t>
            </w:r>
            <w:r>
              <w:rPr>
                <w:rFonts w:ascii="Times New Roman" w:hAnsi="Times New Roman" w:eastAsia="宋体" w:cs="宋体"/>
                <w:color w:val="auto"/>
                <w:spacing w:val="0"/>
                <w:sz w:val="21"/>
                <w:szCs w:val="21"/>
                <w:highlight w:val="none"/>
              </w:rPr>
              <w:t>暂存后定期交由有资质单位处置</w:t>
            </w:r>
          </w:p>
        </w:tc>
        <w:tc>
          <w:tcPr>
            <w:tcW w:w="666" w:type="pct"/>
            <w:tcBorders>
              <w:tl2br w:val="nil"/>
              <w:tr2bl w:val="nil"/>
            </w:tcBorders>
            <w:vAlign w:val="center"/>
          </w:tcPr>
          <w:p w14:paraId="56DD3BE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0.03t/a</w:t>
            </w:r>
          </w:p>
        </w:tc>
      </w:tr>
      <w:tr w14:paraId="798F1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6" w:type="pct"/>
            <w:vMerge w:val="continue"/>
            <w:tcBorders>
              <w:tl2br w:val="nil"/>
              <w:tr2bl w:val="nil"/>
            </w:tcBorders>
            <w:textDirection w:val="tbRlV"/>
            <w:vAlign w:val="center"/>
          </w:tcPr>
          <w:p w14:paraId="0A2CA0B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14:paraId="718EDCC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鸡舍</w:t>
            </w:r>
          </w:p>
        </w:tc>
        <w:tc>
          <w:tcPr>
            <w:tcW w:w="764" w:type="pct"/>
            <w:tcBorders>
              <w:tl2br w:val="nil"/>
              <w:tr2bl w:val="nil"/>
            </w:tcBorders>
            <w:vAlign w:val="center"/>
          </w:tcPr>
          <w:p w14:paraId="200D788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废包装材料</w:t>
            </w:r>
          </w:p>
        </w:tc>
        <w:tc>
          <w:tcPr>
            <w:tcW w:w="894" w:type="pct"/>
            <w:tcBorders>
              <w:tl2br w:val="nil"/>
              <w:tr2bl w:val="nil"/>
            </w:tcBorders>
            <w:vAlign w:val="center"/>
          </w:tcPr>
          <w:p w14:paraId="367D062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1.2t/a</w:t>
            </w:r>
          </w:p>
        </w:tc>
        <w:tc>
          <w:tcPr>
            <w:tcW w:w="1851" w:type="pct"/>
            <w:tcBorders>
              <w:tl2br w:val="nil"/>
              <w:tr2bl w:val="nil"/>
            </w:tcBorders>
            <w:vAlign w:val="center"/>
          </w:tcPr>
          <w:p w14:paraId="4313394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交由废物回收单位处置</w:t>
            </w:r>
          </w:p>
        </w:tc>
        <w:tc>
          <w:tcPr>
            <w:tcW w:w="666" w:type="pct"/>
            <w:tcBorders>
              <w:tl2br w:val="nil"/>
              <w:tr2bl w:val="nil"/>
            </w:tcBorders>
            <w:vAlign w:val="center"/>
          </w:tcPr>
          <w:p w14:paraId="1563BC6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1.2t/a</w:t>
            </w:r>
          </w:p>
        </w:tc>
      </w:tr>
      <w:tr w14:paraId="5D35C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256" w:type="pct"/>
            <w:vMerge w:val="continue"/>
            <w:tcBorders>
              <w:tl2br w:val="nil"/>
              <w:tr2bl w:val="nil"/>
            </w:tcBorders>
            <w:textDirection w:val="tbRlV"/>
            <w:vAlign w:val="center"/>
          </w:tcPr>
          <w:p w14:paraId="3D87CC3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14:paraId="5E4511A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生活办公区</w:t>
            </w:r>
          </w:p>
        </w:tc>
        <w:tc>
          <w:tcPr>
            <w:tcW w:w="764" w:type="pct"/>
            <w:tcBorders>
              <w:tl2br w:val="nil"/>
              <w:tr2bl w:val="nil"/>
            </w:tcBorders>
            <w:vAlign w:val="center"/>
          </w:tcPr>
          <w:p w14:paraId="034CD9D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生活垃圾</w:t>
            </w:r>
          </w:p>
        </w:tc>
        <w:tc>
          <w:tcPr>
            <w:tcW w:w="894" w:type="pct"/>
            <w:tcBorders>
              <w:tl2br w:val="nil"/>
              <w:tr2bl w:val="nil"/>
            </w:tcBorders>
            <w:vAlign w:val="center"/>
          </w:tcPr>
          <w:p w14:paraId="4095FBD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3.65t/a</w:t>
            </w:r>
          </w:p>
        </w:tc>
        <w:tc>
          <w:tcPr>
            <w:tcW w:w="1851" w:type="pct"/>
            <w:tcBorders>
              <w:tl2br w:val="nil"/>
              <w:tr2bl w:val="nil"/>
            </w:tcBorders>
            <w:vAlign w:val="center"/>
          </w:tcPr>
          <w:p w14:paraId="705767A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由环卫部门运至垃圾填埋场</w:t>
            </w:r>
          </w:p>
        </w:tc>
        <w:tc>
          <w:tcPr>
            <w:tcW w:w="666" w:type="pct"/>
            <w:tcBorders>
              <w:tl2br w:val="nil"/>
              <w:tr2bl w:val="nil"/>
            </w:tcBorders>
            <w:vAlign w:val="center"/>
          </w:tcPr>
          <w:p w14:paraId="43D7415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3.65t/a</w:t>
            </w:r>
          </w:p>
        </w:tc>
      </w:tr>
      <w:tr w14:paraId="286DE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jc w:val="center"/>
        </w:trPr>
        <w:tc>
          <w:tcPr>
            <w:tcW w:w="256" w:type="pct"/>
            <w:tcBorders>
              <w:tl2br w:val="nil"/>
              <w:tr2bl w:val="nil"/>
            </w:tcBorders>
            <w:textDirection w:val="tbRlV"/>
            <w:vAlign w:val="center"/>
          </w:tcPr>
          <w:p w14:paraId="4F8970F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噪声</w:t>
            </w:r>
          </w:p>
        </w:tc>
        <w:tc>
          <w:tcPr>
            <w:tcW w:w="1331" w:type="pct"/>
            <w:gridSpan w:val="2"/>
            <w:tcBorders>
              <w:tl2br w:val="nil"/>
              <w:tr2bl w:val="nil"/>
            </w:tcBorders>
            <w:vAlign w:val="center"/>
          </w:tcPr>
          <w:p w14:paraId="5EB26A0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工艺设备运行噪声，声级在</w:t>
            </w:r>
            <w:r>
              <w:rPr>
                <w:rFonts w:ascii="Times New Roman" w:hAnsi="Times New Roman" w:eastAsia="宋体" w:cs="Times New Roman"/>
                <w:color w:val="auto"/>
                <w:spacing w:val="0"/>
                <w:sz w:val="21"/>
                <w:szCs w:val="21"/>
                <w:highlight w:val="none"/>
              </w:rPr>
              <w:t>75~95dB</w:t>
            </w:r>
          </w:p>
          <w:p w14:paraId="31CFADF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A</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之间</w:t>
            </w:r>
          </w:p>
        </w:tc>
        <w:tc>
          <w:tcPr>
            <w:tcW w:w="3412" w:type="pct"/>
            <w:gridSpan w:val="3"/>
            <w:tcBorders>
              <w:tl2br w:val="nil"/>
              <w:tr2bl w:val="nil"/>
            </w:tcBorders>
            <w:vAlign w:val="center"/>
          </w:tcPr>
          <w:p w14:paraId="033338F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设备选用低噪声设备，在安装时采取降噪减震措施，全部</w:t>
            </w:r>
          </w:p>
          <w:p w14:paraId="38153FB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安装于室内，使用时定期检修，做好设备保养，落实工作</w:t>
            </w:r>
          </w:p>
          <w:p w14:paraId="7A3F70F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间防噪声劳动保护和管理，完善厂区绿化建设</w:t>
            </w:r>
          </w:p>
        </w:tc>
      </w:tr>
    </w:tbl>
    <w:p w14:paraId="5BCA5666">
      <w:pPr>
        <w:pStyle w:val="4"/>
        <w:rPr>
          <w:rFonts w:ascii="Times New Roman" w:hAnsi="Times New Roman" w:eastAsia="宋体"/>
          <w:color w:val="auto"/>
          <w:highlight w:val="none"/>
        </w:rPr>
      </w:pPr>
      <w:bookmarkStart w:id="130" w:name="_Toc89619337"/>
      <w:bookmarkStart w:id="131" w:name="_Toc106663474"/>
      <w:bookmarkStart w:id="132" w:name="_Toc13258"/>
      <w:bookmarkStart w:id="133" w:name="_Toc117517838"/>
      <w:bookmarkStart w:id="134" w:name="_Toc117518553"/>
      <w:bookmarkStart w:id="135" w:name="_Toc117518102"/>
      <w:bookmarkStart w:id="136" w:name="_Toc347242003"/>
      <w:bookmarkStart w:id="137" w:name="_Toc30919"/>
      <w:bookmarkStart w:id="138" w:name="_Toc117518268"/>
      <w:bookmarkStart w:id="139" w:name="_Toc117518183"/>
      <w:bookmarkStart w:id="140" w:name="_Toc117518348"/>
      <w:r>
        <w:rPr>
          <w:rFonts w:hint="eastAsia" w:ascii="Times New Roman" w:hAnsi="Times New Roman" w:eastAsia="宋体"/>
          <w:color w:val="auto"/>
          <w:highlight w:val="none"/>
        </w:rPr>
        <w:t>3.5总量控制</w:t>
      </w:r>
      <w:bookmarkEnd w:id="130"/>
      <w:bookmarkEnd w:id="131"/>
      <w:bookmarkEnd w:id="132"/>
    </w:p>
    <w:p w14:paraId="3B572880">
      <w:pPr>
        <w:ind w:firstLine="480"/>
        <w:rPr>
          <w:rFonts w:ascii="Times New Roman" w:hAnsi="Times New Roman" w:eastAsia="宋体"/>
          <w:color w:val="auto"/>
          <w:highlight w:val="none"/>
        </w:rPr>
      </w:pPr>
      <w:bookmarkStart w:id="141" w:name="_Toc27076"/>
      <w:r>
        <w:rPr>
          <w:rFonts w:ascii="Times New Roman" w:hAnsi="Times New Roman" w:eastAsia="宋体"/>
          <w:color w:val="auto"/>
          <w:highlight w:val="none"/>
        </w:rPr>
        <w:t>结合本项目的特征污染物，</w:t>
      </w:r>
      <w:bookmarkEnd w:id="141"/>
      <w:r>
        <w:rPr>
          <w:rFonts w:ascii="Times New Roman" w:hAnsi="Times New Roman" w:eastAsia="宋体"/>
          <w:color w:val="auto"/>
          <w:highlight w:val="none"/>
        </w:rPr>
        <w:t>本项目无建议总量控制指标。</w:t>
      </w:r>
    </w:p>
    <w:p w14:paraId="40ECE3D7">
      <w:pPr>
        <w:pStyle w:val="4"/>
        <w:rPr>
          <w:rFonts w:ascii="Times New Roman" w:hAnsi="Times New Roman" w:eastAsia="宋体"/>
          <w:color w:val="auto"/>
          <w:highlight w:val="none"/>
        </w:rPr>
      </w:pPr>
      <w:bookmarkStart w:id="142" w:name="_Toc106663475"/>
      <w:bookmarkStart w:id="143" w:name="_Toc26725"/>
      <w:bookmarkStart w:id="144" w:name="_Toc89619338"/>
      <w:r>
        <w:rPr>
          <w:rFonts w:ascii="Times New Roman" w:hAnsi="Times New Roman" w:eastAsia="宋体"/>
          <w:color w:val="auto"/>
          <w:highlight w:val="none"/>
        </w:rPr>
        <w:t>3.</w:t>
      </w:r>
      <w:r>
        <w:rPr>
          <w:rFonts w:hint="eastAsia" w:ascii="Times New Roman" w:hAnsi="Times New Roman" w:eastAsia="宋体"/>
          <w:color w:val="auto"/>
          <w:highlight w:val="none"/>
        </w:rPr>
        <w:t>6</w:t>
      </w:r>
      <w:r>
        <w:rPr>
          <w:rFonts w:ascii="Times New Roman" w:hAnsi="Times New Roman" w:eastAsia="宋体"/>
          <w:color w:val="auto"/>
          <w:highlight w:val="none"/>
        </w:rPr>
        <w:t>清洁生产概述</w:t>
      </w:r>
      <w:bookmarkEnd w:id="133"/>
      <w:bookmarkEnd w:id="134"/>
      <w:bookmarkEnd w:id="135"/>
      <w:bookmarkEnd w:id="136"/>
      <w:bookmarkEnd w:id="137"/>
      <w:bookmarkEnd w:id="138"/>
      <w:bookmarkEnd w:id="139"/>
      <w:bookmarkEnd w:id="140"/>
      <w:bookmarkEnd w:id="142"/>
      <w:bookmarkEnd w:id="143"/>
      <w:bookmarkEnd w:id="144"/>
    </w:p>
    <w:p w14:paraId="631A07EB">
      <w:pPr>
        <w:pStyle w:val="5"/>
        <w:rPr>
          <w:rFonts w:ascii="Times New Roman" w:hAnsi="Times New Roman" w:eastAsia="宋体"/>
          <w:color w:val="auto"/>
          <w:highlight w:val="none"/>
        </w:rPr>
      </w:pPr>
      <w:bookmarkStart w:id="145" w:name="_Toc310503813"/>
      <w:bookmarkStart w:id="146" w:name="_Toc224388100"/>
      <w:bookmarkStart w:id="147" w:name="_Toc291499424"/>
      <w:bookmarkStart w:id="148" w:name="_Toc300831158"/>
      <w:bookmarkStart w:id="149" w:name="_Toc289360120"/>
      <w:bookmarkStart w:id="150" w:name="_Toc321043931"/>
      <w:bookmarkStart w:id="151" w:name="_Toc299381556"/>
      <w:bookmarkStart w:id="152" w:name="_Toc106663476"/>
      <w:r>
        <w:rPr>
          <w:rFonts w:ascii="Times New Roman" w:hAnsi="Times New Roman" w:eastAsia="宋体"/>
          <w:color w:val="auto"/>
          <w:highlight w:val="none"/>
        </w:rPr>
        <w:t>3.</w:t>
      </w:r>
      <w:r>
        <w:rPr>
          <w:rFonts w:hint="eastAsia" w:ascii="Times New Roman" w:hAnsi="Times New Roman" w:eastAsia="宋体"/>
          <w:color w:val="auto"/>
          <w:highlight w:val="none"/>
        </w:rPr>
        <w:t>6</w:t>
      </w:r>
      <w:r>
        <w:rPr>
          <w:rFonts w:ascii="Times New Roman" w:hAnsi="Times New Roman" w:eastAsia="宋体"/>
          <w:color w:val="auto"/>
          <w:highlight w:val="none"/>
        </w:rPr>
        <w:t>.1清洁生产</w:t>
      </w:r>
      <w:bookmarkEnd w:id="145"/>
      <w:bookmarkEnd w:id="146"/>
      <w:bookmarkEnd w:id="147"/>
      <w:bookmarkEnd w:id="148"/>
      <w:bookmarkEnd w:id="149"/>
      <w:bookmarkEnd w:id="150"/>
      <w:bookmarkEnd w:id="151"/>
      <w:r>
        <w:rPr>
          <w:rFonts w:hint="eastAsia" w:ascii="Times New Roman" w:hAnsi="Times New Roman" w:eastAsia="宋体"/>
          <w:color w:val="auto"/>
          <w:highlight w:val="none"/>
        </w:rPr>
        <w:t>的意义</w:t>
      </w:r>
      <w:bookmarkEnd w:id="152"/>
    </w:p>
    <w:p w14:paraId="3CF41BBD">
      <w:pPr>
        <w:ind w:firstLine="480"/>
        <w:rPr>
          <w:rFonts w:ascii="Times New Roman" w:hAnsi="Times New Roman" w:eastAsia="宋体"/>
          <w:color w:val="auto"/>
          <w:highlight w:val="none"/>
        </w:rPr>
      </w:pPr>
      <w:r>
        <w:rPr>
          <w:rFonts w:ascii="Times New Roman" w:hAnsi="Times New Roman" w:eastAsia="宋体"/>
          <w:color w:val="auto"/>
          <w:highlight w:val="none"/>
        </w:rPr>
        <w:t>清洁生产是贯彻可持续发展战略方针的重要举措。清洁生产是指将综合预防的环境策略持续地应用于生产过程和产品中，以便减少对人类和环境的风险性。它主要包括生产过程和产品二个部分。对生产过程而言，清洁生产包括节约原材料和能源，淘汰有毒原材料并在全部排放物和废物离开生产过程以前减少它的数量和毒性；对产品而言，清洁生产策略旨在减少产品在整个生产周期过程（包括从原料提炼到产品的最终处置）中对人类和环境的影响。污染预防是当今世界也是我国政府提倡的环境保护政策。实施清洁生产是可持续发展战略的要求，力求工业提高能效，开发更清洁的技术，更新、代替对环境有害的产品和原材料，实现环境和资源的保护和有效管理；实行清洁生产是控制环境污染的有效手段；实行清洁生产可大大降低末端处理的负担；实行清洁生产可提高企业的市场竞争力。</w:t>
      </w:r>
    </w:p>
    <w:p w14:paraId="2A0E659C">
      <w:pPr>
        <w:ind w:firstLine="480"/>
        <w:rPr>
          <w:rFonts w:ascii="Times New Roman" w:hAnsi="Times New Roman" w:eastAsia="宋体"/>
          <w:color w:val="auto"/>
          <w:highlight w:val="none"/>
        </w:rPr>
      </w:pPr>
      <w:r>
        <w:rPr>
          <w:rFonts w:ascii="Times New Roman" w:hAnsi="Times New Roman" w:eastAsia="宋体"/>
          <w:color w:val="auto"/>
          <w:highlight w:val="none"/>
        </w:rPr>
        <w:t>本项目为</w:t>
      </w:r>
      <w:r>
        <w:rPr>
          <w:rFonts w:hint="eastAsia" w:ascii="Times New Roman" w:hAnsi="Times New Roman" w:eastAsia="宋体"/>
          <w:color w:val="auto"/>
          <w:highlight w:val="none"/>
          <w:lang w:eastAsia="zh-CN"/>
        </w:rPr>
        <w:t>蛋鸡养殖</w:t>
      </w:r>
      <w:r>
        <w:rPr>
          <w:rFonts w:ascii="Times New Roman" w:hAnsi="Times New Roman" w:eastAsia="宋体"/>
          <w:color w:val="auto"/>
          <w:highlight w:val="none"/>
        </w:rPr>
        <w:t>项目，本次评价清洁生产的思路是结合养殖场中废物产生的特点，提出清洁生产方案和循环经济措施，力争达到</w:t>
      </w:r>
      <w:r>
        <w:rPr>
          <w:rFonts w:hint="eastAsia"/>
          <w:color w:val="auto"/>
          <w:highlight w:val="none"/>
          <w:lang w:eastAsia="zh-CN"/>
        </w:rPr>
        <w:t>”</w:t>
      </w:r>
      <w:r>
        <w:rPr>
          <w:rFonts w:ascii="Times New Roman" w:hAnsi="Times New Roman" w:eastAsia="宋体"/>
          <w:color w:val="auto"/>
          <w:highlight w:val="none"/>
        </w:rPr>
        <w:t>节能、降耗、减污、增效</w:t>
      </w:r>
      <w:r>
        <w:rPr>
          <w:rFonts w:hint="eastAsia"/>
          <w:color w:val="auto"/>
          <w:highlight w:val="none"/>
          <w:lang w:eastAsia="zh-CN"/>
        </w:rPr>
        <w:t>”</w:t>
      </w:r>
      <w:r>
        <w:rPr>
          <w:rFonts w:ascii="Times New Roman" w:hAnsi="Times New Roman" w:eastAsia="宋体"/>
          <w:color w:val="auto"/>
          <w:highlight w:val="none"/>
        </w:rPr>
        <w:t>的目的，从而降低生产成本，减少末端污染物的产生量和排放量。通过采用清洁生产和循环利用技术，要明显减降企业生产过程对环境的影响，提高原材料及能源的使用效率，减少资源的浪费，降低生产成本，减少污染物的产生量及排放量，促进企业的技术进步，提高企业的经济效益和管理水平。</w:t>
      </w:r>
    </w:p>
    <w:p w14:paraId="14B7332E">
      <w:pPr>
        <w:pStyle w:val="5"/>
        <w:rPr>
          <w:rFonts w:ascii="Times New Roman" w:hAnsi="Times New Roman" w:eastAsia="宋体"/>
          <w:color w:val="auto"/>
          <w:highlight w:val="none"/>
        </w:rPr>
      </w:pPr>
      <w:bookmarkStart w:id="153" w:name="_Toc106663477"/>
      <w:r>
        <w:rPr>
          <w:rFonts w:hint="eastAsia" w:ascii="Times New Roman" w:hAnsi="Times New Roman" w:eastAsia="宋体"/>
          <w:color w:val="auto"/>
          <w:highlight w:val="none"/>
        </w:rPr>
        <w:t>3.6.2清洁生产水平分析</w:t>
      </w:r>
      <w:bookmarkEnd w:id="153"/>
    </w:p>
    <w:p w14:paraId="73CD3CBF">
      <w:pPr>
        <w:pStyle w:val="6"/>
        <w:ind w:firstLine="482"/>
        <w:rPr>
          <w:rFonts w:ascii="Times New Roman" w:hAnsi="Times New Roman" w:eastAsia="宋体"/>
          <w:color w:val="auto"/>
          <w:highlight w:val="none"/>
        </w:rPr>
      </w:pPr>
      <w:r>
        <w:rPr>
          <w:rFonts w:ascii="Times New Roman" w:hAnsi="Times New Roman" w:eastAsia="宋体"/>
          <w:color w:val="auto"/>
          <w:highlight w:val="none"/>
        </w:rPr>
        <w:t>3.</w:t>
      </w:r>
      <w:r>
        <w:rPr>
          <w:rFonts w:hint="eastAsia" w:ascii="Times New Roman" w:hAnsi="Times New Roman" w:eastAsia="宋体"/>
          <w:color w:val="auto"/>
          <w:highlight w:val="none"/>
        </w:rPr>
        <w:t>6</w:t>
      </w:r>
      <w:r>
        <w:rPr>
          <w:rFonts w:ascii="Times New Roman" w:hAnsi="Times New Roman" w:eastAsia="宋体"/>
          <w:color w:val="auto"/>
          <w:highlight w:val="none"/>
        </w:rPr>
        <w:t>.</w:t>
      </w:r>
      <w:r>
        <w:rPr>
          <w:rFonts w:hint="eastAsia" w:ascii="Times New Roman" w:hAnsi="Times New Roman" w:eastAsia="宋体"/>
          <w:color w:val="auto"/>
          <w:highlight w:val="none"/>
        </w:rPr>
        <w:t>2</w:t>
      </w:r>
      <w:r>
        <w:rPr>
          <w:rFonts w:ascii="Times New Roman" w:hAnsi="Times New Roman" w:eastAsia="宋体"/>
          <w:color w:val="auto"/>
          <w:highlight w:val="none"/>
        </w:rPr>
        <w:t>.1清洁生产定性评价指标</w:t>
      </w:r>
    </w:p>
    <w:p w14:paraId="1AA7D283">
      <w:pPr>
        <w:ind w:firstLine="480"/>
        <w:rPr>
          <w:rFonts w:ascii="Times New Roman" w:hAnsi="Times New Roman" w:eastAsia="宋体"/>
          <w:color w:val="auto"/>
          <w:highlight w:val="none"/>
        </w:rPr>
      </w:pPr>
      <w:r>
        <w:rPr>
          <w:rFonts w:ascii="Times New Roman" w:hAnsi="Times New Roman" w:eastAsia="宋体"/>
          <w:color w:val="auto"/>
          <w:highlight w:val="none"/>
        </w:rPr>
        <w:t>1、生产工艺与装备要求</w:t>
      </w:r>
    </w:p>
    <w:p w14:paraId="34AFFF74">
      <w:pPr>
        <w:ind w:firstLine="480"/>
        <w:rPr>
          <w:rFonts w:ascii="Times New Roman" w:hAnsi="Times New Roman" w:eastAsia="宋体"/>
          <w:color w:val="auto"/>
          <w:highlight w:val="none"/>
        </w:rPr>
      </w:pPr>
      <w:r>
        <w:rPr>
          <w:rFonts w:ascii="Times New Roman" w:hAnsi="Times New Roman" w:eastAsia="宋体"/>
          <w:color w:val="auto"/>
          <w:highlight w:val="none"/>
        </w:rPr>
        <w:t>在生产工艺和设备水平上通过选择清洁生产工艺，控制场内用水量，节约资源，减少污染物的排放，主要有：</w:t>
      </w:r>
    </w:p>
    <w:p w14:paraId="4AEBA505">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选用优良的蛋鸡鸡种，鸡只的良种产蛋体系；按照清洁生产的标准建立绿色蛋鸡养殖基地和产品基地，全程控制蛋鸡的饲养和管理。</w:t>
      </w:r>
    </w:p>
    <w:p w14:paraId="1EBE411B">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采用先进的养殖技术；加强饲养管理，保持良好的生态环境，减少细菌、病毒的致病机会，减少药品的使用。严禁高残留和违禁药物的使用。</w:t>
      </w:r>
    </w:p>
    <w:p w14:paraId="672268AF">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蛋鸡上笼时作好的免疫接种，如新城疫、禽流感等疫苗。</w:t>
      </w:r>
    </w:p>
    <w:p w14:paraId="2A4DE18D">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对鸡粪实施干清粪工艺；</w:t>
      </w:r>
    </w:p>
    <w:p w14:paraId="7F4509F3">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5</w:t>
      </w:r>
      <w:r>
        <w:rPr>
          <w:rFonts w:hint="eastAsia"/>
          <w:color w:val="auto"/>
          <w:highlight w:val="none"/>
          <w:lang w:eastAsia="zh-CN"/>
        </w:rPr>
        <w:t>）</w:t>
      </w:r>
      <w:r>
        <w:rPr>
          <w:rFonts w:ascii="Times New Roman" w:hAnsi="Times New Roman" w:eastAsia="宋体"/>
          <w:color w:val="auto"/>
          <w:highlight w:val="none"/>
        </w:rPr>
        <w:t>采用自动给料机喂食和自动补水槽供应饮水，避免了饲料和水资源浪费，同时减少养殖舍内污染物的产生。</w:t>
      </w:r>
    </w:p>
    <w:p w14:paraId="19C5C93F">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6</w:t>
      </w:r>
      <w:r>
        <w:rPr>
          <w:rFonts w:hint="eastAsia"/>
          <w:color w:val="auto"/>
          <w:highlight w:val="none"/>
          <w:lang w:eastAsia="zh-CN"/>
        </w:rPr>
        <w:t>）</w:t>
      </w:r>
      <w:r>
        <w:rPr>
          <w:rFonts w:ascii="Times New Roman" w:hAnsi="Times New Roman" w:eastAsia="宋体"/>
          <w:color w:val="auto"/>
          <w:highlight w:val="none"/>
        </w:rPr>
        <w:t>所需饲料均为外购，在饲料中不额外添加兴奋剂、镇静剂、激素类、砷制剂等；选用的蛋鸡均为优良品种，由天康现代化专业蛋鸡场提供，确保饲料的营养性和安全性，避免了由于基因劣质及饲料不符合标准造成的损失及危害，符合清洁生产要求。</w:t>
      </w:r>
    </w:p>
    <w:p w14:paraId="2EFF004D">
      <w:pPr>
        <w:ind w:firstLine="480"/>
        <w:rPr>
          <w:rFonts w:ascii="Times New Roman" w:hAnsi="Times New Roman" w:eastAsia="宋体"/>
          <w:color w:val="auto"/>
          <w:highlight w:val="none"/>
        </w:rPr>
      </w:pPr>
      <w:r>
        <w:rPr>
          <w:rFonts w:ascii="Times New Roman" w:hAnsi="Times New Roman" w:eastAsia="宋体"/>
          <w:color w:val="auto"/>
          <w:highlight w:val="none"/>
        </w:rPr>
        <w:t>2、资源能源利用指标</w:t>
      </w:r>
    </w:p>
    <w:p w14:paraId="425C3FF2">
      <w:pPr>
        <w:ind w:firstLine="480"/>
        <w:rPr>
          <w:rFonts w:ascii="Times New Roman" w:hAnsi="Times New Roman" w:eastAsia="宋体"/>
          <w:color w:val="auto"/>
          <w:highlight w:val="none"/>
        </w:rPr>
      </w:pPr>
      <w:r>
        <w:rPr>
          <w:rFonts w:ascii="Times New Roman" w:hAnsi="Times New Roman" w:eastAsia="宋体"/>
          <w:color w:val="auto"/>
          <w:highlight w:val="none"/>
        </w:rPr>
        <w:t>本项目生产过程中主要使用能耗为电能和水，项目项目在建设及设备选型过程均采用低能耗，符合国家标准要求的设备，以减少电能的使用，降低了产品能耗指标。</w:t>
      </w:r>
    </w:p>
    <w:p w14:paraId="56A78CF5">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节能降耗：在冬季取暖合理分配取暖能源的利用，本项目员工的日常办公、生活均需要能源，而且冬季气温下降，鸡极易患病。因此冬季取暖期应合理分配取暖能源的利用，尽量使项目达到资源的充分利用，降低成本。</w:t>
      </w:r>
    </w:p>
    <w:p w14:paraId="7E1F8210">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按生产流向，合理地布置设备，减少物料往返运送次数，从而节省能源；总图布置上力求紧凑，要求贮存和成品仓库等都要靠近生产车间，按物料流向布置，缩短原料及成品的输送距离，尽量避免产品大量二次倒运，从而节省能源。</w:t>
      </w:r>
    </w:p>
    <w:p w14:paraId="6EA263EE">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对鸡粪进行资源化利用，外售给有机肥厂。</w:t>
      </w:r>
    </w:p>
    <w:p w14:paraId="76D87B75">
      <w:pPr>
        <w:ind w:firstLine="480"/>
        <w:rPr>
          <w:rFonts w:ascii="Times New Roman" w:hAnsi="Times New Roman" w:eastAsia="宋体"/>
          <w:color w:val="auto"/>
          <w:highlight w:val="none"/>
        </w:rPr>
      </w:pPr>
      <w:r>
        <w:rPr>
          <w:rFonts w:ascii="Times New Roman" w:hAnsi="Times New Roman" w:eastAsia="宋体"/>
          <w:color w:val="auto"/>
          <w:highlight w:val="none"/>
        </w:rPr>
        <w:t>3、废物回收利用</w:t>
      </w:r>
    </w:p>
    <w:p w14:paraId="393F28CD">
      <w:pPr>
        <w:ind w:firstLine="480"/>
        <w:rPr>
          <w:rFonts w:ascii="Times New Roman" w:hAnsi="Times New Roman" w:eastAsia="宋体"/>
          <w:color w:val="auto"/>
          <w:highlight w:val="none"/>
        </w:rPr>
      </w:pPr>
      <w:r>
        <w:rPr>
          <w:rFonts w:ascii="Times New Roman" w:hAnsi="Times New Roman" w:eastAsia="宋体"/>
          <w:color w:val="auto"/>
          <w:highlight w:val="none"/>
        </w:rPr>
        <w:t>鸡舍冲洗废水排入</w:t>
      </w:r>
      <w:r>
        <w:rPr>
          <w:rFonts w:hint="eastAsia"/>
          <w:color w:val="auto"/>
          <w:highlight w:val="none"/>
          <w:lang w:eastAsia="zh-CN"/>
        </w:rPr>
        <w:t>废水收集池</w:t>
      </w:r>
      <w:r>
        <w:rPr>
          <w:rFonts w:hint="eastAsia"/>
          <w:color w:val="auto"/>
          <w:highlight w:val="none"/>
          <w:lang w:val="en-US" w:eastAsia="zh-CN"/>
        </w:rPr>
        <w:t>经预处理后用作农肥</w:t>
      </w:r>
      <w:r>
        <w:rPr>
          <w:rFonts w:ascii="Times New Roman" w:hAnsi="Times New Roman" w:eastAsia="宋体"/>
          <w:color w:val="auto"/>
          <w:highlight w:val="none"/>
        </w:rPr>
        <w:t>。项目采用全自动干清粪工艺，鸡粪采用自动清粪系统清理后直接拉运至有机肥厂生产公司作为原料。</w:t>
      </w:r>
    </w:p>
    <w:p w14:paraId="26FB3F9F">
      <w:pPr>
        <w:ind w:firstLine="480"/>
        <w:rPr>
          <w:rFonts w:ascii="Times New Roman" w:hAnsi="Times New Roman" w:eastAsia="宋体"/>
          <w:color w:val="auto"/>
          <w:highlight w:val="none"/>
        </w:rPr>
      </w:pPr>
      <w:r>
        <w:rPr>
          <w:rFonts w:ascii="Times New Roman" w:hAnsi="Times New Roman" w:eastAsia="宋体"/>
          <w:color w:val="auto"/>
          <w:highlight w:val="none"/>
        </w:rPr>
        <w:t>4、污染物产生和排放</w:t>
      </w:r>
    </w:p>
    <w:p w14:paraId="7A36FF5A">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废水资源化利用</w:t>
      </w:r>
    </w:p>
    <w:p w14:paraId="1C6A8215">
      <w:pPr>
        <w:ind w:firstLine="480"/>
        <w:rPr>
          <w:rFonts w:hint="default" w:ascii="Times New Roman" w:hAnsi="Times New Roman" w:eastAsia="宋体"/>
          <w:color w:val="auto"/>
          <w:highlight w:val="none"/>
          <w:lang w:val="en-US"/>
        </w:rPr>
      </w:pPr>
      <w:r>
        <w:rPr>
          <w:rFonts w:ascii="Times New Roman" w:hAnsi="Times New Roman" w:eastAsia="宋体"/>
          <w:color w:val="auto"/>
          <w:highlight w:val="none"/>
        </w:rPr>
        <w:t>根据工程分析，本项目采用干清粪处理工艺，鸡舍冲洗废水排入</w:t>
      </w:r>
      <w:r>
        <w:rPr>
          <w:rFonts w:hint="eastAsia"/>
          <w:color w:val="auto"/>
          <w:highlight w:val="none"/>
          <w:lang w:eastAsia="zh-CN"/>
        </w:rPr>
        <w:t>废水收集池</w:t>
      </w:r>
      <w:r>
        <w:rPr>
          <w:rFonts w:hint="eastAsia"/>
          <w:color w:val="auto"/>
          <w:highlight w:val="none"/>
          <w:lang w:val="en-US" w:eastAsia="zh-CN"/>
        </w:rPr>
        <w:t>经预处理后用作农肥。</w:t>
      </w:r>
    </w:p>
    <w:p w14:paraId="6790C315">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废气排放指标</w:t>
      </w:r>
    </w:p>
    <w:p w14:paraId="3F73373A">
      <w:pPr>
        <w:ind w:firstLine="480"/>
        <w:rPr>
          <w:rFonts w:ascii="Times New Roman" w:hAnsi="Times New Roman" w:eastAsia="宋体"/>
          <w:color w:val="auto"/>
          <w:highlight w:val="none"/>
        </w:rPr>
      </w:pPr>
      <w:r>
        <w:rPr>
          <w:rFonts w:ascii="Times New Roman" w:hAnsi="Times New Roman" w:eastAsia="宋体"/>
          <w:color w:val="auto"/>
          <w:highlight w:val="none"/>
        </w:rPr>
        <w:t>项目外排的主要是无组织排放的恶臭气体、NH</w:t>
      </w:r>
      <w:r>
        <w:rPr>
          <w:rFonts w:ascii="Times New Roman" w:hAnsi="Times New Roman" w:eastAsia="宋体"/>
          <w:color w:val="auto"/>
          <w:highlight w:val="none"/>
          <w:vertAlign w:val="subscript"/>
        </w:rPr>
        <w:t>3</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S，圈舍内加强通风，喷洒除臭剂；场区圈舍四周进行绿化阻隔臭气的扩散，根据分析，项目在采取各项治理措施后，废气均能达标排放，对环境影响不大。</w:t>
      </w:r>
    </w:p>
    <w:p w14:paraId="7E3AB1CB">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噪声达标排放</w:t>
      </w:r>
    </w:p>
    <w:p w14:paraId="0D19ED29">
      <w:pPr>
        <w:ind w:firstLine="480"/>
        <w:rPr>
          <w:rFonts w:ascii="Times New Roman" w:hAnsi="Times New Roman" w:eastAsia="宋体"/>
          <w:color w:val="auto"/>
          <w:highlight w:val="none"/>
        </w:rPr>
      </w:pPr>
      <w:r>
        <w:rPr>
          <w:rFonts w:ascii="Times New Roman" w:hAnsi="Times New Roman" w:eastAsia="宋体"/>
          <w:color w:val="auto"/>
          <w:highlight w:val="none"/>
        </w:rPr>
        <w:t>项目运营期设备运转产生的噪声，通过采取设备基础减振、厂房隔声等措施，再经厂界距离衰减后，可以在厂界噪声达标排放。</w:t>
      </w:r>
    </w:p>
    <w:p w14:paraId="65D5E681">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固体废物资源化利用</w:t>
      </w:r>
    </w:p>
    <w:p w14:paraId="66AF7D36">
      <w:pPr>
        <w:ind w:firstLine="480"/>
        <w:rPr>
          <w:rFonts w:ascii="Times New Roman" w:hAnsi="Times New Roman" w:eastAsia="宋体"/>
          <w:color w:val="auto"/>
          <w:highlight w:val="none"/>
        </w:rPr>
      </w:pPr>
      <w:r>
        <w:rPr>
          <w:rFonts w:ascii="Times New Roman" w:hAnsi="Times New Roman" w:eastAsia="宋体"/>
          <w:color w:val="auto"/>
          <w:highlight w:val="none"/>
        </w:rPr>
        <w:t>本项目产生的固体废物主要为鸡粪及散落羽毛、病死鸡只、废弃包装物、生活垃圾、医疗废物。本项目区产生的</w:t>
      </w:r>
      <w:r>
        <w:rPr>
          <w:rFonts w:hint="eastAsia"/>
          <w:color w:val="auto"/>
          <w:highlight w:val="none"/>
          <w:lang w:eastAsia="zh-CN"/>
        </w:rPr>
        <w:t>鸡粪及散落羽毛采用自动清粪系统清理与废水收集池污泥</w:t>
      </w:r>
      <w:r>
        <w:rPr>
          <w:rFonts w:hint="eastAsia" w:ascii="Times New Roman" w:hAnsi="Times New Roman" w:eastAsia="宋体"/>
          <w:color w:val="auto"/>
          <w:highlight w:val="none"/>
          <w:lang w:val="en-US" w:eastAsia="zh-CN"/>
        </w:rPr>
        <w:t>外售</w:t>
      </w:r>
      <w:r>
        <w:rPr>
          <w:rFonts w:ascii="Times New Roman" w:hAnsi="Times New Roman" w:eastAsia="宋体"/>
          <w:color w:val="auto"/>
          <w:highlight w:val="none"/>
        </w:rPr>
        <w:t>有机肥生产公司作为有机肥生产的原料，由其负责定期清运工作。病死鸡只根据具体死因，见疾病病死鸡采用填埋井对其进行无害化处理，若因为鸡瘟、新城疫等传染性疾病死亡的鸡只，交由防疫部门处置。本项目饲料包装袋最终返回原包装袋购置厂家回收，废弃包装物得到了合理利用。本项目生活垃圾集中收集由当地环卫部门处置。本项目对蛋鸡进行防疫、治疗过程中产生少量废弃药品、废针管、过期兽药等，医疗废物属于HW01类危险废物，储存于</w:t>
      </w:r>
      <w:r>
        <w:rPr>
          <w:rFonts w:hint="eastAsia"/>
          <w:color w:val="auto"/>
          <w:highlight w:val="none"/>
          <w:lang w:eastAsia="zh-CN"/>
        </w:rPr>
        <w:t>医疗废物暂存间</w:t>
      </w:r>
      <w:r>
        <w:rPr>
          <w:rFonts w:ascii="Times New Roman" w:hAnsi="Times New Roman" w:eastAsia="宋体"/>
          <w:color w:val="auto"/>
          <w:highlight w:val="none"/>
        </w:rPr>
        <w:t>，交由当地有处理资质的单位进行处置。</w:t>
      </w:r>
    </w:p>
    <w:p w14:paraId="6A916D5C">
      <w:pPr>
        <w:ind w:firstLine="480"/>
        <w:rPr>
          <w:rFonts w:ascii="Times New Roman" w:hAnsi="Times New Roman" w:eastAsia="宋体"/>
          <w:color w:val="auto"/>
          <w:highlight w:val="none"/>
        </w:rPr>
      </w:pPr>
      <w:r>
        <w:rPr>
          <w:rFonts w:ascii="Times New Roman" w:hAnsi="Times New Roman" w:eastAsia="宋体"/>
          <w:color w:val="auto"/>
          <w:highlight w:val="none"/>
        </w:rPr>
        <w:t>5、环境管理要求</w:t>
      </w:r>
    </w:p>
    <w:p w14:paraId="5610C6C8">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选址</w:t>
      </w:r>
    </w:p>
    <w:p w14:paraId="48BAAD48">
      <w:pPr>
        <w:ind w:firstLine="480"/>
        <w:rPr>
          <w:rFonts w:ascii="Times New Roman" w:hAnsi="Times New Roman" w:eastAsia="宋体"/>
          <w:color w:val="auto"/>
          <w:highlight w:val="none"/>
        </w:rPr>
      </w:pPr>
      <w:r>
        <w:rPr>
          <w:rFonts w:ascii="Times New Roman" w:hAnsi="Times New Roman" w:eastAsia="宋体"/>
          <w:color w:val="auto"/>
          <w:highlight w:val="none"/>
        </w:rPr>
        <w:t>本项目的建设符合国家产业政策，选址、平面布置及污染防治措施符合《畜禽养殖业污染防治技术规范》</w:t>
      </w:r>
      <w:r>
        <w:rPr>
          <w:rFonts w:hint="eastAsia"/>
          <w:color w:val="auto"/>
          <w:highlight w:val="none"/>
          <w:lang w:eastAsia="zh-CN"/>
        </w:rPr>
        <w:t>（</w:t>
      </w:r>
      <w:r>
        <w:rPr>
          <w:rFonts w:ascii="Times New Roman" w:hAnsi="Times New Roman" w:eastAsia="宋体"/>
          <w:color w:val="auto"/>
          <w:highlight w:val="none"/>
        </w:rPr>
        <w:t>HJ/T81-2001</w:t>
      </w:r>
      <w:r>
        <w:rPr>
          <w:rFonts w:hint="eastAsia"/>
          <w:color w:val="auto"/>
          <w:highlight w:val="none"/>
          <w:lang w:eastAsia="zh-CN"/>
        </w:rPr>
        <w:t>）</w:t>
      </w:r>
      <w:r>
        <w:rPr>
          <w:rFonts w:ascii="Times New Roman" w:hAnsi="Times New Roman" w:eastAsia="宋体"/>
          <w:color w:val="auto"/>
          <w:highlight w:val="none"/>
        </w:rPr>
        <w:t>、《动物防疫条件审查办法》</w:t>
      </w:r>
      <w:r>
        <w:rPr>
          <w:rFonts w:hint="eastAsia"/>
          <w:color w:val="auto"/>
          <w:highlight w:val="none"/>
          <w:lang w:eastAsia="zh-CN"/>
        </w:rPr>
        <w:t>（</w:t>
      </w:r>
      <w:r>
        <w:rPr>
          <w:rFonts w:ascii="Times New Roman" w:hAnsi="Times New Roman" w:eastAsia="宋体"/>
          <w:color w:val="auto"/>
          <w:highlight w:val="none"/>
        </w:rPr>
        <w:t>农业部令2010年第7号</w:t>
      </w:r>
      <w:r>
        <w:rPr>
          <w:rFonts w:hint="eastAsia"/>
          <w:color w:val="auto"/>
          <w:highlight w:val="none"/>
          <w:lang w:eastAsia="zh-CN"/>
        </w:rPr>
        <w:t>）</w:t>
      </w:r>
      <w:r>
        <w:rPr>
          <w:rFonts w:ascii="Times New Roman" w:hAnsi="Times New Roman" w:eastAsia="宋体"/>
          <w:color w:val="auto"/>
          <w:highlight w:val="none"/>
        </w:rPr>
        <w:t>、《畜禽养殖业污染防治技术规范》</w:t>
      </w:r>
      <w:r>
        <w:rPr>
          <w:rFonts w:hint="eastAsia"/>
          <w:color w:val="auto"/>
          <w:highlight w:val="none"/>
          <w:lang w:eastAsia="zh-CN"/>
        </w:rPr>
        <w:t>（</w:t>
      </w:r>
      <w:r>
        <w:rPr>
          <w:rFonts w:ascii="Times New Roman" w:hAnsi="Times New Roman" w:eastAsia="宋体"/>
          <w:color w:val="auto"/>
          <w:highlight w:val="none"/>
        </w:rPr>
        <w:t>HJ/T81-2001</w:t>
      </w:r>
      <w:r>
        <w:rPr>
          <w:rFonts w:hint="eastAsia"/>
          <w:color w:val="auto"/>
          <w:highlight w:val="none"/>
          <w:lang w:eastAsia="zh-CN"/>
        </w:rPr>
        <w:t>）</w:t>
      </w:r>
      <w:r>
        <w:rPr>
          <w:rFonts w:ascii="Times New Roman" w:hAnsi="Times New Roman" w:eastAsia="宋体"/>
          <w:color w:val="auto"/>
          <w:highlight w:val="none"/>
        </w:rPr>
        <w:t>、《玛纳斯县畜禽养殖禁养区和限养区划定工作实施方案》</w:t>
      </w:r>
      <w:r>
        <w:rPr>
          <w:rFonts w:hint="eastAsia"/>
          <w:color w:val="auto"/>
          <w:highlight w:val="none"/>
          <w:lang w:eastAsia="zh-CN"/>
        </w:rPr>
        <w:t>（</w:t>
      </w:r>
      <w:r>
        <w:rPr>
          <w:rFonts w:ascii="Times New Roman" w:hAnsi="Times New Roman" w:eastAsia="宋体"/>
          <w:color w:val="auto"/>
          <w:highlight w:val="none"/>
        </w:rPr>
        <w:t>玛政办发〔2017〕20号</w:t>
      </w:r>
      <w:r>
        <w:rPr>
          <w:rFonts w:hint="eastAsia"/>
          <w:color w:val="auto"/>
          <w:highlight w:val="none"/>
          <w:lang w:eastAsia="zh-CN"/>
        </w:rPr>
        <w:t>）</w:t>
      </w:r>
      <w:r>
        <w:rPr>
          <w:rFonts w:ascii="Times New Roman" w:hAnsi="Times New Roman" w:eastAsia="宋体"/>
          <w:color w:val="auto"/>
          <w:highlight w:val="none"/>
        </w:rPr>
        <w:t>等相关文件的要求。</w:t>
      </w:r>
    </w:p>
    <w:p w14:paraId="1545F1C0">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防疫措施</w:t>
      </w:r>
    </w:p>
    <w:p w14:paraId="5F74EAF8">
      <w:pPr>
        <w:ind w:firstLine="480"/>
        <w:rPr>
          <w:rFonts w:ascii="Times New Roman" w:hAnsi="Times New Roman" w:eastAsia="宋体"/>
          <w:color w:val="auto"/>
          <w:highlight w:val="none"/>
        </w:rPr>
      </w:pPr>
      <w:r>
        <w:rPr>
          <w:rFonts w:ascii="Times New Roman" w:hAnsi="Times New Roman" w:eastAsia="宋体"/>
          <w:color w:val="auto"/>
          <w:highlight w:val="none"/>
        </w:rPr>
        <w:t>严格执行科学的卫生防疫措施，有效预防和控制传染病的发生。养殖场布局须合理，生产、生活区严格分开，养殖区周围设立防护设施，非生产人员不得随意进入养殖区；养殖场内设置隔离舍，对病鸡进行隔离观察诊治；对死亡的鸡只，</w:t>
      </w:r>
    </w:p>
    <w:p w14:paraId="3BEB5134">
      <w:pPr>
        <w:ind w:firstLine="480"/>
        <w:rPr>
          <w:rFonts w:ascii="Times New Roman" w:hAnsi="Times New Roman" w:eastAsia="宋体"/>
          <w:color w:val="auto"/>
          <w:highlight w:val="none"/>
        </w:rPr>
      </w:pPr>
      <w:r>
        <w:rPr>
          <w:rFonts w:ascii="Times New Roman" w:hAnsi="Times New Roman" w:eastAsia="宋体"/>
          <w:color w:val="auto"/>
          <w:highlight w:val="none"/>
        </w:rPr>
        <w:t>采取深埋法处置措施，严格执行消毒措施，对进出养殖场的运输车辆进行严格消毒。</w:t>
      </w:r>
    </w:p>
    <w:p w14:paraId="4A2E0447">
      <w:pPr>
        <w:ind w:firstLine="482"/>
        <w:rPr>
          <w:rFonts w:ascii="Times New Roman" w:hAnsi="Times New Roman" w:eastAsia="宋体"/>
          <w:b/>
          <w:bCs/>
          <w:color w:val="auto"/>
          <w:highlight w:val="none"/>
        </w:rPr>
      </w:pPr>
      <w:r>
        <w:rPr>
          <w:rFonts w:hint="eastAsia" w:ascii="Times New Roman" w:hAnsi="Times New Roman" w:eastAsia="宋体"/>
          <w:b/>
          <w:bCs/>
          <w:color w:val="auto"/>
          <w:highlight w:val="none"/>
        </w:rPr>
        <w:t>3.6.</w:t>
      </w:r>
      <w:r>
        <w:rPr>
          <w:rFonts w:hint="eastAsia" w:ascii="Times New Roman" w:hAnsi="Times New Roman" w:eastAsia="宋体"/>
          <w:b/>
          <w:bCs/>
          <w:color w:val="auto"/>
          <w:highlight w:val="none"/>
          <w:lang w:val="en-US" w:eastAsia="zh-CN"/>
        </w:rPr>
        <w:t>2.2清洁生产小结</w:t>
      </w:r>
    </w:p>
    <w:p w14:paraId="69F6D312">
      <w:pPr>
        <w:keepNext w:val="0"/>
        <w:keepLines w:val="0"/>
        <w:pageBreakBefore w:val="0"/>
        <w:widowControl w:val="0"/>
        <w:kinsoku/>
        <w:wordWrap/>
        <w:overflowPunct/>
        <w:topLinePunct w:val="0"/>
        <w:autoSpaceDE/>
        <w:autoSpaceDN/>
        <w:bidi w:val="0"/>
        <w:adjustRightInd/>
        <w:snapToGrid/>
        <w:spacing w:line="480" w:lineRule="exact"/>
        <w:ind w:left="0" w:right="0" w:firstLine="482"/>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项目建成后企业将设立健全的环境管理机构和专职管理人员，制订较完善环境管理制度，严格控制各种污染物的产生及排放，严格控制风险事故的发生。</w:t>
      </w:r>
    </w:p>
    <w:p w14:paraId="7B8EB7F8">
      <w:pPr>
        <w:keepNext w:val="0"/>
        <w:keepLines w:val="0"/>
        <w:pageBreakBefore w:val="0"/>
        <w:widowControl w:val="0"/>
        <w:kinsoku/>
        <w:wordWrap/>
        <w:overflowPunct/>
        <w:topLinePunct w:val="0"/>
        <w:autoSpaceDE/>
        <w:autoSpaceDN/>
        <w:bidi w:val="0"/>
        <w:adjustRightInd/>
        <w:snapToGrid/>
        <w:spacing w:line="480" w:lineRule="exact"/>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从养殖过程、污染防治技术、节能降耗等环节采用切实可行的清洁生产技术，从源头控制污染，过程控制和污染控制技术比较完备；工艺技术路线及装备符合目前国家产业政策和环保政策要求；能耗、物耗、水耗水平等符合清洁生产要求。只要加强营运后日常生产管理与维护，保证各项环保设施正常运行，采取工程设计和评价建议的污染防治措施和清洁生产措施，确保各项环保设施正常运行，与国内同行业相比，本项目水耗、物耗、能耗低，污染物排放量小，生产工艺及管理符合清洁生产要求。综上所述，本项目符合清洁生产要求。</w:t>
      </w:r>
    </w:p>
    <w:p w14:paraId="7942C7A0">
      <w:pPr>
        <w:ind w:firstLine="482"/>
        <w:rPr>
          <w:rFonts w:ascii="Times New Roman" w:hAnsi="Times New Roman" w:eastAsia="宋体"/>
          <w:b/>
          <w:bCs/>
          <w:color w:val="auto"/>
          <w:highlight w:val="none"/>
        </w:rPr>
      </w:pPr>
      <w:r>
        <w:rPr>
          <w:rFonts w:hint="eastAsia" w:ascii="Times New Roman" w:hAnsi="Times New Roman" w:eastAsia="宋体"/>
          <w:b/>
          <w:bCs/>
          <w:color w:val="auto"/>
          <w:highlight w:val="none"/>
        </w:rPr>
        <w:t>3.6.</w:t>
      </w:r>
      <w:r>
        <w:rPr>
          <w:rFonts w:hint="eastAsia" w:ascii="Times New Roman" w:hAnsi="Times New Roman" w:eastAsia="宋体"/>
          <w:b/>
          <w:bCs/>
          <w:color w:val="auto"/>
          <w:highlight w:val="none"/>
          <w:lang w:val="en-US" w:eastAsia="zh-CN"/>
        </w:rPr>
        <w:t>2.3清洁生产建议</w:t>
      </w:r>
    </w:p>
    <w:p w14:paraId="14DD89BF">
      <w:pPr>
        <w:ind w:firstLine="480"/>
        <w:rPr>
          <w:rFonts w:ascii="Times New Roman" w:hAnsi="Times New Roman" w:eastAsia="宋体"/>
          <w:color w:val="auto"/>
          <w:highlight w:val="none"/>
        </w:rPr>
      </w:pPr>
      <w:r>
        <w:rPr>
          <w:rFonts w:ascii="Times New Roman" w:hAnsi="Times New Roman" w:eastAsia="宋体"/>
          <w:color w:val="auto"/>
          <w:highlight w:val="none"/>
        </w:rPr>
        <w:t>经分析，拟建项目虽然符合清洁生产的要求，但还有进一步加强清洁生产的潜力，为此提出如下建议：</w:t>
      </w:r>
    </w:p>
    <w:p w14:paraId="6888EBC6">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注重生产现场技术管理，保证生产过程的连续性、比例性和协调性。</w:t>
      </w:r>
    </w:p>
    <w:p w14:paraId="02C232D0">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生产过程中必须加强循环利用和再资源化，对排放物的有效处理和回收利用，既可创造经济效益，又可减少污染。</w:t>
      </w:r>
    </w:p>
    <w:p w14:paraId="425E666F">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进一步降低电耗、水耗，降低单位产品消耗水平，从而降低产品成本，增强市场竞争力。</w:t>
      </w:r>
    </w:p>
    <w:p w14:paraId="67F9572A">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进一步减少生产过程中的跑、冒、滴、漏，降低对环境造成的危害。</w:t>
      </w:r>
    </w:p>
    <w:p w14:paraId="4B64D50D">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5</w:t>
      </w:r>
      <w:r>
        <w:rPr>
          <w:rFonts w:hint="eastAsia"/>
          <w:color w:val="auto"/>
          <w:highlight w:val="none"/>
          <w:lang w:eastAsia="zh-CN"/>
        </w:rPr>
        <w:t>）</w:t>
      </w:r>
      <w:r>
        <w:rPr>
          <w:rFonts w:ascii="Times New Roman" w:hAnsi="Times New Roman" w:eastAsia="宋体"/>
          <w:color w:val="auto"/>
          <w:highlight w:val="none"/>
        </w:rPr>
        <w:t>落实环评报告书所提出的各项污染防治措施，加强污染防治设施的运行维护和管理，确保对周围环境影响的最小化。</w:t>
      </w:r>
    </w:p>
    <w:p w14:paraId="5FCF0FDF">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6</w:t>
      </w:r>
      <w:r>
        <w:rPr>
          <w:rFonts w:hint="eastAsia"/>
          <w:color w:val="auto"/>
          <w:highlight w:val="none"/>
          <w:lang w:eastAsia="zh-CN"/>
        </w:rPr>
        <w:t>）</w:t>
      </w:r>
      <w:r>
        <w:rPr>
          <w:rFonts w:ascii="Times New Roman" w:hAnsi="Times New Roman" w:eastAsia="宋体"/>
          <w:color w:val="auto"/>
          <w:highlight w:val="none"/>
        </w:rPr>
        <w:t>建立严格完善的生产管理制度，加强业务培训和宣传教育工作，使每个职工树立节能意识，环保意识，保障清洁生产的目的顺利实施。</w:t>
      </w:r>
    </w:p>
    <w:p w14:paraId="5A5A5152">
      <w:pPr>
        <w:ind w:firstLine="480"/>
        <w:rPr>
          <w:rFonts w:ascii="Times New Roman" w:hAnsi="Times New Roman" w:eastAsia="宋体"/>
          <w:color w:val="auto"/>
          <w:highlight w:val="none"/>
        </w:rPr>
        <w:sectPr>
          <w:headerReference r:id="rId19" w:type="default"/>
          <w:footerReference r:id="rId2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r>
        <w:rPr>
          <w:rFonts w:hint="eastAsia"/>
          <w:color w:val="auto"/>
          <w:highlight w:val="none"/>
          <w:lang w:eastAsia="zh-CN"/>
        </w:rPr>
        <w:t>（</w:t>
      </w:r>
      <w:r>
        <w:rPr>
          <w:rFonts w:ascii="Times New Roman" w:hAnsi="Times New Roman" w:eastAsia="宋体"/>
          <w:color w:val="auto"/>
          <w:highlight w:val="none"/>
        </w:rPr>
        <w:t>7</w:t>
      </w:r>
      <w:r>
        <w:rPr>
          <w:rFonts w:hint="eastAsia"/>
          <w:color w:val="auto"/>
          <w:highlight w:val="none"/>
          <w:lang w:eastAsia="zh-CN"/>
        </w:rPr>
        <w:t>）</w:t>
      </w:r>
      <w:r>
        <w:rPr>
          <w:rFonts w:ascii="Times New Roman" w:hAnsi="Times New Roman" w:eastAsia="宋体"/>
          <w:color w:val="auto"/>
          <w:highlight w:val="none"/>
        </w:rPr>
        <w:t>拟建项目应参照ISO14000标准的要求建立并运行环境管理体系，不断健全环境管理手册、程序文件及作业文件，进一步理顺全厂环境管理的关系，抓好企业环境管理。同时开展清洁生产审核，持续改进和提高企业环境管理水平。</w:t>
      </w:r>
    </w:p>
    <w:p w14:paraId="4BAA212D">
      <w:pPr>
        <w:pStyle w:val="3"/>
        <w:rPr>
          <w:rFonts w:ascii="Times New Roman" w:hAnsi="Times New Roman" w:eastAsia="宋体"/>
          <w:color w:val="auto"/>
          <w:highlight w:val="none"/>
        </w:rPr>
      </w:pPr>
      <w:bookmarkStart w:id="154" w:name="_Toc89619339"/>
      <w:bookmarkStart w:id="155" w:name="_Toc106663478"/>
      <w:r>
        <w:rPr>
          <w:rFonts w:hint="eastAsia" w:ascii="Times New Roman" w:hAnsi="Times New Roman" w:eastAsia="宋体"/>
          <w:color w:val="auto"/>
          <w:highlight w:val="none"/>
        </w:rPr>
        <w:t>4、环境现状调查与评价</w:t>
      </w:r>
      <w:bookmarkEnd w:id="154"/>
      <w:bookmarkEnd w:id="155"/>
    </w:p>
    <w:p w14:paraId="174139D4">
      <w:pPr>
        <w:pStyle w:val="4"/>
        <w:rPr>
          <w:rFonts w:ascii="Times New Roman" w:hAnsi="Times New Roman" w:eastAsia="宋体"/>
          <w:color w:val="auto"/>
          <w:highlight w:val="none"/>
        </w:rPr>
      </w:pPr>
      <w:bookmarkStart w:id="156" w:name="_Toc106663479"/>
      <w:bookmarkStart w:id="157" w:name="_Toc89619340"/>
      <w:r>
        <w:rPr>
          <w:rFonts w:hint="eastAsia" w:ascii="Times New Roman" w:hAnsi="Times New Roman" w:eastAsia="宋体"/>
          <w:color w:val="auto"/>
          <w:highlight w:val="none"/>
        </w:rPr>
        <w:t>4.1自然环境概况</w:t>
      </w:r>
      <w:bookmarkEnd w:id="156"/>
      <w:bookmarkEnd w:id="157"/>
    </w:p>
    <w:p w14:paraId="6CAC5046">
      <w:pPr>
        <w:pStyle w:val="5"/>
        <w:rPr>
          <w:rFonts w:ascii="Times New Roman" w:hAnsi="Times New Roman" w:eastAsia="宋体"/>
          <w:color w:val="auto"/>
          <w:highlight w:val="none"/>
        </w:rPr>
      </w:pPr>
      <w:bookmarkStart w:id="158" w:name="_Toc106663480"/>
      <w:r>
        <w:rPr>
          <w:rFonts w:hint="eastAsia" w:ascii="Times New Roman" w:hAnsi="Times New Roman" w:eastAsia="宋体"/>
          <w:color w:val="auto"/>
          <w:highlight w:val="none"/>
        </w:rPr>
        <w:t>4.1.1地理位置</w:t>
      </w:r>
      <w:bookmarkEnd w:id="158"/>
    </w:p>
    <w:p w14:paraId="1BF14142">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ascii="Times New Roman" w:hAnsi="Times New Roman" w:eastAsia="宋体"/>
          <w:color w:val="auto"/>
          <w:highlight w:val="none"/>
        </w:rPr>
      </w:pPr>
      <w:r>
        <w:rPr>
          <w:rFonts w:ascii="Times New Roman" w:hAnsi="Times New Roman" w:eastAsia="宋体"/>
          <w:color w:val="auto"/>
          <w:highlight w:val="none"/>
        </w:rPr>
        <w:t>玛纳斯县位于北疆沿天山中段伊林——哈比尔尕山的北麓，古尔班通古特沙漠南侧，地跨北纬43°28′29″~45°38′52″，东经85°41′16″~86°43′10″。东面以干河子为界与呼图壁县相邻，西以玛纳斯河为界与石河子市、沙湾县相望，北面在沙漠中与阿尔泰地区的布克赛尔、福海县相连，南面在天山中与和静县接壤。南北最大长度241.7km，东西最大宽度88.7km，通过县城的东西宽度30.65km。</w:t>
      </w:r>
    </w:p>
    <w:p w14:paraId="4F5CADCC">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ascii="Times New Roman" w:hAnsi="Times New Roman" w:eastAsia="宋体"/>
          <w:color w:val="auto"/>
          <w:highlight w:val="none"/>
        </w:rPr>
      </w:pPr>
      <w:r>
        <w:rPr>
          <w:rFonts w:ascii="Times New Roman" w:hAnsi="Times New Roman" w:eastAsia="宋体"/>
          <w:color w:val="auto"/>
          <w:highlight w:val="none"/>
        </w:rPr>
        <w:t>本项目位于昌吉州玛纳斯县广东地乡苇坝村东侧1.6km处，项目北侧为空地，西侧为乡村道路，</w:t>
      </w:r>
      <w:r>
        <w:rPr>
          <w:rFonts w:hint="eastAsia"/>
          <w:color w:val="auto"/>
          <w:highlight w:val="none"/>
          <w:lang w:eastAsia="zh-CN"/>
        </w:rPr>
        <w:t>南侧为农田</w:t>
      </w:r>
      <w:r>
        <w:rPr>
          <w:rFonts w:ascii="Times New Roman" w:hAnsi="Times New Roman" w:eastAsia="宋体"/>
          <w:color w:val="auto"/>
          <w:highlight w:val="none"/>
        </w:rPr>
        <w:t>，东侧为棉花地。项目中心地理坐标：86°19′54″E，44°20′39″N。</w:t>
      </w:r>
    </w:p>
    <w:p w14:paraId="210FB746">
      <w:pPr>
        <w:pStyle w:val="5"/>
        <w:rPr>
          <w:rFonts w:ascii="Times New Roman" w:hAnsi="Times New Roman" w:eastAsia="宋体"/>
          <w:color w:val="auto"/>
          <w:highlight w:val="none"/>
        </w:rPr>
      </w:pPr>
      <w:bookmarkStart w:id="159" w:name="_Toc106663481"/>
      <w:r>
        <w:rPr>
          <w:rFonts w:hint="eastAsia" w:ascii="Times New Roman" w:hAnsi="Times New Roman" w:eastAsia="宋体"/>
          <w:color w:val="auto"/>
          <w:highlight w:val="none"/>
        </w:rPr>
        <w:t>4.1.2地形、地貌</w:t>
      </w:r>
      <w:bookmarkEnd w:id="159"/>
    </w:p>
    <w:p w14:paraId="4CF5D96F">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玛纳斯县地处准噶尔盆地玛纳斯河山前冲积倾斜平原地中下部位，在玛纳斯河洪冲积扇上。南部为东西走向的天山山脉。拟建场地地势基本平坦、开阔，地貌单一，海拔高度485m。表层土壤为充填土层，主要由粉土、沙砾石组成。地势受区域地形的制约，由南向北倾斜，自然坡度在1%左右。</w:t>
      </w:r>
    </w:p>
    <w:p w14:paraId="5B1B4651">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玛纳斯县域可划分为南部山区、山前冲积平原和北部沙漠三个大地貌单元。</w:t>
      </w:r>
    </w:p>
    <w:p w14:paraId="3067DC16">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南部山区：由于地形复杂，山势高度相差很大，南部山区可分为后山，中山和前山三个小地貌单元。后山各山峰一般在海拔2800m以上，最高可达5222.4m，山势雄伟险峻，多悬崖峭壁。中山各山峰均在1500-2800m之间，山势比较平缓，峰谷相间，由南向北倾斜，冬季有季节性积雪，夏季降水充沛，冬暖夏凉。前山主要有阴山、苏克拜乔克山和竟拉乔克山，海拔高度在500-1500m之间。由塔西河谷石门子到玛纳斯河谷红坑的断裂带，将本区分成南部低山和北部丘陵两部分。</w:t>
      </w:r>
    </w:p>
    <w:p w14:paraId="61CE210E">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中部平原：从前山丘陵至沙漠前沿海拔450-600m之间为中部平原，整个地势由东南向西北倾斜，南靠为玛纳斯河、塔西河和干河子的冲积扇，坡降1.0-1.5%。此处除一部分戈壁地，由于土层薄，质地粗，渗水严重，除林用和牧用外，其余部分已开垦农用。北部为玛纳斯河、塔西河和干河子的冲积平原和古河道三角洲平原。地势平坦，坡降仅有0.2-0.3%，土地肥沃，除一部分低洼盐碱和十分缺水的地区牧用外，均已开垦农用，此处热量充足，是著名的粮棉油产地。农作物主要有小麦、玉米、水稻、油菜、甜菜和棉花等。</w:t>
      </w:r>
    </w:p>
    <w:p w14:paraId="72482E38">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北部沙漠：玛纳斯县北部262-450m之间是古尔班通古特大沙漠的一部分，地势由东南向西北倾斜，沙漠被莫索湾湖积低地分成南北两部分，南部沙漠分布在莫索湾垦区与北五岔、六户地乡之间，沙漠宽约10-30km，莫索湾以北的沙漠称为莫北沙漠，面积十分广大。南部沙漠多为沙丘、沙垄和西北东南向的新月形固定和半固定沙丘链。沙丘高度15m左右，沙丘，沙垄之间有很多小面积的谷地、凹地，俗称沙窝岛。沙丘之上植被稀少，沙丘之间有胡杨、红柳、梭梭及荒漠植被，覆盖度很小，因缺少人畜饮水，只能在冬季地面积雪后放牧之用。</w:t>
      </w:r>
    </w:p>
    <w:p w14:paraId="2D27CDD8">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处在沙漠之中湖积平原的莫索湾地区，地势平坦，沙丘稀少，土地肥沃，现已开垦农用，盛产棉花、玉米、小麦、瓜果，这就是著名的莫索湾垦区。</w:t>
      </w:r>
    </w:p>
    <w:p w14:paraId="3425C792">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莫北沙漠北部小盐池周围是平坦的湖滨沙地，小盐池以北是广大的湖积平原除有牧草生长外，还有少量的灌木林，如水源能够解决，可开垦农用。</w:t>
      </w:r>
    </w:p>
    <w:p w14:paraId="0B430983">
      <w:pPr>
        <w:pStyle w:val="5"/>
        <w:rPr>
          <w:rFonts w:ascii="Times New Roman" w:hAnsi="Times New Roman" w:eastAsia="宋体"/>
          <w:color w:val="auto"/>
          <w:highlight w:val="none"/>
        </w:rPr>
      </w:pPr>
      <w:bookmarkStart w:id="160" w:name="_Toc106663483"/>
      <w:r>
        <w:rPr>
          <w:rFonts w:hint="eastAsia" w:ascii="Times New Roman" w:hAnsi="Times New Roman" w:eastAsia="宋体"/>
          <w:color w:val="auto"/>
          <w:highlight w:val="none"/>
        </w:rPr>
        <w:t>4.1.3水文地质</w:t>
      </w:r>
      <w:bookmarkEnd w:id="160"/>
    </w:p>
    <w:p w14:paraId="01CDF1DF">
      <w:pPr>
        <w:spacing w:line="500" w:lineRule="exact"/>
        <w:ind w:firstLine="476"/>
        <w:rPr>
          <w:rFonts w:ascii="Times New Roman" w:hAnsi="Times New Roman" w:eastAsia="宋体"/>
          <w:color w:val="auto"/>
          <w:highlight w:val="none"/>
        </w:rPr>
      </w:pPr>
      <w:r>
        <w:rPr>
          <w:rFonts w:ascii="Times New Roman" w:hAnsi="Times New Roman" w:eastAsia="宋体"/>
          <w:color w:val="auto"/>
          <w:highlight w:val="none"/>
        </w:rPr>
        <w:t>玛纳斯县境内主要有玛纳斯河和塔西河两条河流，年总流量14.88亿m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w:t>
      </w:r>
    </w:p>
    <w:p w14:paraId="5924C797">
      <w:pPr>
        <w:spacing w:line="500" w:lineRule="exact"/>
        <w:ind w:firstLine="476"/>
        <w:rPr>
          <w:rFonts w:ascii="Times New Roman" w:hAnsi="Times New Roman" w:eastAsia="宋体"/>
          <w:color w:val="auto"/>
          <w:highlight w:val="none"/>
        </w:rPr>
      </w:pPr>
      <w:r>
        <w:rPr>
          <w:rFonts w:ascii="Times New Roman" w:hAnsi="Times New Roman" w:eastAsia="宋体"/>
          <w:color w:val="auto"/>
          <w:highlight w:val="none"/>
        </w:rPr>
        <w:t>玛纳斯河是玛纳斯县最大的河流，发源于天山中段山结的伊林——哈比尔尕山，汇有清水河、瞎熊沟、芦草沟、大白杨沟、小白杨沟等支流。该河出山后在十里墩分成两支，后于下桥子汇合，流经玛纳斯和沙湾两县，最后注入玛纳斯湖，全长300余km。玛纳斯河径流主要来源是降水、冰雪融水和地下水，年总流量10.32-l5.57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由于玛纳斯河发源地冰川面积大，流域广，高山积差和地下水有调节流量的作用，所以玛纳斯河流量年际变化小，由于温度和降水的影响，季节变化和日变化大。径流主要集中在6-8月，这三个月的总流量占全年流量的66%，因冬季靠地下水补给，流量小。</w:t>
      </w:r>
    </w:p>
    <w:p w14:paraId="007DB8B5">
      <w:pPr>
        <w:spacing w:line="500" w:lineRule="exact"/>
        <w:ind w:firstLine="476"/>
        <w:rPr>
          <w:rFonts w:ascii="Times New Roman" w:hAnsi="Times New Roman" w:eastAsia="宋体"/>
          <w:color w:val="auto"/>
          <w:highlight w:val="none"/>
        </w:rPr>
      </w:pPr>
      <w:r>
        <w:rPr>
          <w:rFonts w:ascii="Times New Roman" w:hAnsi="Times New Roman" w:eastAsia="宋体"/>
          <w:color w:val="auto"/>
          <w:highlight w:val="none"/>
        </w:rPr>
        <w:t>塔西河发源于关山中段阿尔善山北侧，径流主要靠降水、冰雪融水和地下水。流经本县东部，年总流量2.31亿m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，斗渠口实际引水1.127亿m</w:t>
      </w:r>
      <w:r>
        <w:rPr>
          <w:rFonts w:hint="eastAsia" w:ascii="Times New Roman" w:hAnsi="Times New Roman" w:eastAsia="宋体"/>
          <w:color w:val="auto"/>
          <w:highlight w:val="none"/>
          <w:vertAlign w:val="superscript"/>
          <w:lang w:val="en-US" w:eastAsia="zh-CN"/>
        </w:rPr>
        <w:t>3</w:t>
      </w:r>
      <w:r>
        <w:rPr>
          <w:rFonts w:ascii="Times New Roman" w:hAnsi="Times New Roman" w:eastAsia="宋体"/>
          <w:color w:val="auto"/>
          <w:highlight w:val="none"/>
        </w:rPr>
        <w:t>。因为源头短，流域面积小，流量年际变化、季节变化和日变化都大。夏季温度突升或山区有大降水产生，常常出现洪水。</w:t>
      </w:r>
    </w:p>
    <w:p w14:paraId="5284005D">
      <w:pPr>
        <w:spacing w:line="500" w:lineRule="exact"/>
        <w:ind w:firstLine="476"/>
        <w:rPr>
          <w:rFonts w:ascii="Times New Roman" w:hAnsi="Times New Roman" w:eastAsia="宋体"/>
          <w:color w:val="auto"/>
          <w:highlight w:val="none"/>
        </w:rPr>
      </w:pPr>
      <w:r>
        <w:rPr>
          <w:rFonts w:ascii="Times New Roman" w:hAnsi="Times New Roman" w:eastAsia="宋体"/>
          <w:color w:val="auto"/>
          <w:highlight w:val="none"/>
        </w:rPr>
        <w:t>全县有小水库18座</w:t>
      </w:r>
      <w:r>
        <w:rPr>
          <w:rFonts w:hint="eastAsia"/>
          <w:color w:val="auto"/>
          <w:highlight w:val="none"/>
          <w:lang w:eastAsia="zh-CN"/>
        </w:rPr>
        <w:t>（</w:t>
      </w:r>
      <w:r>
        <w:rPr>
          <w:rFonts w:ascii="Times New Roman" w:hAnsi="Times New Roman" w:eastAsia="宋体"/>
          <w:color w:val="auto"/>
          <w:highlight w:val="none"/>
        </w:rPr>
        <w:t>驻县单位水库除外</w:t>
      </w:r>
      <w:r>
        <w:rPr>
          <w:rFonts w:hint="eastAsia"/>
          <w:color w:val="auto"/>
          <w:highlight w:val="none"/>
          <w:lang w:eastAsia="zh-CN"/>
        </w:rPr>
        <w:t>）</w:t>
      </w:r>
      <w:r>
        <w:rPr>
          <w:rFonts w:ascii="Times New Roman" w:hAnsi="Times New Roman" w:eastAsia="宋体"/>
          <w:color w:val="auto"/>
          <w:highlight w:val="none"/>
        </w:rPr>
        <w:t>，设计库容5530万m</w:t>
      </w:r>
      <w:r>
        <w:rPr>
          <w:rFonts w:ascii="Times New Roman" w:hAnsi="Times New Roman" w:eastAsia="宋体"/>
          <w:color w:val="auto"/>
          <w:highlight w:val="none"/>
          <w:vertAlign w:val="superscript"/>
        </w:rPr>
        <w:t>3</w:t>
      </w:r>
      <w:r>
        <w:rPr>
          <w:rFonts w:ascii="Times New Roman" w:hAnsi="Times New Roman" w:eastAsia="宋体"/>
          <w:color w:val="auto"/>
          <w:highlight w:val="none"/>
        </w:rPr>
        <w:t>。由于泥沙沉积，现蓄水能力只有3580万m</w:t>
      </w:r>
      <w:r>
        <w:rPr>
          <w:rFonts w:ascii="Times New Roman" w:hAnsi="Times New Roman" w:eastAsia="宋体"/>
          <w:color w:val="auto"/>
          <w:highlight w:val="none"/>
          <w:vertAlign w:val="superscript"/>
        </w:rPr>
        <w:t>3</w:t>
      </w:r>
      <w:r>
        <w:rPr>
          <w:rFonts w:ascii="Times New Roman" w:hAnsi="Times New Roman" w:eastAsia="宋体"/>
          <w:color w:val="auto"/>
          <w:highlight w:val="none"/>
        </w:rPr>
        <w:t>，主要有白土坑水库、新户坪水库、塔西河水库等。</w:t>
      </w:r>
    </w:p>
    <w:p w14:paraId="714A0277">
      <w:pPr>
        <w:spacing w:line="500" w:lineRule="exact"/>
        <w:ind w:firstLine="476"/>
        <w:rPr>
          <w:rFonts w:ascii="Times New Roman" w:hAnsi="Times New Roman" w:eastAsia="宋体"/>
          <w:color w:val="auto"/>
          <w:highlight w:val="none"/>
        </w:rPr>
      </w:pPr>
      <w:r>
        <w:rPr>
          <w:rFonts w:ascii="Times New Roman" w:hAnsi="Times New Roman" w:eastAsia="宋体"/>
          <w:color w:val="auto"/>
          <w:highlight w:val="none"/>
        </w:rPr>
        <w:t>玛纳斯县地方引用水为玛纳斯河水，多年平均实际引水量1.8亿m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，引水率为76.27%，地方引用塔西河水水量1.38亿m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，引水量为72.3%，清水河及芦草沟是玛纳斯上游支流，灌溉期引用清水河水1.167亿m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，引用率为73.8%。县属可利用地表水总量为4.35亿m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，而实际引用量为3.37亿m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，引用率78.9%。地下水：全县地下水资源总量为1.7484亿m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，可开采量1.6744亿m</w:t>
      </w:r>
      <w:r>
        <w:rPr>
          <w:rFonts w:ascii="Times New Roman" w:hAnsi="Times New Roman" w:eastAsia="宋体"/>
          <w:color w:val="auto"/>
          <w:highlight w:val="none"/>
          <w:vertAlign w:val="superscript"/>
        </w:rPr>
        <w:t>3</w:t>
      </w:r>
      <w:r>
        <w:rPr>
          <w:rFonts w:ascii="Times New Roman" w:hAnsi="Times New Roman" w:eastAsia="宋体"/>
          <w:color w:val="auto"/>
          <w:highlight w:val="none"/>
        </w:rPr>
        <w:t>。</w:t>
      </w:r>
    </w:p>
    <w:p w14:paraId="38A9BE46">
      <w:pPr>
        <w:spacing w:line="500" w:lineRule="exact"/>
        <w:ind w:firstLine="476"/>
        <w:rPr>
          <w:rFonts w:ascii="Times New Roman" w:hAnsi="Times New Roman" w:eastAsia="宋体"/>
          <w:color w:val="auto"/>
          <w:highlight w:val="none"/>
        </w:rPr>
      </w:pPr>
      <w:r>
        <w:rPr>
          <w:rFonts w:ascii="Times New Roman" w:hAnsi="Times New Roman" w:eastAsia="宋体"/>
          <w:color w:val="auto"/>
          <w:highlight w:val="none"/>
        </w:rPr>
        <w:t>地下水流向自西南向北东方向径流，水力坡度4‰左右。</w:t>
      </w:r>
    </w:p>
    <w:p w14:paraId="511E2B90">
      <w:pPr>
        <w:pStyle w:val="5"/>
        <w:rPr>
          <w:rFonts w:ascii="Times New Roman" w:hAnsi="Times New Roman" w:eastAsia="宋体"/>
          <w:color w:val="auto"/>
          <w:highlight w:val="none"/>
        </w:rPr>
      </w:pPr>
      <w:bookmarkStart w:id="161" w:name="_Toc106663484"/>
      <w:r>
        <w:rPr>
          <w:rFonts w:hint="eastAsia" w:ascii="Times New Roman" w:hAnsi="Times New Roman" w:eastAsia="宋体"/>
          <w:color w:val="auto"/>
          <w:highlight w:val="none"/>
        </w:rPr>
        <w:t>4.1.4气候、气象</w:t>
      </w:r>
      <w:bookmarkEnd w:id="161"/>
    </w:p>
    <w:p w14:paraId="2E26C56B">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玛纳斯县位于大陆腹地，年平均气温为2.9℃~6.8℃，极端最高气温为42.0~43.1℃极端最低气温为-38.0~-42.8℃，年较差为43.5~44.7℃。年降水总量为117.2~543.5mm，年蒸发量最高可达1194.4mm。相当于降水量的4~11倍。冬季严寒，夏季酷热，降水少，空气干燥，是典型的大陆性气候。</w:t>
      </w:r>
    </w:p>
    <w:p w14:paraId="24F5859B">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玛纳斯县前山、平原和沙漠地区属于中温带，中山和后山属于寒温带。</w:t>
      </w:r>
    </w:p>
    <w:p w14:paraId="623D86C0">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风速：玛纳斯县各地年平均风速以平原为最大，北部沙漠次之，南部山区最小。从季节变化来看平原和沙漠地区平均风速以春夏秋三季为最大，冬季最小。南部山区平均风速全年各月相差不大。</w:t>
      </w:r>
    </w:p>
    <w:p w14:paraId="12DB35EC">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风向：玛纳斯县各地年最多风向频率，以南部山区为最大，平原次之，沙漠最小。平原和南部山区出现在6-7月。而北部沙漠地区出现在1-3月。</w:t>
      </w:r>
    </w:p>
    <w:p w14:paraId="187B88AB">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最多风向频率的风向，靠近天山北麓的平原1-2月、5-12月和南部山区的1-2月、4-12月均为西南风。这种情况说明在一般天气条件下该地区的风向主要受山谷风的影响。北部沙漠地区除夏季外，一年三季盛行东风，主要是冬季和春秋季该地区经常处在蒙古冷高压的西南侧回流之中。6-7月转为西风，是由于经常处在低压或低槽南部。</w:t>
      </w:r>
    </w:p>
    <w:p w14:paraId="334D62F5">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春夏秋三季在无天气影响情况下风向有明显的日变化，白天刮上山风</w:t>
      </w:r>
      <w:r>
        <w:rPr>
          <w:rFonts w:hint="eastAsia"/>
          <w:color w:val="auto"/>
          <w:szCs w:val="24"/>
          <w:highlight w:val="none"/>
          <w:lang w:eastAsia="zh-CN"/>
        </w:rPr>
        <w:t>（</w:t>
      </w:r>
      <w:r>
        <w:rPr>
          <w:rFonts w:ascii="Times New Roman" w:hAnsi="Times New Roman" w:eastAsia="宋体"/>
          <w:color w:val="auto"/>
          <w:szCs w:val="24"/>
          <w:highlight w:val="none"/>
        </w:rPr>
        <w:t>山风</w:t>
      </w:r>
      <w:r>
        <w:rPr>
          <w:rFonts w:hint="eastAsia"/>
          <w:color w:val="auto"/>
          <w:szCs w:val="24"/>
          <w:highlight w:val="none"/>
          <w:lang w:eastAsia="zh-CN"/>
        </w:rPr>
        <w:t>）</w:t>
      </w:r>
      <w:r>
        <w:rPr>
          <w:rFonts w:ascii="Times New Roman" w:hAnsi="Times New Roman" w:eastAsia="宋体"/>
          <w:color w:val="auto"/>
          <w:szCs w:val="24"/>
          <w:highlight w:val="none"/>
        </w:rPr>
        <w:t>，夜间刮下山风</w:t>
      </w:r>
      <w:r>
        <w:rPr>
          <w:rFonts w:hint="eastAsia"/>
          <w:color w:val="auto"/>
          <w:szCs w:val="24"/>
          <w:highlight w:val="none"/>
          <w:lang w:eastAsia="zh-CN"/>
        </w:rPr>
        <w:t>（</w:t>
      </w:r>
      <w:r>
        <w:rPr>
          <w:rFonts w:ascii="Times New Roman" w:hAnsi="Times New Roman" w:eastAsia="宋体"/>
          <w:color w:val="auto"/>
          <w:szCs w:val="24"/>
          <w:highlight w:val="none"/>
        </w:rPr>
        <w:t>谷风</w:t>
      </w:r>
      <w:r>
        <w:rPr>
          <w:rFonts w:hint="eastAsia"/>
          <w:color w:val="auto"/>
          <w:szCs w:val="24"/>
          <w:highlight w:val="none"/>
          <w:lang w:eastAsia="zh-CN"/>
        </w:rPr>
        <w:t>）</w:t>
      </w:r>
      <w:r>
        <w:rPr>
          <w:rFonts w:ascii="Times New Roman" w:hAnsi="Times New Roman" w:eastAsia="宋体"/>
          <w:color w:val="auto"/>
          <w:szCs w:val="24"/>
          <w:highlight w:val="none"/>
        </w:rPr>
        <w:t>，下山风不但风速大而且出现的次数多。春秋季日变化最为明显，夏季次之，冬季很少出现。春夏秋有日变化，主要是白天沙漠增温很快，空气膨胀，从沙漠中向外流动。夜间沙漠降温快，空气冷却收缩，以及山区空气下滑，向沙漠中心流动造成。冬季沙漠中形成冷湖，温度低日变化小，山区由于逆温比沙漠地区温度高，所以冬季风向日变化不明显。</w:t>
      </w:r>
    </w:p>
    <w:p w14:paraId="7695C040">
      <w:pPr>
        <w:spacing w:line="500" w:lineRule="exact"/>
        <w:ind w:firstLine="480"/>
        <w:rPr>
          <w:rFonts w:ascii="Times New Roman" w:hAnsi="Times New Roman" w:eastAsia="宋体"/>
          <w:color w:val="auto"/>
          <w:szCs w:val="24"/>
          <w:highlight w:val="none"/>
        </w:rPr>
      </w:pPr>
      <w:r>
        <w:rPr>
          <w:rFonts w:ascii="Times New Roman" w:hAnsi="Times New Roman" w:eastAsia="宋体"/>
          <w:color w:val="auto"/>
          <w:szCs w:val="24"/>
          <w:highlight w:val="none"/>
        </w:rPr>
        <w:t>气候属内陆干旱区，根据邻近玛纳斯县气象站资料：</w:t>
      </w:r>
      <w:r>
        <w:rPr>
          <w:rFonts w:hint="eastAsia" w:ascii="Times New Roman" w:hAnsi="Times New Roman" w:eastAsia="宋体"/>
          <w:color w:val="auto"/>
          <w:szCs w:val="24"/>
          <w:highlight w:val="none"/>
          <w:lang w:val="en-US" w:eastAsia="zh-CN"/>
        </w:rPr>
        <w:t>表</w:t>
      </w:r>
      <w:r>
        <w:rPr>
          <w:rFonts w:ascii="Times New Roman" w:hAnsi="Times New Roman" w:eastAsia="宋体"/>
          <w:color w:val="auto"/>
          <w:szCs w:val="24"/>
          <w:highlight w:val="none"/>
        </w:rPr>
        <w:t>4</w:t>
      </w:r>
      <w:r>
        <w:rPr>
          <w:rFonts w:hint="eastAsia" w:ascii="Times New Roman" w:hAnsi="Times New Roman" w:eastAsia="宋体"/>
          <w:color w:val="auto"/>
          <w:szCs w:val="24"/>
          <w:highlight w:val="none"/>
        </w:rPr>
        <w:t>.</w:t>
      </w:r>
      <w:r>
        <w:rPr>
          <w:rFonts w:ascii="Times New Roman" w:hAnsi="Times New Roman" w:eastAsia="宋体"/>
          <w:color w:val="auto"/>
          <w:szCs w:val="24"/>
          <w:highlight w:val="none"/>
        </w:rPr>
        <w:t>1</w:t>
      </w:r>
      <w:r>
        <w:rPr>
          <w:rFonts w:hint="eastAsia" w:ascii="Times New Roman" w:hAnsi="Times New Roman" w:eastAsia="宋体"/>
          <w:color w:val="auto"/>
          <w:szCs w:val="24"/>
          <w:highlight w:val="none"/>
        </w:rPr>
        <w:t>-1。</w:t>
      </w:r>
    </w:p>
    <w:p w14:paraId="0BC10023">
      <w:pPr>
        <w:pStyle w:val="160"/>
        <w:keepNext w:val="0"/>
        <w:keepLines w:val="0"/>
        <w:pageBreakBefore w:val="0"/>
        <w:widowControl w:val="0"/>
        <w:kinsoku/>
        <w:wordWrap/>
        <w:overflowPunct/>
        <w:topLinePunct w:val="0"/>
        <w:autoSpaceDE/>
        <w:autoSpaceDN/>
        <w:bidi w:val="0"/>
        <w:adjustRightInd w:val="0"/>
        <w:snapToGrid/>
        <w:spacing w:line="360" w:lineRule="auto"/>
        <w:ind w:left="0" w:right="0" w:rightChars="0" w:firstLine="0"/>
        <w:jc w:val="center"/>
        <w:textAlignment w:val="baseline"/>
        <w:rPr>
          <w:rFonts w:ascii="Times New Roman" w:hAnsi="Times New Roman" w:eastAsia="宋体"/>
          <w:b/>
          <w:bCs/>
          <w:color w:val="auto"/>
          <w:highlight w:val="none"/>
        </w:rPr>
      </w:pPr>
      <w:r>
        <w:rPr>
          <w:rFonts w:hint="eastAsia" w:ascii="Times New Roman" w:hAnsi="Times New Roman" w:eastAsia="宋体" w:cs="宋体"/>
          <w:b/>
          <w:bCs/>
          <w:color w:val="auto"/>
          <w:highlight w:val="none"/>
        </w:rPr>
        <w:t>表</w:t>
      </w:r>
      <w:r>
        <w:rPr>
          <w:rFonts w:ascii="Times New Roman" w:hAnsi="Times New Roman" w:eastAsia="宋体"/>
          <w:b/>
          <w:bCs/>
          <w:color w:val="auto"/>
          <w:highlight w:val="none"/>
        </w:rPr>
        <w:t>4</w:t>
      </w:r>
      <w:r>
        <w:rPr>
          <w:rFonts w:hint="eastAsia" w:ascii="Times New Roman" w:hAnsi="Times New Roman" w:eastAsia="宋体"/>
          <w:b/>
          <w:bCs/>
          <w:color w:val="auto"/>
          <w:highlight w:val="none"/>
        </w:rPr>
        <w:t>.</w:t>
      </w:r>
      <w:r>
        <w:rPr>
          <w:rFonts w:ascii="Times New Roman" w:hAnsi="Times New Roman" w:eastAsia="宋体"/>
          <w:b/>
          <w:bCs/>
          <w:color w:val="auto"/>
          <w:highlight w:val="none"/>
        </w:rPr>
        <w:t>1</w:t>
      </w:r>
      <w:r>
        <w:rPr>
          <w:rFonts w:hint="eastAsia" w:ascii="Times New Roman" w:hAnsi="Times New Roman" w:eastAsia="宋体"/>
          <w:b/>
          <w:bCs/>
          <w:color w:val="auto"/>
          <w:highlight w:val="none"/>
        </w:rPr>
        <w:t>-1</w:t>
      </w:r>
      <w:r>
        <w:rPr>
          <w:rFonts w:hint="eastAsia" w:ascii="Times New Roman" w:hAnsi="Times New Roman" w:eastAsia="宋体" w:cs="宋体"/>
          <w:b/>
          <w:bCs/>
          <w:color w:val="auto"/>
          <w:highlight w:val="none"/>
        </w:rPr>
        <w:t>项目所在地区域主要气象要素表</w:t>
      </w:r>
    </w:p>
    <w:tbl>
      <w:tblPr>
        <w:tblStyle w:val="176"/>
        <w:tblW w:w="4999" w:type="pct"/>
        <w:jc w:val="center"/>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autofit"/>
        <w:tblCellMar>
          <w:top w:w="0" w:type="dxa"/>
          <w:left w:w="0" w:type="dxa"/>
          <w:bottom w:w="0" w:type="dxa"/>
          <w:right w:w="0" w:type="dxa"/>
        </w:tblCellMar>
      </w:tblPr>
      <w:tblGrid>
        <w:gridCol w:w="4013"/>
        <w:gridCol w:w="4301"/>
      </w:tblGrid>
      <w:tr w14:paraId="02D828FA">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54"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14:paraId="3A9CFECD">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年平均风速：</w:t>
            </w:r>
          </w:p>
        </w:tc>
        <w:tc>
          <w:tcPr>
            <w:tcW w:w="2586" w:type="pct"/>
            <w:tcBorders>
              <w:top w:val="single" w:color="auto" w:sz="4" w:space="0"/>
              <w:left w:val="single" w:color="auto" w:sz="4" w:space="0"/>
              <w:bottom w:val="single" w:color="auto" w:sz="4" w:space="0"/>
              <w:right w:val="single" w:color="auto" w:sz="4" w:space="0"/>
            </w:tcBorders>
            <w:vAlign w:val="top"/>
          </w:tcPr>
          <w:p w14:paraId="6F5EC695">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4"/>
                <w:highlight w:val="none"/>
              </w:rPr>
            </w:pPr>
            <w:r>
              <w:rPr>
                <w:rFonts w:ascii="Times New Roman" w:hAnsi="Times New Roman" w:eastAsia="宋体" w:cs="Times New Roman"/>
                <w:color w:val="auto"/>
                <w:spacing w:val="0"/>
                <w:sz w:val="21"/>
                <w:szCs w:val="24"/>
                <w:highlight w:val="none"/>
              </w:rPr>
              <w:t>2.6m/s</w:t>
            </w:r>
          </w:p>
        </w:tc>
      </w:tr>
      <w:tr w14:paraId="34C63CBF">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14:paraId="4C0C6F4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主导风向：</w:t>
            </w:r>
          </w:p>
        </w:tc>
        <w:tc>
          <w:tcPr>
            <w:tcW w:w="2586" w:type="pct"/>
            <w:tcBorders>
              <w:top w:val="single" w:color="auto" w:sz="4" w:space="0"/>
              <w:left w:val="single" w:color="auto" w:sz="4" w:space="0"/>
              <w:bottom w:val="single" w:color="auto" w:sz="4" w:space="0"/>
              <w:right w:val="single" w:color="auto" w:sz="4" w:space="0"/>
            </w:tcBorders>
            <w:vAlign w:val="top"/>
          </w:tcPr>
          <w:p w14:paraId="18AA4EB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hint="eastAsia" w:ascii="Times New Roman" w:hAnsi="Times New Roman" w:eastAsia="宋体" w:cs="宋体"/>
                <w:color w:val="auto"/>
                <w:spacing w:val="0"/>
                <w:sz w:val="21"/>
                <w:szCs w:val="22"/>
                <w:highlight w:val="none"/>
                <w:lang w:eastAsia="zh-CN"/>
              </w:rPr>
            </w:pPr>
            <w:r>
              <w:rPr>
                <w:rFonts w:ascii="Times New Roman" w:hAnsi="Times New Roman" w:eastAsia="宋体" w:cs="Times New Roman"/>
                <w:color w:val="auto"/>
                <w:spacing w:val="0"/>
                <w:sz w:val="21"/>
                <w:szCs w:val="22"/>
                <w:highlight w:val="none"/>
              </w:rPr>
              <w:t>SW</w:t>
            </w:r>
            <w:r>
              <w:rPr>
                <w:rFonts w:hint="eastAsia" w:cs="宋体"/>
                <w:color w:val="auto"/>
                <w:spacing w:val="0"/>
                <w:sz w:val="21"/>
                <w:szCs w:val="22"/>
                <w:highlight w:val="none"/>
                <w:lang w:eastAsia="zh-CN"/>
              </w:rPr>
              <w:t>（</w:t>
            </w:r>
            <w:r>
              <w:rPr>
                <w:rFonts w:ascii="Times New Roman" w:hAnsi="Times New Roman" w:eastAsia="宋体" w:cs="宋体"/>
                <w:color w:val="auto"/>
                <w:spacing w:val="0"/>
                <w:sz w:val="21"/>
                <w:szCs w:val="22"/>
                <w:highlight w:val="none"/>
              </w:rPr>
              <w:t>频率</w:t>
            </w:r>
            <w:r>
              <w:rPr>
                <w:rFonts w:ascii="Times New Roman" w:hAnsi="Times New Roman" w:eastAsia="宋体" w:cs="Times New Roman"/>
                <w:color w:val="auto"/>
                <w:spacing w:val="0"/>
                <w:sz w:val="21"/>
                <w:szCs w:val="22"/>
                <w:highlight w:val="none"/>
              </w:rPr>
              <w:t>16%</w:t>
            </w:r>
            <w:r>
              <w:rPr>
                <w:rFonts w:hint="eastAsia" w:cs="宋体"/>
                <w:color w:val="auto"/>
                <w:spacing w:val="0"/>
                <w:sz w:val="21"/>
                <w:szCs w:val="22"/>
                <w:highlight w:val="none"/>
                <w:lang w:eastAsia="zh-CN"/>
              </w:rPr>
              <w:t>）</w:t>
            </w:r>
          </w:p>
        </w:tc>
      </w:tr>
      <w:tr w14:paraId="4249F508">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14:paraId="112390E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年均温度：</w:t>
            </w:r>
          </w:p>
        </w:tc>
        <w:tc>
          <w:tcPr>
            <w:tcW w:w="2586" w:type="pct"/>
            <w:tcBorders>
              <w:top w:val="single" w:color="auto" w:sz="4" w:space="0"/>
              <w:left w:val="single" w:color="auto" w:sz="4" w:space="0"/>
              <w:bottom w:val="single" w:color="auto" w:sz="4" w:space="0"/>
              <w:right w:val="single" w:color="auto" w:sz="4" w:space="0"/>
            </w:tcBorders>
            <w:vAlign w:val="top"/>
          </w:tcPr>
          <w:p w14:paraId="0418998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Times New Roman"/>
                <w:color w:val="auto"/>
                <w:spacing w:val="0"/>
                <w:sz w:val="21"/>
                <w:szCs w:val="24"/>
                <w:highlight w:val="none"/>
              </w:rPr>
              <w:t>6.8</w:t>
            </w:r>
            <w:r>
              <w:rPr>
                <w:rFonts w:ascii="Times New Roman" w:hAnsi="Times New Roman" w:eastAsia="宋体" w:cs="宋体"/>
                <w:color w:val="auto"/>
                <w:spacing w:val="0"/>
                <w:sz w:val="21"/>
                <w:szCs w:val="24"/>
                <w:highlight w:val="none"/>
              </w:rPr>
              <w:t>℃</w:t>
            </w:r>
          </w:p>
        </w:tc>
      </w:tr>
      <w:tr w14:paraId="2270D160">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14:paraId="03C773C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绝对最高温度：</w:t>
            </w:r>
          </w:p>
        </w:tc>
        <w:tc>
          <w:tcPr>
            <w:tcW w:w="2586" w:type="pct"/>
            <w:tcBorders>
              <w:top w:val="single" w:color="auto" w:sz="4" w:space="0"/>
              <w:left w:val="single" w:color="auto" w:sz="4" w:space="0"/>
              <w:bottom w:val="single" w:color="auto" w:sz="4" w:space="0"/>
              <w:right w:val="single" w:color="auto" w:sz="4" w:space="0"/>
            </w:tcBorders>
            <w:vAlign w:val="top"/>
          </w:tcPr>
          <w:p w14:paraId="27765F4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Times New Roman"/>
                <w:color w:val="auto"/>
                <w:spacing w:val="0"/>
                <w:sz w:val="21"/>
                <w:szCs w:val="24"/>
                <w:highlight w:val="none"/>
              </w:rPr>
              <w:t>42</w:t>
            </w:r>
            <w:r>
              <w:rPr>
                <w:rFonts w:ascii="Times New Roman" w:hAnsi="Times New Roman" w:eastAsia="宋体" w:cs="宋体"/>
                <w:color w:val="auto"/>
                <w:spacing w:val="0"/>
                <w:sz w:val="21"/>
                <w:szCs w:val="24"/>
                <w:highlight w:val="none"/>
              </w:rPr>
              <w:t>℃</w:t>
            </w:r>
          </w:p>
        </w:tc>
      </w:tr>
      <w:tr w14:paraId="70A95A4B">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14:paraId="0555924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绝对最低温度：</w:t>
            </w:r>
          </w:p>
        </w:tc>
        <w:tc>
          <w:tcPr>
            <w:tcW w:w="2586" w:type="pct"/>
            <w:tcBorders>
              <w:top w:val="single" w:color="auto" w:sz="4" w:space="0"/>
              <w:left w:val="single" w:color="auto" w:sz="4" w:space="0"/>
              <w:bottom w:val="single" w:color="auto" w:sz="4" w:space="0"/>
              <w:right w:val="single" w:color="auto" w:sz="4" w:space="0"/>
            </w:tcBorders>
            <w:vAlign w:val="top"/>
          </w:tcPr>
          <w:p w14:paraId="3E17C99B">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Times New Roman"/>
                <w:color w:val="auto"/>
                <w:spacing w:val="0"/>
                <w:sz w:val="21"/>
                <w:szCs w:val="24"/>
                <w:highlight w:val="none"/>
              </w:rPr>
              <w:t>-36.8</w:t>
            </w:r>
            <w:r>
              <w:rPr>
                <w:rFonts w:ascii="Times New Roman" w:hAnsi="Times New Roman" w:eastAsia="宋体" w:cs="宋体"/>
                <w:color w:val="auto"/>
                <w:spacing w:val="0"/>
                <w:sz w:val="21"/>
                <w:szCs w:val="24"/>
                <w:highlight w:val="none"/>
              </w:rPr>
              <w:t>℃</w:t>
            </w:r>
          </w:p>
        </w:tc>
      </w:tr>
      <w:tr w14:paraId="46948C50">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14:paraId="368DE53A">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年均降水量：</w:t>
            </w:r>
          </w:p>
        </w:tc>
        <w:tc>
          <w:tcPr>
            <w:tcW w:w="2586" w:type="pct"/>
            <w:tcBorders>
              <w:top w:val="single" w:color="auto" w:sz="4" w:space="0"/>
              <w:left w:val="single" w:color="auto" w:sz="4" w:space="0"/>
              <w:bottom w:val="single" w:color="auto" w:sz="4" w:space="0"/>
              <w:right w:val="single" w:color="auto" w:sz="4" w:space="0"/>
            </w:tcBorders>
            <w:vAlign w:val="top"/>
          </w:tcPr>
          <w:p w14:paraId="788DC49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4"/>
                <w:highlight w:val="none"/>
              </w:rPr>
            </w:pPr>
            <w:r>
              <w:rPr>
                <w:rFonts w:ascii="Times New Roman" w:hAnsi="Times New Roman" w:eastAsia="宋体" w:cs="Times New Roman"/>
                <w:color w:val="auto"/>
                <w:spacing w:val="0"/>
                <w:sz w:val="21"/>
                <w:szCs w:val="24"/>
                <w:highlight w:val="none"/>
              </w:rPr>
              <w:t>164.5mm</w:t>
            </w:r>
          </w:p>
        </w:tc>
      </w:tr>
      <w:tr w14:paraId="14E5A00C">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14:paraId="773F486F">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年均蒸发量：</w:t>
            </w:r>
          </w:p>
        </w:tc>
        <w:tc>
          <w:tcPr>
            <w:tcW w:w="2586" w:type="pct"/>
            <w:tcBorders>
              <w:top w:val="single" w:color="auto" w:sz="4" w:space="0"/>
              <w:left w:val="single" w:color="auto" w:sz="4" w:space="0"/>
              <w:bottom w:val="single" w:color="auto" w:sz="4" w:space="0"/>
              <w:right w:val="single" w:color="auto" w:sz="4" w:space="0"/>
            </w:tcBorders>
            <w:vAlign w:val="top"/>
          </w:tcPr>
          <w:p w14:paraId="611B9A0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4"/>
                <w:highlight w:val="none"/>
              </w:rPr>
            </w:pPr>
            <w:r>
              <w:rPr>
                <w:rFonts w:ascii="Times New Roman" w:hAnsi="Times New Roman" w:eastAsia="宋体" w:cs="Times New Roman"/>
                <w:color w:val="auto"/>
                <w:spacing w:val="0"/>
                <w:sz w:val="21"/>
                <w:szCs w:val="24"/>
                <w:highlight w:val="none"/>
              </w:rPr>
              <w:t>1778.9mm</w:t>
            </w:r>
          </w:p>
        </w:tc>
      </w:tr>
      <w:tr w14:paraId="19663B1D">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468"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14:paraId="52C08EF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最大积雪厚度：</w:t>
            </w:r>
          </w:p>
        </w:tc>
        <w:tc>
          <w:tcPr>
            <w:tcW w:w="2586" w:type="pct"/>
            <w:tcBorders>
              <w:top w:val="single" w:color="auto" w:sz="4" w:space="0"/>
              <w:left w:val="single" w:color="auto" w:sz="4" w:space="0"/>
              <w:bottom w:val="single" w:color="auto" w:sz="4" w:space="0"/>
              <w:right w:val="single" w:color="auto" w:sz="4" w:space="0"/>
            </w:tcBorders>
            <w:vAlign w:val="top"/>
          </w:tcPr>
          <w:p w14:paraId="34BC841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4"/>
                <w:highlight w:val="none"/>
              </w:rPr>
            </w:pPr>
            <w:r>
              <w:rPr>
                <w:rFonts w:ascii="Times New Roman" w:hAnsi="Times New Roman" w:eastAsia="宋体" w:cs="Times New Roman"/>
                <w:color w:val="auto"/>
                <w:spacing w:val="0"/>
                <w:sz w:val="21"/>
                <w:szCs w:val="24"/>
                <w:highlight w:val="none"/>
              </w:rPr>
              <w:t>400mm</w:t>
            </w:r>
          </w:p>
        </w:tc>
      </w:tr>
      <w:tr w14:paraId="616F8CCD">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54" w:hRule="atLeast"/>
          <w:jc w:val="center"/>
        </w:trPr>
        <w:tc>
          <w:tcPr>
            <w:tcW w:w="2413" w:type="pct"/>
            <w:tcBorders>
              <w:top w:val="single" w:color="auto" w:sz="4" w:space="0"/>
              <w:left w:val="single" w:color="auto" w:sz="4" w:space="0"/>
              <w:bottom w:val="single" w:color="auto" w:sz="4" w:space="0"/>
              <w:right w:val="single" w:color="auto" w:sz="4" w:space="0"/>
            </w:tcBorders>
            <w:vAlign w:val="top"/>
          </w:tcPr>
          <w:p w14:paraId="16ECC919">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4"/>
                <w:highlight w:val="none"/>
              </w:rPr>
            </w:pPr>
            <w:r>
              <w:rPr>
                <w:rFonts w:ascii="Times New Roman" w:hAnsi="Times New Roman" w:eastAsia="宋体" w:cs="宋体"/>
                <w:color w:val="auto"/>
                <w:spacing w:val="0"/>
                <w:sz w:val="21"/>
                <w:szCs w:val="24"/>
                <w:highlight w:val="none"/>
              </w:rPr>
              <w:t>最大冻土厚度：</w:t>
            </w:r>
          </w:p>
        </w:tc>
        <w:tc>
          <w:tcPr>
            <w:tcW w:w="2586" w:type="pct"/>
            <w:tcBorders>
              <w:top w:val="single" w:color="auto" w:sz="4" w:space="0"/>
              <w:left w:val="single" w:color="auto" w:sz="4" w:space="0"/>
              <w:bottom w:val="single" w:color="auto" w:sz="4" w:space="0"/>
              <w:right w:val="single" w:color="auto" w:sz="4" w:space="0"/>
            </w:tcBorders>
            <w:vAlign w:val="top"/>
          </w:tcPr>
          <w:p w14:paraId="40B0134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Times New Roman"/>
                <w:color w:val="auto"/>
                <w:spacing w:val="0"/>
                <w:sz w:val="21"/>
                <w:szCs w:val="24"/>
                <w:highlight w:val="none"/>
              </w:rPr>
            </w:pPr>
            <w:r>
              <w:rPr>
                <w:rFonts w:ascii="Times New Roman" w:hAnsi="Times New Roman" w:eastAsia="宋体" w:cs="Times New Roman"/>
                <w:color w:val="auto"/>
                <w:spacing w:val="0"/>
                <w:sz w:val="21"/>
                <w:szCs w:val="24"/>
                <w:highlight w:val="none"/>
              </w:rPr>
              <w:t>125cm</w:t>
            </w:r>
          </w:p>
        </w:tc>
      </w:tr>
    </w:tbl>
    <w:p w14:paraId="207467AD">
      <w:pPr>
        <w:keepNext w:val="0"/>
        <w:keepLines w:val="0"/>
        <w:pageBreakBefore w:val="0"/>
        <w:widowControl w:val="0"/>
        <w:kinsoku/>
        <w:wordWrap/>
        <w:overflowPunct/>
        <w:topLinePunct w:val="0"/>
        <w:autoSpaceDE/>
        <w:autoSpaceDN/>
        <w:bidi w:val="0"/>
        <w:snapToGrid/>
        <w:spacing w:line="480" w:lineRule="exact"/>
        <w:ind w:left="0" w:right="0" w:rightChars="0" w:firstLine="562" w:firstLineChars="200"/>
        <w:jc w:val="both"/>
        <w:outlineLvl w:val="9"/>
        <w:rPr>
          <w:rFonts w:hint="eastAsia" w:ascii="Times New Roman" w:hAnsi="Times New Roman" w:eastAsia="宋体" w:cs="Times New Roman"/>
          <w:b/>
          <w:bCs/>
          <w:color w:val="auto"/>
          <w:sz w:val="28"/>
          <w:szCs w:val="32"/>
          <w:highlight w:val="none"/>
          <w:lang w:val="en-US" w:eastAsia="zh-CN" w:bidi="ar-SA"/>
        </w:rPr>
      </w:pPr>
      <w:r>
        <w:rPr>
          <w:rFonts w:hint="eastAsia" w:ascii="Times New Roman" w:hAnsi="Times New Roman" w:eastAsia="宋体" w:cs="Times New Roman"/>
          <w:b/>
          <w:bCs/>
          <w:color w:val="auto"/>
          <w:sz w:val="28"/>
          <w:szCs w:val="32"/>
          <w:highlight w:val="none"/>
          <w:lang w:val="en-US" w:eastAsia="zh-CN" w:bidi="ar-SA"/>
        </w:rPr>
        <w:t>4.1.5自然资源</w:t>
      </w:r>
    </w:p>
    <w:p w14:paraId="24AF2CBA">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hint="eastAsia" w:cs="宋体"/>
          <w:b w:val="0"/>
          <w:color w:val="auto"/>
          <w:spacing w:val="0"/>
          <w:position w:val="0"/>
          <w:sz w:val="24"/>
          <w:szCs w:val="24"/>
          <w:highlight w:val="none"/>
          <w:lang w:eastAsia="zh-CN"/>
        </w:rPr>
        <w:t>（</w:t>
      </w:r>
      <w:r>
        <w:rPr>
          <w:rFonts w:ascii="Times New Roman" w:hAnsi="Times New Roman" w:eastAsia="宋体" w:cs="Times New Roman"/>
          <w:b w:val="0"/>
          <w:color w:val="auto"/>
          <w:spacing w:val="0"/>
          <w:position w:val="0"/>
          <w:sz w:val="24"/>
          <w:szCs w:val="24"/>
          <w:highlight w:val="none"/>
        </w:rPr>
        <w:t>1</w:t>
      </w:r>
      <w:r>
        <w:rPr>
          <w:rFonts w:hint="eastAsia" w:cs="宋体"/>
          <w:b w:val="0"/>
          <w:color w:val="auto"/>
          <w:spacing w:val="0"/>
          <w:position w:val="0"/>
          <w:sz w:val="24"/>
          <w:szCs w:val="24"/>
          <w:highlight w:val="none"/>
          <w:lang w:eastAsia="zh-CN"/>
        </w:rPr>
        <w:t>）</w:t>
      </w:r>
      <w:r>
        <w:rPr>
          <w:rFonts w:ascii="Times New Roman" w:hAnsi="Times New Roman" w:eastAsia="宋体" w:cs="宋体"/>
          <w:b w:val="0"/>
          <w:color w:val="auto"/>
          <w:spacing w:val="0"/>
          <w:position w:val="0"/>
          <w:sz w:val="24"/>
          <w:szCs w:val="24"/>
          <w:highlight w:val="none"/>
        </w:rPr>
        <w:t>森林资源</w:t>
      </w:r>
    </w:p>
    <w:p w14:paraId="40C53E57">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ascii="Times New Roman" w:hAnsi="Times New Roman" w:eastAsia="宋体" w:cs="宋体"/>
          <w:b w:val="0"/>
          <w:color w:val="auto"/>
          <w:spacing w:val="0"/>
          <w:position w:val="0"/>
          <w:sz w:val="24"/>
          <w:szCs w:val="24"/>
          <w:highlight w:val="none"/>
        </w:rPr>
        <w:t>玛纳斯县森林资源由南部山区天然林，中部平原人工林，北部沙漠灌木林三部分组成。南部山区自然分布以云杉林为主的针叶林，另有少量的落叶松、密叶杨、桦树、天山花楸。灌木有山柳、忍冬、水荀、锦鸡儿、野蔷薇等。南部山地森林总面积</w:t>
      </w:r>
      <w:r>
        <w:rPr>
          <w:rFonts w:ascii="Times New Roman" w:hAnsi="Times New Roman" w:eastAsia="宋体" w:cs="Times New Roman"/>
          <w:b w:val="0"/>
          <w:color w:val="auto"/>
          <w:spacing w:val="0"/>
          <w:position w:val="0"/>
          <w:sz w:val="24"/>
          <w:szCs w:val="24"/>
          <w:highlight w:val="none"/>
        </w:rPr>
        <w:t>60086hm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，林业用地</w:t>
      </w:r>
      <w:r>
        <w:rPr>
          <w:rFonts w:ascii="Times New Roman" w:hAnsi="Times New Roman" w:eastAsia="宋体" w:cs="Times New Roman"/>
          <w:b w:val="0"/>
          <w:color w:val="auto"/>
          <w:spacing w:val="0"/>
          <w:position w:val="0"/>
          <w:sz w:val="24"/>
          <w:szCs w:val="24"/>
          <w:highlight w:val="none"/>
        </w:rPr>
        <w:t>25710hm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，其中林地面积</w:t>
      </w:r>
      <w:r>
        <w:rPr>
          <w:rFonts w:ascii="Times New Roman" w:hAnsi="Times New Roman" w:eastAsia="宋体" w:cs="Times New Roman"/>
          <w:b w:val="0"/>
          <w:color w:val="auto"/>
          <w:spacing w:val="0"/>
          <w:position w:val="0"/>
          <w:sz w:val="24"/>
          <w:szCs w:val="24"/>
          <w:highlight w:val="none"/>
        </w:rPr>
        <w:t>5220hm</w:t>
      </w:r>
      <w:r>
        <w:rPr>
          <w:rFonts w:hint="eastAsia" w:ascii="Times New Roman" w:hAnsi="Times New Roman" w:eastAsia="宋体" w:cs="Times New Roman"/>
          <w:b w:val="0"/>
          <w:color w:val="auto"/>
          <w:spacing w:val="0"/>
          <w:position w:val="0"/>
          <w:sz w:val="24"/>
          <w:szCs w:val="24"/>
          <w:highlight w:val="none"/>
          <w:vertAlign w:val="superscript"/>
          <w:lang w:val="en-US" w:eastAsia="zh-CN"/>
        </w:rPr>
        <w:t>2</w:t>
      </w:r>
      <w:r>
        <w:rPr>
          <w:rFonts w:ascii="Times New Roman" w:hAnsi="Times New Roman" w:eastAsia="宋体" w:cs="宋体"/>
          <w:b w:val="0"/>
          <w:color w:val="auto"/>
          <w:spacing w:val="0"/>
          <w:position w:val="0"/>
          <w:sz w:val="24"/>
          <w:szCs w:val="24"/>
          <w:highlight w:val="none"/>
        </w:rPr>
        <w:t>，未成林造林面积</w:t>
      </w:r>
      <w:r>
        <w:rPr>
          <w:rFonts w:ascii="Times New Roman" w:hAnsi="Times New Roman" w:eastAsia="宋体" w:cs="Times New Roman"/>
          <w:b w:val="0"/>
          <w:color w:val="auto"/>
          <w:spacing w:val="0"/>
          <w:position w:val="0"/>
          <w:sz w:val="24"/>
          <w:szCs w:val="24"/>
          <w:highlight w:val="none"/>
        </w:rPr>
        <w:t>1019hm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，苗圃地面积</w:t>
      </w:r>
      <w:r>
        <w:rPr>
          <w:rFonts w:ascii="Times New Roman" w:hAnsi="Times New Roman" w:eastAsia="宋体" w:cs="Times New Roman"/>
          <w:b w:val="0"/>
          <w:color w:val="auto"/>
          <w:spacing w:val="0"/>
          <w:position w:val="0"/>
          <w:sz w:val="24"/>
          <w:szCs w:val="24"/>
          <w:highlight w:val="none"/>
        </w:rPr>
        <w:t>4hm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，宜林地面积</w:t>
      </w:r>
      <w:r>
        <w:rPr>
          <w:rFonts w:ascii="Times New Roman" w:hAnsi="Times New Roman" w:eastAsia="宋体" w:cs="Times New Roman"/>
          <w:b w:val="0"/>
          <w:color w:val="auto"/>
          <w:spacing w:val="0"/>
          <w:position w:val="0"/>
          <w:sz w:val="24"/>
          <w:szCs w:val="24"/>
          <w:highlight w:val="none"/>
        </w:rPr>
        <w:t>1558hm</w:t>
      </w:r>
      <w:r>
        <w:rPr>
          <w:rFonts w:hint="eastAsia" w:ascii="Times New Roman" w:hAnsi="Times New Roman" w:eastAsia="宋体" w:cs="Times New Roman"/>
          <w:b w:val="0"/>
          <w:color w:val="auto"/>
          <w:spacing w:val="0"/>
          <w:position w:val="0"/>
          <w:sz w:val="24"/>
          <w:szCs w:val="15"/>
          <w:highlight w:val="none"/>
          <w:lang w:val="en-US" w:eastAsia="zh-CN"/>
        </w:rPr>
        <w:t>+</w:t>
      </w:r>
      <w:r>
        <w:rPr>
          <w:rFonts w:ascii="Times New Roman" w:hAnsi="Times New Roman" w:eastAsia="宋体" w:cs="宋体"/>
          <w:b w:val="0"/>
          <w:color w:val="auto"/>
          <w:spacing w:val="0"/>
          <w:position w:val="0"/>
          <w:sz w:val="24"/>
          <w:szCs w:val="24"/>
          <w:highlight w:val="none"/>
        </w:rPr>
        <w:t>；森林总蓄积</w:t>
      </w:r>
      <w:r>
        <w:rPr>
          <w:rFonts w:ascii="Times New Roman" w:hAnsi="Times New Roman" w:eastAsia="宋体" w:cs="Times New Roman"/>
          <w:b w:val="0"/>
          <w:color w:val="auto"/>
          <w:spacing w:val="0"/>
          <w:position w:val="0"/>
          <w:sz w:val="24"/>
          <w:szCs w:val="24"/>
          <w:highlight w:val="none"/>
        </w:rPr>
        <w:t>3229052m</w:t>
      </w:r>
      <w:r>
        <w:rPr>
          <w:rFonts w:hint="eastAsia" w:ascii="Times New Roman" w:hAnsi="Times New Roman" w:eastAsia="宋体" w:cs="Times New Roman"/>
          <w:b w:val="0"/>
          <w:color w:val="auto"/>
          <w:spacing w:val="0"/>
          <w:position w:val="0"/>
          <w:sz w:val="24"/>
          <w:szCs w:val="24"/>
          <w:highlight w:val="none"/>
          <w:vertAlign w:val="superscript"/>
          <w:lang w:val="en-US" w:eastAsia="zh-CN"/>
        </w:rPr>
        <w:t>2</w:t>
      </w:r>
      <w:r>
        <w:rPr>
          <w:rFonts w:ascii="Times New Roman" w:hAnsi="Times New Roman" w:eastAsia="宋体" w:cs="宋体"/>
          <w:b w:val="0"/>
          <w:color w:val="auto"/>
          <w:spacing w:val="0"/>
          <w:position w:val="0"/>
          <w:sz w:val="24"/>
          <w:szCs w:val="24"/>
          <w:highlight w:val="none"/>
        </w:rPr>
        <w:t>。有林地蓄积</w:t>
      </w:r>
      <w:r>
        <w:rPr>
          <w:rFonts w:ascii="Times New Roman" w:hAnsi="Times New Roman" w:eastAsia="宋体" w:cs="Times New Roman"/>
          <w:b w:val="0"/>
          <w:color w:val="auto"/>
          <w:spacing w:val="0"/>
          <w:position w:val="0"/>
          <w:sz w:val="24"/>
          <w:szCs w:val="24"/>
          <w:highlight w:val="none"/>
        </w:rPr>
        <w:t>2866871m</w:t>
      </w:r>
      <w:r>
        <w:rPr>
          <w:rFonts w:ascii="Times New Roman" w:hAnsi="Times New Roman" w:eastAsia="宋体" w:cs="Times New Roman"/>
          <w:b w:val="0"/>
          <w:color w:val="auto"/>
          <w:spacing w:val="0"/>
          <w:position w:val="0"/>
          <w:sz w:val="24"/>
          <w:szCs w:val="15"/>
          <w:highlight w:val="none"/>
          <w:vertAlign w:val="superscript"/>
        </w:rPr>
        <w:t>3</w:t>
      </w:r>
      <w:r>
        <w:rPr>
          <w:rFonts w:ascii="Times New Roman" w:hAnsi="Times New Roman" w:eastAsia="宋体" w:cs="宋体"/>
          <w:b w:val="0"/>
          <w:color w:val="auto"/>
          <w:spacing w:val="0"/>
          <w:position w:val="0"/>
          <w:sz w:val="24"/>
          <w:szCs w:val="24"/>
          <w:highlight w:val="none"/>
        </w:rPr>
        <w:t>，疏林地蓄积</w:t>
      </w:r>
      <w:r>
        <w:rPr>
          <w:rFonts w:ascii="Times New Roman" w:hAnsi="Times New Roman" w:eastAsia="宋体" w:cs="Times New Roman"/>
          <w:b w:val="0"/>
          <w:color w:val="auto"/>
          <w:spacing w:val="0"/>
          <w:position w:val="0"/>
          <w:sz w:val="24"/>
          <w:szCs w:val="24"/>
          <w:highlight w:val="none"/>
        </w:rPr>
        <w:t>347898m</w:t>
      </w:r>
      <w:r>
        <w:rPr>
          <w:rFonts w:ascii="Times New Roman" w:hAnsi="Times New Roman" w:eastAsia="宋体" w:cs="Times New Roman"/>
          <w:b w:val="0"/>
          <w:color w:val="auto"/>
          <w:spacing w:val="0"/>
          <w:position w:val="0"/>
          <w:sz w:val="24"/>
          <w:szCs w:val="15"/>
          <w:highlight w:val="none"/>
          <w:vertAlign w:val="superscript"/>
        </w:rPr>
        <w:t>3</w:t>
      </w:r>
      <w:r>
        <w:rPr>
          <w:rFonts w:ascii="Times New Roman" w:hAnsi="Times New Roman" w:eastAsia="宋体" w:cs="宋体"/>
          <w:b w:val="0"/>
          <w:color w:val="auto"/>
          <w:spacing w:val="0"/>
          <w:position w:val="0"/>
          <w:sz w:val="24"/>
          <w:szCs w:val="24"/>
          <w:highlight w:val="none"/>
        </w:rPr>
        <w:t>，散生木蓄积</w:t>
      </w:r>
      <w:r>
        <w:rPr>
          <w:rFonts w:ascii="Times New Roman" w:hAnsi="Times New Roman" w:eastAsia="宋体" w:cs="Times New Roman"/>
          <w:b w:val="0"/>
          <w:color w:val="auto"/>
          <w:spacing w:val="0"/>
          <w:position w:val="0"/>
          <w:sz w:val="24"/>
          <w:szCs w:val="24"/>
          <w:highlight w:val="none"/>
        </w:rPr>
        <w:t>14283m</w:t>
      </w:r>
      <w:r>
        <w:rPr>
          <w:rFonts w:ascii="Times New Roman" w:hAnsi="Times New Roman" w:eastAsia="宋体" w:cs="Times New Roman"/>
          <w:b w:val="0"/>
          <w:color w:val="auto"/>
          <w:spacing w:val="0"/>
          <w:position w:val="0"/>
          <w:sz w:val="24"/>
          <w:szCs w:val="15"/>
          <w:highlight w:val="none"/>
          <w:vertAlign w:val="superscript"/>
        </w:rPr>
        <w:t>3</w:t>
      </w:r>
      <w:r>
        <w:rPr>
          <w:rFonts w:ascii="Times New Roman" w:hAnsi="Times New Roman" w:eastAsia="宋体" w:cs="宋体"/>
          <w:b w:val="0"/>
          <w:color w:val="auto"/>
          <w:spacing w:val="0"/>
          <w:position w:val="0"/>
          <w:sz w:val="24"/>
          <w:szCs w:val="24"/>
          <w:highlight w:val="none"/>
        </w:rPr>
        <w:t>。另外，还有</w:t>
      </w:r>
      <w:r>
        <w:rPr>
          <w:rFonts w:ascii="Times New Roman" w:hAnsi="Times New Roman" w:eastAsia="宋体" w:cs="Times New Roman"/>
          <w:b w:val="0"/>
          <w:color w:val="auto"/>
          <w:spacing w:val="0"/>
          <w:position w:val="0"/>
          <w:sz w:val="24"/>
          <w:szCs w:val="24"/>
          <w:highlight w:val="none"/>
        </w:rPr>
        <w:t>1562.2hm</w:t>
      </w:r>
      <w:r>
        <w:rPr>
          <w:rFonts w:hint="eastAsia" w:ascii="Times New Roman" w:hAnsi="Times New Roman" w:eastAsia="宋体" w:cs="Times New Roman"/>
          <w:b w:val="0"/>
          <w:color w:val="auto"/>
          <w:spacing w:val="0"/>
          <w:position w:val="0"/>
          <w:sz w:val="24"/>
          <w:szCs w:val="24"/>
          <w:highlight w:val="none"/>
          <w:vertAlign w:val="superscript"/>
          <w:lang w:val="en-US" w:eastAsia="zh-CN"/>
        </w:rPr>
        <w:t>2</w:t>
      </w:r>
      <w:r>
        <w:rPr>
          <w:rFonts w:ascii="Times New Roman" w:hAnsi="Times New Roman" w:eastAsia="宋体" w:cs="宋体"/>
          <w:b w:val="0"/>
          <w:color w:val="auto"/>
          <w:spacing w:val="0"/>
          <w:position w:val="0"/>
          <w:sz w:val="24"/>
          <w:szCs w:val="24"/>
          <w:highlight w:val="none"/>
        </w:rPr>
        <w:t>的河谷次生林，树种主要是密叶杨和榆树。中部平原人工林地带，林业用地面积</w:t>
      </w:r>
      <w:r>
        <w:rPr>
          <w:rFonts w:ascii="Times New Roman" w:hAnsi="Times New Roman" w:eastAsia="宋体" w:cs="Times New Roman"/>
          <w:b w:val="0"/>
          <w:color w:val="auto"/>
          <w:spacing w:val="0"/>
          <w:position w:val="0"/>
          <w:sz w:val="24"/>
          <w:szCs w:val="24"/>
          <w:highlight w:val="none"/>
        </w:rPr>
        <w:t>5614.8hm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，其中有林地</w:t>
      </w:r>
      <w:r>
        <w:rPr>
          <w:rFonts w:ascii="Times New Roman" w:hAnsi="Times New Roman" w:eastAsia="宋体" w:cs="Times New Roman"/>
          <w:b w:val="0"/>
          <w:color w:val="auto"/>
          <w:spacing w:val="0"/>
          <w:position w:val="0"/>
          <w:sz w:val="24"/>
          <w:szCs w:val="24"/>
          <w:highlight w:val="none"/>
        </w:rPr>
        <w:t>3825.6hm</w:t>
      </w:r>
      <w:r>
        <w:rPr>
          <w:rFonts w:hint="eastAsia" w:ascii="Times New Roman" w:hAnsi="Times New Roman" w:eastAsia="宋体" w:cs="Times New Roman"/>
          <w:b w:val="0"/>
          <w:color w:val="auto"/>
          <w:spacing w:val="0"/>
          <w:position w:val="0"/>
          <w:sz w:val="24"/>
          <w:szCs w:val="15"/>
          <w:highlight w:val="none"/>
          <w:vertAlign w:val="superscript"/>
          <w:lang w:val="en-US" w:eastAsia="zh-CN"/>
        </w:rPr>
        <w:t>[</w:t>
      </w:r>
      <w:r>
        <w:rPr>
          <w:rFonts w:ascii="Times New Roman" w:hAnsi="Times New Roman" w:eastAsia="宋体" w:cs="宋体"/>
          <w:b w:val="0"/>
          <w:color w:val="auto"/>
          <w:spacing w:val="0"/>
          <w:position w:val="0"/>
          <w:sz w:val="24"/>
          <w:szCs w:val="24"/>
          <w:highlight w:val="none"/>
        </w:rPr>
        <w:t>宜林地</w:t>
      </w:r>
      <w:r>
        <w:rPr>
          <w:rFonts w:ascii="Times New Roman" w:hAnsi="Times New Roman" w:eastAsia="宋体" w:cs="Times New Roman"/>
          <w:b w:val="0"/>
          <w:color w:val="auto"/>
          <w:spacing w:val="0"/>
          <w:position w:val="0"/>
          <w:sz w:val="24"/>
          <w:szCs w:val="24"/>
          <w:highlight w:val="none"/>
        </w:rPr>
        <w:t>1277hm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、疏林地</w:t>
      </w:r>
      <w:r>
        <w:rPr>
          <w:rFonts w:ascii="Times New Roman" w:hAnsi="Times New Roman" w:eastAsia="宋体" w:cs="Times New Roman"/>
          <w:b w:val="0"/>
          <w:color w:val="auto"/>
          <w:spacing w:val="0"/>
          <w:position w:val="0"/>
          <w:sz w:val="24"/>
          <w:szCs w:val="24"/>
          <w:highlight w:val="none"/>
        </w:rPr>
        <w:t>6.8hm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，未成林造林地</w:t>
      </w:r>
      <w:r>
        <w:rPr>
          <w:rFonts w:ascii="Times New Roman" w:hAnsi="Times New Roman" w:eastAsia="宋体" w:cs="Times New Roman"/>
          <w:b w:val="0"/>
          <w:color w:val="auto"/>
          <w:spacing w:val="0"/>
          <w:position w:val="0"/>
          <w:sz w:val="24"/>
          <w:szCs w:val="24"/>
          <w:highlight w:val="none"/>
        </w:rPr>
        <w:t>0.56hm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，活立木蓄积</w:t>
      </w:r>
      <w:r>
        <w:rPr>
          <w:rFonts w:ascii="Times New Roman" w:hAnsi="Times New Roman" w:eastAsia="宋体" w:cs="Times New Roman"/>
          <w:b w:val="0"/>
          <w:color w:val="auto"/>
          <w:spacing w:val="0"/>
          <w:position w:val="0"/>
          <w:sz w:val="24"/>
          <w:szCs w:val="24"/>
          <w:highlight w:val="none"/>
        </w:rPr>
        <w:t>358699m</w:t>
      </w:r>
      <w:r>
        <w:rPr>
          <w:rFonts w:ascii="Times New Roman" w:hAnsi="Times New Roman" w:eastAsia="宋体" w:cs="Times New Roman"/>
          <w:b w:val="0"/>
          <w:color w:val="auto"/>
          <w:spacing w:val="0"/>
          <w:position w:val="0"/>
          <w:sz w:val="24"/>
          <w:szCs w:val="15"/>
          <w:highlight w:val="none"/>
          <w:vertAlign w:val="superscript"/>
        </w:rPr>
        <w:t>3</w:t>
      </w:r>
      <w:r>
        <w:rPr>
          <w:rFonts w:ascii="Times New Roman" w:hAnsi="Times New Roman" w:eastAsia="宋体" w:cs="宋体"/>
          <w:b w:val="0"/>
          <w:color w:val="auto"/>
          <w:spacing w:val="0"/>
          <w:position w:val="0"/>
          <w:sz w:val="24"/>
          <w:szCs w:val="24"/>
          <w:highlight w:val="none"/>
        </w:rPr>
        <w:t>。北部沙漠主要分布梭梭、红柳、沙拐枣、琵琶柴等为主的灌木林，总面积为</w:t>
      </w:r>
      <w:r>
        <w:rPr>
          <w:rFonts w:ascii="Times New Roman" w:hAnsi="Times New Roman" w:eastAsia="宋体" w:cs="Times New Roman"/>
          <w:b w:val="0"/>
          <w:color w:val="auto"/>
          <w:spacing w:val="0"/>
          <w:position w:val="0"/>
          <w:sz w:val="24"/>
          <w:szCs w:val="24"/>
          <w:highlight w:val="none"/>
        </w:rPr>
        <w:t>62299.95hm</w:t>
      </w:r>
      <w:r>
        <w:rPr>
          <w:rFonts w:ascii="Times New Roman" w:hAnsi="Times New Roman" w:eastAsia="宋体" w:cs="Times New Roman"/>
          <w:b w:val="0"/>
          <w:color w:val="auto"/>
          <w:spacing w:val="0"/>
          <w:position w:val="0"/>
          <w:sz w:val="24"/>
          <w:szCs w:val="15"/>
          <w:highlight w:val="none"/>
          <w:vertAlign w:val="superscript"/>
        </w:rPr>
        <w:t>2</w:t>
      </w:r>
      <w:r>
        <w:rPr>
          <w:rFonts w:ascii="Times New Roman" w:hAnsi="Times New Roman" w:eastAsia="宋体" w:cs="宋体"/>
          <w:b w:val="0"/>
          <w:color w:val="auto"/>
          <w:spacing w:val="0"/>
          <w:position w:val="0"/>
          <w:sz w:val="24"/>
          <w:szCs w:val="24"/>
          <w:highlight w:val="none"/>
        </w:rPr>
        <w:t>。</w:t>
      </w:r>
    </w:p>
    <w:p w14:paraId="6FCA39FC">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hint="eastAsia" w:cs="宋体"/>
          <w:b w:val="0"/>
          <w:color w:val="auto"/>
          <w:spacing w:val="0"/>
          <w:position w:val="0"/>
          <w:sz w:val="24"/>
          <w:szCs w:val="24"/>
          <w:highlight w:val="none"/>
          <w:lang w:eastAsia="zh-CN"/>
        </w:rPr>
        <w:t>（</w:t>
      </w:r>
      <w:r>
        <w:rPr>
          <w:rFonts w:ascii="Times New Roman" w:hAnsi="Times New Roman" w:eastAsia="宋体" w:cs="Times New Roman"/>
          <w:b w:val="0"/>
          <w:color w:val="auto"/>
          <w:spacing w:val="0"/>
          <w:position w:val="0"/>
          <w:sz w:val="24"/>
          <w:szCs w:val="24"/>
          <w:highlight w:val="none"/>
        </w:rPr>
        <w:t>2</w:t>
      </w:r>
      <w:r>
        <w:rPr>
          <w:rFonts w:hint="eastAsia" w:cs="宋体"/>
          <w:b w:val="0"/>
          <w:color w:val="auto"/>
          <w:spacing w:val="0"/>
          <w:position w:val="0"/>
          <w:sz w:val="24"/>
          <w:szCs w:val="24"/>
          <w:highlight w:val="none"/>
          <w:lang w:eastAsia="zh-CN"/>
        </w:rPr>
        <w:t>）</w:t>
      </w:r>
      <w:r>
        <w:rPr>
          <w:rFonts w:ascii="Times New Roman" w:hAnsi="Times New Roman" w:eastAsia="宋体" w:cs="宋体"/>
          <w:b w:val="0"/>
          <w:color w:val="auto"/>
          <w:spacing w:val="0"/>
          <w:position w:val="0"/>
          <w:sz w:val="24"/>
          <w:szCs w:val="24"/>
          <w:highlight w:val="none"/>
        </w:rPr>
        <w:t>野生动植物资源</w:t>
      </w:r>
    </w:p>
    <w:p w14:paraId="4A54EDC0">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ascii="Times New Roman" w:hAnsi="Times New Roman" w:eastAsia="宋体" w:cs="宋体"/>
          <w:b w:val="0"/>
          <w:color w:val="auto"/>
          <w:spacing w:val="0"/>
          <w:position w:val="0"/>
          <w:sz w:val="24"/>
          <w:szCs w:val="24"/>
          <w:highlight w:val="none"/>
        </w:rPr>
        <w:t>玛纳斯县境内野生动植物种类繁多，数量丰富。主要植物有云杉、桦树、密叶杨、山杨、胡杨、准噶尔柳、天山桦楸、白梭梭、沙枣、柳树、青杨、白蜡、榆树、黄花苜蓿、朱芽蓼、狐芽、野葱、水芹菜、乌头、狼牙、打戟、荨麻、独活、小叶薄荷、雀麦、骆驼刺等。此外，还生长着雪莲、贝母、防风、麻黄、元胡、冬花、甘草、黄芪、锁阳、枸杞、苦豆子、大芸、大黄、党参、阿魏等上百万种野生中草药材。主要动物有，马鹿、棕熊、野猪、狍子、雪豹、野山羊、大头羊、鹅喉羚、毛腿沙鸡、绿头鸭、灰雁、高山雪鸡、隼、苍鹰、麻雀、粉红椋鸟等。</w:t>
      </w:r>
    </w:p>
    <w:p w14:paraId="4C475BEE">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hint="eastAsia" w:cs="宋体"/>
          <w:b w:val="0"/>
          <w:color w:val="auto"/>
          <w:spacing w:val="0"/>
          <w:position w:val="0"/>
          <w:sz w:val="24"/>
          <w:szCs w:val="24"/>
          <w:highlight w:val="none"/>
          <w:lang w:eastAsia="zh-CN"/>
        </w:rPr>
        <w:t>（</w:t>
      </w:r>
      <w:r>
        <w:rPr>
          <w:rFonts w:ascii="Times New Roman" w:hAnsi="Times New Roman" w:eastAsia="宋体" w:cs="Times New Roman"/>
          <w:b w:val="0"/>
          <w:color w:val="auto"/>
          <w:spacing w:val="0"/>
          <w:position w:val="0"/>
          <w:sz w:val="24"/>
          <w:szCs w:val="24"/>
          <w:highlight w:val="none"/>
        </w:rPr>
        <w:t>3</w:t>
      </w:r>
      <w:r>
        <w:rPr>
          <w:rFonts w:hint="eastAsia" w:cs="宋体"/>
          <w:b w:val="0"/>
          <w:color w:val="auto"/>
          <w:spacing w:val="0"/>
          <w:position w:val="0"/>
          <w:sz w:val="24"/>
          <w:szCs w:val="24"/>
          <w:highlight w:val="none"/>
          <w:lang w:eastAsia="zh-CN"/>
        </w:rPr>
        <w:t>）</w:t>
      </w:r>
      <w:r>
        <w:rPr>
          <w:rFonts w:ascii="Times New Roman" w:hAnsi="Times New Roman" w:eastAsia="宋体" w:cs="宋体"/>
          <w:b w:val="0"/>
          <w:color w:val="auto"/>
          <w:spacing w:val="0"/>
          <w:position w:val="0"/>
          <w:sz w:val="24"/>
          <w:szCs w:val="24"/>
          <w:highlight w:val="none"/>
        </w:rPr>
        <w:t>矿产资源</w:t>
      </w:r>
    </w:p>
    <w:p w14:paraId="03FD3AB8">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ascii="Times New Roman" w:hAnsi="Times New Roman" w:eastAsia="宋体" w:cs="宋体"/>
          <w:b w:val="0"/>
          <w:color w:val="auto"/>
          <w:spacing w:val="0"/>
          <w:position w:val="0"/>
          <w:sz w:val="24"/>
          <w:szCs w:val="24"/>
          <w:highlight w:val="none"/>
        </w:rPr>
        <w:t>县域内矿产资源丰富，主要分布在南部山区，现已探明具有工作开采价值的金属类有：黄铁、铜、黄金等；非金属类：用作工艺原料的有玉石、芙蓉石、水晶、玛瑙等；用作化工原料的有磷灰石、芒硝等；用作建材原料的有石灰石、粘土等；用作能源的有煤、油页岩等。</w:t>
      </w:r>
    </w:p>
    <w:p w14:paraId="48D50F81">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ascii="Times New Roman" w:hAnsi="Times New Roman" w:eastAsia="宋体" w:cs="宋体"/>
          <w:b w:val="0"/>
          <w:color w:val="auto"/>
          <w:spacing w:val="0"/>
          <w:position w:val="0"/>
          <w:sz w:val="24"/>
          <w:szCs w:val="24"/>
          <w:highlight w:val="none"/>
        </w:rPr>
        <w:t>全县煤的总储量</w:t>
      </w:r>
      <w:r>
        <w:rPr>
          <w:rFonts w:ascii="Times New Roman" w:hAnsi="Times New Roman" w:eastAsia="宋体" w:cs="Times New Roman"/>
          <w:b w:val="0"/>
          <w:color w:val="auto"/>
          <w:spacing w:val="0"/>
          <w:position w:val="0"/>
          <w:sz w:val="24"/>
          <w:szCs w:val="24"/>
          <w:highlight w:val="none"/>
        </w:rPr>
        <w:t>16</w:t>
      </w:r>
      <w:r>
        <w:rPr>
          <w:rFonts w:ascii="Times New Roman" w:hAnsi="Times New Roman" w:eastAsia="宋体" w:cs="宋体"/>
          <w:b w:val="0"/>
          <w:color w:val="auto"/>
          <w:spacing w:val="0"/>
          <w:position w:val="0"/>
          <w:sz w:val="24"/>
          <w:szCs w:val="24"/>
          <w:highlight w:val="none"/>
        </w:rPr>
        <w:t>亿</w:t>
      </w:r>
      <w:r>
        <w:rPr>
          <w:rFonts w:ascii="Times New Roman" w:hAnsi="Times New Roman" w:eastAsia="宋体" w:cs="Times New Roman"/>
          <w:b w:val="0"/>
          <w:color w:val="auto"/>
          <w:spacing w:val="0"/>
          <w:position w:val="0"/>
          <w:sz w:val="24"/>
          <w:szCs w:val="24"/>
          <w:highlight w:val="none"/>
        </w:rPr>
        <w:t>t</w:t>
      </w:r>
      <w:r>
        <w:rPr>
          <w:rFonts w:ascii="Times New Roman" w:hAnsi="Times New Roman" w:eastAsia="宋体" w:cs="宋体"/>
          <w:b w:val="0"/>
          <w:color w:val="auto"/>
          <w:spacing w:val="0"/>
          <w:position w:val="0"/>
          <w:sz w:val="24"/>
          <w:szCs w:val="24"/>
          <w:highlight w:val="none"/>
        </w:rPr>
        <w:t>，现开采的主要有煤窑沟、大西沟两个矿。玉石矿分布在清水河、塔西河上游沿天山雪线一带，是大型碧玉矿。县内金矿属中型矿，铜矿属小型矿，总储量达</w:t>
      </w:r>
      <w:r>
        <w:rPr>
          <w:rFonts w:ascii="Times New Roman" w:hAnsi="Times New Roman" w:eastAsia="宋体" w:cs="Times New Roman"/>
          <w:b w:val="0"/>
          <w:color w:val="auto"/>
          <w:spacing w:val="0"/>
          <w:position w:val="0"/>
          <w:sz w:val="24"/>
          <w:szCs w:val="24"/>
          <w:highlight w:val="none"/>
        </w:rPr>
        <w:t>1000t</w:t>
      </w:r>
      <w:r>
        <w:rPr>
          <w:rFonts w:ascii="Times New Roman" w:hAnsi="Times New Roman" w:eastAsia="宋体" w:cs="宋体"/>
          <w:b w:val="0"/>
          <w:color w:val="auto"/>
          <w:spacing w:val="0"/>
          <w:position w:val="0"/>
          <w:sz w:val="24"/>
          <w:szCs w:val="24"/>
          <w:highlight w:val="none"/>
        </w:rPr>
        <w:t>。黄铁矿属小型矿，储量为</w:t>
      </w:r>
      <w:r>
        <w:rPr>
          <w:rFonts w:ascii="Times New Roman" w:hAnsi="Times New Roman" w:eastAsia="宋体" w:cs="Times New Roman"/>
          <w:b w:val="0"/>
          <w:color w:val="auto"/>
          <w:spacing w:val="0"/>
          <w:position w:val="0"/>
          <w:sz w:val="24"/>
          <w:szCs w:val="24"/>
          <w:highlight w:val="none"/>
        </w:rPr>
        <w:t>33.56</w:t>
      </w:r>
      <w:r>
        <w:rPr>
          <w:rFonts w:ascii="Times New Roman" w:hAnsi="Times New Roman" w:eastAsia="宋体" w:cs="宋体"/>
          <w:b w:val="0"/>
          <w:color w:val="auto"/>
          <w:spacing w:val="0"/>
          <w:position w:val="0"/>
          <w:sz w:val="24"/>
          <w:szCs w:val="24"/>
          <w:highlight w:val="none"/>
        </w:rPr>
        <w:t>万</w:t>
      </w:r>
      <w:r>
        <w:rPr>
          <w:rFonts w:ascii="Times New Roman" w:hAnsi="Times New Roman" w:eastAsia="宋体" w:cs="Times New Roman"/>
          <w:b w:val="0"/>
          <w:color w:val="auto"/>
          <w:spacing w:val="0"/>
          <w:position w:val="0"/>
          <w:sz w:val="24"/>
          <w:szCs w:val="24"/>
          <w:highlight w:val="none"/>
        </w:rPr>
        <w:t>t</w:t>
      </w:r>
      <w:r>
        <w:rPr>
          <w:rFonts w:ascii="Times New Roman" w:hAnsi="Times New Roman" w:eastAsia="宋体" w:cs="宋体"/>
          <w:b w:val="0"/>
          <w:color w:val="auto"/>
          <w:spacing w:val="0"/>
          <w:position w:val="0"/>
          <w:sz w:val="24"/>
          <w:szCs w:val="24"/>
          <w:highlight w:val="none"/>
        </w:rPr>
        <w:t>。石灰石分布于玛纳斯河上游及干沟地区，含量丰富，开采方便，现建窑</w:t>
      </w:r>
      <w:r>
        <w:rPr>
          <w:rFonts w:ascii="Times New Roman" w:hAnsi="Times New Roman" w:eastAsia="宋体" w:cs="Times New Roman"/>
          <w:b w:val="0"/>
          <w:color w:val="auto"/>
          <w:spacing w:val="0"/>
          <w:position w:val="0"/>
          <w:sz w:val="24"/>
          <w:szCs w:val="24"/>
          <w:highlight w:val="none"/>
        </w:rPr>
        <w:t>10</w:t>
      </w:r>
      <w:r>
        <w:rPr>
          <w:rFonts w:ascii="Times New Roman" w:hAnsi="Times New Roman" w:eastAsia="宋体" w:cs="宋体"/>
          <w:b w:val="0"/>
          <w:color w:val="auto"/>
          <w:spacing w:val="0"/>
          <w:position w:val="0"/>
          <w:sz w:val="24"/>
          <w:szCs w:val="24"/>
          <w:highlight w:val="none"/>
        </w:rPr>
        <w:t>座，年产石灰千吨以上。石油主要分布在北部沙漠地区。</w:t>
      </w:r>
    </w:p>
    <w:p w14:paraId="7B2ED0ED">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hint="eastAsia" w:cs="宋体"/>
          <w:b w:val="0"/>
          <w:color w:val="auto"/>
          <w:spacing w:val="0"/>
          <w:position w:val="0"/>
          <w:sz w:val="24"/>
          <w:szCs w:val="24"/>
          <w:highlight w:val="none"/>
          <w:lang w:eastAsia="zh-CN"/>
        </w:rPr>
        <w:t>（</w:t>
      </w:r>
      <w:r>
        <w:rPr>
          <w:rFonts w:ascii="Times New Roman" w:hAnsi="Times New Roman" w:eastAsia="宋体" w:cs="Times New Roman"/>
          <w:b w:val="0"/>
          <w:color w:val="auto"/>
          <w:spacing w:val="0"/>
          <w:position w:val="0"/>
          <w:sz w:val="24"/>
          <w:szCs w:val="24"/>
          <w:highlight w:val="none"/>
        </w:rPr>
        <w:t>4</w:t>
      </w:r>
      <w:r>
        <w:rPr>
          <w:rFonts w:hint="eastAsia" w:cs="宋体"/>
          <w:b w:val="0"/>
          <w:color w:val="auto"/>
          <w:spacing w:val="0"/>
          <w:position w:val="0"/>
          <w:sz w:val="24"/>
          <w:szCs w:val="24"/>
          <w:highlight w:val="none"/>
          <w:lang w:eastAsia="zh-CN"/>
        </w:rPr>
        <w:t>）</w:t>
      </w:r>
      <w:r>
        <w:rPr>
          <w:rFonts w:ascii="Times New Roman" w:hAnsi="Times New Roman" w:eastAsia="宋体" w:cs="宋体"/>
          <w:b w:val="0"/>
          <w:color w:val="auto"/>
          <w:spacing w:val="0"/>
          <w:position w:val="0"/>
          <w:sz w:val="24"/>
          <w:szCs w:val="24"/>
          <w:highlight w:val="none"/>
        </w:rPr>
        <w:t>水能资源</w:t>
      </w:r>
    </w:p>
    <w:p w14:paraId="17DE31D8">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ascii="Times New Roman" w:hAnsi="Times New Roman" w:eastAsia="宋体" w:cs="宋体"/>
          <w:b w:val="0"/>
          <w:color w:val="auto"/>
          <w:spacing w:val="0"/>
          <w:position w:val="0"/>
          <w:sz w:val="24"/>
          <w:szCs w:val="24"/>
          <w:highlight w:val="none"/>
        </w:rPr>
        <w:t>玛纳斯河地形落差大，水能理论储量为</w:t>
      </w:r>
      <w:r>
        <w:rPr>
          <w:rFonts w:ascii="Times New Roman" w:hAnsi="Times New Roman" w:eastAsia="宋体" w:cs="Times New Roman"/>
          <w:b w:val="0"/>
          <w:color w:val="auto"/>
          <w:spacing w:val="0"/>
          <w:position w:val="0"/>
          <w:sz w:val="24"/>
          <w:szCs w:val="24"/>
          <w:highlight w:val="none"/>
        </w:rPr>
        <w:t>3337</w:t>
      </w:r>
      <w:r>
        <w:rPr>
          <w:rFonts w:ascii="Times New Roman" w:hAnsi="Times New Roman" w:eastAsia="宋体" w:cs="宋体"/>
          <w:b w:val="0"/>
          <w:color w:val="auto"/>
          <w:spacing w:val="0"/>
          <w:position w:val="0"/>
          <w:sz w:val="24"/>
          <w:szCs w:val="24"/>
          <w:highlight w:val="none"/>
        </w:rPr>
        <w:t>万</w:t>
      </w:r>
      <w:r>
        <w:rPr>
          <w:rFonts w:ascii="Times New Roman" w:hAnsi="Times New Roman" w:eastAsia="宋体" w:cs="Times New Roman"/>
          <w:b w:val="0"/>
          <w:color w:val="auto"/>
          <w:spacing w:val="0"/>
          <w:position w:val="0"/>
          <w:sz w:val="24"/>
          <w:szCs w:val="24"/>
          <w:highlight w:val="none"/>
        </w:rPr>
        <w:t>kW</w:t>
      </w:r>
      <w:r>
        <w:rPr>
          <w:rFonts w:ascii="Times New Roman" w:hAnsi="Times New Roman" w:eastAsia="宋体" w:cs="宋体"/>
          <w:b w:val="0"/>
          <w:color w:val="auto"/>
          <w:spacing w:val="0"/>
          <w:position w:val="0"/>
          <w:sz w:val="24"/>
          <w:szCs w:val="24"/>
          <w:highlight w:val="none"/>
        </w:rPr>
        <w:t>，由自治区统一规划开发。塔西河水能理论储量</w:t>
      </w:r>
      <w:r>
        <w:rPr>
          <w:rFonts w:ascii="Times New Roman" w:hAnsi="Times New Roman" w:eastAsia="宋体" w:cs="Times New Roman"/>
          <w:b w:val="0"/>
          <w:color w:val="auto"/>
          <w:spacing w:val="0"/>
          <w:position w:val="0"/>
          <w:sz w:val="24"/>
          <w:szCs w:val="24"/>
          <w:highlight w:val="none"/>
        </w:rPr>
        <w:t>3.02</w:t>
      </w:r>
      <w:r>
        <w:rPr>
          <w:rFonts w:ascii="Times New Roman" w:hAnsi="Times New Roman" w:eastAsia="宋体" w:cs="宋体"/>
          <w:b w:val="0"/>
          <w:color w:val="auto"/>
          <w:spacing w:val="0"/>
          <w:position w:val="0"/>
          <w:sz w:val="24"/>
          <w:szCs w:val="24"/>
          <w:highlight w:val="none"/>
        </w:rPr>
        <w:t>万</w:t>
      </w:r>
      <w:r>
        <w:rPr>
          <w:rFonts w:ascii="Times New Roman" w:hAnsi="Times New Roman" w:eastAsia="宋体" w:cs="Times New Roman"/>
          <w:b w:val="0"/>
          <w:color w:val="auto"/>
          <w:spacing w:val="0"/>
          <w:position w:val="0"/>
          <w:sz w:val="24"/>
          <w:szCs w:val="24"/>
          <w:highlight w:val="none"/>
        </w:rPr>
        <w:t>kW</w:t>
      </w:r>
      <w:r>
        <w:rPr>
          <w:rFonts w:ascii="Times New Roman" w:hAnsi="Times New Roman" w:eastAsia="宋体" w:cs="宋体"/>
          <w:b w:val="0"/>
          <w:color w:val="auto"/>
          <w:spacing w:val="0"/>
          <w:position w:val="0"/>
          <w:sz w:val="24"/>
          <w:szCs w:val="24"/>
          <w:highlight w:val="none"/>
        </w:rPr>
        <w:t>，清水河水能储量</w:t>
      </w:r>
      <w:r>
        <w:rPr>
          <w:rFonts w:ascii="Times New Roman" w:hAnsi="Times New Roman" w:eastAsia="宋体" w:cs="Times New Roman"/>
          <w:b w:val="0"/>
          <w:color w:val="auto"/>
          <w:spacing w:val="0"/>
          <w:position w:val="0"/>
          <w:sz w:val="24"/>
          <w:szCs w:val="24"/>
          <w:highlight w:val="none"/>
        </w:rPr>
        <w:t>2.47</w:t>
      </w:r>
      <w:r>
        <w:rPr>
          <w:rFonts w:ascii="Times New Roman" w:hAnsi="Times New Roman" w:eastAsia="宋体" w:cs="宋体"/>
          <w:b w:val="0"/>
          <w:color w:val="auto"/>
          <w:spacing w:val="0"/>
          <w:position w:val="0"/>
          <w:sz w:val="24"/>
          <w:szCs w:val="24"/>
          <w:highlight w:val="none"/>
        </w:rPr>
        <w:t>万</w:t>
      </w:r>
      <w:r>
        <w:rPr>
          <w:rFonts w:ascii="Times New Roman" w:hAnsi="Times New Roman" w:eastAsia="宋体" w:cs="Times New Roman"/>
          <w:b w:val="0"/>
          <w:color w:val="auto"/>
          <w:spacing w:val="0"/>
          <w:position w:val="0"/>
          <w:sz w:val="24"/>
          <w:szCs w:val="24"/>
          <w:highlight w:val="none"/>
        </w:rPr>
        <w:t>kW</w:t>
      </w:r>
      <w:r>
        <w:rPr>
          <w:rFonts w:ascii="Times New Roman" w:hAnsi="Times New Roman" w:eastAsia="宋体" w:cs="宋体"/>
          <w:b w:val="0"/>
          <w:color w:val="auto"/>
          <w:spacing w:val="0"/>
          <w:position w:val="0"/>
          <w:sz w:val="24"/>
          <w:szCs w:val="24"/>
          <w:highlight w:val="none"/>
        </w:rPr>
        <w:t>。</w:t>
      </w:r>
    </w:p>
    <w:p w14:paraId="6DC8922E">
      <w:pPr>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cs="宋体"/>
          <w:b w:val="0"/>
          <w:color w:val="auto"/>
          <w:spacing w:val="0"/>
          <w:position w:val="0"/>
          <w:sz w:val="24"/>
          <w:szCs w:val="24"/>
          <w:highlight w:val="none"/>
        </w:rPr>
      </w:pPr>
      <w:r>
        <w:rPr>
          <w:rFonts w:hint="eastAsia" w:cs="宋体"/>
          <w:b w:val="0"/>
          <w:color w:val="auto"/>
          <w:spacing w:val="0"/>
          <w:position w:val="0"/>
          <w:sz w:val="24"/>
          <w:szCs w:val="24"/>
          <w:highlight w:val="none"/>
          <w:lang w:eastAsia="zh-CN"/>
        </w:rPr>
        <w:t>（</w:t>
      </w:r>
      <w:r>
        <w:rPr>
          <w:rFonts w:ascii="Times New Roman" w:hAnsi="Times New Roman" w:eastAsia="宋体" w:cs="Times New Roman"/>
          <w:b w:val="0"/>
          <w:color w:val="auto"/>
          <w:spacing w:val="0"/>
          <w:position w:val="0"/>
          <w:sz w:val="24"/>
          <w:szCs w:val="24"/>
          <w:highlight w:val="none"/>
        </w:rPr>
        <w:t>5</w:t>
      </w:r>
      <w:r>
        <w:rPr>
          <w:rFonts w:hint="eastAsia" w:cs="宋体"/>
          <w:b w:val="0"/>
          <w:color w:val="auto"/>
          <w:spacing w:val="0"/>
          <w:position w:val="0"/>
          <w:sz w:val="24"/>
          <w:szCs w:val="24"/>
          <w:highlight w:val="none"/>
          <w:lang w:eastAsia="zh-CN"/>
        </w:rPr>
        <w:t>）</w:t>
      </w:r>
      <w:r>
        <w:rPr>
          <w:rFonts w:ascii="Times New Roman" w:hAnsi="Times New Roman" w:eastAsia="宋体" w:cs="宋体"/>
          <w:b w:val="0"/>
          <w:color w:val="auto"/>
          <w:spacing w:val="0"/>
          <w:position w:val="0"/>
          <w:sz w:val="24"/>
          <w:szCs w:val="24"/>
          <w:highlight w:val="none"/>
        </w:rPr>
        <w:t>旅游资源</w:t>
      </w:r>
    </w:p>
    <w:p w14:paraId="04CBF4CA">
      <w:pPr>
        <w:pStyle w:val="160"/>
        <w:keepNext w:val="0"/>
        <w:keepLines w:val="0"/>
        <w:pageBreakBefore w:val="0"/>
        <w:widowControl w:val="0"/>
        <w:kinsoku/>
        <w:wordWrap/>
        <w:overflowPunct/>
        <w:topLinePunct w:val="0"/>
        <w:autoSpaceDE/>
        <w:autoSpaceDN/>
        <w:bidi w:val="0"/>
        <w:snapToGrid/>
        <w:spacing w:line="480" w:lineRule="exact"/>
        <w:ind w:left="0" w:right="0" w:rightChars="0" w:firstLine="480" w:firstLineChars="200"/>
        <w:jc w:val="both"/>
        <w:outlineLvl w:val="9"/>
        <w:rPr>
          <w:rFonts w:ascii="Times New Roman" w:hAnsi="Times New Roman" w:eastAsia="宋体"/>
          <w:b w:val="0"/>
          <w:bCs/>
          <w:color w:val="auto"/>
          <w:spacing w:val="0"/>
          <w:position w:val="0"/>
          <w:sz w:val="24"/>
          <w:highlight w:val="none"/>
        </w:rPr>
      </w:pPr>
      <w:r>
        <w:rPr>
          <w:rFonts w:ascii="Times New Roman" w:hAnsi="Times New Roman" w:eastAsia="宋体" w:cs="宋体"/>
          <w:b w:val="0"/>
          <w:color w:val="auto"/>
          <w:spacing w:val="0"/>
          <w:position w:val="0"/>
          <w:sz w:val="24"/>
          <w:szCs w:val="24"/>
          <w:highlight w:val="none"/>
        </w:rPr>
        <w:t>玛纳斯县历史悠久，地貌多样，旅游资源丰富。有以红山地质构造、五道垭、莫索湾沙漠为代表的地文景观，有以清水河风景段、塔西河风景段、十户窑景区、火烧洼热气泉为代表的水域风光。此外，玛纳斯还有丰富的生物景观、历史遗址、遗迹和多样的旅游商品，独特的民俗风情。</w:t>
      </w:r>
    </w:p>
    <w:p w14:paraId="15864685">
      <w:pPr>
        <w:pStyle w:val="4"/>
        <w:rPr>
          <w:rFonts w:ascii="Times New Roman" w:hAnsi="Times New Roman" w:eastAsia="宋体"/>
          <w:color w:val="auto"/>
          <w:highlight w:val="none"/>
        </w:rPr>
      </w:pPr>
      <w:bookmarkStart w:id="162" w:name="_Toc106663485"/>
      <w:bookmarkStart w:id="163" w:name="_Toc89619341"/>
      <w:r>
        <w:rPr>
          <w:rFonts w:hint="eastAsia" w:ascii="Times New Roman" w:hAnsi="Times New Roman" w:eastAsia="宋体"/>
          <w:color w:val="auto"/>
          <w:highlight w:val="none"/>
        </w:rPr>
        <w:t>4.2环境质量现状调查与评价</w:t>
      </w:r>
      <w:bookmarkEnd w:id="162"/>
      <w:bookmarkEnd w:id="163"/>
    </w:p>
    <w:p w14:paraId="1F36663B">
      <w:pPr>
        <w:pStyle w:val="5"/>
        <w:rPr>
          <w:rFonts w:ascii="Times New Roman" w:hAnsi="Times New Roman" w:eastAsia="宋体"/>
          <w:color w:val="auto"/>
          <w:highlight w:val="none"/>
        </w:rPr>
      </w:pPr>
      <w:bookmarkStart w:id="164" w:name="_Toc106663486"/>
      <w:r>
        <w:rPr>
          <w:rFonts w:hint="eastAsia" w:ascii="Times New Roman" w:hAnsi="Times New Roman" w:eastAsia="宋体"/>
          <w:color w:val="auto"/>
          <w:highlight w:val="none"/>
        </w:rPr>
        <w:t>4.2.1大气环境现状调查与评价</w:t>
      </w:r>
      <w:bookmarkEnd w:id="164"/>
    </w:p>
    <w:p w14:paraId="1783665E">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4.2.1.1环境空气污染物基本项目</w:t>
      </w:r>
    </w:p>
    <w:p w14:paraId="37D83450">
      <w:pPr>
        <w:spacing w:line="500" w:lineRule="exact"/>
        <w:ind w:firstLine="480"/>
        <w:rPr>
          <w:rFonts w:ascii="Times New Roman" w:hAnsi="Times New Roman" w:eastAsia="宋体"/>
          <w:color w:val="auto"/>
          <w:szCs w:val="24"/>
          <w:highlight w:val="none"/>
        </w:rPr>
      </w:pPr>
      <w:r>
        <w:rPr>
          <w:rFonts w:hint="eastAsia" w:ascii="Times New Roman" w:hAnsi="Times New Roman" w:eastAsia="宋体"/>
          <w:color w:val="auto"/>
          <w:szCs w:val="24"/>
          <w:highlight w:val="none"/>
        </w:rPr>
        <w:t>根据《环境影响评价技术导则大气环境》（HJ2.2-2018）的要求，分别对基本污染物的环境质量现状进行评价。昌吉州202</w:t>
      </w:r>
      <w:r>
        <w:rPr>
          <w:rFonts w:hint="eastAsia" w:ascii="Times New Roman" w:hAnsi="Times New Roman" w:eastAsia="宋体"/>
          <w:color w:val="auto"/>
          <w:szCs w:val="24"/>
          <w:highlight w:val="none"/>
          <w:lang w:val="en-US" w:eastAsia="zh-CN"/>
        </w:rPr>
        <w:t>1</w:t>
      </w:r>
      <w:r>
        <w:rPr>
          <w:rFonts w:hint="eastAsia" w:ascii="Times New Roman" w:hAnsi="Times New Roman" w:eastAsia="宋体"/>
          <w:color w:val="auto"/>
          <w:szCs w:val="24"/>
          <w:highlight w:val="none"/>
        </w:rPr>
        <w:t>年SO</w:t>
      </w:r>
      <w:r>
        <w:rPr>
          <w:rFonts w:hint="eastAsia" w:ascii="Times New Roman" w:hAnsi="Times New Roman" w:eastAsia="宋体"/>
          <w:color w:val="auto"/>
          <w:szCs w:val="24"/>
          <w:highlight w:val="none"/>
          <w:vertAlign w:val="subscript"/>
        </w:rPr>
        <w:t>2</w:t>
      </w:r>
      <w:r>
        <w:rPr>
          <w:rFonts w:hint="eastAsia" w:ascii="Times New Roman" w:hAnsi="Times New Roman" w:eastAsia="宋体"/>
          <w:color w:val="auto"/>
          <w:szCs w:val="24"/>
          <w:highlight w:val="none"/>
        </w:rPr>
        <w:t>、NO</w:t>
      </w:r>
      <w:r>
        <w:rPr>
          <w:rFonts w:hint="eastAsia" w:ascii="Times New Roman" w:hAnsi="Times New Roman" w:eastAsia="宋体"/>
          <w:color w:val="auto"/>
          <w:szCs w:val="24"/>
          <w:highlight w:val="none"/>
          <w:vertAlign w:val="subscript"/>
        </w:rPr>
        <w:t>2</w:t>
      </w:r>
      <w:r>
        <w:rPr>
          <w:rFonts w:hint="eastAsia" w:ascii="Times New Roman" w:hAnsi="Times New Roman" w:eastAsia="宋体"/>
          <w:color w:val="auto"/>
          <w:szCs w:val="24"/>
          <w:highlight w:val="none"/>
        </w:rPr>
        <w:t>、PM</w:t>
      </w:r>
      <w:r>
        <w:rPr>
          <w:rFonts w:hint="eastAsia" w:ascii="Times New Roman" w:hAnsi="Times New Roman" w:eastAsia="宋体"/>
          <w:color w:val="auto"/>
          <w:szCs w:val="24"/>
          <w:highlight w:val="none"/>
          <w:vertAlign w:val="subscript"/>
        </w:rPr>
        <w:t>10</w:t>
      </w:r>
      <w:r>
        <w:rPr>
          <w:rFonts w:hint="eastAsia" w:ascii="Times New Roman" w:hAnsi="Times New Roman" w:eastAsia="宋体"/>
          <w:color w:val="auto"/>
          <w:szCs w:val="24"/>
          <w:highlight w:val="none"/>
        </w:rPr>
        <w:t>、PM</w:t>
      </w:r>
      <w:r>
        <w:rPr>
          <w:rFonts w:hint="eastAsia" w:ascii="Times New Roman" w:hAnsi="Times New Roman" w:eastAsia="宋体"/>
          <w:color w:val="auto"/>
          <w:szCs w:val="24"/>
          <w:highlight w:val="none"/>
          <w:vertAlign w:val="subscript"/>
        </w:rPr>
        <w:t>2.5</w:t>
      </w:r>
      <w:r>
        <w:rPr>
          <w:rFonts w:hint="eastAsia" w:ascii="Times New Roman" w:hAnsi="Times New Roman" w:eastAsia="宋体"/>
          <w:color w:val="auto"/>
          <w:szCs w:val="24"/>
          <w:highlight w:val="none"/>
        </w:rPr>
        <w:t>年均浓度分别为</w:t>
      </w:r>
      <w:r>
        <w:rPr>
          <w:rFonts w:hint="eastAsia" w:ascii="Times New Roman" w:hAnsi="Times New Roman" w:eastAsia="宋体"/>
          <w:color w:val="auto"/>
          <w:szCs w:val="24"/>
          <w:highlight w:val="none"/>
          <w:lang w:val="en-US" w:eastAsia="zh-CN"/>
        </w:rPr>
        <w:t>11</w:t>
      </w:r>
      <w:r>
        <w:rPr>
          <w:rFonts w:hint="eastAsia" w:ascii="Times New Roman" w:hAnsi="Times New Roman" w:eastAsia="宋体"/>
          <w:color w:val="auto"/>
          <w:szCs w:val="24"/>
          <w:highlight w:val="none"/>
        </w:rPr>
        <w:t>μg/m</w:t>
      </w:r>
      <w:r>
        <w:rPr>
          <w:rFonts w:hint="eastAsia" w:ascii="Times New Roman" w:hAnsi="Times New Roman" w:eastAsia="宋体"/>
          <w:color w:val="auto"/>
          <w:szCs w:val="24"/>
          <w:highlight w:val="none"/>
          <w:vertAlign w:val="superscript"/>
        </w:rPr>
        <w:t>3</w:t>
      </w:r>
      <w:r>
        <w:rPr>
          <w:rFonts w:hint="eastAsia" w:ascii="Times New Roman" w:hAnsi="Times New Roman" w:eastAsia="宋体"/>
          <w:color w:val="auto"/>
          <w:szCs w:val="24"/>
          <w:highlight w:val="none"/>
        </w:rPr>
        <w:t>、</w:t>
      </w:r>
      <w:r>
        <w:rPr>
          <w:rFonts w:hint="eastAsia" w:ascii="Times New Roman" w:hAnsi="Times New Roman" w:eastAsia="宋体"/>
          <w:color w:val="auto"/>
          <w:szCs w:val="24"/>
          <w:highlight w:val="none"/>
          <w:lang w:val="en-US" w:eastAsia="zh-CN"/>
        </w:rPr>
        <w:t>35</w:t>
      </w:r>
      <w:r>
        <w:rPr>
          <w:rFonts w:hint="eastAsia" w:ascii="Times New Roman" w:hAnsi="Times New Roman" w:eastAsia="宋体"/>
          <w:color w:val="auto"/>
          <w:szCs w:val="24"/>
          <w:highlight w:val="none"/>
        </w:rPr>
        <w:t>μg/m</w:t>
      </w:r>
      <w:r>
        <w:rPr>
          <w:rFonts w:hint="eastAsia" w:ascii="Times New Roman" w:hAnsi="Times New Roman" w:eastAsia="宋体"/>
          <w:color w:val="auto"/>
          <w:szCs w:val="24"/>
          <w:highlight w:val="none"/>
          <w:vertAlign w:val="superscript"/>
        </w:rPr>
        <w:t>3</w:t>
      </w:r>
      <w:r>
        <w:rPr>
          <w:rFonts w:hint="eastAsia" w:ascii="Times New Roman" w:hAnsi="Times New Roman" w:eastAsia="宋体"/>
          <w:color w:val="auto"/>
          <w:szCs w:val="24"/>
          <w:highlight w:val="none"/>
        </w:rPr>
        <w:t>、</w:t>
      </w:r>
      <w:r>
        <w:rPr>
          <w:rFonts w:hint="eastAsia" w:ascii="Times New Roman" w:hAnsi="Times New Roman" w:eastAsia="宋体"/>
          <w:color w:val="auto"/>
          <w:szCs w:val="24"/>
          <w:highlight w:val="none"/>
          <w:lang w:val="en-US" w:eastAsia="zh-CN"/>
        </w:rPr>
        <w:t>84</w:t>
      </w:r>
      <w:r>
        <w:rPr>
          <w:rFonts w:hint="eastAsia" w:ascii="Times New Roman" w:hAnsi="Times New Roman" w:eastAsia="宋体"/>
          <w:color w:val="auto"/>
          <w:szCs w:val="24"/>
          <w:highlight w:val="none"/>
        </w:rPr>
        <w:t>μ</w:t>
      </w:r>
      <w:r>
        <w:rPr>
          <w:rFonts w:ascii="Times New Roman" w:hAnsi="Times New Roman" w:eastAsia="宋体"/>
          <w:color w:val="auto"/>
          <w:szCs w:val="24"/>
          <w:highlight w:val="none"/>
        </w:rPr>
        <w:t>g</w:t>
      </w:r>
      <w:r>
        <w:rPr>
          <w:rFonts w:hint="eastAsia" w:ascii="Times New Roman" w:hAnsi="Times New Roman" w:eastAsia="宋体"/>
          <w:color w:val="auto"/>
          <w:szCs w:val="24"/>
          <w:highlight w:val="none"/>
        </w:rPr>
        <w:t>/m</w:t>
      </w:r>
      <w:r>
        <w:rPr>
          <w:rFonts w:hint="eastAsia" w:ascii="Times New Roman" w:hAnsi="Times New Roman" w:eastAsia="宋体"/>
          <w:color w:val="auto"/>
          <w:szCs w:val="24"/>
          <w:highlight w:val="none"/>
          <w:vertAlign w:val="superscript"/>
        </w:rPr>
        <w:t>3</w:t>
      </w:r>
      <w:r>
        <w:rPr>
          <w:rFonts w:hint="eastAsia" w:ascii="Times New Roman" w:hAnsi="Times New Roman" w:eastAsia="宋体"/>
          <w:color w:val="auto"/>
          <w:szCs w:val="24"/>
          <w:highlight w:val="none"/>
        </w:rPr>
        <w:t>、</w:t>
      </w:r>
      <w:r>
        <w:rPr>
          <w:rFonts w:hint="eastAsia" w:ascii="Times New Roman" w:hAnsi="Times New Roman" w:eastAsia="宋体"/>
          <w:color w:val="auto"/>
          <w:szCs w:val="24"/>
          <w:highlight w:val="none"/>
          <w:lang w:val="en-US" w:eastAsia="zh-CN"/>
        </w:rPr>
        <w:t>51</w:t>
      </w:r>
      <w:r>
        <w:rPr>
          <w:rFonts w:hint="eastAsia" w:ascii="Times New Roman" w:hAnsi="Times New Roman" w:eastAsia="宋体"/>
          <w:color w:val="auto"/>
          <w:szCs w:val="24"/>
          <w:highlight w:val="none"/>
        </w:rPr>
        <w:t>μg/m</w:t>
      </w:r>
      <w:r>
        <w:rPr>
          <w:rFonts w:hint="eastAsia" w:ascii="Times New Roman" w:hAnsi="Times New Roman" w:eastAsia="宋体"/>
          <w:color w:val="auto"/>
          <w:szCs w:val="24"/>
          <w:highlight w:val="none"/>
          <w:vertAlign w:val="superscript"/>
        </w:rPr>
        <w:t>3</w:t>
      </w:r>
      <w:r>
        <w:rPr>
          <w:rFonts w:hint="eastAsia" w:ascii="Times New Roman" w:hAnsi="Times New Roman" w:eastAsia="宋体"/>
          <w:color w:val="auto"/>
          <w:szCs w:val="24"/>
          <w:highlight w:val="none"/>
        </w:rPr>
        <w:t>；CO24小时平均第95百分位数为</w:t>
      </w:r>
      <w:r>
        <w:rPr>
          <w:rFonts w:hint="eastAsia" w:ascii="Times New Roman" w:hAnsi="Times New Roman" w:eastAsia="宋体"/>
          <w:color w:val="auto"/>
          <w:szCs w:val="24"/>
          <w:highlight w:val="none"/>
          <w:lang w:val="en-US" w:eastAsia="zh-CN"/>
        </w:rPr>
        <w:t>2.6</w:t>
      </w:r>
      <w:r>
        <w:rPr>
          <w:rFonts w:hint="eastAsia" w:ascii="Times New Roman" w:hAnsi="Times New Roman" w:eastAsia="宋体"/>
          <w:color w:val="auto"/>
          <w:szCs w:val="24"/>
          <w:highlight w:val="none"/>
        </w:rPr>
        <w:t>mg/m</w:t>
      </w:r>
      <w:r>
        <w:rPr>
          <w:rFonts w:hint="eastAsia" w:ascii="Times New Roman" w:hAnsi="Times New Roman" w:eastAsia="宋体"/>
          <w:color w:val="auto"/>
          <w:szCs w:val="24"/>
          <w:highlight w:val="none"/>
          <w:vertAlign w:val="superscript"/>
        </w:rPr>
        <w:t>3</w:t>
      </w:r>
      <w:r>
        <w:rPr>
          <w:rFonts w:hint="eastAsia" w:ascii="Times New Roman" w:hAnsi="Times New Roman" w:eastAsia="宋体"/>
          <w:color w:val="auto"/>
          <w:szCs w:val="24"/>
          <w:highlight w:val="none"/>
        </w:rPr>
        <w:t>，O</w:t>
      </w:r>
      <w:r>
        <w:rPr>
          <w:rFonts w:hint="eastAsia" w:ascii="Times New Roman" w:hAnsi="Times New Roman" w:eastAsia="宋体"/>
          <w:color w:val="auto"/>
          <w:szCs w:val="24"/>
          <w:highlight w:val="none"/>
          <w:vertAlign w:val="subscript"/>
        </w:rPr>
        <w:t>3</w:t>
      </w:r>
      <w:r>
        <w:rPr>
          <w:rFonts w:hint="eastAsia" w:ascii="Times New Roman" w:hAnsi="Times New Roman" w:eastAsia="宋体"/>
          <w:color w:val="auto"/>
          <w:szCs w:val="24"/>
          <w:highlight w:val="none"/>
        </w:rPr>
        <w:t>日最大8小时平均第90百分位数为</w:t>
      </w:r>
      <w:r>
        <w:rPr>
          <w:rFonts w:hint="eastAsia" w:ascii="Times New Roman" w:hAnsi="Times New Roman" w:eastAsia="宋体"/>
          <w:color w:val="auto"/>
          <w:szCs w:val="24"/>
          <w:highlight w:val="none"/>
          <w:lang w:val="en-US" w:eastAsia="zh-CN"/>
        </w:rPr>
        <w:t>138</w:t>
      </w:r>
      <w:r>
        <w:rPr>
          <w:rFonts w:hint="eastAsia" w:ascii="Times New Roman" w:hAnsi="Times New Roman" w:eastAsia="宋体"/>
          <w:color w:val="auto"/>
          <w:szCs w:val="24"/>
          <w:highlight w:val="none"/>
        </w:rPr>
        <w:t>μg/m</w:t>
      </w:r>
      <w:r>
        <w:rPr>
          <w:rFonts w:hint="eastAsia" w:ascii="Times New Roman" w:hAnsi="Times New Roman" w:eastAsia="宋体"/>
          <w:color w:val="auto"/>
          <w:szCs w:val="24"/>
          <w:highlight w:val="none"/>
          <w:vertAlign w:val="superscript"/>
        </w:rPr>
        <w:t>3</w:t>
      </w:r>
      <w:r>
        <w:rPr>
          <w:rFonts w:hint="eastAsia" w:ascii="Times New Roman" w:hAnsi="Times New Roman" w:eastAsia="宋体"/>
          <w:color w:val="auto"/>
          <w:szCs w:val="24"/>
          <w:highlight w:val="none"/>
        </w:rPr>
        <w:t>；超过《环境空气质量标准》（GB3095-2012）中二级标准限值的污染物为PM</w:t>
      </w:r>
      <w:r>
        <w:rPr>
          <w:rFonts w:hint="eastAsia" w:ascii="Times New Roman" w:hAnsi="Times New Roman" w:eastAsia="宋体"/>
          <w:color w:val="auto"/>
          <w:szCs w:val="24"/>
          <w:highlight w:val="none"/>
          <w:vertAlign w:val="subscript"/>
        </w:rPr>
        <w:t>10</w:t>
      </w:r>
      <w:r>
        <w:rPr>
          <w:rFonts w:hint="eastAsia" w:ascii="Times New Roman" w:hAnsi="Times New Roman" w:eastAsia="宋体"/>
          <w:color w:val="auto"/>
          <w:szCs w:val="24"/>
          <w:highlight w:val="none"/>
        </w:rPr>
        <w:t>、PM</w:t>
      </w:r>
      <w:r>
        <w:rPr>
          <w:rFonts w:hint="eastAsia" w:ascii="Times New Roman" w:hAnsi="Times New Roman" w:eastAsia="宋体"/>
          <w:color w:val="auto"/>
          <w:szCs w:val="24"/>
          <w:highlight w:val="none"/>
          <w:vertAlign w:val="subscript"/>
        </w:rPr>
        <w:t>2.5</w:t>
      </w:r>
      <w:r>
        <w:rPr>
          <w:rFonts w:hint="eastAsia" w:ascii="Times New Roman" w:hAnsi="Times New Roman" w:eastAsia="宋体"/>
          <w:color w:val="auto"/>
          <w:szCs w:val="24"/>
          <w:highlight w:val="none"/>
        </w:rPr>
        <w:t>。</w:t>
      </w:r>
    </w:p>
    <w:p w14:paraId="6EC74EEF">
      <w:pPr>
        <w:ind w:firstLine="480"/>
        <w:rPr>
          <w:rFonts w:ascii="Times New Roman" w:hAnsi="Times New Roman" w:eastAsia="宋体"/>
          <w:color w:val="auto"/>
          <w:highlight w:val="none"/>
        </w:rPr>
      </w:pPr>
      <w:r>
        <w:rPr>
          <w:rFonts w:hint="eastAsia" w:ascii="Times New Roman" w:hAnsi="Times New Roman" w:eastAsia="宋体"/>
          <w:color w:val="auto"/>
          <w:highlight w:val="none"/>
        </w:rPr>
        <w:t>（1）数据来源</w:t>
      </w:r>
    </w:p>
    <w:p w14:paraId="6CE7C706">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根据《环境影响评价技术导则大气环境》（HJ2.2-2018）对环境质量现状数据的要求，本次选择昌吉回族自治州监测站2020年的监测数据为本次环境空气质量评价的数据。</w:t>
      </w:r>
    </w:p>
    <w:p w14:paraId="699E0E6A">
      <w:pPr>
        <w:ind w:firstLine="480"/>
        <w:rPr>
          <w:rFonts w:ascii="Times New Roman" w:hAnsi="Times New Roman" w:eastAsia="宋体"/>
          <w:color w:val="auto"/>
          <w:highlight w:val="none"/>
        </w:rPr>
      </w:pPr>
      <w:r>
        <w:rPr>
          <w:rFonts w:hint="eastAsia" w:ascii="Times New Roman" w:hAnsi="Times New Roman" w:eastAsia="宋体"/>
          <w:color w:val="auto"/>
          <w:highlight w:val="none"/>
        </w:rPr>
        <w:t>（2）评价标准</w:t>
      </w:r>
    </w:p>
    <w:p w14:paraId="5B7FBC70">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项目所在区域环境空气质量执行《环境空气质量标准》（GB3095-2012）二级标准。环境空气质量标准限值见表4.2-1。</w:t>
      </w:r>
    </w:p>
    <w:p w14:paraId="7EDD4AAC">
      <w:pPr>
        <w:pStyle w:val="10"/>
        <w:rPr>
          <w:rFonts w:ascii="Times New Roman" w:hAnsi="Times New Roman" w:eastAsia="宋体"/>
          <w:color w:val="auto"/>
          <w:highlight w:val="none"/>
        </w:rPr>
      </w:pPr>
      <w:r>
        <w:rPr>
          <w:rFonts w:hint="eastAsia" w:ascii="Times New Roman" w:hAnsi="Times New Roman" w:eastAsia="宋体"/>
          <w:color w:val="auto"/>
          <w:highlight w:val="none"/>
        </w:rPr>
        <w:t>表4.2-1环境空气污染物基本项目浓度限值</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920"/>
        <w:gridCol w:w="2361"/>
        <w:gridCol w:w="2361"/>
        <w:gridCol w:w="1156"/>
      </w:tblGrid>
      <w:tr w14:paraId="295F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Align w:val="center"/>
          </w:tcPr>
          <w:p w14:paraId="164AC792">
            <w:pPr>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序号</w:t>
            </w:r>
          </w:p>
        </w:tc>
        <w:tc>
          <w:tcPr>
            <w:tcW w:w="1126" w:type="pct"/>
            <w:vAlign w:val="center"/>
          </w:tcPr>
          <w:p w14:paraId="405AAD2F">
            <w:pPr>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污染物项目</w:t>
            </w:r>
          </w:p>
        </w:tc>
        <w:tc>
          <w:tcPr>
            <w:tcW w:w="1385" w:type="pct"/>
            <w:vAlign w:val="center"/>
          </w:tcPr>
          <w:p w14:paraId="6BEF70EE">
            <w:pPr>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平均时间</w:t>
            </w:r>
          </w:p>
        </w:tc>
        <w:tc>
          <w:tcPr>
            <w:tcW w:w="1385" w:type="pct"/>
            <w:vAlign w:val="center"/>
          </w:tcPr>
          <w:p w14:paraId="20A544D0">
            <w:pPr>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浓度</w:t>
            </w:r>
            <w:r>
              <w:rPr>
                <w:rFonts w:ascii="Times New Roman" w:hAnsi="Times New Roman" w:eastAsia="宋体"/>
                <w:color w:val="auto"/>
                <w:sz w:val="21"/>
                <w:szCs w:val="21"/>
                <w:highlight w:val="none"/>
              </w:rPr>
              <w:t>限值</w:t>
            </w:r>
          </w:p>
        </w:tc>
        <w:tc>
          <w:tcPr>
            <w:tcW w:w="678" w:type="pct"/>
            <w:vAlign w:val="center"/>
          </w:tcPr>
          <w:p w14:paraId="4BD43F50">
            <w:pPr>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单位</w:t>
            </w:r>
          </w:p>
        </w:tc>
      </w:tr>
      <w:tr w14:paraId="29C2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14:paraId="66BFEC7C">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w:t>
            </w:r>
          </w:p>
        </w:tc>
        <w:tc>
          <w:tcPr>
            <w:tcW w:w="1126" w:type="pct"/>
            <w:vMerge w:val="restart"/>
            <w:vAlign w:val="center"/>
          </w:tcPr>
          <w:p w14:paraId="304DD3C4">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SO</w:t>
            </w:r>
            <w:r>
              <w:rPr>
                <w:rFonts w:ascii="Times New Roman" w:hAnsi="Times New Roman" w:eastAsia="宋体"/>
                <w:bCs/>
                <w:color w:val="auto"/>
                <w:sz w:val="21"/>
                <w:szCs w:val="21"/>
                <w:highlight w:val="none"/>
                <w:vertAlign w:val="subscript"/>
              </w:rPr>
              <w:t>2</w:t>
            </w:r>
          </w:p>
        </w:tc>
        <w:tc>
          <w:tcPr>
            <w:tcW w:w="1385" w:type="pct"/>
            <w:vAlign w:val="center"/>
          </w:tcPr>
          <w:p w14:paraId="2F729C06">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年平均</w:t>
            </w:r>
          </w:p>
        </w:tc>
        <w:tc>
          <w:tcPr>
            <w:tcW w:w="1385" w:type="pct"/>
            <w:vAlign w:val="center"/>
          </w:tcPr>
          <w:p w14:paraId="11A651EB">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60</w:t>
            </w:r>
          </w:p>
        </w:tc>
        <w:tc>
          <w:tcPr>
            <w:tcW w:w="678" w:type="pct"/>
            <w:vMerge w:val="restart"/>
            <w:vAlign w:val="center"/>
          </w:tcPr>
          <w:p w14:paraId="7F1D9F07">
            <w:pPr>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μg/m</w:t>
            </w:r>
            <w:r>
              <w:rPr>
                <w:rFonts w:ascii="Times New Roman" w:hAnsi="Times New Roman" w:eastAsia="宋体"/>
                <w:color w:val="auto"/>
                <w:sz w:val="21"/>
                <w:szCs w:val="21"/>
                <w:highlight w:val="none"/>
                <w:vertAlign w:val="superscript"/>
              </w:rPr>
              <w:t>3</w:t>
            </w:r>
          </w:p>
        </w:tc>
      </w:tr>
      <w:tr w14:paraId="0482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14:paraId="383BE154">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14:paraId="7E06E2CC">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14:paraId="7E44DDD4">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24小时</w:t>
            </w:r>
            <w:r>
              <w:rPr>
                <w:rFonts w:hint="eastAsia" w:ascii="Times New Roman" w:hAnsi="Times New Roman" w:eastAsia="宋体"/>
                <w:bCs/>
                <w:color w:val="auto"/>
                <w:sz w:val="21"/>
                <w:szCs w:val="21"/>
                <w:highlight w:val="none"/>
              </w:rPr>
              <w:t>平均</w:t>
            </w:r>
          </w:p>
        </w:tc>
        <w:tc>
          <w:tcPr>
            <w:tcW w:w="1385" w:type="pct"/>
            <w:vAlign w:val="center"/>
          </w:tcPr>
          <w:p w14:paraId="0FF842EC">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15</w:t>
            </w:r>
            <w:r>
              <w:rPr>
                <w:rFonts w:hint="eastAsia" w:ascii="Times New Roman" w:hAnsi="Times New Roman" w:eastAsia="宋体"/>
                <w:bCs/>
                <w:color w:val="auto"/>
                <w:sz w:val="21"/>
                <w:szCs w:val="21"/>
                <w:highlight w:val="none"/>
              </w:rPr>
              <w:t>0</w:t>
            </w:r>
          </w:p>
        </w:tc>
        <w:tc>
          <w:tcPr>
            <w:tcW w:w="678" w:type="pct"/>
            <w:vMerge w:val="continue"/>
            <w:vAlign w:val="center"/>
          </w:tcPr>
          <w:p w14:paraId="4E1DFFC1">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14:paraId="2E3B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14:paraId="29EF3F58">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14:paraId="0F264D31">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14:paraId="086F305A">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1小时平均</w:t>
            </w:r>
          </w:p>
        </w:tc>
        <w:tc>
          <w:tcPr>
            <w:tcW w:w="1385" w:type="pct"/>
            <w:vAlign w:val="center"/>
          </w:tcPr>
          <w:p w14:paraId="7CEF48A2">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500</w:t>
            </w:r>
          </w:p>
        </w:tc>
        <w:tc>
          <w:tcPr>
            <w:tcW w:w="678" w:type="pct"/>
            <w:vMerge w:val="continue"/>
            <w:vAlign w:val="center"/>
          </w:tcPr>
          <w:p w14:paraId="5AF61671">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14:paraId="3ED1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14:paraId="76549292">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2</w:t>
            </w:r>
          </w:p>
        </w:tc>
        <w:tc>
          <w:tcPr>
            <w:tcW w:w="1126" w:type="pct"/>
            <w:vMerge w:val="restart"/>
            <w:vAlign w:val="center"/>
          </w:tcPr>
          <w:p w14:paraId="4E64F254">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NO</w:t>
            </w:r>
            <w:r>
              <w:rPr>
                <w:rFonts w:ascii="Times New Roman" w:hAnsi="Times New Roman" w:eastAsia="宋体"/>
                <w:bCs/>
                <w:color w:val="auto"/>
                <w:sz w:val="21"/>
                <w:szCs w:val="21"/>
                <w:highlight w:val="none"/>
                <w:vertAlign w:val="subscript"/>
              </w:rPr>
              <w:t>2</w:t>
            </w:r>
          </w:p>
        </w:tc>
        <w:tc>
          <w:tcPr>
            <w:tcW w:w="1385" w:type="pct"/>
            <w:vAlign w:val="center"/>
          </w:tcPr>
          <w:p w14:paraId="06DC5E89">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年平均</w:t>
            </w:r>
          </w:p>
        </w:tc>
        <w:tc>
          <w:tcPr>
            <w:tcW w:w="1385" w:type="pct"/>
            <w:vAlign w:val="center"/>
          </w:tcPr>
          <w:p w14:paraId="3EF15A5B">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40</w:t>
            </w:r>
          </w:p>
        </w:tc>
        <w:tc>
          <w:tcPr>
            <w:tcW w:w="678" w:type="pct"/>
            <w:vMerge w:val="continue"/>
            <w:vAlign w:val="center"/>
          </w:tcPr>
          <w:p w14:paraId="7C4B5680">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14:paraId="62E7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14:paraId="2A607EC7">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14:paraId="7E27FF2A">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14:paraId="0748C9AE">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24小时平均</w:t>
            </w:r>
          </w:p>
        </w:tc>
        <w:tc>
          <w:tcPr>
            <w:tcW w:w="1385" w:type="pct"/>
            <w:vAlign w:val="center"/>
          </w:tcPr>
          <w:p w14:paraId="4D7E618F">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80</w:t>
            </w:r>
          </w:p>
        </w:tc>
        <w:tc>
          <w:tcPr>
            <w:tcW w:w="678" w:type="pct"/>
            <w:vMerge w:val="continue"/>
            <w:vAlign w:val="center"/>
          </w:tcPr>
          <w:p w14:paraId="5A87B078">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14:paraId="19D5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14:paraId="22DA2A92">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14:paraId="04F5C674">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14:paraId="7E9F3FB1">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1小时平均</w:t>
            </w:r>
          </w:p>
        </w:tc>
        <w:tc>
          <w:tcPr>
            <w:tcW w:w="1385" w:type="pct"/>
            <w:vAlign w:val="center"/>
          </w:tcPr>
          <w:p w14:paraId="119BB9E3">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200</w:t>
            </w:r>
          </w:p>
        </w:tc>
        <w:tc>
          <w:tcPr>
            <w:tcW w:w="678" w:type="pct"/>
            <w:vMerge w:val="continue"/>
            <w:vAlign w:val="center"/>
          </w:tcPr>
          <w:p w14:paraId="0AF96339">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14:paraId="35E0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14:paraId="2BE4FBE0">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3</w:t>
            </w:r>
          </w:p>
        </w:tc>
        <w:tc>
          <w:tcPr>
            <w:tcW w:w="1126" w:type="pct"/>
            <w:vMerge w:val="restart"/>
            <w:vAlign w:val="center"/>
          </w:tcPr>
          <w:p w14:paraId="32792158">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CO</w:t>
            </w:r>
          </w:p>
        </w:tc>
        <w:tc>
          <w:tcPr>
            <w:tcW w:w="1385" w:type="pct"/>
            <w:vAlign w:val="center"/>
          </w:tcPr>
          <w:p w14:paraId="40B2C016">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24小时平均</w:t>
            </w:r>
          </w:p>
        </w:tc>
        <w:tc>
          <w:tcPr>
            <w:tcW w:w="1385" w:type="pct"/>
            <w:vAlign w:val="center"/>
          </w:tcPr>
          <w:p w14:paraId="00AC15FC">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4</w:t>
            </w:r>
          </w:p>
        </w:tc>
        <w:tc>
          <w:tcPr>
            <w:tcW w:w="678" w:type="pct"/>
            <w:vMerge w:val="restart"/>
            <w:vAlign w:val="center"/>
          </w:tcPr>
          <w:p w14:paraId="1729B03D">
            <w:pPr>
              <w:adjustRightInd w:val="0"/>
              <w:snapToGrid w:val="0"/>
              <w:spacing w:line="240" w:lineRule="auto"/>
              <w:ind w:firstLine="0" w:firstLineChars="0"/>
              <w:jc w:val="center"/>
              <w:rPr>
                <w:rFonts w:ascii="Times New Roman" w:hAnsi="Times New Roman" w:eastAsia="宋体"/>
                <w:b/>
                <w:color w:val="auto"/>
                <w:sz w:val="21"/>
                <w:szCs w:val="21"/>
                <w:highlight w:val="none"/>
              </w:rPr>
            </w:pPr>
            <w:r>
              <w:rPr>
                <w:rFonts w:hint="eastAsia" w:ascii="Times New Roman" w:hAnsi="Times New Roman" w:eastAsia="宋体"/>
                <w:color w:val="auto"/>
                <w:sz w:val="21"/>
                <w:szCs w:val="21"/>
                <w:highlight w:val="none"/>
              </w:rPr>
              <w:t>mg</w:t>
            </w:r>
            <w:r>
              <w:rPr>
                <w:rFonts w:ascii="Times New Roman" w:hAnsi="Times New Roman" w:eastAsia="宋体"/>
                <w:color w:val="auto"/>
                <w:sz w:val="21"/>
                <w:szCs w:val="21"/>
                <w:highlight w:val="none"/>
              </w:rPr>
              <w:t>/m</w:t>
            </w:r>
            <w:r>
              <w:rPr>
                <w:rFonts w:ascii="Times New Roman" w:hAnsi="Times New Roman" w:eastAsia="宋体"/>
                <w:color w:val="auto"/>
                <w:sz w:val="21"/>
                <w:szCs w:val="21"/>
                <w:highlight w:val="none"/>
                <w:vertAlign w:val="superscript"/>
              </w:rPr>
              <w:t>3</w:t>
            </w:r>
          </w:p>
        </w:tc>
      </w:tr>
      <w:tr w14:paraId="6BCF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14:paraId="11E66EE1">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14:paraId="5C8BA62A">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14:paraId="6225D04C">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1小时平均</w:t>
            </w:r>
          </w:p>
        </w:tc>
        <w:tc>
          <w:tcPr>
            <w:tcW w:w="1385" w:type="pct"/>
            <w:vAlign w:val="center"/>
          </w:tcPr>
          <w:p w14:paraId="0C2DE7F7">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10</w:t>
            </w:r>
          </w:p>
        </w:tc>
        <w:tc>
          <w:tcPr>
            <w:tcW w:w="678" w:type="pct"/>
            <w:vMerge w:val="continue"/>
            <w:vAlign w:val="center"/>
          </w:tcPr>
          <w:p w14:paraId="258D40A2">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14:paraId="3EE2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14:paraId="1AB6715B">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4</w:t>
            </w:r>
          </w:p>
        </w:tc>
        <w:tc>
          <w:tcPr>
            <w:tcW w:w="1126" w:type="pct"/>
            <w:vMerge w:val="restart"/>
            <w:vAlign w:val="center"/>
          </w:tcPr>
          <w:p w14:paraId="5CD32DF3">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O</w:t>
            </w:r>
            <w:r>
              <w:rPr>
                <w:rFonts w:ascii="Times New Roman" w:hAnsi="Times New Roman" w:eastAsia="宋体"/>
                <w:bCs/>
                <w:color w:val="auto"/>
                <w:sz w:val="21"/>
                <w:szCs w:val="21"/>
                <w:highlight w:val="none"/>
                <w:vertAlign w:val="subscript"/>
              </w:rPr>
              <w:t>3</w:t>
            </w:r>
          </w:p>
        </w:tc>
        <w:tc>
          <w:tcPr>
            <w:tcW w:w="1385" w:type="pct"/>
            <w:vAlign w:val="center"/>
          </w:tcPr>
          <w:p w14:paraId="7809EC95">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日</w:t>
            </w:r>
            <w:r>
              <w:rPr>
                <w:rFonts w:hint="eastAsia" w:ascii="Times New Roman" w:hAnsi="Times New Roman" w:eastAsia="宋体"/>
                <w:bCs/>
                <w:color w:val="auto"/>
                <w:sz w:val="21"/>
                <w:szCs w:val="21"/>
                <w:highlight w:val="none"/>
              </w:rPr>
              <w:t>最</w:t>
            </w:r>
            <w:r>
              <w:rPr>
                <w:rFonts w:ascii="Times New Roman" w:hAnsi="Times New Roman" w:eastAsia="宋体"/>
                <w:bCs/>
                <w:color w:val="auto"/>
                <w:sz w:val="21"/>
                <w:szCs w:val="21"/>
                <w:highlight w:val="none"/>
              </w:rPr>
              <w:t>大8小时平均</w:t>
            </w:r>
          </w:p>
        </w:tc>
        <w:tc>
          <w:tcPr>
            <w:tcW w:w="1385" w:type="pct"/>
            <w:vAlign w:val="center"/>
          </w:tcPr>
          <w:p w14:paraId="6C6432A8">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160</w:t>
            </w:r>
          </w:p>
        </w:tc>
        <w:tc>
          <w:tcPr>
            <w:tcW w:w="678" w:type="pct"/>
            <w:vMerge w:val="restart"/>
            <w:vAlign w:val="center"/>
          </w:tcPr>
          <w:p w14:paraId="6303A65B">
            <w:pPr>
              <w:adjustRightInd w:val="0"/>
              <w:snapToGrid w:val="0"/>
              <w:spacing w:line="240" w:lineRule="auto"/>
              <w:ind w:firstLine="0" w:firstLineChars="0"/>
              <w:jc w:val="center"/>
              <w:rPr>
                <w:rFonts w:ascii="Times New Roman" w:hAnsi="Times New Roman" w:eastAsia="宋体"/>
                <w:b/>
                <w:color w:val="auto"/>
                <w:sz w:val="21"/>
                <w:szCs w:val="21"/>
                <w:highlight w:val="none"/>
              </w:rPr>
            </w:pPr>
            <w:r>
              <w:rPr>
                <w:rFonts w:ascii="Times New Roman" w:hAnsi="Times New Roman" w:eastAsia="宋体"/>
                <w:color w:val="auto"/>
                <w:sz w:val="21"/>
                <w:szCs w:val="21"/>
                <w:highlight w:val="none"/>
              </w:rPr>
              <w:t>μg/m</w:t>
            </w:r>
            <w:r>
              <w:rPr>
                <w:rFonts w:ascii="Times New Roman" w:hAnsi="Times New Roman" w:eastAsia="宋体"/>
                <w:color w:val="auto"/>
                <w:sz w:val="21"/>
                <w:szCs w:val="21"/>
                <w:highlight w:val="none"/>
                <w:vertAlign w:val="superscript"/>
              </w:rPr>
              <w:t>3</w:t>
            </w:r>
          </w:p>
        </w:tc>
      </w:tr>
      <w:tr w14:paraId="5341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14:paraId="34E742A1">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14:paraId="2C2A4514">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14:paraId="703F897B">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1小时平均</w:t>
            </w:r>
          </w:p>
        </w:tc>
        <w:tc>
          <w:tcPr>
            <w:tcW w:w="1385" w:type="pct"/>
            <w:vAlign w:val="center"/>
          </w:tcPr>
          <w:p w14:paraId="31997CA3">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200</w:t>
            </w:r>
          </w:p>
        </w:tc>
        <w:tc>
          <w:tcPr>
            <w:tcW w:w="678" w:type="pct"/>
            <w:vMerge w:val="continue"/>
            <w:vAlign w:val="center"/>
          </w:tcPr>
          <w:p w14:paraId="6E6606E0">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14:paraId="45B0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14:paraId="2B6AFF50">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5</w:t>
            </w:r>
          </w:p>
        </w:tc>
        <w:tc>
          <w:tcPr>
            <w:tcW w:w="1126" w:type="pct"/>
            <w:vMerge w:val="restart"/>
            <w:vAlign w:val="center"/>
          </w:tcPr>
          <w:p w14:paraId="03A6AD86">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PM</w:t>
            </w:r>
            <w:r>
              <w:rPr>
                <w:rFonts w:ascii="Times New Roman" w:hAnsi="Times New Roman" w:eastAsia="宋体"/>
                <w:bCs/>
                <w:color w:val="auto"/>
                <w:sz w:val="21"/>
                <w:szCs w:val="21"/>
                <w:highlight w:val="none"/>
                <w:vertAlign w:val="subscript"/>
              </w:rPr>
              <w:t>10</w:t>
            </w:r>
          </w:p>
        </w:tc>
        <w:tc>
          <w:tcPr>
            <w:tcW w:w="1385" w:type="pct"/>
            <w:vAlign w:val="center"/>
          </w:tcPr>
          <w:p w14:paraId="6363CC62">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年平均</w:t>
            </w:r>
          </w:p>
        </w:tc>
        <w:tc>
          <w:tcPr>
            <w:tcW w:w="1385" w:type="pct"/>
            <w:vAlign w:val="center"/>
          </w:tcPr>
          <w:p w14:paraId="78F5B86F">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70</w:t>
            </w:r>
          </w:p>
        </w:tc>
        <w:tc>
          <w:tcPr>
            <w:tcW w:w="678" w:type="pct"/>
            <w:vMerge w:val="continue"/>
            <w:vAlign w:val="center"/>
          </w:tcPr>
          <w:p w14:paraId="4F7FD43D">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14:paraId="528A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14:paraId="5951B003">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14:paraId="697FD5EE">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14:paraId="215C280A">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24小时平均</w:t>
            </w:r>
          </w:p>
        </w:tc>
        <w:tc>
          <w:tcPr>
            <w:tcW w:w="1385" w:type="pct"/>
            <w:vAlign w:val="center"/>
          </w:tcPr>
          <w:p w14:paraId="7791E888">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150</w:t>
            </w:r>
          </w:p>
        </w:tc>
        <w:tc>
          <w:tcPr>
            <w:tcW w:w="678" w:type="pct"/>
            <w:vMerge w:val="continue"/>
            <w:vAlign w:val="center"/>
          </w:tcPr>
          <w:p w14:paraId="6D3D3BDF">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14:paraId="1B68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14:paraId="4928345F">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6</w:t>
            </w:r>
          </w:p>
        </w:tc>
        <w:tc>
          <w:tcPr>
            <w:tcW w:w="1126" w:type="pct"/>
            <w:vMerge w:val="restart"/>
            <w:vAlign w:val="center"/>
          </w:tcPr>
          <w:p w14:paraId="133DBFE9">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PM</w:t>
            </w:r>
            <w:r>
              <w:rPr>
                <w:rFonts w:ascii="Times New Roman" w:hAnsi="Times New Roman" w:eastAsia="宋体"/>
                <w:bCs/>
                <w:color w:val="auto"/>
                <w:sz w:val="21"/>
                <w:szCs w:val="21"/>
                <w:highlight w:val="none"/>
                <w:vertAlign w:val="subscript"/>
              </w:rPr>
              <w:t>2.5</w:t>
            </w:r>
          </w:p>
        </w:tc>
        <w:tc>
          <w:tcPr>
            <w:tcW w:w="1385" w:type="pct"/>
            <w:vAlign w:val="center"/>
          </w:tcPr>
          <w:p w14:paraId="3F274861">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年平均</w:t>
            </w:r>
          </w:p>
        </w:tc>
        <w:tc>
          <w:tcPr>
            <w:tcW w:w="1385" w:type="pct"/>
            <w:vAlign w:val="center"/>
          </w:tcPr>
          <w:p w14:paraId="2E4968DF">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35</w:t>
            </w:r>
          </w:p>
        </w:tc>
        <w:tc>
          <w:tcPr>
            <w:tcW w:w="678" w:type="pct"/>
            <w:vMerge w:val="continue"/>
            <w:vAlign w:val="center"/>
          </w:tcPr>
          <w:p w14:paraId="113FBF47">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r w14:paraId="5DCE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14:paraId="29247A5D">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126" w:type="pct"/>
            <w:vMerge w:val="continue"/>
            <w:vAlign w:val="center"/>
          </w:tcPr>
          <w:p w14:paraId="3F2E8E69">
            <w:pPr>
              <w:adjustRightInd w:val="0"/>
              <w:snapToGrid w:val="0"/>
              <w:spacing w:line="240" w:lineRule="auto"/>
              <w:ind w:firstLine="0" w:firstLineChars="0"/>
              <w:jc w:val="center"/>
              <w:rPr>
                <w:rFonts w:ascii="Times New Roman" w:hAnsi="Times New Roman" w:eastAsia="宋体"/>
                <w:bCs/>
                <w:color w:val="auto"/>
                <w:sz w:val="21"/>
                <w:szCs w:val="21"/>
                <w:highlight w:val="none"/>
              </w:rPr>
            </w:pPr>
          </w:p>
        </w:tc>
        <w:tc>
          <w:tcPr>
            <w:tcW w:w="1385" w:type="pct"/>
            <w:vAlign w:val="center"/>
          </w:tcPr>
          <w:p w14:paraId="15BE9E14">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24小时平均</w:t>
            </w:r>
          </w:p>
        </w:tc>
        <w:tc>
          <w:tcPr>
            <w:tcW w:w="1385" w:type="pct"/>
            <w:vAlign w:val="center"/>
          </w:tcPr>
          <w:p w14:paraId="44F3446F">
            <w:pPr>
              <w:adjustRightInd w:val="0"/>
              <w:snapToGrid w:val="0"/>
              <w:spacing w:line="240" w:lineRule="auto"/>
              <w:ind w:firstLine="0" w:firstLineChars="0"/>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75</w:t>
            </w:r>
          </w:p>
        </w:tc>
        <w:tc>
          <w:tcPr>
            <w:tcW w:w="678" w:type="pct"/>
            <w:vMerge w:val="continue"/>
            <w:vAlign w:val="center"/>
          </w:tcPr>
          <w:p w14:paraId="1DFCEC2B">
            <w:pPr>
              <w:adjustRightInd w:val="0"/>
              <w:snapToGrid w:val="0"/>
              <w:spacing w:line="240" w:lineRule="auto"/>
              <w:ind w:firstLine="0" w:firstLineChars="0"/>
              <w:jc w:val="center"/>
              <w:rPr>
                <w:rFonts w:ascii="Times New Roman" w:hAnsi="Times New Roman" w:eastAsia="宋体"/>
                <w:b/>
                <w:color w:val="auto"/>
                <w:sz w:val="21"/>
                <w:szCs w:val="21"/>
                <w:highlight w:val="none"/>
              </w:rPr>
            </w:pPr>
          </w:p>
        </w:tc>
      </w:tr>
    </w:tbl>
    <w:p w14:paraId="43CC5078">
      <w:pPr>
        <w:ind w:firstLine="480"/>
        <w:rPr>
          <w:rFonts w:ascii="Times New Roman" w:hAnsi="Times New Roman" w:eastAsia="宋体"/>
          <w:color w:val="auto"/>
          <w:highlight w:val="none"/>
        </w:rPr>
      </w:pPr>
      <w:r>
        <w:rPr>
          <w:rFonts w:hint="eastAsia" w:ascii="Times New Roman" w:hAnsi="Times New Roman" w:eastAsia="宋体"/>
          <w:color w:val="auto"/>
          <w:highlight w:val="none"/>
        </w:rPr>
        <w:t>（3）评价方法</w:t>
      </w:r>
    </w:p>
    <w:p w14:paraId="4752276C">
      <w:pPr>
        <w:ind w:firstLine="480"/>
        <w:rPr>
          <w:rFonts w:ascii="Times New Roman" w:hAnsi="Times New Roman" w:eastAsia="宋体"/>
          <w:color w:val="auto"/>
          <w:highlight w:val="none"/>
        </w:rPr>
      </w:pPr>
      <w:r>
        <w:rPr>
          <w:rFonts w:hint="eastAsia" w:ascii="Times New Roman" w:hAnsi="Times New Roman" w:eastAsia="宋体"/>
          <w:color w:val="auto"/>
          <w:highlight w:val="none"/>
        </w:rPr>
        <w:t>采用标准指数法评价大气污染物在评价区域内的环境质量现状，计算公式如下：</w:t>
      </w:r>
    </w:p>
    <w:p w14:paraId="38355BB8">
      <w:pPr>
        <w:ind w:firstLine="0" w:firstLineChars="0"/>
        <w:jc w:val="center"/>
        <w:rPr>
          <w:rFonts w:ascii="Times New Roman" w:hAnsi="Times New Roman" w:eastAsia="宋体"/>
          <w:color w:val="auto"/>
          <w:highlight w:val="none"/>
        </w:rPr>
      </w:pPr>
      <w:r>
        <w:rPr>
          <w:rFonts w:ascii="Times New Roman" w:hAnsi="Times New Roman" w:eastAsia="宋体" w:cs="宋体"/>
          <w:color w:val="auto"/>
          <w:szCs w:val="21"/>
          <w:highlight w:val="none"/>
        </w:rPr>
        <w:object>
          <v:shape id="_x0000_i1027" o:spt="75" type="#_x0000_t75" style="height:35.8pt;width:88.45pt;" o:ole="t" filled="f" o:preferrelative="t" stroked="f" coordsize="21600,21600">
            <v:path/>
            <v:fill on="f" focussize="0,0"/>
            <v:stroke on="f" joinstyle="miter"/>
            <v:imagedata r:id="rId34" o:title=""/>
            <o:lock v:ext="edit" aspectratio="t"/>
            <w10:wrap type="none"/>
            <w10:anchorlock/>
          </v:shape>
          <o:OLEObject Type="Embed" ProgID="Equation.AxMath" ShapeID="_x0000_i1027" DrawAspect="Content" ObjectID="_1468075727" r:id="rId37">
            <o:LockedField>false</o:LockedField>
          </o:OLEObject>
        </w:object>
      </w:r>
    </w:p>
    <w:p w14:paraId="480DF81F">
      <w:pPr>
        <w:ind w:firstLine="480"/>
        <w:rPr>
          <w:rFonts w:ascii="Times New Roman" w:hAnsi="Times New Roman" w:eastAsia="宋体"/>
          <w:color w:val="auto"/>
          <w:highlight w:val="none"/>
        </w:rPr>
      </w:pPr>
      <w:r>
        <w:rPr>
          <w:rFonts w:hint="eastAsia" w:ascii="Times New Roman" w:hAnsi="Times New Roman" w:eastAsia="宋体"/>
          <w:color w:val="auto"/>
          <w:highlight w:val="none"/>
        </w:rPr>
        <w:t>式中：P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——污染物i的单项污染指数，%；</w:t>
      </w:r>
    </w:p>
    <w:p w14:paraId="20432AC1">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——污染物i的平均浓度值，</w:t>
      </w:r>
      <w:r>
        <w:rPr>
          <w:rFonts w:ascii="Times New Roman" w:hAnsi="Times New Roman" w:eastAsia="宋体"/>
          <w:color w:val="auto"/>
          <w:highlight w:val="none"/>
        </w:rPr>
        <w:t>μg/m</w:t>
      </w:r>
      <w:r>
        <w:rPr>
          <w:rFonts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14:paraId="546E2F49">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0i</w:t>
      </w:r>
      <w:r>
        <w:rPr>
          <w:rFonts w:hint="eastAsia" w:ascii="Times New Roman" w:hAnsi="Times New Roman" w:eastAsia="宋体"/>
          <w:color w:val="auto"/>
          <w:highlight w:val="none"/>
        </w:rPr>
        <w:t>——污染物i的环境空气质量浓度标准，</w:t>
      </w:r>
      <w:r>
        <w:rPr>
          <w:rFonts w:ascii="Times New Roman" w:hAnsi="Times New Roman" w:eastAsia="宋体"/>
          <w:color w:val="auto"/>
          <w:highlight w:val="none"/>
        </w:rPr>
        <w:t>μg/m</w:t>
      </w:r>
      <w:r>
        <w:rPr>
          <w:rFonts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14:paraId="027D38D9">
      <w:pPr>
        <w:ind w:firstLine="480"/>
        <w:rPr>
          <w:rFonts w:ascii="Times New Roman" w:hAnsi="Times New Roman" w:eastAsia="宋体"/>
          <w:color w:val="auto"/>
          <w:highlight w:val="none"/>
        </w:rPr>
      </w:pPr>
      <w:r>
        <w:rPr>
          <w:rFonts w:hint="eastAsia" w:ascii="Times New Roman" w:hAnsi="Times New Roman" w:eastAsia="宋体"/>
          <w:color w:val="auto"/>
          <w:highlight w:val="none"/>
        </w:rPr>
        <w:t>当P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≥1时，说明环境中i污染物含量超过标准值，当P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&lt;1时，则说明i污染物符合标准。某污染物的P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值越大，则污染相对越严重。</w:t>
      </w:r>
    </w:p>
    <w:p w14:paraId="46CBD0A5">
      <w:pPr>
        <w:ind w:firstLine="480"/>
        <w:rPr>
          <w:rFonts w:ascii="Times New Roman" w:hAnsi="Times New Roman" w:eastAsia="宋体"/>
          <w:color w:val="auto"/>
          <w:highlight w:val="none"/>
        </w:rPr>
      </w:pPr>
      <w:r>
        <w:rPr>
          <w:rFonts w:hint="eastAsia" w:ascii="Times New Roman" w:hAnsi="Times New Roman" w:eastAsia="宋体"/>
          <w:color w:val="auto"/>
          <w:highlight w:val="none"/>
        </w:rPr>
        <w:t>（4）评价结果统计</w:t>
      </w:r>
    </w:p>
    <w:p w14:paraId="1443565E">
      <w:pPr>
        <w:ind w:firstLine="480"/>
        <w:rPr>
          <w:rFonts w:ascii="Times New Roman" w:hAnsi="Times New Roman" w:eastAsia="宋体"/>
          <w:color w:val="auto"/>
          <w:highlight w:val="none"/>
        </w:rPr>
      </w:pPr>
      <w:r>
        <w:rPr>
          <w:rFonts w:hint="eastAsia" w:ascii="Times New Roman" w:hAnsi="Times New Roman" w:eastAsia="宋体"/>
          <w:color w:val="auto"/>
          <w:highlight w:val="none"/>
        </w:rPr>
        <w:t>区域环境空气质量现状评价结果见表4.2-2。</w:t>
      </w:r>
    </w:p>
    <w:p w14:paraId="59D7C20B">
      <w:pPr>
        <w:spacing w:line="500" w:lineRule="exact"/>
        <w:ind w:firstLine="480"/>
        <w:jc w:val="left"/>
        <w:rPr>
          <w:rFonts w:ascii="Times New Roman" w:hAnsi="Times New Roman" w:eastAsia="宋体"/>
          <w:bCs/>
          <w:color w:val="auto"/>
          <w:highlight w:val="none"/>
        </w:rPr>
      </w:pPr>
      <w:r>
        <w:rPr>
          <w:rFonts w:hint="eastAsia" w:ascii="Times New Roman" w:hAnsi="Times New Roman" w:eastAsia="宋体"/>
          <w:color w:val="auto"/>
          <w:szCs w:val="24"/>
          <w:highlight w:val="none"/>
        </w:rPr>
        <w:t>基本污染物：引用环境空气质量模型技术支持服务系统昌吉市新区政务中心SO</w:t>
      </w:r>
      <w:r>
        <w:rPr>
          <w:rFonts w:hint="eastAsia" w:ascii="Times New Roman" w:hAnsi="Times New Roman" w:eastAsia="宋体"/>
          <w:color w:val="auto"/>
          <w:szCs w:val="24"/>
          <w:highlight w:val="none"/>
          <w:vertAlign w:val="subscript"/>
        </w:rPr>
        <w:t>2</w:t>
      </w:r>
      <w:r>
        <w:rPr>
          <w:rFonts w:hint="eastAsia" w:ascii="Times New Roman" w:hAnsi="Times New Roman" w:eastAsia="宋体"/>
          <w:color w:val="auto"/>
          <w:szCs w:val="24"/>
          <w:highlight w:val="none"/>
        </w:rPr>
        <w:t>、NO</w:t>
      </w:r>
      <w:r>
        <w:rPr>
          <w:rFonts w:hint="eastAsia" w:ascii="Times New Roman" w:hAnsi="Times New Roman" w:eastAsia="宋体"/>
          <w:color w:val="auto"/>
          <w:szCs w:val="24"/>
          <w:highlight w:val="none"/>
          <w:vertAlign w:val="subscript"/>
        </w:rPr>
        <w:t>2</w:t>
      </w:r>
      <w:r>
        <w:rPr>
          <w:rFonts w:hint="eastAsia" w:ascii="Times New Roman" w:hAnsi="Times New Roman" w:eastAsia="宋体"/>
          <w:color w:val="auto"/>
          <w:szCs w:val="24"/>
          <w:highlight w:val="none"/>
        </w:rPr>
        <w:t>、PM</w:t>
      </w:r>
      <w:r>
        <w:rPr>
          <w:rFonts w:hint="eastAsia" w:ascii="Times New Roman" w:hAnsi="Times New Roman" w:eastAsia="宋体"/>
          <w:color w:val="auto"/>
          <w:szCs w:val="24"/>
          <w:highlight w:val="none"/>
          <w:vertAlign w:val="subscript"/>
        </w:rPr>
        <w:t>10</w:t>
      </w:r>
      <w:r>
        <w:rPr>
          <w:rFonts w:hint="eastAsia" w:ascii="Times New Roman" w:hAnsi="Times New Roman" w:eastAsia="宋体"/>
          <w:color w:val="auto"/>
          <w:szCs w:val="24"/>
          <w:highlight w:val="none"/>
        </w:rPr>
        <w:t>、PM</w:t>
      </w:r>
      <w:r>
        <w:rPr>
          <w:rFonts w:hint="eastAsia" w:ascii="Times New Roman" w:hAnsi="Times New Roman" w:eastAsia="宋体"/>
          <w:color w:val="auto"/>
          <w:szCs w:val="24"/>
          <w:highlight w:val="none"/>
          <w:vertAlign w:val="subscript"/>
        </w:rPr>
        <w:t>2.5</w:t>
      </w:r>
      <w:r>
        <w:rPr>
          <w:rFonts w:hint="eastAsia" w:ascii="Times New Roman" w:hAnsi="Times New Roman" w:eastAsia="宋体"/>
          <w:color w:val="auto"/>
          <w:szCs w:val="24"/>
          <w:highlight w:val="none"/>
        </w:rPr>
        <w:t>、CO、O</w:t>
      </w:r>
      <w:r>
        <w:rPr>
          <w:rFonts w:hint="eastAsia" w:ascii="Times New Roman" w:hAnsi="Times New Roman" w:eastAsia="宋体"/>
          <w:color w:val="auto"/>
          <w:szCs w:val="24"/>
          <w:highlight w:val="none"/>
          <w:vertAlign w:val="subscript"/>
        </w:rPr>
        <w:t>3</w:t>
      </w:r>
      <w:r>
        <w:rPr>
          <w:rFonts w:hint="eastAsia" w:ascii="Times New Roman" w:hAnsi="Times New Roman" w:eastAsia="宋体"/>
          <w:color w:val="auto"/>
          <w:szCs w:val="24"/>
          <w:highlight w:val="none"/>
        </w:rPr>
        <w:t>六项基本污染物20</w:t>
      </w:r>
      <w:r>
        <w:rPr>
          <w:rFonts w:ascii="Times New Roman" w:hAnsi="Times New Roman" w:eastAsia="宋体"/>
          <w:color w:val="auto"/>
          <w:szCs w:val="24"/>
          <w:highlight w:val="none"/>
        </w:rPr>
        <w:t>2</w:t>
      </w:r>
      <w:r>
        <w:rPr>
          <w:rFonts w:hint="eastAsia"/>
          <w:color w:val="auto"/>
          <w:szCs w:val="24"/>
          <w:highlight w:val="none"/>
          <w:lang w:val="en-US" w:eastAsia="zh-CN"/>
        </w:rPr>
        <w:t>1</w:t>
      </w:r>
      <w:r>
        <w:rPr>
          <w:rFonts w:hint="eastAsia" w:ascii="Times New Roman" w:hAnsi="Times New Roman" w:eastAsia="宋体"/>
          <w:color w:val="auto"/>
          <w:szCs w:val="24"/>
          <w:highlight w:val="none"/>
        </w:rPr>
        <w:t>年的环境质量数据，昌吉市新区政务中心监测站位于本项目东部3</w:t>
      </w:r>
      <w:r>
        <w:rPr>
          <w:rFonts w:ascii="Times New Roman" w:hAnsi="Times New Roman" w:eastAsia="宋体"/>
          <w:color w:val="auto"/>
          <w:szCs w:val="24"/>
          <w:highlight w:val="none"/>
        </w:rPr>
        <w:t>2km</w:t>
      </w:r>
      <w:r>
        <w:rPr>
          <w:rFonts w:hint="eastAsia" w:ascii="Times New Roman" w:hAnsi="Times New Roman" w:eastAsia="宋体"/>
          <w:color w:val="auto"/>
          <w:szCs w:val="24"/>
          <w:highlight w:val="none"/>
        </w:rPr>
        <w:t>。20</w:t>
      </w:r>
      <w:r>
        <w:rPr>
          <w:rFonts w:ascii="Times New Roman" w:hAnsi="Times New Roman" w:eastAsia="宋体"/>
          <w:color w:val="auto"/>
          <w:szCs w:val="24"/>
          <w:highlight w:val="none"/>
        </w:rPr>
        <w:t>2</w:t>
      </w:r>
      <w:r>
        <w:rPr>
          <w:rFonts w:hint="eastAsia"/>
          <w:color w:val="auto"/>
          <w:szCs w:val="24"/>
          <w:highlight w:val="none"/>
          <w:lang w:val="en-US" w:eastAsia="zh-CN"/>
        </w:rPr>
        <w:t>1</w:t>
      </w:r>
      <w:r>
        <w:rPr>
          <w:rFonts w:hint="eastAsia" w:ascii="Times New Roman" w:hAnsi="Times New Roman" w:eastAsia="宋体"/>
          <w:color w:val="auto"/>
          <w:szCs w:val="24"/>
          <w:highlight w:val="none"/>
        </w:rPr>
        <w:t>年度监测结统计果见表</w:t>
      </w:r>
      <w:r>
        <w:rPr>
          <w:rFonts w:ascii="Times New Roman" w:hAnsi="Times New Roman" w:eastAsia="宋体"/>
          <w:color w:val="auto"/>
          <w:szCs w:val="24"/>
          <w:highlight w:val="none"/>
        </w:rPr>
        <w:t>4</w:t>
      </w:r>
      <w:r>
        <w:rPr>
          <w:rFonts w:hint="eastAsia" w:ascii="Times New Roman" w:hAnsi="Times New Roman" w:eastAsia="宋体"/>
          <w:color w:val="auto"/>
          <w:szCs w:val="24"/>
          <w:highlight w:val="none"/>
        </w:rPr>
        <w:t>.</w:t>
      </w:r>
      <w:r>
        <w:rPr>
          <w:rFonts w:ascii="Times New Roman" w:hAnsi="Times New Roman" w:eastAsia="宋体"/>
          <w:color w:val="auto"/>
          <w:szCs w:val="24"/>
          <w:highlight w:val="none"/>
        </w:rPr>
        <w:t>2</w:t>
      </w:r>
      <w:r>
        <w:rPr>
          <w:rFonts w:hint="eastAsia" w:ascii="Times New Roman" w:hAnsi="Times New Roman" w:eastAsia="宋体"/>
          <w:color w:val="auto"/>
          <w:szCs w:val="24"/>
          <w:highlight w:val="none"/>
        </w:rPr>
        <w:t>-</w:t>
      </w:r>
      <w:r>
        <w:rPr>
          <w:rFonts w:ascii="Times New Roman" w:hAnsi="Times New Roman" w:eastAsia="宋体"/>
          <w:color w:val="auto"/>
          <w:szCs w:val="24"/>
          <w:highlight w:val="none"/>
        </w:rPr>
        <w:t>2</w:t>
      </w:r>
      <w:r>
        <w:rPr>
          <w:rFonts w:hint="eastAsia" w:ascii="Times New Roman" w:hAnsi="Times New Roman" w:eastAsia="宋体"/>
          <w:color w:val="auto"/>
          <w:szCs w:val="24"/>
          <w:highlight w:val="none"/>
        </w:rPr>
        <w:t>。</w:t>
      </w:r>
    </w:p>
    <w:p w14:paraId="1E90E661">
      <w:pPr>
        <w:pStyle w:val="162"/>
        <w:spacing w:before="163" w:beforeLines="50" w:line="240" w:lineRule="auto"/>
        <w:ind w:firstLine="480"/>
        <w:outlineLvl w:val="9"/>
        <w:rPr>
          <w:rFonts w:ascii="Times New Roman" w:hAnsi="Times New Roman" w:eastAsia="宋体"/>
          <w:color w:val="auto"/>
          <w:highlight w:val="none"/>
        </w:rPr>
      </w:pPr>
      <w:bookmarkStart w:id="165" w:name="_Toc1382278"/>
      <w:r>
        <w:rPr>
          <w:rFonts w:ascii="Times New Roman" w:hAnsi="Times New Roman" w:eastAsia="宋体"/>
          <w:color w:val="auto"/>
          <w:highlight w:val="none"/>
        </w:rPr>
        <w:t>表4.2-2</w:t>
      </w:r>
      <w:bookmarkEnd w:id="165"/>
      <w:r>
        <w:rPr>
          <w:rFonts w:hint="eastAsia" w:ascii="Times New Roman" w:hAnsi="Times New Roman" w:eastAsia="宋体"/>
          <w:color w:val="auto"/>
          <w:highlight w:val="none"/>
        </w:rPr>
        <w:t>环境空气质量现状评价</w:t>
      </w:r>
    </w:p>
    <w:tbl>
      <w:tblPr>
        <w:tblStyle w:val="3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17"/>
        <w:gridCol w:w="1418"/>
        <w:gridCol w:w="1421"/>
        <w:gridCol w:w="1423"/>
      </w:tblGrid>
      <w:tr w14:paraId="5ABF3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12" w:space="0"/>
              <w:bottom w:val="single" w:color="auto" w:sz="12" w:space="0"/>
              <w:tl2br w:val="nil"/>
              <w:tr2bl w:val="nil"/>
            </w:tcBorders>
            <w:vAlign w:val="center"/>
          </w:tcPr>
          <w:p w14:paraId="1083DDCF">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评价因子</w:t>
            </w:r>
          </w:p>
        </w:tc>
        <w:tc>
          <w:tcPr>
            <w:tcW w:w="1384" w:type="dxa"/>
            <w:tcBorders>
              <w:top w:val="single" w:color="auto" w:sz="12" w:space="0"/>
              <w:bottom w:val="single" w:color="auto" w:sz="12" w:space="0"/>
              <w:tl2br w:val="nil"/>
              <w:tr2bl w:val="nil"/>
            </w:tcBorders>
            <w:vAlign w:val="center"/>
          </w:tcPr>
          <w:p w14:paraId="1DAE19EC">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年评价指标</w:t>
            </w:r>
          </w:p>
        </w:tc>
        <w:tc>
          <w:tcPr>
            <w:tcW w:w="1381" w:type="dxa"/>
            <w:tcBorders>
              <w:top w:val="single" w:color="auto" w:sz="12" w:space="0"/>
              <w:bottom w:val="single" w:color="auto" w:sz="12" w:space="0"/>
              <w:tl2br w:val="nil"/>
              <w:tr2bl w:val="nil"/>
            </w:tcBorders>
            <w:vAlign w:val="center"/>
          </w:tcPr>
          <w:p w14:paraId="0FEC8252">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现状浓度</w:t>
            </w:r>
          </w:p>
          <w:p w14:paraId="28C40794">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µg/m</w:t>
            </w:r>
            <w:r>
              <w:rPr>
                <w:rFonts w:ascii="Times New Roman" w:hAnsi="Times New Roman" w:eastAsia="宋体"/>
                <w:bCs/>
                <w:color w:val="auto"/>
                <w:sz w:val="21"/>
                <w:szCs w:val="21"/>
                <w:highlight w:val="none"/>
                <w:vertAlign w:val="superscript"/>
              </w:rPr>
              <w:t>3</w:t>
            </w:r>
          </w:p>
        </w:tc>
        <w:tc>
          <w:tcPr>
            <w:tcW w:w="1382" w:type="dxa"/>
            <w:tcBorders>
              <w:top w:val="single" w:color="auto" w:sz="12" w:space="0"/>
              <w:bottom w:val="single" w:color="auto" w:sz="12" w:space="0"/>
              <w:tl2br w:val="nil"/>
              <w:tr2bl w:val="nil"/>
            </w:tcBorders>
            <w:vAlign w:val="center"/>
          </w:tcPr>
          <w:p w14:paraId="7CDF980C">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标准限值</w:t>
            </w:r>
          </w:p>
          <w:p w14:paraId="62CB20E4">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µg/m</w:t>
            </w:r>
            <w:r>
              <w:rPr>
                <w:rFonts w:ascii="Times New Roman" w:hAnsi="Times New Roman" w:eastAsia="宋体"/>
                <w:bCs/>
                <w:color w:val="auto"/>
                <w:sz w:val="21"/>
                <w:szCs w:val="21"/>
                <w:highlight w:val="none"/>
                <w:vertAlign w:val="superscript"/>
              </w:rPr>
              <w:t>3</w:t>
            </w:r>
          </w:p>
        </w:tc>
        <w:tc>
          <w:tcPr>
            <w:tcW w:w="1385" w:type="dxa"/>
            <w:tcBorders>
              <w:top w:val="single" w:color="auto" w:sz="12" w:space="0"/>
              <w:bottom w:val="single" w:color="auto" w:sz="12" w:space="0"/>
              <w:tl2br w:val="nil"/>
              <w:tr2bl w:val="nil"/>
            </w:tcBorders>
            <w:vAlign w:val="center"/>
          </w:tcPr>
          <w:p w14:paraId="13FC9411">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占标率%</w:t>
            </w:r>
          </w:p>
        </w:tc>
        <w:tc>
          <w:tcPr>
            <w:tcW w:w="1387" w:type="dxa"/>
            <w:tcBorders>
              <w:top w:val="single" w:color="auto" w:sz="12" w:space="0"/>
              <w:bottom w:val="single" w:color="auto" w:sz="12" w:space="0"/>
              <w:tl2br w:val="nil"/>
              <w:tr2bl w:val="nil"/>
            </w:tcBorders>
            <w:vAlign w:val="center"/>
          </w:tcPr>
          <w:p w14:paraId="37347644">
            <w:pPr>
              <w:snapToGrid w:val="0"/>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达标情况</w:t>
            </w:r>
          </w:p>
        </w:tc>
      </w:tr>
      <w:tr w14:paraId="6F98C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384" w:type="dxa"/>
            <w:tcBorders>
              <w:top w:val="single" w:color="auto" w:sz="12" w:space="0"/>
              <w:tl2br w:val="nil"/>
              <w:tr2bl w:val="nil"/>
            </w:tcBorders>
            <w:vAlign w:val="center"/>
          </w:tcPr>
          <w:p w14:paraId="0BA097AF">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SO</w:t>
            </w:r>
            <w:r>
              <w:rPr>
                <w:rFonts w:hint="eastAsia" w:ascii="Times New Roman" w:hAnsi="Times New Roman" w:eastAsia="宋体"/>
                <w:bCs/>
                <w:color w:val="auto"/>
                <w:sz w:val="21"/>
                <w:szCs w:val="21"/>
                <w:highlight w:val="none"/>
                <w:vertAlign w:val="subscript"/>
              </w:rPr>
              <w:t>2</w:t>
            </w:r>
          </w:p>
        </w:tc>
        <w:tc>
          <w:tcPr>
            <w:tcW w:w="1384" w:type="dxa"/>
            <w:tcBorders>
              <w:top w:val="single" w:color="auto" w:sz="12" w:space="0"/>
              <w:tl2br w:val="nil"/>
              <w:tr2bl w:val="nil"/>
            </w:tcBorders>
            <w:vAlign w:val="center"/>
          </w:tcPr>
          <w:p w14:paraId="1768814A">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年平均</w:t>
            </w:r>
          </w:p>
        </w:tc>
        <w:tc>
          <w:tcPr>
            <w:tcW w:w="1381" w:type="dxa"/>
            <w:tcBorders>
              <w:top w:val="single" w:color="auto" w:sz="12" w:space="0"/>
              <w:tl2br w:val="nil"/>
              <w:tr2bl w:val="nil"/>
            </w:tcBorders>
            <w:vAlign w:val="center"/>
          </w:tcPr>
          <w:p w14:paraId="21364840">
            <w:pPr>
              <w:snapToGrid w:val="0"/>
              <w:spacing w:line="240" w:lineRule="auto"/>
              <w:ind w:firstLine="35" w:firstLineChars="17"/>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11</w:t>
            </w:r>
          </w:p>
        </w:tc>
        <w:tc>
          <w:tcPr>
            <w:tcW w:w="1382" w:type="dxa"/>
            <w:tcBorders>
              <w:top w:val="single" w:color="auto" w:sz="12" w:space="0"/>
              <w:tl2br w:val="nil"/>
              <w:tr2bl w:val="nil"/>
            </w:tcBorders>
            <w:vAlign w:val="center"/>
          </w:tcPr>
          <w:p w14:paraId="46F0EC86">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60</w:t>
            </w:r>
          </w:p>
        </w:tc>
        <w:tc>
          <w:tcPr>
            <w:tcW w:w="1385" w:type="dxa"/>
            <w:tcBorders>
              <w:top w:val="single" w:color="auto" w:sz="12" w:space="0"/>
              <w:tl2br w:val="nil"/>
              <w:tr2bl w:val="nil"/>
            </w:tcBorders>
            <w:vAlign w:val="center"/>
          </w:tcPr>
          <w:p w14:paraId="78388ABC">
            <w:pPr>
              <w:snapToGrid w:val="0"/>
              <w:spacing w:line="240" w:lineRule="auto"/>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w:t>
            </w:r>
            <w:r>
              <w:rPr>
                <w:rFonts w:hint="eastAsia" w:ascii="Times New Roman" w:hAnsi="Times New Roman" w:eastAsia="宋体"/>
                <w:bCs/>
                <w:color w:val="auto"/>
                <w:sz w:val="21"/>
                <w:szCs w:val="21"/>
                <w:highlight w:val="none"/>
              </w:rPr>
              <w:t>3.3</w:t>
            </w:r>
          </w:p>
        </w:tc>
        <w:tc>
          <w:tcPr>
            <w:tcW w:w="1387" w:type="dxa"/>
            <w:tcBorders>
              <w:top w:val="single" w:color="auto" w:sz="12" w:space="0"/>
              <w:tl2br w:val="nil"/>
              <w:tr2bl w:val="nil"/>
            </w:tcBorders>
            <w:vAlign w:val="center"/>
          </w:tcPr>
          <w:p w14:paraId="29B44981">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达标</w:t>
            </w:r>
          </w:p>
        </w:tc>
      </w:tr>
      <w:tr w14:paraId="161DA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384" w:type="dxa"/>
            <w:tcBorders>
              <w:tl2br w:val="nil"/>
              <w:tr2bl w:val="nil"/>
            </w:tcBorders>
            <w:vAlign w:val="center"/>
          </w:tcPr>
          <w:p w14:paraId="56261C2F">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NO</w:t>
            </w:r>
            <w:r>
              <w:rPr>
                <w:rFonts w:hint="eastAsia" w:ascii="Times New Roman" w:hAnsi="Times New Roman" w:eastAsia="宋体"/>
                <w:bCs/>
                <w:color w:val="auto"/>
                <w:sz w:val="21"/>
                <w:szCs w:val="21"/>
                <w:highlight w:val="none"/>
                <w:vertAlign w:val="subscript"/>
              </w:rPr>
              <w:t>2</w:t>
            </w:r>
          </w:p>
        </w:tc>
        <w:tc>
          <w:tcPr>
            <w:tcW w:w="1384" w:type="dxa"/>
            <w:tcBorders>
              <w:tl2br w:val="nil"/>
              <w:tr2bl w:val="nil"/>
            </w:tcBorders>
            <w:vAlign w:val="center"/>
          </w:tcPr>
          <w:p w14:paraId="6237DC01">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年平均</w:t>
            </w:r>
          </w:p>
        </w:tc>
        <w:tc>
          <w:tcPr>
            <w:tcW w:w="1381" w:type="dxa"/>
            <w:tcBorders>
              <w:tl2br w:val="nil"/>
              <w:tr2bl w:val="nil"/>
            </w:tcBorders>
            <w:vAlign w:val="center"/>
          </w:tcPr>
          <w:p w14:paraId="42928226">
            <w:pPr>
              <w:snapToGrid w:val="0"/>
              <w:spacing w:line="240" w:lineRule="auto"/>
              <w:ind w:firstLine="35" w:firstLineChars="17"/>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35</w:t>
            </w:r>
          </w:p>
        </w:tc>
        <w:tc>
          <w:tcPr>
            <w:tcW w:w="1382" w:type="dxa"/>
            <w:tcBorders>
              <w:tl2br w:val="nil"/>
              <w:tr2bl w:val="nil"/>
            </w:tcBorders>
            <w:vAlign w:val="center"/>
          </w:tcPr>
          <w:p w14:paraId="46DCB32E">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40</w:t>
            </w:r>
          </w:p>
        </w:tc>
        <w:tc>
          <w:tcPr>
            <w:tcW w:w="1385" w:type="dxa"/>
            <w:tcBorders>
              <w:tl2br w:val="nil"/>
              <w:tr2bl w:val="nil"/>
            </w:tcBorders>
            <w:vAlign w:val="center"/>
          </w:tcPr>
          <w:p w14:paraId="6C23A6AD">
            <w:pPr>
              <w:snapToGrid w:val="0"/>
              <w:spacing w:line="240" w:lineRule="auto"/>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82</w:t>
            </w:r>
            <w:r>
              <w:rPr>
                <w:rFonts w:hint="eastAsia" w:ascii="Times New Roman" w:hAnsi="Times New Roman" w:eastAsia="宋体"/>
                <w:bCs/>
                <w:color w:val="auto"/>
                <w:sz w:val="21"/>
                <w:szCs w:val="21"/>
                <w:highlight w:val="none"/>
              </w:rPr>
              <w:t>.5</w:t>
            </w:r>
          </w:p>
        </w:tc>
        <w:tc>
          <w:tcPr>
            <w:tcW w:w="1387" w:type="dxa"/>
            <w:tcBorders>
              <w:tl2br w:val="nil"/>
              <w:tr2bl w:val="nil"/>
            </w:tcBorders>
            <w:vAlign w:val="center"/>
          </w:tcPr>
          <w:p w14:paraId="2967D39C">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达标</w:t>
            </w:r>
          </w:p>
        </w:tc>
      </w:tr>
      <w:tr w14:paraId="4B842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Borders>
              <w:tl2br w:val="nil"/>
              <w:tr2bl w:val="nil"/>
            </w:tcBorders>
            <w:vAlign w:val="center"/>
          </w:tcPr>
          <w:p w14:paraId="5A452A9A">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CO</w:t>
            </w:r>
          </w:p>
        </w:tc>
        <w:tc>
          <w:tcPr>
            <w:tcW w:w="1384" w:type="dxa"/>
            <w:tcBorders>
              <w:tl2br w:val="nil"/>
              <w:tr2bl w:val="nil"/>
            </w:tcBorders>
            <w:vAlign w:val="center"/>
          </w:tcPr>
          <w:p w14:paraId="336ADBBD">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第95百分位数日平均</w:t>
            </w:r>
          </w:p>
        </w:tc>
        <w:tc>
          <w:tcPr>
            <w:tcW w:w="1381" w:type="dxa"/>
            <w:tcBorders>
              <w:tl2br w:val="nil"/>
              <w:tr2bl w:val="nil"/>
            </w:tcBorders>
            <w:vAlign w:val="center"/>
          </w:tcPr>
          <w:p w14:paraId="01680C51">
            <w:pPr>
              <w:snapToGrid w:val="0"/>
              <w:spacing w:line="240" w:lineRule="auto"/>
              <w:ind w:firstLine="35" w:firstLineChars="17"/>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2.6</w:t>
            </w:r>
          </w:p>
        </w:tc>
        <w:tc>
          <w:tcPr>
            <w:tcW w:w="1382" w:type="dxa"/>
            <w:tcBorders>
              <w:tl2br w:val="nil"/>
              <w:tr2bl w:val="nil"/>
            </w:tcBorders>
            <w:vAlign w:val="center"/>
          </w:tcPr>
          <w:p w14:paraId="13CD9A08">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4</w:t>
            </w:r>
          </w:p>
        </w:tc>
        <w:tc>
          <w:tcPr>
            <w:tcW w:w="1385" w:type="dxa"/>
            <w:tcBorders>
              <w:tl2br w:val="nil"/>
              <w:tr2bl w:val="nil"/>
            </w:tcBorders>
            <w:vAlign w:val="center"/>
          </w:tcPr>
          <w:p w14:paraId="0A32EEF4">
            <w:pPr>
              <w:snapToGrid w:val="0"/>
              <w:spacing w:line="240" w:lineRule="auto"/>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6</w:t>
            </w:r>
            <w:r>
              <w:rPr>
                <w:rFonts w:hint="eastAsia" w:ascii="Times New Roman" w:hAnsi="Times New Roman" w:eastAsia="宋体"/>
                <w:bCs/>
                <w:color w:val="auto"/>
                <w:sz w:val="21"/>
                <w:szCs w:val="21"/>
                <w:highlight w:val="none"/>
              </w:rPr>
              <w:t>2.5</w:t>
            </w:r>
          </w:p>
        </w:tc>
        <w:tc>
          <w:tcPr>
            <w:tcW w:w="1387" w:type="dxa"/>
            <w:tcBorders>
              <w:tl2br w:val="nil"/>
              <w:tr2bl w:val="nil"/>
            </w:tcBorders>
            <w:vAlign w:val="center"/>
          </w:tcPr>
          <w:p w14:paraId="388B0EDE">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达标</w:t>
            </w:r>
          </w:p>
        </w:tc>
      </w:tr>
      <w:tr w14:paraId="638D3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tcBorders>
              <w:tl2br w:val="nil"/>
              <w:tr2bl w:val="nil"/>
            </w:tcBorders>
            <w:vAlign w:val="center"/>
          </w:tcPr>
          <w:p w14:paraId="3805D87B">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O</w:t>
            </w:r>
            <w:r>
              <w:rPr>
                <w:rFonts w:hint="eastAsia" w:ascii="Times New Roman" w:hAnsi="Times New Roman" w:eastAsia="宋体"/>
                <w:bCs/>
                <w:color w:val="auto"/>
                <w:sz w:val="21"/>
                <w:szCs w:val="21"/>
                <w:highlight w:val="none"/>
                <w:vertAlign w:val="subscript"/>
              </w:rPr>
              <w:t>3</w:t>
            </w:r>
          </w:p>
        </w:tc>
        <w:tc>
          <w:tcPr>
            <w:tcW w:w="1384" w:type="dxa"/>
            <w:tcBorders>
              <w:tl2br w:val="nil"/>
              <w:tr2bl w:val="nil"/>
            </w:tcBorders>
            <w:vAlign w:val="center"/>
          </w:tcPr>
          <w:p w14:paraId="2DBED42E">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第90百分位数日平均</w:t>
            </w:r>
          </w:p>
        </w:tc>
        <w:tc>
          <w:tcPr>
            <w:tcW w:w="1381" w:type="dxa"/>
            <w:tcBorders>
              <w:tl2br w:val="nil"/>
              <w:tr2bl w:val="nil"/>
            </w:tcBorders>
            <w:vAlign w:val="center"/>
          </w:tcPr>
          <w:p w14:paraId="0D437477">
            <w:pPr>
              <w:snapToGrid w:val="0"/>
              <w:spacing w:line="240" w:lineRule="auto"/>
              <w:ind w:firstLine="35" w:firstLineChars="17"/>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138</w:t>
            </w:r>
          </w:p>
        </w:tc>
        <w:tc>
          <w:tcPr>
            <w:tcW w:w="1382" w:type="dxa"/>
            <w:tcBorders>
              <w:tl2br w:val="nil"/>
              <w:tr2bl w:val="nil"/>
            </w:tcBorders>
            <w:vAlign w:val="center"/>
          </w:tcPr>
          <w:p w14:paraId="1B943E45">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160</w:t>
            </w:r>
          </w:p>
        </w:tc>
        <w:tc>
          <w:tcPr>
            <w:tcW w:w="1385" w:type="dxa"/>
            <w:tcBorders>
              <w:tl2br w:val="nil"/>
              <w:tr2bl w:val="nil"/>
            </w:tcBorders>
            <w:vAlign w:val="center"/>
          </w:tcPr>
          <w:p w14:paraId="67582504">
            <w:pPr>
              <w:snapToGrid w:val="0"/>
              <w:spacing w:line="240" w:lineRule="auto"/>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81.87</w:t>
            </w:r>
          </w:p>
        </w:tc>
        <w:tc>
          <w:tcPr>
            <w:tcW w:w="1387" w:type="dxa"/>
            <w:tcBorders>
              <w:tl2br w:val="nil"/>
              <w:tr2bl w:val="nil"/>
            </w:tcBorders>
            <w:vAlign w:val="center"/>
          </w:tcPr>
          <w:p w14:paraId="2554C702">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达标</w:t>
            </w:r>
          </w:p>
        </w:tc>
      </w:tr>
      <w:tr w14:paraId="4F5EE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384" w:type="dxa"/>
            <w:tcBorders>
              <w:tl2br w:val="nil"/>
              <w:tr2bl w:val="nil"/>
            </w:tcBorders>
            <w:vAlign w:val="center"/>
          </w:tcPr>
          <w:p w14:paraId="794633B0">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PM</w:t>
            </w:r>
            <w:r>
              <w:rPr>
                <w:rFonts w:hint="eastAsia" w:ascii="Times New Roman" w:hAnsi="Times New Roman" w:eastAsia="宋体"/>
                <w:bCs/>
                <w:color w:val="auto"/>
                <w:sz w:val="21"/>
                <w:szCs w:val="21"/>
                <w:highlight w:val="none"/>
                <w:vertAlign w:val="subscript"/>
              </w:rPr>
              <w:t>10</w:t>
            </w:r>
          </w:p>
        </w:tc>
        <w:tc>
          <w:tcPr>
            <w:tcW w:w="1384" w:type="dxa"/>
            <w:tcBorders>
              <w:tl2br w:val="nil"/>
              <w:tr2bl w:val="nil"/>
            </w:tcBorders>
            <w:vAlign w:val="center"/>
          </w:tcPr>
          <w:p w14:paraId="2D22E8A4">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年平均</w:t>
            </w:r>
          </w:p>
        </w:tc>
        <w:tc>
          <w:tcPr>
            <w:tcW w:w="1381" w:type="dxa"/>
            <w:tcBorders>
              <w:tl2br w:val="nil"/>
              <w:tr2bl w:val="nil"/>
            </w:tcBorders>
            <w:vAlign w:val="center"/>
          </w:tcPr>
          <w:p w14:paraId="47979460">
            <w:pPr>
              <w:snapToGrid w:val="0"/>
              <w:spacing w:line="240" w:lineRule="auto"/>
              <w:ind w:firstLine="35" w:firstLineChars="17"/>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84</w:t>
            </w:r>
          </w:p>
        </w:tc>
        <w:tc>
          <w:tcPr>
            <w:tcW w:w="1382" w:type="dxa"/>
            <w:tcBorders>
              <w:tl2br w:val="nil"/>
              <w:tr2bl w:val="nil"/>
            </w:tcBorders>
            <w:vAlign w:val="center"/>
          </w:tcPr>
          <w:p w14:paraId="7A3C047D">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70</w:t>
            </w:r>
          </w:p>
        </w:tc>
        <w:tc>
          <w:tcPr>
            <w:tcW w:w="1385" w:type="dxa"/>
            <w:tcBorders>
              <w:tl2br w:val="nil"/>
              <w:tr2bl w:val="nil"/>
            </w:tcBorders>
            <w:vAlign w:val="center"/>
          </w:tcPr>
          <w:p w14:paraId="1F05FEF4">
            <w:pPr>
              <w:snapToGrid w:val="0"/>
              <w:spacing w:line="240" w:lineRule="auto"/>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125.7</w:t>
            </w:r>
          </w:p>
        </w:tc>
        <w:tc>
          <w:tcPr>
            <w:tcW w:w="1387" w:type="dxa"/>
            <w:tcBorders>
              <w:tl2br w:val="nil"/>
              <w:tr2bl w:val="nil"/>
            </w:tcBorders>
            <w:vAlign w:val="center"/>
          </w:tcPr>
          <w:p w14:paraId="2DC1DD76">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超标</w:t>
            </w:r>
          </w:p>
        </w:tc>
      </w:tr>
      <w:tr w14:paraId="0427A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384" w:type="dxa"/>
            <w:tcBorders>
              <w:tl2br w:val="nil"/>
              <w:tr2bl w:val="nil"/>
            </w:tcBorders>
            <w:vAlign w:val="center"/>
          </w:tcPr>
          <w:p w14:paraId="20E9F060">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PM</w:t>
            </w:r>
            <w:r>
              <w:rPr>
                <w:rFonts w:hint="eastAsia" w:ascii="Times New Roman" w:hAnsi="Times New Roman" w:eastAsia="宋体"/>
                <w:bCs/>
                <w:color w:val="auto"/>
                <w:sz w:val="21"/>
                <w:szCs w:val="21"/>
                <w:highlight w:val="none"/>
                <w:vertAlign w:val="subscript"/>
              </w:rPr>
              <w:t>2.5</w:t>
            </w:r>
          </w:p>
        </w:tc>
        <w:tc>
          <w:tcPr>
            <w:tcW w:w="1384" w:type="dxa"/>
            <w:tcBorders>
              <w:tl2br w:val="nil"/>
              <w:tr2bl w:val="nil"/>
            </w:tcBorders>
            <w:vAlign w:val="center"/>
          </w:tcPr>
          <w:p w14:paraId="00A16866">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年平均</w:t>
            </w:r>
          </w:p>
        </w:tc>
        <w:tc>
          <w:tcPr>
            <w:tcW w:w="1381" w:type="dxa"/>
            <w:tcBorders>
              <w:tl2br w:val="nil"/>
              <w:tr2bl w:val="nil"/>
            </w:tcBorders>
            <w:vAlign w:val="center"/>
          </w:tcPr>
          <w:p w14:paraId="19DD6516">
            <w:pPr>
              <w:snapToGrid w:val="0"/>
              <w:spacing w:line="240" w:lineRule="auto"/>
              <w:ind w:firstLine="35" w:firstLineChars="17"/>
              <w:jc w:val="center"/>
              <w:rPr>
                <w:rFonts w:hint="default" w:ascii="Times New Roman" w:hAnsi="Times New Roman" w:eastAsia="宋体"/>
                <w:bCs/>
                <w:color w:val="auto"/>
                <w:sz w:val="21"/>
                <w:szCs w:val="21"/>
                <w:highlight w:val="none"/>
                <w:lang w:val="en-US" w:eastAsia="zh-CN"/>
              </w:rPr>
            </w:pPr>
            <w:r>
              <w:rPr>
                <w:rFonts w:hint="eastAsia" w:ascii="Times New Roman" w:hAnsi="Times New Roman" w:eastAsia="宋体"/>
                <w:bCs/>
                <w:color w:val="auto"/>
                <w:sz w:val="21"/>
                <w:szCs w:val="21"/>
                <w:highlight w:val="none"/>
                <w:lang w:val="en-US" w:eastAsia="zh-CN"/>
              </w:rPr>
              <w:t>51</w:t>
            </w:r>
          </w:p>
        </w:tc>
        <w:tc>
          <w:tcPr>
            <w:tcW w:w="1382" w:type="dxa"/>
            <w:tcBorders>
              <w:tl2br w:val="nil"/>
              <w:tr2bl w:val="nil"/>
            </w:tcBorders>
            <w:vAlign w:val="center"/>
          </w:tcPr>
          <w:p w14:paraId="61AB113E">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35</w:t>
            </w:r>
          </w:p>
        </w:tc>
        <w:tc>
          <w:tcPr>
            <w:tcW w:w="1385" w:type="dxa"/>
            <w:tcBorders>
              <w:tl2br w:val="nil"/>
              <w:tr2bl w:val="nil"/>
            </w:tcBorders>
            <w:vAlign w:val="center"/>
          </w:tcPr>
          <w:p w14:paraId="43AA1D1D">
            <w:pPr>
              <w:snapToGrid w:val="0"/>
              <w:spacing w:line="240" w:lineRule="auto"/>
              <w:ind w:firstLine="35" w:firstLineChars="17"/>
              <w:jc w:val="center"/>
              <w:rPr>
                <w:rFonts w:ascii="Times New Roman" w:hAnsi="Times New Roman" w:eastAsia="宋体"/>
                <w:bCs/>
                <w:color w:val="auto"/>
                <w:sz w:val="21"/>
                <w:szCs w:val="21"/>
                <w:highlight w:val="none"/>
              </w:rPr>
            </w:pPr>
            <w:r>
              <w:rPr>
                <w:rFonts w:ascii="Times New Roman" w:hAnsi="Times New Roman" w:eastAsia="宋体"/>
                <w:bCs/>
                <w:color w:val="auto"/>
                <w:sz w:val="21"/>
                <w:szCs w:val="21"/>
                <w:highlight w:val="none"/>
              </w:rPr>
              <w:t>157.1</w:t>
            </w:r>
          </w:p>
        </w:tc>
        <w:tc>
          <w:tcPr>
            <w:tcW w:w="1387" w:type="dxa"/>
            <w:tcBorders>
              <w:tl2br w:val="nil"/>
              <w:tr2bl w:val="nil"/>
            </w:tcBorders>
            <w:vAlign w:val="center"/>
          </w:tcPr>
          <w:p w14:paraId="0BF1CB51">
            <w:pPr>
              <w:snapToGrid w:val="0"/>
              <w:spacing w:line="240" w:lineRule="auto"/>
              <w:ind w:firstLine="35" w:firstLineChars="17"/>
              <w:jc w:val="center"/>
              <w:rPr>
                <w:rFonts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超标</w:t>
            </w:r>
          </w:p>
        </w:tc>
      </w:tr>
    </w:tbl>
    <w:p w14:paraId="4380D926">
      <w:pPr>
        <w:spacing w:line="500" w:lineRule="exact"/>
        <w:ind w:firstLine="480"/>
        <w:rPr>
          <w:rFonts w:ascii="Times New Roman" w:hAnsi="Times New Roman" w:eastAsia="宋体"/>
          <w:color w:val="auto"/>
          <w:highlight w:val="none"/>
        </w:rPr>
      </w:pPr>
      <w:r>
        <w:rPr>
          <w:rFonts w:hint="eastAsia" w:ascii="Times New Roman" w:hAnsi="Times New Roman" w:eastAsia="宋体"/>
          <w:color w:val="auto"/>
          <w:highlight w:val="none"/>
        </w:rPr>
        <w:t>由表4.2-2可知，</w:t>
      </w:r>
      <w:bookmarkStart w:id="166" w:name="_Hlk88042713"/>
      <w:r>
        <w:rPr>
          <w:rFonts w:ascii="Times New Roman" w:hAnsi="Times New Roman" w:eastAsia="宋体"/>
          <w:color w:val="auto"/>
          <w:highlight w:val="none"/>
        </w:rPr>
        <w:t>项目所在区域PM</w:t>
      </w:r>
      <w:r>
        <w:rPr>
          <w:rFonts w:ascii="Times New Roman" w:hAnsi="Times New Roman" w:eastAsia="宋体"/>
          <w:color w:val="auto"/>
          <w:highlight w:val="none"/>
          <w:vertAlign w:val="subscript"/>
        </w:rPr>
        <w:t>10</w:t>
      </w:r>
      <w:r>
        <w:rPr>
          <w:rFonts w:ascii="Times New Roman" w:hAnsi="Times New Roman" w:eastAsia="宋体"/>
          <w:color w:val="auto"/>
          <w:highlight w:val="none"/>
        </w:rPr>
        <w:t>、PM</w:t>
      </w:r>
      <w:r>
        <w:rPr>
          <w:rFonts w:ascii="Times New Roman" w:hAnsi="Times New Roman" w:eastAsia="宋体"/>
          <w:color w:val="auto"/>
          <w:highlight w:val="none"/>
          <w:vertAlign w:val="subscript"/>
        </w:rPr>
        <w:t>2.5</w:t>
      </w:r>
      <w:r>
        <w:rPr>
          <w:rFonts w:ascii="Times New Roman" w:hAnsi="Times New Roman" w:eastAsia="宋体"/>
          <w:color w:val="auto"/>
          <w:highlight w:val="none"/>
        </w:rPr>
        <w:t>年平均浓度均超过《环境空气质量标准》（GB3095-2012）的二级标准要求；O</w:t>
      </w:r>
      <w:r>
        <w:rPr>
          <w:rFonts w:ascii="Times New Roman" w:hAnsi="Times New Roman" w:eastAsia="宋体"/>
          <w:color w:val="auto"/>
          <w:highlight w:val="none"/>
          <w:vertAlign w:val="subscript"/>
        </w:rPr>
        <w:t>3</w:t>
      </w:r>
      <w:r>
        <w:rPr>
          <w:rFonts w:ascii="Times New Roman" w:hAnsi="Times New Roman" w:eastAsia="宋体"/>
          <w:color w:val="auto"/>
          <w:highlight w:val="none"/>
        </w:rPr>
        <w:t>最大8小时平均浓度及NO</w:t>
      </w:r>
      <w:r>
        <w:rPr>
          <w:rFonts w:ascii="Times New Roman" w:hAnsi="Times New Roman" w:eastAsia="宋体"/>
          <w:color w:val="auto"/>
          <w:highlight w:val="none"/>
          <w:vertAlign w:val="subscript"/>
        </w:rPr>
        <w:t>2</w:t>
      </w:r>
      <w:r>
        <w:rPr>
          <w:rFonts w:ascii="Times New Roman" w:hAnsi="Times New Roman" w:eastAsia="宋体"/>
          <w:color w:val="auto"/>
          <w:highlight w:val="none"/>
        </w:rPr>
        <w:t>、CO、SO</w:t>
      </w:r>
      <w:r>
        <w:rPr>
          <w:rFonts w:ascii="Times New Roman" w:hAnsi="Times New Roman" w:eastAsia="宋体"/>
          <w:color w:val="auto"/>
          <w:highlight w:val="none"/>
          <w:vertAlign w:val="subscript"/>
        </w:rPr>
        <w:t>2</w:t>
      </w:r>
      <w:r>
        <w:rPr>
          <w:rFonts w:ascii="Times New Roman" w:hAnsi="Times New Roman" w:eastAsia="宋体"/>
          <w:color w:val="auto"/>
          <w:highlight w:val="none"/>
        </w:rPr>
        <w:t>的日、年均浓度均满足《环境空气质量标准》（GB3095-2012）的二级标准要求，本项目所在区域为</w:t>
      </w:r>
      <w:r>
        <w:rPr>
          <w:rFonts w:hint="eastAsia" w:ascii="Times New Roman" w:hAnsi="Times New Roman" w:eastAsia="宋体"/>
          <w:color w:val="auto"/>
          <w:highlight w:val="none"/>
        </w:rPr>
        <w:t>不</w:t>
      </w:r>
      <w:r>
        <w:rPr>
          <w:rFonts w:ascii="Times New Roman" w:hAnsi="Times New Roman" w:eastAsia="宋体"/>
          <w:color w:val="auto"/>
          <w:highlight w:val="none"/>
        </w:rPr>
        <w:t>达标区域</w:t>
      </w:r>
      <w:bookmarkEnd w:id="166"/>
      <w:r>
        <w:rPr>
          <w:rFonts w:ascii="Times New Roman" w:hAnsi="Times New Roman" w:eastAsia="宋体"/>
          <w:color w:val="auto"/>
          <w:highlight w:val="none"/>
        </w:rPr>
        <w:t>。</w:t>
      </w:r>
    </w:p>
    <w:p w14:paraId="27255FD4">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4.2.1.2环境空气特征污染物</w:t>
      </w:r>
    </w:p>
    <w:p w14:paraId="210BB7AA">
      <w:pPr>
        <w:ind w:firstLine="480"/>
        <w:rPr>
          <w:rFonts w:ascii="Times New Roman" w:hAnsi="Times New Roman" w:eastAsia="宋体"/>
          <w:color w:val="auto"/>
          <w:highlight w:val="none"/>
        </w:rPr>
      </w:pPr>
      <w:r>
        <w:rPr>
          <w:rFonts w:hint="eastAsia" w:ascii="Times New Roman" w:hAnsi="Times New Roman" w:eastAsia="宋体"/>
          <w:color w:val="auto"/>
          <w:highlight w:val="none"/>
        </w:rPr>
        <w:t>（1）数据来源</w:t>
      </w:r>
    </w:p>
    <w:p w14:paraId="28343DE7">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本项目特征污染物环境空气质量现状评价数据委托</w:t>
      </w:r>
      <w:r>
        <w:rPr>
          <w:rFonts w:hint="eastAsia" w:ascii="Times New Roman" w:hAnsi="Times New Roman" w:eastAsia="宋体"/>
          <w:color w:val="auto"/>
          <w:highlight w:val="none"/>
          <w:lang w:eastAsia="zh-CN"/>
        </w:rPr>
        <w:t>新疆锡水金山环境科技有限公司</w:t>
      </w:r>
      <w:r>
        <w:rPr>
          <w:rFonts w:hint="eastAsia" w:ascii="Times New Roman" w:hAnsi="Times New Roman" w:eastAsia="宋体"/>
          <w:color w:val="auto"/>
          <w:highlight w:val="none"/>
        </w:rPr>
        <w:t>对项目所在进行了监测，监测时间为202</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年</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月</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日~</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月</w:t>
      </w:r>
      <w:r>
        <w:rPr>
          <w:rFonts w:hint="eastAsia" w:ascii="Times New Roman" w:hAnsi="Times New Roman" w:eastAsia="宋体"/>
          <w:color w:val="auto"/>
          <w:highlight w:val="none"/>
          <w:lang w:val="en-US" w:eastAsia="zh-CN"/>
        </w:rPr>
        <w:t>13</w:t>
      </w:r>
      <w:r>
        <w:rPr>
          <w:rFonts w:hint="eastAsia" w:ascii="Times New Roman" w:hAnsi="Times New Roman" w:eastAsia="宋体"/>
          <w:color w:val="auto"/>
          <w:highlight w:val="none"/>
        </w:rPr>
        <w:t>日。</w:t>
      </w:r>
    </w:p>
    <w:p w14:paraId="7E2B4C31">
      <w:pPr>
        <w:ind w:firstLine="480"/>
        <w:rPr>
          <w:rFonts w:ascii="Times New Roman" w:hAnsi="Times New Roman" w:eastAsia="宋体"/>
          <w:color w:val="auto"/>
          <w:highlight w:val="none"/>
        </w:rPr>
      </w:pPr>
      <w:r>
        <w:rPr>
          <w:rFonts w:hint="eastAsia" w:ascii="Times New Roman" w:hAnsi="Times New Roman" w:eastAsia="宋体"/>
          <w:color w:val="auto"/>
          <w:highlight w:val="none"/>
        </w:rPr>
        <w:t>（2）监测项目及频率</w:t>
      </w:r>
    </w:p>
    <w:p w14:paraId="595AD90F">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监测点位：W1：项目区</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86</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19</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51.47</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E</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44</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20</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46.39</w:t>
      </w:r>
      <w:r>
        <w:rPr>
          <w:rFonts w:hint="default" w:ascii="Times New Roman" w:hAnsi="Times New Roman" w:eastAsia="宋体"/>
          <w:color w:val="auto"/>
          <w:highlight w:val="none"/>
          <w:lang w:val="en-US" w:eastAsia="zh-CN"/>
        </w:rPr>
        <w:t>″</w:t>
      </w:r>
      <w:r>
        <w:rPr>
          <w:rFonts w:ascii="Times New Roman" w:hAnsi="Times New Roman" w:eastAsia="宋体"/>
          <w:color w:val="auto"/>
          <w:highlight w:val="none"/>
        </w:rPr>
        <w:t>N）</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W1：项目区</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86</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20</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0.20</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E</w:t>
      </w:r>
      <w:r>
        <w:rPr>
          <w:rFonts w:ascii="Times New Roman" w:hAnsi="Times New Roman" w:eastAsia="宋体"/>
          <w:color w:val="auto"/>
          <w:highlight w:val="none"/>
        </w:rPr>
        <w:t>，</w:t>
      </w:r>
      <w:r>
        <w:rPr>
          <w:rFonts w:hint="eastAsia" w:ascii="Times New Roman" w:hAnsi="Times New Roman" w:eastAsia="宋体"/>
          <w:color w:val="auto"/>
          <w:highlight w:val="none"/>
          <w:lang w:val="en-US" w:eastAsia="zh-CN"/>
        </w:rPr>
        <w:t>44</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20</w:t>
      </w:r>
      <w:r>
        <w:rPr>
          <w:rFonts w:hint="default" w:ascii="Times New Roman" w:hAnsi="Times New Roman" w:eastAsia="宋体"/>
          <w:color w:val="auto"/>
          <w:highlight w:val="none"/>
          <w:lang w:val="en-US" w:eastAsia="zh-CN"/>
        </w:rPr>
        <w:t>′</w:t>
      </w:r>
      <w:r>
        <w:rPr>
          <w:rFonts w:hint="eastAsia" w:ascii="Times New Roman" w:hAnsi="Times New Roman" w:eastAsia="宋体"/>
          <w:color w:val="auto"/>
          <w:highlight w:val="none"/>
          <w:lang w:val="en-US" w:eastAsia="zh-CN"/>
        </w:rPr>
        <w:t>38.74</w:t>
      </w:r>
      <w:r>
        <w:rPr>
          <w:rFonts w:hint="default" w:ascii="Times New Roman" w:hAnsi="Times New Roman" w:eastAsia="宋体"/>
          <w:color w:val="auto"/>
          <w:highlight w:val="none"/>
          <w:lang w:val="en-US" w:eastAsia="zh-CN"/>
        </w:rPr>
        <w:t>″</w:t>
      </w:r>
      <w:r>
        <w:rPr>
          <w:rFonts w:ascii="Times New Roman" w:hAnsi="Times New Roman" w:eastAsia="宋体"/>
          <w:color w:val="auto"/>
          <w:highlight w:val="none"/>
        </w:rPr>
        <w:t>N）</w:t>
      </w:r>
      <w:r>
        <w:rPr>
          <w:rFonts w:hint="eastAsia" w:ascii="Times New Roman" w:hAnsi="Times New Roman" w:eastAsia="宋体"/>
          <w:color w:val="auto"/>
          <w:highlight w:val="none"/>
        </w:rPr>
        <w:t>，见附图4.2-1；</w:t>
      </w:r>
    </w:p>
    <w:p w14:paraId="78A6818D">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监测项目：硫化氢、氨；</w:t>
      </w:r>
    </w:p>
    <w:p w14:paraId="53557CE9">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监测频率：连续采样7个有效天，每天采样4次，每次1小时。</w:t>
      </w:r>
    </w:p>
    <w:p w14:paraId="5ABCAD94">
      <w:pPr>
        <w:ind w:firstLine="480"/>
        <w:rPr>
          <w:rFonts w:ascii="Times New Roman" w:hAnsi="Times New Roman" w:eastAsia="宋体"/>
          <w:color w:val="auto"/>
          <w:highlight w:val="none"/>
        </w:rPr>
      </w:pPr>
      <w:r>
        <w:rPr>
          <w:rFonts w:hint="eastAsia" w:ascii="Times New Roman" w:hAnsi="Times New Roman" w:eastAsia="宋体"/>
          <w:color w:val="auto"/>
          <w:highlight w:val="none"/>
        </w:rPr>
        <w:t>（3）评价标准</w:t>
      </w:r>
    </w:p>
    <w:p w14:paraId="38D08F76">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区域属于环境空气功能区二类区，环境空气质量执行《环境空气质量标准》（GB3095-2012）中二级标准；硫化氢和氨参照执行《环境影响评价技术导则大气环境》（HJ2.2-2018）附录D中的标准值。标准限值见表4.2-3。</w:t>
      </w:r>
    </w:p>
    <w:p w14:paraId="372489F7">
      <w:pPr>
        <w:pStyle w:val="10"/>
        <w:rPr>
          <w:rFonts w:ascii="Times New Roman" w:hAnsi="Times New Roman" w:eastAsia="宋体"/>
          <w:color w:val="auto"/>
          <w:highlight w:val="none"/>
        </w:rPr>
      </w:pPr>
      <w:r>
        <w:rPr>
          <w:rFonts w:hint="eastAsia" w:ascii="Times New Roman" w:hAnsi="Times New Roman" w:eastAsia="宋体"/>
          <w:color w:val="auto"/>
          <w:highlight w:val="none"/>
        </w:rPr>
        <w:t>表4.2-3环境空气特征污染物浓度限值</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976"/>
        <w:gridCol w:w="4445"/>
      </w:tblGrid>
      <w:tr w14:paraId="46BC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vAlign w:val="center"/>
          </w:tcPr>
          <w:p w14:paraId="5B6058B8">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序号</w:t>
            </w:r>
          </w:p>
        </w:tc>
        <w:tc>
          <w:tcPr>
            <w:tcW w:w="1746" w:type="pct"/>
            <w:vAlign w:val="center"/>
          </w:tcPr>
          <w:p w14:paraId="3CCAFE45">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污染物名称</w:t>
            </w:r>
          </w:p>
        </w:tc>
        <w:tc>
          <w:tcPr>
            <w:tcW w:w="2608" w:type="pct"/>
            <w:vAlign w:val="center"/>
          </w:tcPr>
          <w:p w14:paraId="76FD80B2">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1h评价标准值（mg/m</w:t>
            </w:r>
            <w:r>
              <w:rPr>
                <w:rFonts w:hint="eastAsia" w:ascii="Times New Roman" w:hAnsi="Times New Roman" w:eastAsia="宋体"/>
                <w:color w:val="auto"/>
                <w:kern w:val="2"/>
                <w:sz w:val="21"/>
                <w:szCs w:val="21"/>
                <w:highlight w:val="none"/>
                <w:vertAlign w:val="superscript"/>
              </w:rPr>
              <w:t>3</w:t>
            </w:r>
            <w:r>
              <w:rPr>
                <w:rFonts w:hint="eastAsia" w:ascii="Times New Roman" w:hAnsi="Times New Roman" w:eastAsia="宋体"/>
                <w:color w:val="auto"/>
                <w:kern w:val="2"/>
                <w:sz w:val="21"/>
                <w:szCs w:val="21"/>
                <w:highlight w:val="none"/>
              </w:rPr>
              <w:t>）</w:t>
            </w:r>
          </w:p>
        </w:tc>
      </w:tr>
      <w:tr w14:paraId="3D14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vAlign w:val="center"/>
          </w:tcPr>
          <w:p w14:paraId="116ED4CA">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w:t>
            </w:r>
          </w:p>
        </w:tc>
        <w:tc>
          <w:tcPr>
            <w:tcW w:w="1746" w:type="pct"/>
            <w:vAlign w:val="center"/>
          </w:tcPr>
          <w:p w14:paraId="7F0BD4D5">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H</w:t>
            </w:r>
            <w:r>
              <w:rPr>
                <w:rFonts w:hint="eastAsia" w:ascii="Times New Roman" w:hAnsi="Times New Roman" w:eastAsia="宋体"/>
                <w:color w:val="auto"/>
                <w:kern w:val="2"/>
                <w:sz w:val="21"/>
                <w:szCs w:val="21"/>
                <w:highlight w:val="none"/>
                <w:vertAlign w:val="subscript"/>
              </w:rPr>
              <w:t>2</w:t>
            </w:r>
            <w:r>
              <w:rPr>
                <w:rFonts w:hint="eastAsia" w:ascii="Times New Roman" w:hAnsi="Times New Roman" w:eastAsia="宋体"/>
                <w:color w:val="auto"/>
                <w:kern w:val="2"/>
                <w:sz w:val="21"/>
                <w:szCs w:val="21"/>
                <w:highlight w:val="none"/>
              </w:rPr>
              <w:t>S</w:t>
            </w:r>
          </w:p>
        </w:tc>
        <w:tc>
          <w:tcPr>
            <w:tcW w:w="2608" w:type="pct"/>
            <w:vAlign w:val="center"/>
          </w:tcPr>
          <w:p w14:paraId="4B539CB3">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0.01</w:t>
            </w:r>
          </w:p>
        </w:tc>
      </w:tr>
      <w:tr w14:paraId="38FD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vAlign w:val="center"/>
          </w:tcPr>
          <w:p w14:paraId="2DFA2103">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2</w:t>
            </w:r>
          </w:p>
        </w:tc>
        <w:tc>
          <w:tcPr>
            <w:tcW w:w="1746" w:type="pct"/>
            <w:vAlign w:val="center"/>
          </w:tcPr>
          <w:p w14:paraId="0A7A4DCB">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NH</w:t>
            </w:r>
            <w:r>
              <w:rPr>
                <w:rFonts w:hint="eastAsia" w:ascii="Times New Roman" w:hAnsi="Times New Roman" w:eastAsia="宋体"/>
                <w:color w:val="auto"/>
                <w:kern w:val="2"/>
                <w:sz w:val="21"/>
                <w:szCs w:val="21"/>
                <w:highlight w:val="none"/>
                <w:vertAlign w:val="subscript"/>
              </w:rPr>
              <w:t>3</w:t>
            </w:r>
          </w:p>
        </w:tc>
        <w:tc>
          <w:tcPr>
            <w:tcW w:w="2608" w:type="pct"/>
            <w:vAlign w:val="center"/>
          </w:tcPr>
          <w:p w14:paraId="6860BADA">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w:t>
            </w:r>
          </w:p>
        </w:tc>
      </w:tr>
      <w:tr w14:paraId="250F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vAlign w:val="center"/>
          </w:tcPr>
          <w:p w14:paraId="4D681328">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3</w:t>
            </w:r>
          </w:p>
        </w:tc>
        <w:tc>
          <w:tcPr>
            <w:tcW w:w="1746" w:type="pct"/>
            <w:vAlign w:val="center"/>
          </w:tcPr>
          <w:p w14:paraId="19222784">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T</w:t>
            </w:r>
            <w:r>
              <w:rPr>
                <w:rFonts w:ascii="Times New Roman" w:hAnsi="Times New Roman" w:eastAsia="宋体"/>
                <w:color w:val="auto"/>
                <w:kern w:val="2"/>
                <w:sz w:val="21"/>
                <w:szCs w:val="21"/>
                <w:highlight w:val="none"/>
              </w:rPr>
              <w:t>SP</w:t>
            </w:r>
          </w:p>
        </w:tc>
        <w:tc>
          <w:tcPr>
            <w:tcW w:w="2608" w:type="pct"/>
            <w:vAlign w:val="center"/>
          </w:tcPr>
          <w:p w14:paraId="09D66953">
            <w:pPr>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0.9</w:t>
            </w:r>
          </w:p>
        </w:tc>
      </w:tr>
    </w:tbl>
    <w:p w14:paraId="2FEB9D6D">
      <w:pPr>
        <w:ind w:firstLine="480"/>
        <w:rPr>
          <w:rFonts w:ascii="Times New Roman" w:hAnsi="Times New Roman" w:eastAsia="宋体"/>
          <w:color w:val="auto"/>
          <w:highlight w:val="none"/>
        </w:rPr>
      </w:pPr>
      <w:r>
        <w:rPr>
          <w:rFonts w:hint="eastAsia" w:ascii="Times New Roman" w:hAnsi="Times New Roman" w:eastAsia="宋体"/>
          <w:color w:val="auto"/>
          <w:highlight w:val="none"/>
        </w:rPr>
        <w:t>（3）评价方法</w:t>
      </w:r>
    </w:p>
    <w:p w14:paraId="5937BD6B">
      <w:pPr>
        <w:ind w:firstLine="480"/>
        <w:rPr>
          <w:rFonts w:ascii="Times New Roman" w:hAnsi="Times New Roman" w:eastAsia="宋体"/>
          <w:color w:val="auto"/>
          <w:highlight w:val="none"/>
        </w:rPr>
      </w:pPr>
      <w:r>
        <w:rPr>
          <w:rFonts w:hint="eastAsia" w:ascii="Times New Roman" w:hAnsi="Times New Roman" w:eastAsia="宋体"/>
          <w:color w:val="auto"/>
          <w:highlight w:val="none"/>
        </w:rPr>
        <w:t>采用标准指数法评价大气污染物在评价区域内的环境质量现状，计算公式如下：</w:t>
      </w:r>
    </w:p>
    <w:p w14:paraId="2F18D884">
      <w:pPr>
        <w:ind w:firstLine="0" w:firstLineChars="0"/>
        <w:jc w:val="center"/>
        <w:rPr>
          <w:rFonts w:ascii="Times New Roman" w:hAnsi="Times New Roman" w:eastAsia="宋体"/>
          <w:color w:val="auto"/>
          <w:highlight w:val="none"/>
        </w:rPr>
      </w:pPr>
      <w:r>
        <w:rPr>
          <w:rFonts w:ascii="Times New Roman" w:hAnsi="Times New Roman" w:eastAsia="宋体"/>
          <w:color w:val="auto"/>
          <w:highlight w:val="none"/>
        </w:rPr>
        <w:object>
          <v:shape id="_x0000_i1028" o:spt="75" type="#_x0000_t75" style="height:35.8pt;width:72pt;" o:ole="t" filled="f" o:preferrelative="t" stroked="f" coordsize="21600,21600">
            <v:path/>
            <v:fill on="f" focussize="0,0"/>
            <v:stroke on="f" joinstyle="miter"/>
            <v:imagedata r:id="rId39" o:title=""/>
            <o:lock v:ext="edit" aspectratio="t"/>
            <w10:wrap type="none"/>
            <w10:anchorlock/>
          </v:shape>
          <o:OLEObject Type="Embed" ProgID="Equation.AxMath" ShapeID="_x0000_i1028" DrawAspect="Content" ObjectID="_1468075728" r:id="rId38">
            <o:LockedField>false</o:LockedField>
          </o:OLEObject>
        </w:object>
      </w:r>
    </w:p>
    <w:p w14:paraId="242A7BB6">
      <w:pPr>
        <w:ind w:firstLine="480"/>
        <w:rPr>
          <w:rFonts w:ascii="Times New Roman" w:hAnsi="Times New Roman" w:eastAsia="宋体"/>
          <w:color w:val="auto"/>
          <w:highlight w:val="none"/>
        </w:rPr>
      </w:pPr>
      <w:r>
        <w:rPr>
          <w:rFonts w:hint="eastAsia" w:ascii="Times New Roman" w:hAnsi="Times New Roman" w:eastAsia="宋体"/>
          <w:color w:val="auto"/>
          <w:highlight w:val="none"/>
        </w:rPr>
        <w:t>式中：P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——污染物i的单项污染指数，%；</w:t>
      </w:r>
    </w:p>
    <w:p w14:paraId="1425BB7A">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——污染物i的监测浓度值，</w:t>
      </w:r>
      <w:r>
        <w:rPr>
          <w:rFonts w:ascii="Times New Roman" w:hAnsi="Times New Roman" w:eastAsia="宋体"/>
          <w:color w:val="auto"/>
          <w:highlight w:val="none"/>
        </w:rPr>
        <w:t>μg/m</w:t>
      </w:r>
      <w:r>
        <w:rPr>
          <w:rFonts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14:paraId="79657513">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0i</w:t>
      </w:r>
      <w:r>
        <w:rPr>
          <w:rFonts w:hint="eastAsia" w:ascii="Times New Roman" w:hAnsi="Times New Roman" w:eastAsia="宋体"/>
          <w:color w:val="auto"/>
          <w:highlight w:val="none"/>
        </w:rPr>
        <w:t>——污染物i的环境空气质量浓度标准，μg/m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w:t>
      </w:r>
    </w:p>
    <w:p w14:paraId="122BE52C">
      <w:pPr>
        <w:ind w:firstLine="480"/>
        <w:rPr>
          <w:rFonts w:ascii="Times New Roman" w:hAnsi="Times New Roman" w:eastAsia="宋体"/>
          <w:color w:val="auto"/>
          <w:highlight w:val="none"/>
        </w:rPr>
      </w:pPr>
      <w:r>
        <w:rPr>
          <w:rFonts w:hint="eastAsia" w:ascii="Times New Roman" w:hAnsi="Times New Roman" w:eastAsia="宋体"/>
          <w:color w:val="auto"/>
          <w:highlight w:val="none"/>
        </w:rPr>
        <w:t>当P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≥1时，说明环境中i污染物含量超过标准值，当P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&lt;1时，则说明i污染物符合标准。某污染物的P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值越大，则污染相对越严重。</w:t>
      </w:r>
    </w:p>
    <w:p w14:paraId="22D17A3C">
      <w:pPr>
        <w:ind w:firstLine="480"/>
        <w:rPr>
          <w:rFonts w:ascii="Times New Roman" w:hAnsi="Times New Roman" w:eastAsia="宋体"/>
          <w:color w:val="auto"/>
          <w:highlight w:val="none"/>
        </w:rPr>
      </w:pPr>
      <w:r>
        <w:rPr>
          <w:rFonts w:hint="eastAsia" w:ascii="Times New Roman" w:hAnsi="Times New Roman" w:eastAsia="宋体"/>
          <w:color w:val="auto"/>
          <w:highlight w:val="none"/>
        </w:rPr>
        <w:t>（4）监测结果分析及评价</w:t>
      </w:r>
    </w:p>
    <w:p w14:paraId="7D09BDDA">
      <w:pPr>
        <w:ind w:firstLine="480"/>
        <w:rPr>
          <w:rFonts w:ascii="Times New Roman" w:hAnsi="Times New Roman" w:eastAsia="宋体"/>
          <w:color w:val="auto"/>
          <w:highlight w:val="none"/>
        </w:rPr>
      </w:pP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w:t>
      </w:r>
      <w:r>
        <w:rPr>
          <w:rFonts w:hint="eastAsia" w:ascii="Times New Roman" w:hAnsi="Times New Roman" w:eastAsia="宋体"/>
          <w:color w:val="auto"/>
          <w:highlight w:val="none"/>
        </w:rPr>
        <w:t>、</w:t>
      </w:r>
      <w:r>
        <w:rPr>
          <w:rFonts w:ascii="Times New Roman" w:hAnsi="Times New Roman" w:eastAsia="宋体"/>
          <w:color w:val="auto"/>
          <w:highlight w:val="none"/>
        </w:rPr>
        <w:t>NH</w:t>
      </w:r>
      <w:r>
        <w:rPr>
          <w:rFonts w:ascii="Times New Roman" w:hAnsi="Times New Roman" w:eastAsia="宋体"/>
          <w:color w:val="auto"/>
          <w:highlight w:val="none"/>
          <w:vertAlign w:val="subscript"/>
        </w:rPr>
        <w:t>3</w:t>
      </w:r>
      <w:r>
        <w:rPr>
          <w:rFonts w:hint="eastAsia" w:ascii="Times New Roman" w:hAnsi="Times New Roman" w:eastAsia="宋体"/>
          <w:color w:val="auto"/>
          <w:highlight w:val="none"/>
        </w:rPr>
        <w:t>监测结果见表4.2-4，</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w:t>
      </w:r>
      <w:r>
        <w:rPr>
          <w:rFonts w:hint="eastAsia" w:ascii="Times New Roman" w:hAnsi="Times New Roman" w:eastAsia="宋体"/>
          <w:color w:val="auto"/>
          <w:highlight w:val="none"/>
        </w:rPr>
        <w:t>、</w:t>
      </w:r>
      <w:r>
        <w:rPr>
          <w:rFonts w:ascii="Times New Roman" w:hAnsi="Times New Roman" w:eastAsia="宋体"/>
          <w:color w:val="auto"/>
          <w:highlight w:val="none"/>
        </w:rPr>
        <w:t>NH</w:t>
      </w:r>
      <w:r>
        <w:rPr>
          <w:rFonts w:ascii="Times New Roman" w:hAnsi="Times New Roman" w:eastAsia="宋体"/>
          <w:color w:val="auto"/>
          <w:highlight w:val="none"/>
          <w:vertAlign w:val="subscript"/>
        </w:rPr>
        <w:t>3</w:t>
      </w:r>
      <w:r>
        <w:rPr>
          <w:rFonts w:hint="eastAsia" w:ascii="Times New Roman" w:hAnsi="Times New Roman" w:eastAsia="宋体"/>
          <w:color w:val="auto"/>
          <w:highlight w:val="none"/>
        </w:rPr>
        <w:t>、TSP评价结果见表4.2-5。</w:t>
      </w:r>
    </w:p>
    <w:p w14:paraId="2C62C6E2">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表4.2-4H</w:t>
      </w:r>
      <w:r>
        <w:rPr>
          <w:rFonts w:hint="eastAsia" w:ascii="Times New Roman" w:hAnsi="Times New Roman" w:eastAsia="宋体"/>
          <w:color w:val="auto"/>
          <w:sz w:val="24"/>
          <w:szCs w:val="22"/>
          <w:highlight w:val="none"/>
          <w:vertAlign w:val="subscript"/>
        </w:rPr>
        <w:t>2</w:t>
      </w:r>
      <w:r>
        <w:rPr>
          <w:rFonts w:hint="eastAsia" w:ascii="Times New Roman" w:hAnsi="Times New Roman" w:eastAsia="宋体"/>
          <w:color w:val="auto"/>
          <w:sz w:val="24"/>
          <w:szCs w:val="22"/>
          <w:highlight w:val="none"/>
        </w:rPr>
        <w:t>S、NH</w:t>
      </w:r>
      <w:r>
        <w:rPr>
          <w:rFonts w:hint="eastAsia" w:ascii="Times New Roman" w:hAnsi="Times New Roman" w:eastAsia="宋体"/>
          <w:color w:val="auto"/>
          <w:sz w:val="24"/>
          <w:szCs w:val="22"/>
          <w:highlight w:val="none"/>
          <w:vertAlign w:val="subscript"/>
        </w:rPr>
        <w:t>3</w:t>
      </w:r>
      <w:bookmarkStart w:id="167" w:name="_Hlk106060003"/>
      <w:r>
        <w:rPr>
          <w:rFonts w:hint="eastAsia" w:ascii="Times New Roman" w:hAnsi="Times New Roman" w:eastAsia="宋体"/>
          <w:color w:val="auto"/>
          <w:sz w:val="24"/>
          <w:szCs w:val="22"/>
          <w:highlight w:val="none"/>
        </w:rPr>
        <w:t>、</w:t>
      </w:r>
      <w:r>
        <w:rPr>
          <w:rFonts w:ascii="Times New Roman" w:hAnsi="Times New Roman" w:eastAsia="宋体"/>
          <w:color w:val="auto"/>
          <w:sz w:val="24"/>
          <w:szCs w:val="22"/>
          <w:highlight w:val="none"/>
        </w:rPr>
        <w:t>TSP</w:t>
      </w:r>
      <w:bookmarkEnd w:id="167"/>
      <w:r>
        <w:rPr>
          <w:rFonts w:hint="eastAsia" w:ascii="Times New Roman" w:hAnsi="Times New Roman" w:eastAsia="宋体"/>
          <w:color w:val="auto"/>
          <w:sz w:val="24"/>
          <w:szCs w:val="22"/>
          <w:highlight w:val="none"/>
        </w:rPr>
        <w:t>监测结果表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1403"/>
        <w:gridCol w:w="1403"/>
        <w:gridCol w:w="2043"/>
        <w:gridCol w:w="2275"/>
      </w:tblGrid>
      <w:tr w14:paraId="1536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restart"/>
            <w:vAlign w:val="center"/>
          </w:tcPr>
          <w:p w14:paraId="22C8D4EB">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采样点位</w:t>
            </w:r>
          </w:p>
        </w:tc>
        <w:tc>
          <w:tcPr>
            <w:tcW w:w="823" w:type="pct"/>
            <w:vMerge w:val="restart"/>
            <w:vAlign w:val="center"/>
          </w:tcPr>
          <w:p w14:paraId="518F97F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采样时间</w:t>
            </w:r>
          </w:p>
        </w:tc>
        <w:tc>
          <w:tcPr>
            <w:tcW w:w="823" w:type="pct"/>
            <w:vMerge w:val="restart"/>
            <w:vAlign w:val="center"/>
          </w:tcPr>
          <w:p w14:paraId="4DE7AD9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采样频次</w:t>
            </w:r>
          </w:p>
        </w:tc>
        <w:tc>
          <w:tcPr>
            <w:tcW w:w="2534" w:type="pct"/>
            <w:gridSpan w:val="2"/>
            <w:vAlign w:val="center"/>
          </w:tcPr>
          <w:p w14:paraId="7B131CDF">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检测项目（mg/m</w:t>
            </w:r>
            <w:r>
              <w:rPr>
                <w:rFonts w:ascii="Times New Roman" w:hAnsi="Times New Roman" w:eastAsia="宋体"/>
                <w:color w:val="auto"/>
                <w:kern w:val="2"/>
                <w:sz w:val="21"/>
                <w:szCs w:val="21"/>
                <w:highlight w:val="none"/>
                <w:vertAlign w:val="superscript"/>
              </w:rPr>
              <w:t>3</w:t>
            </w:r>
            <w:r>
              <w:rPr>
                <w:rFonts w:ascii="Times New Roman" w:hAnsi="Times New Roman" w:eastAsia="宋体"/>
                <w:color w:val="auto"/>
                <w:kern w:val="2"/>
                <w:sz w:val="21"/>
                <w:szCs w:val="21"/>
                <w:highlight w:val="none"/>
              </w:rPr>
              <w:t>）</w:t>
            </w:r>
          </w:p>
        </w:tc>
      </w:tr>
      <w:tr w14:paraId="2EF0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23624551">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115EBA7E">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0C4CCBA0">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1199" w:type="pct"/>
            <w:vAlign w:val="center"/>
          </w:tcPr>
          <w:p w14:paraId="4FB8C237">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硫化氢</w:t>
            </w:r>
          </w:p>
        </w:tc>
        <w:tc>
          <w:tcPr>
            <w:tcW w:w="1334" w:type="pct"/>
            <w:vAlign w:val="center"/>
          </w:tcPr>
          <w:p w14:paraId="0498EE95">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氨</w:t>
            </w:r>
          </w:p>
        </w:tc>
      </w:tr>
      <w:tr w14:paraId="240F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restart"/>
            <w:vAlign w:val="center"/>
          </w:tcPr>
          <w:p w14:paraId="401D1C2E">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w:t>
            </w:r>
            <w:r>
              <w:rPr>
                <w:rFonts w:hint="eastAsia" w:ascii="Times New Roman" w:hAnsi="Times New Roman" w:eastAsia="宋体"/>
                <w:color w:val="auto"/>
                <w:kern w:val="2"/>
                <w:sz w:val="21"/>
                <w:szCs w:val="21"/>
                <w:highlight w:val="none"/>
              </w:rPr>
              <w:t>项目区</w:t>
            </w:r>
          </w:p>
        </w:tc>
        <w:tc>
          <w:tcPr>
            <w:tcW w:w="823" w:type="pct"/>
            <w:vMerge w:val="restart"/>
            <w:vAlign w:val="center"/>
          </w:tcPr>
          <w:p w14:paraId="17010DE5">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w:t>
            </w: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号</w:t>
            </w:r>
          </w:p>
        </w:tc>
        <w:tc>
          <w:tcPr>
            <w:tcW w:w="823" w:type="pct"/>
            <w:vAlign w:val="center"/>
          </w:tcPr>
          <w:p w14:paraId="2F36E21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1F630F8F">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75318DE5">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465D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0A423D9B">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0C27B9D0">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0A737F0F">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2573EF3B">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3B908351">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12EA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5EF394E3">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6D75B83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709D5A9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2058FD52">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67086501">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14:paraId="548C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04E5585B">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44DAAD79">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657F57AC">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1B4F5938">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27DF31A6">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14:paraId="5BA6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06610BCB">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14:paraId="2D7E9AF0">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w:t>
            </w:r>
            <w:r>
              <w:rPr>
                <w:rFonts w:hint="eastAsia" w:ascii="Times New Roman" w:hAnsi="Times New Roman" w:eastAsia="宋体"/>
                <w:color w:val="auto"/>
                <w:kern w:val="2"/>
                <w:sz w:val="21"/>
                <w:szCs w:val="21"/>
                <w:highlight w:val="none"/>
                <w:lang w:val="en-US" w:eastAsia="zh-CN"/>
              </w:rPr>
              <w:t>8</w:t>
            </w:r>
            <w:r>
              <w:rPr>
                <w:rFonts w:ascii="Times New Roman" w:hAnsi="Times New Roman" w:eastAsia="宋体"/>
                <w:color w:val="auto"/>
                <w:kern w:val="2"/>
                <w:sz w:val="21"/>
                <w:szCs w:val="21"/>
                <w:highlight w:val="none"/>
              </w:rPr>
              <w:t>号</w:t>
            </w:r>
          </w:p>
        </w:tc>
        <w:tc>
          <w:tcPr>
            <w:tcW w:w="823" w:type="pct"/>
            <w:vAlign w:val="center"/>
          </w:tcPr>
          <w:p w14:paraId="486F1E4B">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782ABE3E">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3A4D4DF0">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2703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6A535B4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7412A03C">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42F5B7F3">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23C203E4">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4A1E418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5466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1FA94FA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6CD6C2A1">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189DD7A7">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350FB8B5">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01245651">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7BD5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4C961E94">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602EB88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6E8317FE">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3398B087">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59637430">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0.07</w:t>
            </w:r>
          </w:p>
        </w:tc>
      </w:tr>
      <w:tr w14:paraId="725B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5A65E02A">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14:paraId="38DEBEE5">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w:t>
            </w:r>
            <w:r>
              <w:rPr>
                <w:rFonts w:hint="eastAsia" w:ascii="Times New Roman" w:hAnsi="Times New Roman" w:eastAsia="宋体"/>
                <w:color w:val="auto"/>
                <w:kern w:val="2"/>
                <w:sz w:val="21"/>
                <w:szCs w:val="21"/>
                <w:highlight w:val="none"/>
                <w:lang w:val="en-US" w:eastAsia="zh-CN"/>
              </w:rPr>
              <w:t>9</w:t>
            </w:r>
            <w:r>
              <w:rPr>
                <w:rFonts w:ascii="Times New Roman" w:hAnsi="Times New Roman" w:eastAsia="宋体"/>
                <w:color w:val="auto"/>
                <w:kern w:val="2"/>
                <w:sz w:val="21"/>
                <w:szCs w:val="21"/>
                <w:highlight w:val="none"/>
              </w:rPr>
              <w:t>号</w:t>
            </w:r>
          </w:p>
        </w:tc>
        <w:tc>
          <w:tcPr>
            <w:tcW w:w="823" w:type="pct"/>
            <w:vAlign w:val="center"/>
          </w:tcPr>
          <w:p w14:paraId="0B1C85F1">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5B368BAE">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1CA75D8B">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2CAC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349FA9D9">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60001D8D">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0E4CBC1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3851FFB7">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190A0375">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0.07</w:t>
            </w:r>
          </w:p>
        </w:tc>
      </w:tr>
      <w:tr w14:paraId="3F0A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5094AA9D">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3F06308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6B500550">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52AC1702">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1DB79973">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14:paraId="72E2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5E5B474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2276378B">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716616D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276D9DF7">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470F77B0">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122B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41A989E1">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14:paraId="11BC4D11">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月1</w:t>
            </w:r>
            <w:r>
              <w:rPr>
                <w:rFonts w:hint="eastAsia" w:ascii="Times New Roman" w:hAnsi="Times New Roman" w:eastAsia="宋体"/>
                <w:color w:val="auto"/>
                <w:kern w:val="2"/>
                <w:sz w:val="21"/>
                <w:szCs w:val="21"/>
                <w:highlight w:val="none"/>
                <w:lang w:val="en-US" w:eastAsia="zh-CN"/>
              </w:rPr>
              <w:t>0</w:t>
            </w:r>
            <w:r>
              <w:rPr>
                <w:rFonts w:ascii="Times New Roman" w:hAnsi="Times New Roman" w:eastAsia="宋体"/>
                <w:color w:val="auto"/>
                <w:kern w:val="2"/>
                <w:sz w:val="21"/>
                <w:szCs w:val="21"/>
                <w:highlight w:val="none"/>
              </w:rPr>
              <w:t>号</w:t>
            </w:r>
          </w:p>
        </w:tc>
        <w:tc>
          <w:tcPr>
            <w:tcW w:w="823" w:type="pct"/>
            <w:vAlign w:val="center"/>
          </w:tcPr>
          <w:p w14:paraId="7332A025">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56A0FB6B">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7C85E936">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14:paraId="64F3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30AB6560">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50B31D09">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61C2F21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3C069F63">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6B02D5AF">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505F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2D8CDCD4">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0A784DDC">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448A8F70">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2EA819FA">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60BF035D">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2FA6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62F3A28C">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13AC490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77717C5D">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0DC0F86F">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7580A5B6">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232C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19" w:type="pct"/>
            <w:vMerge w:val="continue"/>
            <w:vAlign w:val="center"/>
          </w:tcPr>
          <w:p w14:paraId="5C91DA5F">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14:paraId="254A043E">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月1</w:t>
            </w:r>
            <w:r>
              <w:rPr>
                <w:rFonts w:hint="eastAsia" w:ascii="Times New Roman" w:hAnsi="Times New Roman" w:eastAsia="宋体"/>
                <w:color w:val="auto"/>
                <w:kern w:val="2"/>
                <w:sz w:val="21"/>
                <w:szCs w:val="21"/>
                <w:highlight w:val="none"/>
                <w:lang w:val="en-US" w:eastAsia="zh-CN"/>
              </w:rPr>
              <w:t>1</w:t>
            </w:r>
            <w:r>
              <w:rPr>
                <w:rFonts w:ascii="Times New Roman" w:hAnsi="Times New Roman" w:eastAsia="宋体"/>
                <w:color w:val="auto"/>
                <w:kern w:val="2"/>
                <w:sz w:val="21"/>
                <w:szCs w:val="21"/>
                <w:highlight w:val="none"/>
              </w:rPr>
              <w:t>号</w:t>
            </w:r>
          </w:p>
        </w:tc>
        <w:tc>
          <w:tcPr>
            <w:tcW w:w="823" w:type="pct"/>
            <w:vAlign w:val="center"/>
          </w:tcPr>
          <w:p w14:paraId="0375A10B">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50100657">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4EE6A1DF">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08384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33DE1D4B">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24CF8413">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3AC2529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36F0D1DC">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25FF280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14:paraId="44A2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4E2156C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4DF06DEA">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7F85E9CC">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7F90F910">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34425E2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50C6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221B312D">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749B52A7">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4255F19D">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021F2C2B">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7E9FEA8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14:paraId="4FC9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03291CD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14:paraId="1851FD4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4月1</w:t>
            </w:r>
            <w:r>
              <w:rPr>
                <w:rFonts w:hint="eastAsia" w:ascii="Times New Roman" w:hAnsi="Times New Roman" w:eastAsia="宋体"/>
                <w:color w:val="auto"/>
                <w:kern w:val="2"/>
                <w:sz w:val="21"/>
                <w:szCs w:val="21"/>
                <w:highlight w:val="none"/>
                <w:lang w:val="en-US" w:eastAsia="zh-CN"/>
              </w:rPr>
              <w:t>2</w:t>
            </w:r>
            <w:r>
              <w:rPr>
                <w:rFonts w:ascii="Times New Roman" w:hAnsi="Times New Roman" w:eastAsia="宋体"/>
                <w:color w:val="auto"/>
                <w:kern w:val="2"/>
                <w:sz w:val="21"/>
                <w:szCs w:val="21"/>
                <w:highlight w:val="none"/>
              </w:rPr>
              <w:t>号</w:t>
            </w:r>
          </w:p>
        </w:tc>
        <w:tc>
          <w:tcPr>
            <w:tcW w:w="823" w:type="pct"/>
            <w:vAlign w:val="center"/>
          </w:tcPr>
          <w:p w14:paraId="10CD51C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50FC0008">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52FC1CC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6022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59323315">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3F04F7B9">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01CD6CE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290670EB">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3FB00EA3">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14:paraId="12CB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005482A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5F792861">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48D1CAB7">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68A83492">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128DD554">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22A6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24EFC4C1">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4F563EC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4697420E">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1349F015">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35A41045">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21C5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60FE791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14:paraId="00DBE43B">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月1</w:t>
            </w:r>
            <w:r>
              <w:rPr>
                <w:rFonts w:hint="eastAsia" w:ascii="Times New Roman" w:hAnsi="Times New Roman" w:eastAsia="宋体"/>
                <w:color w:val="auto"/>
                <w:kern w:val="2"/>
                <w:sz w:val="21"/>
                <w:szCs w:val="21"/>
                <w:highlight w:val="none"/>
                <w:lang w:val="en-US" w:eastAsia="zh-CN"/>
              </w:rPr>
              <w:t>3</w:t>
            </w:r>
            <w:r>
              <w:rPr>
                <w:rFonts w:ascii="Times New Roman" w:hAnsi="Times New Roman" w:eastAsia="宋体"/>
                <w:color w:val="auto"/>
                <w:kern w:val="2"/>
                <w:sz w:val="21"/>
                <w:szCs w:val="21"/>
                <w:highlight w:val="none"/>
              </w:rPr>
              <w:t>号</w:t>
            </w:r>
          </w:p>
        </w:tc>
        <w:tc>
          <w:tcPr>
            <w:tcW w:w="823" w:type="pct"/>
            <w:vAlign w:val="center"/>
          </w:tcPr>
          <w:p w14:paraId="7523253F">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3D371F21">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1A7D0827">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14:paraId="12A5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7D03E5B3">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173EC093">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71F0F31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1B65C720">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4D5273D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0F42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3EB64CF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7315C03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3F98EEBD">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7F392254">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2A57908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0.09</w:t>
            </w:r>
          </w:p>
        </w:tc>
      </w:tr>
      <w:tr w14:paraId="0DC1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01654B0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6D71BBF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0BB55657">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770769E6">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334" w:type="pct"/>
            <w:vAlign w:val="center"/>
          </w:tcPr>
          <w:p w14:paraId="56141D7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0.08</w:t>
            </w:r>
          </w:p>
        </w:tc>
      </w:tr>
      <w:tr w14:paraId="75F4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restart"/>
            <w:vAlign w:val="center"/>
          </w:tcPr>
          <w:p w14:paraId="0C2172F7">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2</w:t>
            </w:r>
            <w:r>
              <w:rPr>
                <w:rFonts w:ascii="Times New Roman" w:hAnsi="Times New Roman" w:eastAsia="宋体"/>
                <w:color w:val="auto"/>
                <w:kern w:val="2"/>
                <w:sz w:val="21"/>
                <w:szCs w:val="21"/>
                <w:highlight w:val="none"/>
              </w:rPr>
              <w:t>#</w:t>
            </w:r>
            <w:r>
              <w:rPr>
                <w:rFonts w:hint="eastAsia" w:ascii="Times New Roman" w:hAnsi="Times New Roman" w:eastAsia="宋体"/>
                <w:color w:val="auto"/>
                <w:kern w:val="2"/>
                <w:sz w:val="21"/>
                <w:szCs w:val="21"/>
                <w:highlight w:val="none"/>
              </w:rPr>
              <w:t>项目区</w:t>
            </w:r>
          </w:p>
        </w:tc>
        <w:tc>
          <w:tcPr>
            <w:tcW w:w="823" w:type="pct"/>
            <w:vMerge w:val="restart"/>
            <w:vAlign w:val="center"/>
          </w:tcPr>
          <w:p w14:paraId="28792383">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w:t>
            </w: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号</w:t>
            </w:r>
          </w:p>
        </w:tc>
        <w:tc>
          <w:tcPr>
            <w:tcW w:w="823" w:type="pct"/>
            <w:vAlign w:val="center"/>
          </w:tcPr>
          <w:p w14:paraId="1FB726DA">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08C6D9B2">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6F5729B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3705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02BE41B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6025A231">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511DD944">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7D5AF802">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2EC630A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0.14</w:t>
            </w:r>
          </w:p>
        </w:tc>
      </w:tr>
      <w:tr w14:paraId="24AB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62DB7DA0">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036CBDA3">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13646FFD">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2A01C090">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2FD55007">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0.14</w:t>
            </w:r>
          </w:p>
        </w:tc>
      </w:tr>
      <w:tr w14:paraId="00C0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4A919EAC">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2D8245CC">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6ACA47B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50EA797D">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42D1FD27">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1B6A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171F360D">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14:paraId="6544265C">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w:t>
            </w:r>
            <w:r>
              <w:rPr>
                <w:rFonts w:hint="eastAsia" w:ascii="Times New Roman" w:hAnsi="Times New Roman" w:eastAsia="宋体"/>
                <w:color w:val="auto"/>
                <w:kern w:val="2"/>
                <w:sz w:val="21"/>
                <w:szCs w:val="21"/>
                <w:highlight w:val="none"/>
                <w:lang w:val="en-US" w:eastAsia="zh-CN"/>
              </w:rPr>
              <w:t>8</w:t>
            </w:r>
            <w:r>
              <w:rPr>
                <w:rFonts w:ascii="Times New Roman" w:hAnsi="Times New Roman" w:eastAsia="宋体"/>
                <w:color w:val="auto"/>
                <w:kern w:val="2"/>
                <w:sz w:val="21"/>
                <w:szCs w:val="21"/>
                <w:highlight w:val="none"/>
              </w:rPr>
              <w:t>号</w:t>
            </w:r>
          </w:p>
        </w:tc>
        <w:tc>
          <w:tcPr>
            <w:tcW w:w="823" w:type="pct"/>
            <w:vAlign w:val="center"/>
          </w:tcPr>
          <w:p w14:paraId="3D99372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464EF4BE">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7C45FA29">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0.14</w:t>
            </w:r>
          </w:p>
        </w:tc>
      </w:tr>
      <w:tr w14:paraId="5CCA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5A595103">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14F9B33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4AB1C3CB">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39F66212">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4935B95A">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0.14</w:t>
            </w:r>
          </w:p>
        </w:tc>
      </w:tr>
      <w:tr w14:paraId="19D9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39678A50">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373A0FC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233E0DB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62BC2EFE">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399D918F">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3F6F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092957FC">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1B270004">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562659BA">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521D696C">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7CF0A11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2232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66F393D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14:paraId="7E0E902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w:t>
            </w:r>
            <w:r>
              <w:rPr>
                <w:rFonts w:hint="eastAsia" w:ascii="Times New Roman" w:hAnsi="Times New Roman" w:eastAsia="宋体"/>
                <w:color w:val="auto"/>
                <w:kern w:val="2"/>
                <w:sz w:val="21"/>
                <w:szCs w:val="21"/>
                <w:highlight w:val="none"/>
                <w:lang w:val="en-US" w:eastAsia="zh-CN"/>
              </w:rPr>
              <w:t>9</w:t>
            </w:r>
            <w:r>
              <w:rPr>
                <w:rFonts w:ascii="Times New Roman" w:hAnsi="Times New Roman" w:eastAsia="宋体"/>
                <w:color w:val="auto"/>
                <w:kern w:val="2"/>
                <w:sz w:val="21"/>
                <w:szCs w:val="21"/>
                <w:highlight w:val="none"/>
              </w:rPr>
              <w:t>号</w:t>
            </w:r>
          </w:p>
        </w:tc>
        <w:tc>
          <w:tcPr>
            <w:tcW w:w="823" w:type="pct"/>
            <w:vAlign w:val="center"/>
          </w:tcPr>
          <w:p w14:paraId="385D80E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57A622F3">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634A47FA">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0.14</w:t>
            </w:r>
          </w:p>
        </w:tc>
      </w:tr>
      <w:tr w14:paraId="5941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3C031AD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30ABFBB4">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64A47EC1">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0C6D0F7D">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176AE3E1">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7C3C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1DE3C36F">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51121BF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484E964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059EFF16">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5F068FF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0.14</w:t>
            </w:r>
          </w:p>
        </w:tc>
      </w:tr>
      <w:tr w14:paraId="6D87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0E788310">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076ED3FE">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6ED46C2B">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076E78BE">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4533B789">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58C4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5E7CC769">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14:paraId="06152000">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月1</w:t>
            </w:r>
            <w:r>
              <w:rPr>
                <w:rFonts w:hint="eastAsia" w:ascii="Times New Roman" w:hAnsi="Times New Roman" w:eastAsia="宋体"/>
                <w:color w:val="auto"/>
                <w:kern w:val="2"/>
                <w:sz w:val="21"/>
                <w:szCs w:val="21"/>
                <w:highlight w:val="none"/>
                <w:lang w:val="en-US" w:eastAsia="zh-CN"/>
              </w:rPr>
              <w:t>0</w:t>
            </w:r>
            <w:r>
              <w:rPr>
                <w:rFonts w:ascii="Times New Roman" w:hAnsi="Times New Roman" w:eastAsia="宋体"/>
                <w:color w:val="auto"/>
                <w:kern w:val="2"/>
                <w:sz w:val="21"/>
                <w:szCs w:val="21"/>
                <w:highlight w:val="none"/>
              </w:rPr>
              <w:t>号</w:t>
            </w:r>
          </w:p>
        </w:tc>
        <w:tc>
          <w:tcPr>
            <w:tcW w:w="823" w:type="pct"/>
            <w:vAlign w:val="center"/>
          </w:tcPr>
          <w:p w14:paraId="0DC3DFB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59EDB896">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46DFED34">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7389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3185D505">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0E5B336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7FEB4E67">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55F852C1">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59F3FF44">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1AEB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391F11EE">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25862751">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7348E05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502AEC27">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2752A5F1">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0.12</w:t>
            </w:r>
          </w:p>
        </w:tc>
      </w:tr>
      <w:tr w14:paraId="66A5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7799789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4A9A066A">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5DBF786A">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2FC4D307">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3BDE1A26">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1ABD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819" w:type="pct"/>
            <w:vMerge w:val="continue"/>
            <w:vAlign w:val="center"/>
          </w:tcPr>
          <w:p w14:paraId="1ECE8364">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14:paraId="25969734">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月1</w:t>
            </w:r>
            <w:r>
              <w:rPr>
                <w:rFonts w:hint="eastAsia" w:ascii="Times New Roman" w:hAnsi="Times New Roman" w:eastAsia="宋体"/>
                <w:color w:val="auto"/>
                <w:kern w:val="2"/>
                <w:sz w:val="21"/>
                <w:szCs w:val="21"/>
                <w:highlight w:val="none"/>
                <w:lang w:val="en-US" w:eastAsia="zh-CN"/>
              </w:rPr>
              <w:t>1</w:t>
            </w:r>
            <w:r>
              <w:rPr>
                <w:rFonts w:ascii="Times New Roman" w:hAnsi="Times New Roman" w:eastAsia="宋体"/>
                <w:color w:val="auto"/>
                <w:kern w:val="2"/>
                <w:sz w:val="21"/>
                <w:szCs w:val="21"/>
                <w:highlight w:val="none"/>
              </w:rPr>
              <w:t>号</w:t>
            </w:r>
          </w:p>
        </w:tc>
        <w:tc>
          <w:tcPr>
            <w:tcW w:w="823" w:type="pct"/>
            <w:vAlign w:val="center"/>
          </w:tcPr>
          <w:p w14:paraId="6724F5C5">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394B341F">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65AEE4C5">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7603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4DF116A7">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76917F61">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04E5A90D">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3383ED29">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10B231D9">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0.12</w:t>
            </w:r>
          </w:p>
        </w:tc>
      </w:tr>
      <w:tr w14:paraId="7530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4E1414D1">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28DAA10A">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75F54DC7">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547D708C">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79B6F0B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1D49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7B5F0B85">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48B03A8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40C72DD9">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39AF2249">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663AC87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5D14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197A383E">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14:paraId="0650D9CC">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4月1</w:t>
            </w:r>
            <w:r>
              <w:rPr>
                <w:rFonts w:hint="eastAsia" w:ascii="Times New Roman" w:hAnsi="Times New Roman" w:eastAsia="宋体"/>
                <w:color w:val="auto"/>
                <w:kern w:val="2"/>
                <w:sz w:val="21"/>
                <w:szCs w:val="21"/>
                <w:highlight w:val="none"/>
                <w:lang w:val="en-US" w:eastAsia="zh-CN"/>
              </w:rPr>
              <w:t>2</w:t>
            </w:r>
            <w:r>
              <w:rPr>
                <w:rFonts w:ascii="Times New Roman" w:hAnsi="Times New Roman" w:eastAsia="宋体"/>
                <w:color w:val="auto"/>
                <w:kern w:val="2"/>
                <w:sz w:val="21"/>
                <w:szCs w:val="21"/>
                <w:highlight w:val="none"/>
              </w:rPr>
              <w:t>号</w:t>
            </w:r>
          </w:p>
        </w:tc>
        <w:tc>
          <w:tcPr>
            <w:tcW w:w="823" w:type="pct"/>
            <w:vAlign w:val="center"/>
          </w:tcPr>
          <w:p w14:paraId="3D220493">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2FEFA202">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66CFDB20">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1736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551CE40D">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0E357A49">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54D2870F">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5841FF31">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6EA8B59A">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0CE1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0CB33CCA">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50331E2E">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04750960">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5E8D537F">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77020860">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0.12</w:t>
            </w:r>
          </w:p>
        </w:tc>
      </w:tr>
      <w:tr w14:paraId="1EDA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6A923429">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3F26D424">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35EEF865">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34273834">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4A719864">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0.12</w:t>
            </w:r>
          </w:p>
        </w:tc>
      </w:tr>
      <w:tr w14:paraId="25FB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34C7607A">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restart"/>
            <w:vAlign w:val="center"/>
          </w:tcPr>
          <w:p w14:paraId="598C8394">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lang w:val="en-US" w:eastAsia="zh-CN"/>
              </w:rPr>
              <w:t>7</w:t>
            </w:r>
            <w:r>
              <w:rPr>
                <w:rFonts w:ascii="Times New Roman" w:hAnsi="Times New Roman" w:eastAsia="宋体"/>
                <w:color w:val="auto"/>
                <w:kern w:val="2"/>
                <w:sz w:val="21"/>
                <w:szCs w:val="21"/>
                <w:highlight w:val="none"/>
              </w:rPr>
              <w:t>月1</w:t>
            </w:r>
            <w:r>
              <w:rPr>
                <w:rFonts w:hint="eastAsia" w:ascii="Times New Roman" w:hAnsi="Times New Roman" w:eastAsia="宋体"/>
                <w:color w:val="auto"/>
                <w:kern w:val="2"/>
                <w:sz w:val="21"/>
                <w:szCs w:val="21"/>
                <w:highlight w:val="none"/>
                <w:lang w:val="en-US" w:eastAsia="zh-CN"/>
              </w:rPr>
              <w:t>3</w:t>
            </w:r>
            <w:r>
              <w:rPr>
                <w:rFonts w:ascii="Times New Roman" w:hAnsi="Times New Roman" w:eastAsia="宋体"/>
                <w:color w:val="auto"/>
                <w:kern w:val="2"/>
                <w:sz w:val="21"/>
                <w:szCs w:val="21"/>
                <w:highlight w:val="none"/>
              </w:rPr>
              <w:t>号</w:t>
            </w:r>
          </w:p>
        </w:tc>
        <w:tc>
          <w:tcPr>
            <w:tcW w:w="823" w:type="pct"/>
            <w:vAlign w:val="center"/>
          </w:tcPr>
          <w:p w14:paraId="78057B42">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第1次</w:t>
            </w:r>
          </w:p>
        </w:tc>
        <w:tc>
          <w:tcPr>
            <w:tcW w:w="1199" w:type="pct"/>
            <w:vAlign w:val="center"/>
          </w:tcPr>
          <w:p w14:paraId="7AD4E456">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21672A09">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6688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50BD913B">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71B052B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3604E2E9">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第2次</w:t>
            </w:r>
          </w:p>
        </w:tc>
        <w:tc>
          <w:tcPr>
            <w:tcW w:w="1199" w:type="pct"/>
            <w:vAlign w:val="center"/>
          </w:tcPr>
          <w:p w14:paraId="5049E633">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76D8EA90">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0.12</w:t>
            </w:r>
          </w:p>
        </w:tc>
      </w:tr>
      <w:tr w14:paraId="088E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5E50CF6C">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25D92C17">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627C7666">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第3次</w:t>
            </w:r>
          </w:p>
        </w:tc>
        <w:tc>
          <w:tcPr>
            <w:tcW w:w="1199" w:type="pct"/>
            <w:vAlign w:val="center"/>
          </w:tcPr>
          <w:p w14:paraId="1D9B52D5">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08F51E7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0.13</w:t>
            </w:r>
          </w:p>
        </w:tc>
      </w:tr>
      <w:tr w14:paraId="79BE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pct"/>
            <w:vMerge w:val="continue"/>
            <w:vAlign w:val="center"/>
          </w:tcPr>
          <w:p w14:paraId="00459E48">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Merge w:val="continue"/>
            <w:vAlign w:val="center"/>
          </w:tcPr>
          <w:p w14:paraId="3B894C19">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p>
        </w:tc>
        <w:tc>
          <w:tcPr>
            <w:tcW w:w="823" w:type="pct"/>
            <w:vAlign w:val="center"/>
          </w:tcPr>
          <w:p w14:paraId="474E0EB7">
            <w:pPr>
              <w:keepNext w:val="0"/>
              <w:keepLines w:val="0"/>
              <w:pageBreakBefore w:val="0"/>
              <w:kinsoku/>
              <w:wordWrap/>
              <w:overflowPunct/>
              <w:topLinePunct w:val="0"/>
              <w:autoSpaceDE/>
              <w:autoSpaceDN/>
              <w:bidi w:val="0"/>
              <w:adjustRightInd/>
              <w:snapToGrid/>
              <w:spacing w:line="480" w:lineRule="exact"/>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sz w:val="21"/>
                <w:szCs w:val="21"/>
                <w:highlight w:val="none"/>
              </w:rPr>
              <w:t>第4次</w:t>
            </w:r>
          </w:p>
        </w:tc>
        <w:tc>
          <w:tcPr>
            <w:tcW w:w="1199" w:type="pct"/>
            <w:vAlign w:val="center"/>
          </w:tcPr>
          <w:p w14:paraId="5C824447">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2274" w:type="dxa"/>
            <w:vAlign w:val="center"/>
          </w:tcPr>
          <w:p w14:paraId="57FC33B4">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宋体"/>
                <w:color w:val="auto"/>
                <w:kern w:val="2"/>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0.12</w:t>
            </w:r>
          </w:p>
        </w:tc>
      </w:tr>
    </w:tbl>
    <w:p w14:paraId="36260D01">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表4.2-5H</w:t>
      </w:r>
      <w:r>
        <w:rPr>
          <w:rFonts w:hint="eastAsia" w:ascii="Times New Roman" w:hAnsi="Times New Roman" w:eastAsia="宋体"/>
          <w:color w:val="auto"/>
          <w:sz w:val="24"/>
          <w:szCs w:val="22"/>
          <w:highlight w:val="none"/>
          <w:vertAlign w:val="subscript"/>
        </w:rPr>
        <w:t>2</w:t>
      </w:r>
      <w:r>
        <w:rPr>
          <w:rFonts w:hint="eastAsia" w:ascii="Times New Roman" w:hAnsi="Times New Roman" w:eastAsia="宋体"/>
          <w:color w:val="auto"/>
          <w:sz w:val="24"/>
          <w:szCs w:val="22"/>
          <w:highlight w:val="none"/>
        </w:rPr>
        <w:t>S、NH</w:t>
      </w:r>
      <w:r>
        <w:rPr>
          <w:rFonts w:hint="eastAsia" w:ascii="Times New Roman" w:hAnsi="Times New Roman" w:eastAsia="宋体"/>
          <w:color w:val="auto"/>
          <w:sz w:val="24"/>
          <w:szCs w:val="22"/>
          <w:highlight w:val="none"/>
          <w:vertAlign w:val="subscript"/>
        </w:rPr>
        <w:t>3</w:t>
      </w:r>
      <w:r>
        <w:rPr>
          <w:rFonts w:hint="eastAsia" w:ascii="Times New Roman" w:hAnsi="Times New Roman" w:eastAsia="宋体"/>
          <w:color w:val="auto"/>
          <w:sz w:val="24"/>
          <w:szCs w:val="22"/>
          <w:highlight w:val="none"/>
        </w:rPr>
        <w:t>评价结果表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2543"/>
        <w:gridCol w:w="2175"/>
        <w:gridCol w:w="2175"/>
      </w:tblGrid>
      <w:tr w14:paraId="4734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4" w:type="pct"/>
            <w:vAlign w:val="center"/>
          </w:tcPr>
          <w:p w14:paraId="0749764E">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监测点</w:t>
            </w:r>
          </w:p>
        </w:tc>
        <w:tc>
          <w:tcPr>
            <w:tcW w:w="1492" w:type="pct"/>
            <w:vAlign w:val="center"/>
          </w:tcPr>
          <w:p w14:paraId="6D11D722">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项目</w:t>
            </w:r>
          </w:p>
        </w:tc>
        <w:tc>
          <w:tcPr>
            <w:tcW w:w="1276" w:type="pct"/>
            <w:vAlign w:val="center"/>
          </w:tcPr>
          <w:p w14:paraId="1F64869B">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硫化氢</w:t>
            </w:r>
          </w:p>
        </w:tc>
        <w:tc>
          <w:tcPr>
            <w:tcW w:w="1276" w:type="pct"/>
            <w:vAlign w:val="center"/>
          </w:tcPr>
          <w:p w14:paraId="10DC8426">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氨</w:t>
            </w:r>
          </w:p>
        </w:tc>
      </w:tr>
      <w:tr w14:paraId="13B4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restart"/>
            <w:vAlign w:val="center"/>
          </w:tcPr>
          <w:p w14:paraId="37147996">
            <w:pPr>
              <w:spacing w:line="240" w:lineRule="auto"/>
              <w:ind w:firstLine="0" w:firstLineChars="0"/>
              <w:jc w:val="center"/>
              <w:rPr>
                <w:rFonts w:hint="eastAsia" w:ascii="Times New Roman" w:hAnsi="Times New Roman" w:eastAsia="宋体"/>
                <w:color w:val="auto"/>
                <w:kern w:val="2"/>
                <w:sz w:val="21"/>
                <w:szCs w:val="21"/>
                <w:highlight w:val="none"/>
                <w:lang w:eastAsia="zh-CN"/>
              </w:rPr>
            </w:pPr>
            <w:r>
              <w:rPr>
                <w:rFonts w:hint="eastAsia" w:ascii="Times New Roman" w:hAnsi="Times New Roman" w:eastAsia="宋体"/>
                <w:color w:val="auto"/>
                <w:kern w:val="2"/>
                <w:sz w:val="21"/>
                <w:szCs w:val="21"/>
                <w:highlight w:val="none"/>
              </w:rPr>
              <w:t>W1：</w:t>
            </w:r>
            <w:r>
              <w:rPr>
                <w:rFonts w:hint="eastAsia" w:ascii="Times New Roman" w:hAnsi="Times New Roman" w:eastAsia="宋体"/>
                <w:color w:val="auto"/>
                <w:kern w:val="2"/>
                <w:sz w:val="21"/>
                <w:szCs w:val="21"/>
                <w:highlight w:val="none"/>
                <w:lang w:val="en-US" w:eastAsia="zh-CN"/>
              </w:rPr>
              <w:t>下风向</w:t>
            </w:r>
          </w:p>
        </w:tc>
        <w:tc>
          <w:tcPr>
            <w:tcW w:w="1492" w:type="pct"/>
            <w:vAlign w:val="center"/>
          </w:tcPr>
          <w:p w14:paraId="323BABA3">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有效日数</w:t>
            </w:r>
          </w:p>
        </w:tc>
        <w:tc>
          <w:tcPr>
            <w:tcW w:w="1276" w:type="pct"/>
            <w:vAlign w:val="center"/>
          </w:tcPr>
          <w:p w14:paraId="2E02F23A">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w:t>
            </w:r>
          </w:p>
        </w:tc>
        <w:tc>
          <w:tcPr>
            <w:tcW w:w="1276" w:type="pct"/>
            <w:vAlign w:val="center"/>
          </w:tcPr>
          <w:p w14:paraId="118D6F46">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w:t>
            </w:r>
          </w:p>
        </w:tc>
      </w:tr>
      <w:tr w14:paraId="0674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14:paraId="1F7B5940">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14:paraId="52DF3A68">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浓度范围（mg/m</w:t>
            </w:r>
            <w:r>
              <w:rPr>
                <w:rFonts w:hint="eastAsia" w:ascii="Times New Roman" w:hAnsi="Times New Roman" w:eastAsia="宋体"/>
                <w:color w:val="auto"/>
                <w:kern w:val="2"/>
                <w:sz w:val="21"/>
                <w:szCs w:val="21"/>
                <w:highlight w:val="none"/>
                <w:vertAlign w:val="superscript"/>
              </w:rPr>
              <w:t>3</w:t>
            </w:r>
            <w:r>
              <w:rPr>
                <w:rFonts w:hint="eastAsia" w:ascii="Times New Roman" w:hAnsi="Times New Roman" w:eastAsia="宋体"/>
                <w:color w:val="auto"/>
                <w:kern w:val="2"/>
                <w:sz w:val="21"/>
                <w:szCs w:val="21"/>
                <w:highlight w:val="none"/>
              </w:rPr>
              <w:t>）</w:t>
            </w:r>
          </w:p>
        </w:tc>
        <w:tc>
          <w:tcPr>
            <w:tcW w:w="1276" w:type="pct"/>
            <w:vAlign w:val="center"/>
          </w:tcPr>
          <w:p w14:paraId="5EB6E467">
            <w:pPr>
              <w:spacing w:line="240" w:lineRule="auto"/>
              <w:ind w:firstLine="0" w:firstLineChars="0"/>
              <w:jc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276" w:type="pct"/>
            <w:vAlign w:val="center"/>
          </w:tcPr>
          <w:p w14:paraId="5FF486B5">
            <w:pPr>
              <w:spacing w:line="240" w:lineRule="auto"/>
              <w:ind w:firstLine="0" w:firstLineChars="0"/>
              <w:jc w:val="center"/>
              <w:rPr>
                <w:rFonts w:hint="eastAsia" w:ascii="Times New Roman" w:hAnsi="Times New Roman" w:eastAsia="宋体"/>
                <w:color w:val="auto"/>
                <w:kern w:val="2"/>
                <w:sz w:val="21"/>
                <w:szCs w:val="21"/>
                <w:highlight w:val="none"/>
                <w:lang w:val="en-US" w:eastAsia="zh-CN"/>
              </w:rPr>
            </w:pPr>
            <w:r>
              <w:rPr>
                <w:rFonts w:ascii="Times New Roman" w:hAnsi="Times New Roman" w:eastAsia="宋体"/>
                <w:color w:val="auto"/>
                <w:kern w:val="2"/>
                <w:sz w:val="21"/>
                <w:szCs w:val="21"/>
                <w:highlight w:val="none"/>
              </w:rPr>
              <w:t>0.</w:t>
            </w:r>
            <w:r>
              <w:rPr>
                <w:rFonts w:hint="eastAsia" w:ascii="Times New Roman" w:hAnsi="Times New Roman" w:eastAsia="宋体"/>
                <w:color w:val="auto"/>
                <w:kern w:val="2"/>
                <w:sz w:val="21"/>
                <w:szCs w:val="21"/>
                <w:highlight w:val="none"/>
                <w:lang w:val="en-US" w:eastAsia="zh-CN"/>
              </w:rPr>
              <w:t>07</w:t>
            </w:r>
            <w:r>
              <w:rPr>
                <w:rFonts w:ascii="Times New Roman" w:hAnsi="Times New Roman" w:eastAsia="宋体"/>
                <w:color w:val="auto"/>
                <w:kern w:val="2"/>
                <w:sz w:val="21"/>
                <w:szCs w:val="21"/>
                <w:highlight w:val="none"/>
              </w:rPr>
              <w:t>-0.1</w:t>
            </w:r>
            <w:r>
              <w:rPr>
                <w:rFonts w:hint="eastAsia" w:ascii="Times New Roman" w:hAnsi="Times New Roman" w:eastAsia="宋体"/>
                <w:color w:val="auto"/>
                <w:kern w:val="2"/>
                <w:sz w:val="21"/>
                <w:szCs w:val="21"/>
                <w:highlight w:val="none"/>
                <w:lang w:val="en-US" w:eastAsia="zh-CN"/>
              </w:rPr>
              <w:t>4</w:t>
            </w:r>
          </w:p>
        </w:tc>
      </w:tr>
      <w:tr w14:paraId="3394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14:paraId="2019B9DB">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14:paraId="6BC6DBD7">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超标率（%）</w:t>
            </w:r>
          </w:p>
        </w:tc>
        <w:tc>
          <w:tcPr>
            <w:tcW w:w="1276" w:type="pct"/>
            <w:vAlign w:val="center"/>
          </w:tcPr>
          <w:p w14:paraId="73CC4D9B">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c>
          <w:tcPr>
            <w:tcW w:w="1276" w:type="pct"/>
            <w:vAlign w:val="center"/>
          </w:tcPr>
          <w:p w14:paraId="3961E857">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r>
      <w:tr w14:paraId="4991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14:paraId="31C929D6">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14:paraId="76798D3F">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最大超标倍数</w:t>
            </w:r>
          </w:p>
        </w:tc>
        <w:tc>
          <w:tcPr>
            <w:tcW w:w="1276" w:type="pct"/>
            <w:vAlign w:val="center"/>
          </w:tcPr>
          <w:p w14:paraId="1DDED93F">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c>
          <w:tcPr>
            <w:tcW w:w="1276" w:type="pct"/>
            <w:vAlign w:val="center"/>
          </w:tcPr>
          <w:p w14:paraId="19AE1190">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r>
      <w:tr w14:paraId="0EAD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14:paraId="1D4B1B01">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14:paraId="3B75F310">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P</w:t>
            </w:r>
            <w:r>
              <w:rPr>
                <w:rFonts w:hint="eastAsia" w:ascii="Times New Roman" w:hAnsi="Times New Roman" w:eastAsia="宋体"/>
                <w:color w:val="auto"/>
                <w:kern w:val="2"/>
                <w:sz w:val="21"/>
                <w:szCs w:val="21"/>
                <w:highlight w:val="none"/>
                <w:vertAlign w:val="subscript"/>
              </w:rPr>
              <w:t>i</w:t>
            </w:r>
          </w:p>
        </w:tc>
        <w:tc>
          <w:tcPr>
            <w:tcW w:w="1276" w:type="pct"/>
            <w:vAlign w:val="center"/>
          </w:tcPr>
          <w:p w14:paraId="1C3FBD5A">
            <w:pPr>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30-40</w:t>
            </w:r>
          </w:p>
        </w:tc>
        <w:tc>
          <w:tcPr>
            <w:tcW w:w="1276" w:type="pct"/>
            <w:vAlign w:val="center"/>
          </w:tcPr>
          <w:p w14:paraId="71F01067">
            <w:pPr>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50</w:t>
            </w:r>
            <w:r>
              <w:rPr>
                <w:rFonts w:hint="eastAsia" w:ascii="Times New Roman" w:hAnsi="Times New Roman" w:eastAsia="宋体"/>
                <w:color w:val="auto"/>
                <w:kern w:val="2"/>
                <w:sz w:val="21"/>
                <w:szCs w:val="21"/>
                <w:highlight w:val="none"/>
              </w:rPr>
              <w:t>%~</w:t>
            </w:r>
            <w:r>
              <w:rPr>
                <w:rFonts w:ascii="Times New Roman" w:hAnsi="Times New Roman" w:eastAsia="宋体"/>
                <w:color w:val="auto"/>
                <w:kern w:val="2"/>
                <w:sz w:val="21"/>
                <w:szCs w:val="21"/>
                <w:highlight w:val="none"/>
              </w:rPr>
              <w:t>9</w:t>
            </w:r>
            <w:r>
              <w:rPr>
                <w:rFonts w:hint="eastAsia" w:ascii="Times New Roman" w:hAnsi="Times New Roman" w:eastAsia="宋体"/>
                <w:color w:val="auto"/>
                <w:kern w:val="2"/>
                <w:sz w:val="21"/>
                <w:szCs w:val="21"/>
                <w:highlight w:val="none"/>
              </w:rPr>
              <w:t>0%</w:t>
            </w:r>
          </w:p>
        </w:tc>
      </w:tr>
      <w:tr w14:paraId="0DFB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restart"/>
            <w:vAlign w:val="center"/>
          </w:tcPr>
          <w:p w14:paraId="49641827">
            <w:pPr>
              <w:spacing w:line="240" w:lineRule="auto"/>
              <w:ind w:firstLine="0" w:firstLineChars="0"/>
              <w:jc w:val="center"/>
              <w:rPr>
                <w:rFonts w:hint="eastAsia" w:ascii="Times New Roman" w:hAnsi="Times New Roman" w:eastAsia="宋体"/>
                <w:color w:val="auto"/>
                <w:kern w:val="2"/>
                <w:sz w:val="21"/>
                <w:szCs w:val="21"/>
                <w:highlight w:val="none"/>
                <w:lang w:eastAsia="zh-CN"/>
              </w:rPr>
            </w:pPr>
            <w:r>
              <w:rPr>
                <w:rFonts w:hint="eastAsia" w:ascii="Times New Roman" w:hAnsi="Times New Roman" w:eastAsia="宋体"/>
                <w:color w:val="auto"/>
                <w:kern w:val="2"/>
                <w:sz w:val="21"/>
                <w:szCs w:val="21"/>
                <w:highlight w:val="none"/>
              </w:rPr>
              <w:t>W</w:t>
            </w:r>
            <w:r>
              <w:rPr>
                <w:rFonts w:hint="eastAsia" w:ascii="Times New Roman" w:hAnsi="Times New Roman" w:eastAsia="宋体"/>
                <w:color w:val="auto"/>
                <w:kern w:val="2"/>
                <w:sz w:val="21"/>
                <w:szCs w:val="21"/>
                <w:highlight w:val="none"/>
                <w:lang w:val="en-US" w:eastAsia="zh-CN"/>
              </w:rPr>
              <w:t>2</w:t>
            </w:r>
            <w:r>
              <w:rPr>
                <w:rFonts w:hint="eastAsia" w:ascii="Times New Roman" w:hAnsi="Times New Roman" w:eastAsia="宋体"/>
                <w:color w:val="auto"/>
                <w:kern w:val="2"/>
                <w:sz w:val="21"/>
                <w:szCs w:val="21"/>
                <w:highlight w:val="none"/>
              </w:rPr>
              <w:t>：</w:t>
            </w:r>
            <w:r>
              <w:rPr>
                <w:rFonts w:hint="eastAsia" w:ascii="Times New Roman" w:hAnsi="Times New Roman" w:eastAsia="宋体"/>
                <w:color w:val="auto"/>
                <w:kern w:val="2"/>
                <w:sz w:val="21"/>
                <w:szCs w:val="21"/>
                <w:highlight w:val="none"/>
                <w:lang w:val="en-US" w:eastAsia="zh-CN"/>
              </w:rPr>
              <w:t>下风向</w:t>
            </w:r>
          </w:p>
        </w:tc>
        <w:tc>
          <w:tcPr>
            <w:tcW w:w="1492" w:type="pct"/>
            <w:vAlign w:val="center"/>
          </w:tcPr>
          <w:p w14:paraId="1B7DBC8E">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有效日数</w:t>
            </w:r>
          </w:p>
        </w:tc>
        <w:tc>
          <w:tcPr>
            <w:tcW w:w="1276" w:type="pct"/>
            <w:vAlign w:val="center"/>
          </w:tcPr>
          <w:p w14:paraId="73C45057">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w:t>
            </w:r>
          </w:p>
        </w:tc>
        <w:tc>
          <w:tcPr>
            <w:tcW w:w="1276" w:type="pct"/>
            <w:vAlign w:val="center"/>
          </w:tcPr>
          <w:p w14:paraId="64AB4090">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7</w:t>
            </w:r>
          </w:p>
        </w:tc>
      </w:tr>
      <w:tr w14:paraId="04EB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14:paraId="3260968A">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14:paraId="28D59830">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浓度范围（mg/m</w:t>
            </w:r>
            <w:r>
              <w:rPr>
                <w:rFonts w:hint="eastAsia" w:ascii="Times New Roman" w:hAnsi="Times New Roman" w:eastAsia="宋体"/>
                <w:color w:val="auto"/>
                <w:kern w:val="2"/>
                <w:sz w:val="21"/>
                <w:szCs w:val="21"/>
                <w:highlight w:val="none"/>
                <w:vertAlign w:val="superscript"/>
              </w:rPr>
              <w:t>3</w:t>
            </w:r>
            <w:r>
              <w:rPr>
                <w:rFonts w:hint="eastAsia" w:ascii="Times New Roman" w:hAnsi="Times New Roman" w:eastAsia="宋体"/>
                <w:color w:val="auto"/>
                <w:kern w:val="2"/>
                <w:sz w:val="21"/>
                <w:szCs w:val="21"/>
                <w:highlight w:val="none"/>
              </w:rPr>
              <w:t>）</w:t>
            </w:r>
          </w:p>
        </w:tc>
        <w:tc>
          <w:tcPr>
            <w:tcW w:w="1276" w:type="pct"/>
            <w:vAlign w:val="center"/>
          </w:tcPr>
          <w:p w14:paraId="7B136A09">
            <w:pPr>
              <w:spacing w:line="240" w:lineRule="auto"/>
              <w:ind w:firstLine="0" w:firstLineChars="0"/>
              <w:jc w:val="center"/>
              <w:rPr>
                <w:rFonts w:ascii="Times New Roman" w:hAnsi="Times New Roman" w:eastAsia="宋体"/>
                <w:color w:val="auto"/>
                <w:kern w:val="2"/>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0.005</w:t>
            </w:r>
          </w:p>
        </w:tc>
        <w:tc>
          <w:tcPr>
            <w:tcW w:w="1276" w:type="pct"/>
            <w:vAlign w:val="center"/>
          </w:tcPr>
          <w:p w14:paraId="123FF6CC">
            <w:pPr>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0.10-0.18</w:t>
            </w:r>
          </w:p>
        </w:tc>
      </w:tr>
      <w:tr w14:paraId="3297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14:paraId="20A0CB88">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14:paraId="1D5B32A4">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超标率（%）</w:t>
            </w:r>
          </w:p>
        </w:tc>
        <w:tc>
          <w:tcPr>
            <w:tcW w:w="1276" w:type="pct"/>
            <w:vAlign w:val="center"/>
          </w:tcPr>
          <w:p w14:paraId="3107ED4F">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c>
          <w:tcPr>
            <w:tcW w:w="1276" w:type="pct"/>
            <w:vAlign w:val="center"/>
          </w:tcPr>
          <w:p w14:paraId="5678B20C">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r>
      <w:tr w14:paraId="777B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14:paraId="0C527F58">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14:paraId="57D2635D">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最大超标倍数</w:t>
            </w:r>
          </w:p>
        </w:tc>
        <w:tc>
          <w:tcPr>
            <w:tcW w:w="1276" w:type="pct"/>
            <w:vAlign w:val="center"/>
          </w:tcPr>
          <w:p w14:paraId="601ECDDB">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c>
          <w:tcPr>
            <w:tcW w:w="1276" w:type="pct"/>
            <w:vAlign w:val="center"/>
          </w:tcPr>
          <w:p w14:paraId="69A69FDD">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w:t>
            </w:r>
          </w:p>
        </w:tc>
      </w:tr>
      <w:tr w14:paraId="0A3C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 w:type="pct"/>
            <w:vMerge w:val="continue"/>
            <w:vAlign w:val="center"/>
          </w:tcPr>
          <w:p w14:paraId="44B8D411">
            <w:pPr>
              <w:spacing w:line="240" w:lineRule="auto"/>
              <w:ind w:firstLine="0" w:firstLineChars="0"/>
              <w:jc w:val="center"/>
              <w:rPr>
                <w:rFonts w:ascii="Times New Roman" w:hAnsi="Times New Roman" w:eastAsia="宋体"/>
                <w:color w:val="auto"/>
                <w:kern w:val="2"/>
                <w:sz w:val="21"/>
                <w:szCs w:val="21"/>
                <w:highlight w:val="none"/>
              </w:rPr>
            </w:pPr>
          </w:p>
        </w:tc>
        <w:tc>
          <w:tcPr>
            <w:tcW w:w="1492" w:type="pct"/>
            <w:vAlign w:val="center"/>
          </w:tcPr>
          <w:p w14:paraId="2C95D726">
            <w:pPr>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P</w:t>
            </w:r>
            <w:r>
              <w:rPr>
                <w:rFonts w:hint="eastAsia" w:ascii="Times New Roman" w:hAnsi="Times New Roman" w:eastAsia="宋体"/>
                <w:color w:val="auto"/>
                <w:kern w:val="2"/>
                <w:sz w:val="21"/>
                <w:szCs w:val="21"/>
                <w:highlight w:val="none"/>
                <w:vertAlign w:val="subscript"/>
              </w:rPr>
              <w:t>i</w:t>
            </w:r>
          </w:p>
        </w:tc>
        <w:tc>
          <w:tcPr>
            <w:tcW w:w="1276" w:type="pct"/>
            <w:vAlign w:val="center"/>
          </w:tcPr>
          <w:p w14:paraId="47BC795C">
            <w:pPr>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30-40</w:t>
            </w:r>
          </w:p>
        </w:tc>
        <w:tc>
          <w:tcPr>
            <w:tcW w:w="1276" w:type="pct"/>
            <w:vAlign w:val="center"/>
          </w:tcPr>
          <w:p w14:paraId="28C86277">
            <w:pPr>
              <w:spacing w:line="240" w:lineRule="auto"/>
              <w:ind w:firstLine="0" w:firstLineChars="0"/>
              <w:jc w:val="center"/>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50</w:t>
            </w:r>
            <w:r>
              <w:rPr>
                <w:rFonts w:hint="eastAsia" w:ascii="Times New Roman" w:hAnsi="Times New Roman" w:eastAsia="宋体"/>
                <w:color w:val="auto"/>
                <w:kern w:val="2"/>
                <w:sz w:val="21"/>
                <w:szCs w:val="21"/>
                <w:highlight w:val="none"/>
              </w:rPr>
              <w:t>%~</w:t>
            </w:r>
            <w:r>
              <w:rPr>
                <w:rFonts w:ascii="Times New Roman" w:hAnsi="Times New Roman" w:eastAsia="宋体"/>
                <w:color w:val="auto"/>
                <w:kern w:val="2"/>
                <w:sz w:val="21"/>
                <w:szCs w:val="21"/>
                <w:highlight w:val="none"/>
              </w:rPr>
              <w:t>9</w:t>
            </w:r>
            <w:r>
              <w:rPr>
                <w:rFonts w:hint="eastAsia" w:ascii="Times New Roman" w:hAnsi="Times New Roman" w:eastAsia="宋体"/>
                <w:color w:val="auto"/>
                <w:kern w:val="2"/>
                <w:sz w:val="21"/>
                <w:szCs w:val="21"/>
                <w:highlight w:val="none"/>
              </w:rPr>
              <w:t>0%</w:t>
            </w:r>
          </w:p>
        </w:tc>
      </w:tr>
    </w:tbl>
    <w:p w14:paraId="73C3EEAA">
      <w:pPr>
        <w:ind w:firstLine="420"/>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注：硫化氢的检出限为0.005mg/m</w:t>
      </w:r>
      <w:r>
        <w:rPr>
          <w:rFonts w:hint="eastAsia" w:ascii="Times New Roman" w:hAnsi="Times New Roman" w:eastAsia="宋体"/>
          <w:color w:val="auto"/>
          <w:sz w:val="21"/>
          <w:szCs w:val="21"/>
          <w:highlight w:val="none"/>
          <w:vertAlign w:val="superscript"/>
        </w:rPr>
        <w:t>3</w:t>
      </w:r>
      <w:r>
        <w:rPr>
          <w:rFonts w:hint="eastAsia" w:ascii="Times New Roman" w:hAnsi="Times New Roman" w:eastAsia="宋体"/>
          <w:color w:val="auto"/>
          <w:sz w:val="21"/>
          <w:szCs w:val="21"/>
          <w:highlight w:val="none"/>
        </w:rPr>
        <w:t>。</w:t>
      </w:r>
    </w:p>
    <w:p w14:paraId="6581BA6F">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根据监测结果，特征污染物硫化氢和氨在监测时段内浓度值满足《环境影响评价技术导则大气环境》（HJ2.2-2018）附录D中的标准值，硫化氢和氨在监测时段内达标，区域内硫化氢和氨空气质量现状良好。</w:t>
      </w:r>
    </w:p>
    <w:p w14:paraId="3A5516AF">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综上所述，项目区域SO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、NO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、PM</w:t>
      </w:r>
      <w:r>
        <w:rPr>
          <w:rFonts w:hint="eastAsia" w:ascii="Times New Roman" w:hAnsi="Times New Roman" w:eastAsia="宋体"/>
          <w:color w:val="auto"/>
          <w:highlight w:val="none"/>
          <w:vertAlign w:val="subscript"/>
        </w:rPr>
        <w:t>10</w:t>
      </w:r>
      <w:r>
        <w:rPr>
          <w:rFonts w:hint="eastAsia" w:ascii="Times New Roman" w:hAnsi="Times New Roman" w:eastAsia="宋体"/>
          <w:color w:val="auto"/>
          <w:highlight w:val="none"/>
        </w:rPr>
        <w:t>、PM</w:t>
      </w:r>
      <w:r>
        <w:rPr>
          <w:rFonts w:hint="eastAsia" w:ascii="Times New Roman" w:hAnsi="Times New Roman" w:eastAsia="宋体"/>
          <w:color w:val="auto"/>
          <w:highlight w:val="none"/>
          <w:vertAlign w:val="subscript"/>
        </w:rPr>
        <w:t>2.5</w:t>
      </w:r>
      <w:r>
        <w:rPr>
          <w:rFonts w:hint="eastAsia" w:ascii="Times New Roman" w:hAnsi="Times New Roman" w:eastAsia="宋体"/>
          <w:color w:val="auto"/>
          <w:highlight w:val="none"/>
        </w:rPr>
        <w:t>、CO和O</w:t>
      </w:r>
      <w:r>
        <w:rPr>
          <w:rFonts w:hint="eastAsia" w:ascii="Times New Roman" w:hAnsi="Times New Roman" w:eastAsia="宋体"/>
          <w:color w:val="auto"/>
          <w:highlight w:val="none"/>
          <w:vertAlign w:val="subscript"/>
        </w:rPr>
        <w:t>3</w:t>
      </w:r>
      <w:r>
        <w:rPr>
          <w:rFonts w:hint="eastAsia" w:ascii="Times New Roman" w:hAnsi="Times New Roman" w:eastAsia="宋体"/>
          <w:color w:val="auto"/>
          <w:highlight w:val="none"/>
        </w:rPr>
        <w:t>等基本污染物浓度满足《环境空气质量标准》（GB3095-2012）二级浓度限值，环境空气特征污染物硫化氢和氨在监测时段内浓度值满足《环境影响评价技术导则大气环境》（HJ2.2-2018）附录D中的标准值，综合判定项目所在区域为环境空气质量达标区。</w:t>
      </w:r>
    </w:p>
    <w:p w14:paraId="575EA6C6">
      <w:pPr>
        <w:pStyle w:val="5"/>
        <w:rPr>
          <w:rFonts w:ascii="Times New Roman" w:hAnsi="Times New Roman" w:eastAsia="宋体"/>
          <w:color w:val="auto"/>
          <w:highlight w:val="none"/>
        </w:rPr>
      </w:pPr>
      <w:bookmarkStart w:id="168" w:name="_Toc106663487"/>
      <w:r>
        <w:rPr>
          <w:rFonts w:hint="eastAsia" w:ascii="Times New Roman" w:hAnsi="Times New Roman" w:eastAsia="宋体"/>
          <w:color w:val="auto"/>
          <w:highlight w:val="none"/>
        </w:rPr>
        <w:t>4.2.2地表水环境质量现状评价</w:t>
      </w:r>
      <w:bookmarkEnd w:id="168"/>
    </w:p>
    <w:p w14:paraId="0371F643">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根据《环境影响评价技术导则地表水环境》（HJ2.3-2018），项目地表水评价等级判定为三级B，结合本项目工程特点，运营期废水为间接排放且项目区不存在地表水，因此不对本项目地表水进行现状评价。</w:t>
      </w:r>
    </w:p>
    <w:p w14:paraId="01FFC99B">
      <w:pPr>
        <w:pStyle w:val="5"/>
        <w:rPr>
          <w:rFonts w:ascii="Times New Roman" w:hAnsi="Times New Roman" w:eastAsia="宋体"/>
          <w:color w:val="auto"/>
          <w:highlight w:val="none"/>
        </w:rPr>
      </w:pPr>
      <w:bookmarkStart w:id="169" w:name="_Toc106663488"/>
      <w:r>
        <w:rPr>
          <w:rFonts w:hint="eastAsia" w:ascii="Times New Roman" w:hAnsi="Times New Roman" w:eastAsia="宋体"/>
          <w:color w:val="auto"/>
          <w:highlight w:val="none"/>
        </w:rPr>
        <w:t>4.2.3地下水环境现状调查与评价</w:t>
      </w:r>
      <w:bookmarkEnd w:id="169"/>
    </w:p>
    <w:p w14:paraId="0F547FE4">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4.2.3.1数据来源</w:t>
      </w:r>
    </w:p>
    <w:p w14:paraId="281CD028">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本项目地下水环境现状调查数据委托</w:t>
      </w:r>
      <w:r>
        <w:rPr>
          <w:rFonts w:hint="eastAsia" w:ascii="Times New Roman" w:hAnsi="Times New Roman" w:eastAsia="宋体"/>
          <w:color w:val="auto"/>
          <w:highlight w:val="none"/>
          <w:lang w:eastAsia="zh-CN"/>
        </w:rPr>
        <w:t>新疆锡水金山环境科技有限公司</w:t>
      </w:r>
      <w:r>
        <w:rPr>
          <w:rFonts w:hint="eastAsia" w:ascii="Times New Roman" w:hAnsi="Times New Roman" w:eastAsia="宋体"/>
          <w:color w:val="auto"/>
          <w:highlight w:val="none"/>
        </w:rPr>
        <w:t>进行现场监测，监测时间202</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年</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月</w:t>
      </w:r>
      <w:r>
        <w:rPr>
          <w:rFonts w:ascii="Times New Roman" w:hAnsi="Times New Roman" w:eastAsia="宋体"/>
          <w:color w:val="auto"/>
          <w:highlight w:val="none"/>
        </w:rPr>
        <w:t>1</w:t>
      </w:r>
      <w:r>
        <w:rPr>
          <w:rFonts w:hint="eastAsia" w:ascii="Times New Roman" w:hAnsi="Times New Roman" w:eastAsia="宋体"/>
          <w:color w:val="auto"/>
          <w:highlight w:val="none"/>
        </w:rPr>
        <w:t>2日。监测点基本情况见表4.2-6，地下水监测点相对于本项目的位置见附图4.2-</w:t>
      </w:r>
      <w:r>
        <w:rPr>
          <w:rFonts w:hint="eastAsia"/>
          <w:color w:val="auto"/>
          <w:highlight w:val="none"/>
          <w:lang w:val="en-US" w:eastAsia="zh-CN"/>
        </w:rPr>
        <w:t>1</w:t>
      </w:r>
      <w:r>
        <w:rPr>
          <w:rFonts w:hint="eastAsia" w:ascii="Times New Roman" w:hAnsi="Times New Roman" w:eastAsia="宋体"/>
          <w:color w:val="auto"/>
          <w:highlight w:val="none"/>
        </w:rPr>
        <w:t>。</w:t>
      </w:r>
    </w:p>
    <w:p w14:paraId="3A91C42C">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表4.2-6地下水环境质量现状监测点位表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2"/>
        <w:gridCol w:w="4420"/>
      </w:tblGrid>
      <w:tr w14:paraId="23D3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07" w:type="pct"/>
            <w:vAlign w:val="center"/>
          </w:tcPr>
          <w:p w14:paraId="6E602801">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监测点</w:t>
            </w:r>
          </w:p>
        </w:tc>
        <w:tc>
          <w:tcPr>
            <w:tcW w:w="2593" w:type="pct"/>
            <w:vAlign w:val="center"/>
          </w:tcPr>
          <w:p w14:paraId="4E613FF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坐标</w:t>
            </w:r>
          </w:p>
        </w:tc>
      </w:tr>
      <w:tr w14:paraId="5985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7" w:type="pct"/>
            <w:vAlign w:val="center"/>
          </w:tcPr>
          <w:p w14:paraId="1D4CCF67">
            <w:pPr>
              <w:spacing w:line="240" w:lineRule="auto"/>
              <w:ind w:firstLine="0" w:firstLineChars="0"/>
              <w:jc w:val="center"/>
              <w:rPr>
                <w:rFonts w:ascii="Times New Roman" w:hAnsi="Times New Roman" w:eastAsia="宋体"/>
                <w:color w:val="auto"/>
                <w:sz w:val="21"/>
                <w:szCs w:val="21"/>
                <w:highlight w:val="none"/>
              </w:rPr>
            </w:pPr>
            <w:r>
              <w:rPr>
                <w:rFonts w:hint="eastAsia"/>
                <w:color w:val="auto"/>
                <w:sz w:val="21"/>
                <w:szCs w:val="21"/>
                <w:highlight w:val="none"/>
                <w:lang w:val="en-US" w:eastAsia="zh-CN"/>
              </w:rPr>
              <w:t>1</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rPr>
              <w:t>：项目区内地下水井出口</w:t>
            </w:r>
          </w:p>
        </w:tc>
        <w:tc>
          <w:tcPr>
            <w:tcW w:w="2593" w:type="pct"/>
            <w:vAlign w:val="center"/>
          </w:tcPr>
          <w:p w14:paraId="04B514A6">
            <w:pPr>
              <w:spacing w:line="240" w:lineRule="auto"/>
              <w:ind w:firstLine="0" w:firstLineChars="0"/>
              <w:jc w:val="center"/>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E</w:t>
            </w:r>
            <w:r>
              <w:rPr>
                <w:rFonts w:hint="eastAsia" w:ascii="Times New Roman" w:hAnsi="Times New Roman" w:eastAsia="宋体"/>
                <w:color w:val="auto"/>
                <w:sz w:val="21"/>
                <w:szCs w:val="21"/>
                <w:highlight w:val="none"/>
                <w:lang w:val="en-US" w:eastAsia="zh-CN"/>
              </w:rPr>
              <w:t>：86</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18</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48.78</w:t>
            </w:r>
            <w:r>
              <w:rPr>
                <w:rFonts w:hint="default" w:ascii="Times New Roman" w:hAnsi="Times New Roman" w:eastAsia="宋体"/>
                <w:color w:val="auto"/>
                <w:sz w:val="21"/>
                <w:szCs w:val="21"/>
                <w:highlight w:val="none"/>
                <w:lang w:val="en-US" w:eastAsia="zh-CN"/>
              </w:rPr>
              <w:t>″N</w:t>
            </w:r>
            <w:r>
              <w:rPr>
                <w:rFonts w:hint="eastAsia" w:ascii="Times New Roman" w:hAnsi="Times New Roman" w:eastAsia="宋体"/>
                <w:color w:val="auto"/>
                <w:sz w:val="21"/>
                <w:szCs w:val="21"/>
                <w:highlight w:val="none"/>
                <w:lang w:val="en-US" w:eastAsia="zh-CN"/>
              </w:rPr>
              <w:t>：44</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20</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27.28</w:t>
            </w:r>
            <w:r>
              <w:rPr>
                <w:rFonts w:hint="default" w:ascii="Times New Roman" w:hAnsi="Times New Roman" w:eastAsia="宋体"/>
                <w:color w:val="auto"/>
                <w:sz w:val="21"/>
                <w:szCs w:val="21"/>
                <w:highlight w:val="none"/>
                <w:lang w:val="en-US" w:eastAsia="zh-CN"/>
              </w:rPr>
              <w:t>″</w:t>
            </w:r>
          </w:p>
        </w:tc>
      </w:tr>
      <w:tr w14:paraId="0555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7" w:type="pct"/>
            <w:vAlign w:val="center"/>
          </w:tcPr>
          <w:p w14:paraId="6542A4EB">
            <w:pPr>
              <w:spacing w:line="240" w:lineRule="auto"/>
              <w:ind w:firstLine="0" w:firstLineChars="0"/>
              <w:jc w:val="center"/>
              <w:rPr>
                <w:rFonts w:ascii="Times New Roman" w:hAnsi="Times New Roman" w:eastAsia="宋体"/>
                <w:color w:val="auto"/>
                <w:sz w:val="21"/>
                <w:szCs w:val="21"/>
                <w:highlight w:val="none"/>
              </w:rPr>
            </w:pPr>
            <w:r>
              <w:rPr>
                <w:rFonts w:hint="eastAsia"/>
                <w:color w:val="auto"/>
                <w:sz w:val="21"/>
                <w:szCs w:val="21"/>
                <w:highlight w:val="none"/>
                <w:lang w:val="en-US" w:eastAsia="zh-CN"/>
              </w:rPr>
              <w:t>2</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rPr>
              <w:t>：项目区上游地下水井</w:t>
            </w:r>
          </w:p>
        </w:tc>
        <w:tc>
          <w:tcPr>
            <w:tcW w:w="2593" w:type="pct"/>
            <w:vAlign w:val="center"/>
          </w:tcPr>
          <w:p w14:paraId="0A68581A">
            <w:pPr>
              <w:spacing w:line="240" w:lineRule="auto"/>
              <w:ind w:firstLine="0" w:firstLineChars="0"/>
              <w:jc w:val="center"/>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E</w:t>
            </w:r>
            <w:r>
              <w:rPr>
                <w:rFonts w:hint="eastAsia" w:ascii="Times New Roman" w:hAnsi="Times New Roman" w:eastAsia="宋体"/>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86</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54.77370</w:t>
            </w:r>
            <w:r>
              <w:rPr>
                <w:rFonts w:hint="default" w:ascii="Times New Roman" w:hAnsi="Times New Roman" w:eastAsia="宋体"/>
                <w:color w:val="auto"/>
                <w:sz w:val="21"/>
                <w:szCs w:val="21"/>
                <w:highlight w:val="none"/>
                <w:lang w:val="en-US" w:eastAsia="zh-CN"/>
              </w:rPr>
              <w:t>″N</w:t>
            </w:r>
            <w:r>
              <w:rPr>
                <w:rFonts w:hint="eastAsia" w:ascii="Times New Roman" w:hAnsi="Times New Roman" w:eastAsia="宋体"/>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44</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5.69510</w:t>
            </w:r>
            <w:r>
              <w:rPr>
                <w:rFonts w:hint="default" w:ascii="Times New Roman" w:hAnsi="Times New Roman" w:eastAsia="宋体"/>
                <w:color w:val="auto"/>
                <w:sz w:val="21"/>
                <w:szCs w:val="21"/>
                <w:highlight w:val="none"/>
                <w:lang w:val="en-US" w:eastAsia="zh-CN"/>
              </w:rPr>
              <w:t>″</w:t>
            </w:r>
          </w:p>
        </w:tc>
      </w:tr>
      <w:tr w14:paraId="55A0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07" w:type="pct"/>
            <w:vAlign w:val="center"/>
          </w:tcPr>
          <w:p w14:paraId="10B5C7B1">
            <w:pPr>
              <w:spacing w:line="240" w:lineRule="auto"/>
              <w:ind w:firstLine="0" w:firstLineChars="0"/>
              <w:jc w:val="center"/>
              <w:rPr>
                <w:rFonts w:ascii="Times New Roman" w:hAnsi="Times New Roman" w:eastAsia="宋体"/>
                <w:color w:val="auto"/>
                <w:sz w:val="21"/>
                <w:szCs w:val="21"/>
                <w:highlight w:val="none"/>
              </w:rPr>
            </w:pPr>
            <w:r>
              <w:rPr>
                <w:rFonts w:hint="eastAsia"/>
                <w:color w:val="auto"/>
                <w:sz w:val="21"/>
                <w:szCs w:val="21"/>
                <w:highlight w:val="none"/>
                <w:lang w:val="en-US" w:eastAsia="zh-CN"/>
              </w:rPr>
              <w:t>3</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rPr>
              <w:t>：项目区下游地下水井</w:t>
            </w:r>
          </w:p>
        </w:tc>
        <w:tc>
          <w:tcPr>
            <w:tcW w:w="2593" w:type="pct"/>
            <w:vAlign w:val="center"/>
          </w:tcPr>
          <w:p w14:paraId="5DFF9B03">
            <w:pPr>
              <w:spacing w:line="240" w:lineRule="auto"/>
              <w:ind w:firstLine="0" w:firstLineChars="0"/>
              <w:jc w:val="center"/>
              <w:rPr>
                <w:rFonts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E</w:t>
            </w:r>
            <w:r>
              <w:rPr>
                <w:rFonts w:hint="eastAsia"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eastAsia="zh-CN"/>
              </w:rPr>
              <w:t>86</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eastAsia="zh-CN"/>
              </w:rPr>
              <w:t>19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eastAsia="zh-CN"/>
              </w:rPr>
              <w:t>54.77370</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N：</w:t>
            </w:r>
            <w:r>
              <w:rPr>
                <w:rFonts w:hint="eastAsia" w:ascii="Times New Roman" w:hAnsi="Times New Roman" w:eastAsia="宋体"/>
                <w:color w:val="auto"/>
                <w:sz w:val="21"/>
                <w:szCs w:val="21"/>
                <w:highlight w:val="none"/>
                <w:lang w:eastAsia="zh-CN"/>
              </w:rPr>
              <w:t>44</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eastAsia="zh-CN"/>
              </w:rPr>
              <w:t>19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eastAsia="zh-CN"/>
              </w:rPr>
              <w:t>5.69510</w:t>
            </w:r>
            <w:r>
              <w:rPr>
                <w:rFonts w:hint="default" w:ascii="Times New Roman" w:hAnsi="Times New Roman" w:eastAsia="宋体"/>
                <w:color w:val="auto"/>
                <w:sz w:val="21"/>
                <w:szCs w:val="21"/>
                <w:highlight w:val="none"/>
                <w:lang w:val="en-US" w:eastAsia="zh-CN"/>
              </w:rPr>
              <w:t>″</w:t>
            </w:r>
          </w:p>
        </w:tc>
      </w:tr>
    </w:tbl>
    <w:p w14:paraId="40DC2929">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4.2.3.2监测项目及分析方法</w:t>
      </w:r>
    </w:p>
    <w:p w14:paraId="5CA492B5">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监测项目：pH（无量纲）、耗氧量、阴离子表面活性剂、氨氮、挥发酚、总硬度、硝酸盐氮、硫酸盐、氟化物、氰化物、总大肠菌群、溶解性总固体、六价铬、汞、砷、硒、铜、铅、锌、镉、铁、锰等。</w:t>
      </w:r>
    </w:p>
    <w:p w14:paraId="0D9A2D88">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本次环评水质现状监测、采样及分析方法按《地下水环境监测技术规范》（HJ/T164-2004）、《环境水质监测质量保证手册》及《水和废水监测分析方法》有关规定和要求执行。</w:t>
      </w:r>
    </w:p>
    <w:p w14:paraId="0637A6B3">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4.2.3.3评价标准及方法</w:t>
      </w:r>
    </w:p>
    <w:p w14:paraId="3C8B7613">
      <w:pPr>
        <w:ind w:firstLine="480"/>
        <w:rPr>
          <w:rFonts w:ascii="Times New Roman" w:hAnsi="Times New Roman" w:eastAsia="宋体"/>
          <w:color w:val="auto"/>
          <w:highlight w:val="none"/>
        </w:rPr>
      </w:pPr>
      <w:r>
        <w:rPr>
          <w:rFonts w:hint="eastAsia" w:ascii="Times New Roman" w:hAnsi="Times New Roman" w:eastAsia="宋体"/>
          <w:color w:val="auto"/>
          <w:highlight w:val="none"/>
        </w:rPr>
        <w:t>（1）</w:t>
      </w:r>
      <w:r>
        <w:rPr>
          <w:rFonts w:ascii="Times New Roman" w:hAnsi="Times New Roman" w:eastAsia="宋体"/>
          <w:color w:val="auto"/>
          <w:highlight w:val="none"/>
        </w:rPr>
        <w:t>评价标准</w:t>
      </w:r>
    </w:p>
    <w:p w14:paraId="14465A9B">
      <w:pPr>
        <w:ind w:firstLine="480"/>
        <w:rPr>
          <w:rFonts w:ascii="Times New Roman" w:hAnsi="Times New Roman" w:eastAsia="宋体"/>
          <w:color w:val="auto"/>
          <w:highlight w:val="none"/>
        </w:rPr>
      </w:pPr>
      <w:r>
        <w:rPr>
          <w:rFonts w:ascii="Times New Roman" w:hAnsi="Times New Roman" w:eastAsia="宋体"/>
          <w:color w:val="auto"/>
          <w:highlight w:val="none"/>
        </w:rPr>
        <w:t>采用《地下水质量标准》（GB</w:t>
      </w:r>
      <w:r>
        <w:rPr>
          <w:rFonts w:hint="eastAsia" w:ascii="Times New Roman" w:hAnsi="Times New Roman" w:eastAsia="宋体"/>
          <w:color w:val="auto"/>
          <w:highlight w:val="none"/>
        </w:rPr>
        <w:t>/</w:t>
      </w:r>
      <w:r>
        <w:rPr>
          <w:rFonts w:ascii="Times New Roman" w:hAnsi="Times New Roman" w:eastAsia="宋体"/>
          <w:color w:val="auto"/>
          <w:highlight w:val="none"/>
        </w:rPr>
        <w:t>T14848-2017）</w:t>
      </w:r>
      <w:r>
        <w:rPr>
          <w:rFonts w:hint="eastAsia" w:ascii="Times New Roman" w:hAnsi="Times New Roman" w:eastAsia="宋体" w:cs="宋体"/>
          <w:color w:val="auto"/>
          <w:highlight w:val="none"/>
        </w:rPr>
        <w:t>Ⅲ</w:t>
      </w:r>
      <w:r>
        <w:rPr>
          <w:rFonts w:ascii="Times New Roman" w:hAnsi="Times New Roman" w:eastAsia="宋体"/>
          <w:color w:val="auto"/>
          <w:highlight w:val="none"/>
        </w:rPr>
        <w:t>类标准对各监测点位地下水水质进行评价。</w:t>
      </w:r>
    </w:p>
    <w:p w14:paraId="627A6B9D">
      <w:pPr>
        <w:ind w:firstLine="480"/>
        <w:rPr>
          <w:rFonts w:ascii="Times New Roman" w:hAnsi="Times New Roman" w:eastAsia="宋体"/>
          <w:color w:val="auto"/>
          <w:highlight w:val="none"/>
        </w:rPr>
      </w:pPr>
      <w:r>
        <w:rPr>
          <w:rFonts w:hint="eastAsia" w:ascii="Times New Roman" w:hAnsi="Times New Roman" w:eastAsia="宋体"/>
          <w:color w:val="auto"/>
          <w:highlight w:val="none"/>
        </w:rPr>
        <w:t>（2）评价方法</w:t>
      </w:r>
    </w:p>
    <w:p w14:paraId="00AB9A6F">
      <w:pPr>
        <w:ind w:firstLine="480"/>
        <w:rPr>
          <w:rFonts w:ascii="Times New Roman" w:hAnsi="Times New Roman" w:eastAsia="宋体"/>
          <w:color w:val="auto"/>
          <w:highlight w:val="none"/>
        </w:rPr>
      </w:pPr>
      <w:r>
        <w:rPr>
          <w:rFonts w:hint="eastAsia" w:ascii="Times New Roman" w:hAnsi="Times New Roman" w:eastAsia="宋体"/>
          <w:color w:val="auto"/>
          <w:highlight w:val="none"/>
        </w:rPr>
        <w:t>采用单项标准指数法对地下水进行评价。</w:t>
      </w:r>
    </w:p>
    <w:p w14:paraId="7D4EE23C">
      <w:pPr>
        <w:ind w:firstLine="0" w:firstLineChars="0"/>
        <w:jc w:val="center"/>
        <w:rPr>
          <w:rFonts w:ascii="Times New Roman" w:hAnsi="Times New Roman" w:eastAsia="宋体"/>
          <w:color w:val="auto"/>
          <w:highlight w:val="none"/>
        </w:rPr>
      </w:pPr>
      <w:r>
        <w:rPr>
          <w:rFonts w:ascii="Times New Roman" w:hAnsi="Times New Roman" w:eastAsia="宋体"/>
          <w:color w:val="auto"/>
          <w:position w:val="-35"/>
          <w:highlight w:val="none"/>
        </w:rPr>
        <w:object>
          <v:shape id="_x0000_i1029" o:spt="75" type="#_x0000_t75" style="height:38.4pt;width:39.85pt;" o:ole="t" filled="f" o:preferrelative="t" stroked="f" coordsize="21600,21600">
            <v:path/>
            <v:fill on="f" focussize="0,0"/>
            <v:stroke on="f" joinstyle="miter"/>
            <v:imagedata r:id="rId41" o:title=""/>
            <o:lock v:ext="edit" aspectratio="t"/>
            <w10:wrap type="none"/>
            <w10:anchorlock/>
          </v:shape>
          <o:OLEObject Type="Embed" ProgID="Equation.AxMath" ShapeID="_x0000_i1029" DrawAspect="Content" ObjectID="_1468075729" r:id="rId40">
            <o:LockedField>false</o:LockedField>
          </o:OLEObject>
        </w:object>
      </w:r>
    </w:p>
    <w:p w14:paraId="558B154E">
      <w:pPr>
        <w:ind w:firstLine="480"/>
        <w:rPr>
          <w:rFonts w:ascii="Times New Roman" w:hAnsi="Times New Roman" w:eastAsia="宋体"/>
          <w:color w:val="auto"/>
          <w:highlight w:val="none"/>
        </w:rPr>
      </w:pPr>
      <w:r>
        <w:rPr>
          <w:rFonts w:hint="eastAsia" w:ascii="Times New Roman" w:hAnsi="Times New Roman" w:eastAsia="宋体"/>
          <w:color w:val="auto"/>
          <w:highlight w:val="none"/>
        </w:rPr>
        <w:t>式中：P</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——第i个水质因子的标准指数，无量纲；</w:t>
      </w:r>
    </w:p>
    <w:p w14:paraId="664D00AF">
      <w:pPr>
        <w:ind w:firstLine="1320" w:firstLineChars="550"/>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i</w:t>
      </w:r>
      <w:r>
        <w:rPr>
          <w:rFonts w:hint="eastAsia" w:ascii="Times New Roman" w:hAnsi="Times New Roman" w:eastAsia="宋体"/>
          <w:color w:val="auto"/>
          <w:highlight w:val="none"/>
        </w:rPr>
        <w:t>——第i个水质因子的监测浓度值，mg/L；</w:t>
      </w:r>
    </w:p>
    <w:p w14:paraId="0D5AF10F">
      <w:pPr>
        <w:ind w:firstLine="1320" w:firstLineChars="550"/>
        <w:rPr>
          <w:rFonts w:ascii="Times New Roman" w:hAnsi="Times New Roman" w:eastAsia="宋体"/>
          <w:color w:val="auto"/>
          <w:highlight w:val="none"/>
        </w:rPr>
      </w:pPr>
      <w:r>
        <w:rPr>
          <w:rFonts w:hint="eastAsia" w:ascii="Times New Roman" w:hAnsi="Times New Roman" w:eastAsia="宋体"/>
          <w:color w:val="auto"/>
          <w:highlight w:val="none"/>
        </w:rPr>
        <w:t>C</w:t>
      </w:r>
      <w:r>
        <w:rPr>
          <w:rFonts w:hint="eastAsia" w:ascii="Times New Roman" w:hAnsi="Times New Roman" w:eastAsia="宋体"/>
          <w:color w:val="auto"/>
          <w:highlight w:val="none"/>
          <w:vertAlign w:val="subscript"/>
        </w:rPr>
        <w:t>si</w:t>
      </w:r>
      <w:r>
        <w:rPr>
          <w:rFonts w:hint="eastAsia" w:ascii="Times New Roman" w:hAnsi="Times New Roman" w:eastAsia="宋体"/>
          <w:color w:val="auto"/>
          <w:highlight w:val="none"/>
        </w:rPr>
        <w:t>——第i个水质因子的标准浓度值，mg/L。</w:t>
      </w:r>
    </w:p>
    <w:p w14:paraId="2775D142">
      <w:pPr>
        <w:ind w:firstLine="480"/>
        <w:rPr>
          <w:rFonts w:ascii="Times New Roman" w:hAnsi="Times New Roman" w:eastAsia="宋体"/>
          <w:color w:val="auto"/>
          <w:highlight w:val="none"/>
        </w:rPr>
      </w:pPr>
      <w:r>
        <w:rPr>
          <w:rFonts w:hint="eastAsia" w:ascii="Times New Roman" w:hAnsi="Times New Roman" w:eastAsia="宋体"/>
          <w:color w:val="auto"/>
          <w:highlight w:val="none"/>
        </w:rPr>
        <w:t>pH的标准指数为：</w:t>
      </w:r>
    </w:p>
    <w:p w14:paraId="578AC143">
      <w:pPr>
        <w:ind w:firstLine="0" w:firstLineChars="0"/>
        <w:jc w:val="center"/>
        <w:rPr>
          <w:rFonts w:ascii="Times New Roman" w:hAnsi="Times New Roman" w:eastAsia="宋体"/>
          <w:color w:val="auto"/>
          <w:highlight w:val="none"/>
        </w:rPr>
      </w:pPr>
      <w:r>
        <w:rPr>
          <w:rFonts w:ascii="Times New Roman" w:hAnsi="Times New Roman" w:eastAsia="宋体"/>
          <w:color w:val="auto"/>
          <w:position w:val="-35"/>
          <w:highlight w:val="none"/>
        </w:rPr>
        <w:object>
          <v:shape id="_x0000_i1030" o:spt="75" type="#_x0000_t75" style="height:39.85pt;width:159.35pt;" o:ole="t" filled="f" o:preferrelative="t" stroked="f" coordsize="21600,21600">
            <v:path/>
            <v:fill on="f" focussize="0,0"/>
            <v:stroke on="f" joinstyle="miter"/>
            <v:imagedata r:id="rId43" o:title=""/>
            <o:lock v:ext="edit" aspectratio="t"/>
            <w10:wrap type="none"/>
            <w10:anchorlock/>
          </v:shape>
          <o:OLEObject Type="Embed" ProgID="Equation.AxMath" ShapeID="_x0000_i1030" DrawAspect="Content" ObjectID="_1468075730" r:id="rId42">
            <o:LockedField>false</o:LockedField>
          </o:OLEObject>
        </w:object>
      </w:r>
    </w:p>
    <w:p w14:paraId="7D9179D0">
      <w:pPr>
        <w:ind w:firstLine="0" w:firstLineChars="0"/>
        <w:jc w:val="center"/>
        <w:rPr>
          <w:rFonts w:ascii="Times New Roman" w:hAnsi="Times New Roman" w:eastAsia="宋体"/>
          <w:color w:val="auto"/>
          <w:highlight w:val="none"/>
        </w:rPr>
      </w:pPr>
      <w:r>
        <w:rPr>
          <w:rFonts w:ascii="Times New Roman" w:hAnsi="Times New Roman" w:eastAsia="宋体"/>
          <w:color w:val="auto"/>
          <w:position w:val="-35"/>
          <w:highlight w:val="none"/>
        </w:rPr>
        <w:object>
          <v:shape id="_x0000_i1031" o:spt="75" type="#_x0000_t75" style="height:38.9pt;width:156.95pt;" o:ole="t" filled="f" o:preferrelative="t" stroked="f" coordsize="21600,21600">
            <v:path/>
            <v:fill on="f" focussize="0,0"/>
            <v:stroke on="f" joinstyle="miter"/>
            <v:imagedata r:id="rId45" o:title=""/>
            <o:lock v:ext="edit" aspectratio="t"/>
            <w10:wrap type="none"/>
            <w10:anchorlock/>
          </v:shape>
          <o:OLEObject Type="Embed" ProgID="Equation.AxMath" ShapeID="_x0000_i1031" DrawAspect="Content" ObjectID="_1468075731" r:id="rId44">
            <o:LockedField>false</o:LockedField>
          </o:OLEObject>
        </w:object>
      </w:r>
    </w:p>
    <w:p w14:paraId="6F178C69">
      <w:pPr>
        <w:ind w:firstLine="480"/>
        <w:rPr>
          <w:rFonts w:ascii="Times New Roman" w:hAnsi="Times New Roman" w:eastAsia="宋体"/>
          <w:color w:val="auto"/>
          <w:highlight w:val="none"/>
        </w:rPr>
      </w:pPr>
      <w:r>
        <w:rPr>
          <w:rFonts w:hint="eastAsia" w:ascii="Times New Roman" w:hAnsi="Times New Roman" w:eastAsia="宋体"/>
          <w:color w:val="auto"/>
          <w:highlight w:val="none"/>
        </w:rPr>
        <w:t>式中：P</w:t>
      </w:r>
      <w:r>
        <w:rPr>
          <w:rFonts w:hint="eastAsia" w:ascii="Times New Roman" w:hAnsi="Times New Roman" w:eastAsia="宋体"/>
          <w:color w:val="auto"/>
          <w:highlight w:val="none"/>
          <w:vertAlign w:val="subscript"/>
        </w:rPr>
        <w:t>pH</w:t>
      </w:r>
      <w:r>
        <w:rPr>
          <w:rFonts w:hint="eastAsia" w:ascii="Times New Roman" w:hAnsi="Times New Roman" w:eastAsia="宋体"/>
          <w:color w:val="auto"/>
          <w:highlight w:val="none"/>
        </w:rPr>
        <w:t>——pH的标准指数，无量纲；</w:t>
      </w:r>
    </w:p>
    <w:p w14:paraId="75FFAD98">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pH—pH监测值；</w:t>
      </w:r>
    </w:p>
    <w:p w14:paraId="413AB792">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pH</w:t>
      </w:r>
      <w:r>
        <w:rPr>
          <w:rFonts w:hint="eastAsia" w:ascii="Times New Roman" w:hAnsi="Times New Roman" w:eastAsia="宋体"/>
          <w:color w:val="auto"/>
          <w:highlight w:val="none"/>
          <w:vertAlign w:val="subscript"/>
        </w:rPr>
        <w:t>su</w:t>
      </w:r>
      <w:r>
        <w:rPr>
          <w:rFonts w:hint="eastAsia" w:ascii="Times New Roman" w:hAnsi="Times New Roman" w:eastAsia="宋体"/>
          <w:color w:val="auto"/>
          <w:highlight w:val="none"/>
        </w:rPr>
        <w:t>——标准中pH的上限值；</w:t>
      </w:r>
    </w:p>
    <w:p w14:paraId="5B8003FA">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pH</w:t>
      </w:r>
      <w:r>
        <w:rPr>
          <w:rFonts w:hint="eastAsia" w:ascii="Times New Roman" w:hAnsi="Times New Roman" w:eastAsia="宋体"/>
          <w:color w:val="auto"/>
          <w:highlight w:val="none"/>
          <w:vertAlign w:val="subscript"/>
        </w:rPr>
        <w:t>sd</w:t>
      </w:r>
      <w:r>
        <w:rPr>
          <w:rFonts w:hint="eastAsia" w:ascii="Times New Roman" w:hAnsi="Times New Roman" w:eastAsia="宋体"/>
          <w:color w:val="auto"/>
          <w:highlight w:val="none"/>
        </w:rPr>
        <w:t>——标准中pH的下限值；</w:t>
      </w:r>
    </w:p>
    <w:p w14:paraId="3087BE23">
      <w:pPr>
        <w:ind w:firstLine="480"/>
        <w:rPr>
          <w:rFonts w:ascii="Times New Roman" w:hAnsi="Times New Roman" w:eastAsia="宋体"/>
          <w:color w:val="auto"/>
          <w:highlight w:val="none"/>
        </w:rPr>
      </w:pPr>
      <w:r>
        <w:rPr>
          <w:rFonts w:hint="eastAsia" w:ascii="Times New Roman" w:hAnsi="Times New Roman" w:eastAsia="宋体"/>
          <w:color w:val="auto"/>
          <w:highlight w:val="none"/>
        </w:rPr>
        <w:t>当P</w:t>
      </w:r>
      <w:r>
        <w:rPr>
          <w:rFonts w:hint="eastAsia" w:ascii="Times New Roman" w:hAnsi="Times New Roman" w:eastAsia="宋体"/>
          <w:color w:val="auto"/>
          <w:highlight w:val="none"/>
          <w:vertAlign w:val="subscript"/>
        </w:rPr>
        <w:t>pH</w:t>
      </w:r>
      <w:r>
        <w:rPr>
          <w:rFonts w:hint="eastAsia" w:ascii="Times New Roman" w:hAnsi="Times New Roman" w:eastAsia="宋体"/>
          <w:color w:val="auto"/>
          <w:highlight w:val="none"/>
        </w:rPr>
        <w:t>＞1时，表明该水质参数超过了规定的水质标准，P</w:t>
      </w:r>
      <w:r>
        <w:rPr>
          <w:rFonts w:hint="eastAsia" w:ascii="Times New Roman" w:hAnsi="Times New Roman" w:eastAsia="宋体"/>
          <w:color w:val="auto"/>
          <w:highlight w:val="none"/>
          <w:vertAlign w:val="subscript"/>
        </w:rPr>
        <w:t>pH</w:t>
      </w:r>
      <w:r>
        <w:rPr>
          <w:rFonts w:hint="eastAsia" w:ascii="Times New Roman" w:hAnsi="Times New Roman" w:eastAsia="宋体"/>
          <w:color w:val="auto"/>
          <w:highlight w:val="none"/>
        </w:rPr>
        <w:t>＜1时，说明该水质可以达到规定的水质标准。</w:t>
      </w:r>
    </w:p>
    <w:p w14:paraId="3482EB36">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4.2.3.4评价结果</w:t>
      </w:r>
    </w:p>
    <w:p w14:paraId="0C0D6B4A">
      <w:pPr>
        <w:ind w:firstLine="480"/>
        <w:rPr>
          <w:rFonts w:ascii="Times New Roman" w:hAnsi="Times New Roman" w:eastAsia="宋体"/>
          <w:color w:val="auto"/>
          <w:highlight w:val="none"/>
        </w:rPr>
      </w:pPr>
      <w:r>
        <w:rPr>
          <w:rFonts w:hint="eastAsia" w:ascii="Times New Roman" w:hAnsi="Times New Roman" w:eastAsia="宋体"/>
          <w:color w:val="auto"/>
          <w:highlight w:val="none"/>
        </w:rPr>
        <w:t>地下水现状评价结果见表4.2-7。</w:t>
      </w:r>
    </w:p>
    <w:p w14:paraId="0BC3C230">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表4.2-7地下水现状评价结果</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763"/>
        <w:gridCol w:w="774"/>
        <w:gridCol w:w="1122"/>
        <w:gridCol w:w="1122"/>
        <w:gridCol w:w="1126"/>
        <w:gridCol w:w="1260"/>
        <w:gridCol w:w="804"/>
      </w:tblGrid>
      <w:tr w14:paraId="36B4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restart"/>
            <w:vAlign w:val="center"/>
          </w:tcPr>
          <w:p w14:paraId="44E361AC">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序号</w:t>
            </w:r>
          </w:p>
        </w:tc>
        <w:tc>
          <w:tcPr>
            <w:tcW w:w="1034" w:type="pct"/>
            <w:vMerge w:val="restart"/>
            <w:vAlign w:val="center"/>
          </w:tcPr>
          <w:p w14:paraId="7712A532">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检测项目</w:t>
            </w:r>
          </w:p>
        </w:tc>
        <w:tc>
          <w:tcPr>
            <w:tcW w:w="454" w:type="pct"/>
            <w:vMerge w:val="restart"/>
            <w:vAlign w:val="center"/>
          </w:tcPr>
          <w:p w14:paraId="051254A4">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val="en-US" w:eastAsia="zh-CN"/>
              </w:rPr>
            </w:pPr>
            <w:r>
              <w:rPr>
                <w:rFonts w:hint="eastAsia" w:ascii="Times New Roman" w:hAnsi="Times New Roman" w:eastAsia="宋体"/>
                <w:color w:val="auto"/>
                <w:kern w:val="0"/>
                <w:sz w:val="21"/>
                <w:szCs w:val="21"/>
                <w:highlight w:val="none"/>
                <w:lang w:val="en-US" w:eastAsia="zh-CN"/>
              </w:rPr>
              <w:t>单位</w:t>
            </w:r>
          </w:p>
        </w:tc>
        <w:tc>
          <w:tcPr>
            <w:tcW w:w="1976" w:type="pct"/>
            <w:gridSpan w:val="3"/>
            <w:vAlign w:val="center"/>
          </w:tcPr>
          <w:p w14:paraId="01586FBD">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检测结果</w:t>
            </w:r>
          </w:p>
        </w:tc>
        <w:tc>
          <w:tcPr>
            <w:tcW w:w="1210" w:type="pct"/>
            <w:gridSpan w:val="2"/>
            <w:vAlign w:val="center"/>
          </w:tcPr>
          <w:p w14:paraId="71E2C886">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评价结果</w:t>
            </w:r>
          </w:p>
        </w:tc>
      </w:tr>
      <w:tr w14:paraId="437A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Merge w:val="continue"/>
            <w:vAlign w:val="center"/>
          </w:tcPr>
          <w:p w14:paraId="097101E1">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p>
        </w:tc>
        <w:tc>
          <w:tcPr>
            <w:tcW w:w="1034" w:type="pct"/>
            <w:vMerge w:val="continue"/>
            <w:vAlign w:val="center"/>
          </w:tcPr>
          <w:p w14:paraId="03C79CE9">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p>
        </w:tc>
        <w:tc>
          <w:tcPr>
            <w:tcW w:w="454" w:type="pct"/>
            <w:vMerge w:val="continue"/>
            <w:vAlign w:val="center"/>
          </w:tcPr>
          <w:p w14:paraId="086D2E73">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p>
        </w:tc>
        <w:tc>
          <w:tcPr>
            <w:tcW w:w="658" w:type="pct"/>
            <w:vAlign w:val="center"/>
          </w:tcPr>
          <w:p w14:paraId="62703EB5">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1</w:t>
            </w:r>
            <w:r>
              <w:rPr>
                <w:rFonts w:ascii="Times New Roman" w:hAnsi="Times New Roman" w:eastAsia="宋体"/>
                <w:color w:val="auto"/>
                <w:kern w:val="0"/>
                <w:sz w:val="21"/>
                <w:szCs w:val="21"/>
                <w:highlight w:val="none"/>
              </w:rPr>
              <w:t>#</w:t>
            </w:r>
            <w:r>
              <w:rPr>
                <w:rFonts w:hint="eastAsia" w:ascii="Times New Roman" w:hAnsi="Times New Roman" w:eastAsia="宋体"/>
                <w:color w:val="auto"/>
                <w:kern w:val="0"/>
                <w:sz w:val="21"/>
                <w:szCs w:val="21"/>
                <w:highlight w:val="none"/>
              </w:rPr>
              <w:t>：项目区</w:t>
            </w:r>
          </w:p>
        </w:tc>
        <w:tc>
          <w:tcPr>
            <w:tcW w:w="658" w:type="pct"/>
            <w:vAlign w:val="center"/>
          </w:tcPr>
          <w:p w14:paraId="69B87D5E">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2</w:t>
            </w:r>
            <w:r>
              <w:rPr>
                <w:rFonts w:ascii="Times New Roman" w:hAnsi="Times New Roman" w:eastAsia="宋体"/>
                <w:color w:val="auto"/>
                <w:kern w:val="0"/>
                <w:sz w:val="21"/>
                <w:szCs w:val="21"/>
                <w:highlight w:val="none"/>
              </w:rPr>
              <w:t>#</w:t>
            </w:r>
            <w:r>
              <w:rPr>
                <w:rFonts w:hint="eastAsia" w:ascii="Times New Roman" w:hAnsi="Times New Roman" w:eastAsia="宋体"/>
                <w:color w:val="auto"/>
                <w:kern w:val="0"/>
                <w:sz w:val="21"/>
                <w:szCs w:val="21"/>
                <w:highlight w:val="none"/>
              </w:rPr>
              <w:t>：项目区</w:t>
            </w:r>
          </w:p>
        </w:tc>
        <w:tc>
          <w:tcPr>
            <w:tcW w:w="658" w:type="pct"/>
            <w:vAlign w:val="center"/>
          </w:tcPr>
          <w:p w14:paraId="5C360376">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3</w:t>
            </w:r>
            <w:r>
              <w:rPr>
                <w:rFonts w:ascii="Times New Roman" w:hAnsi="Times New Roman" w:eastAsia="宋体"/>
                <w:color w:val="auto"/>
                <w:kern w:val="0"/>
                <w:sz w:val="21"/>
                <w:szCs w:val="21"/>
                <w:highlight w:val="none"/>
              </w:rPr>
              <w:t>#</w:t>
            </w:r>
            <w:r>
              <w:rPr>
                <w:rFonts w:hint="eastAsia" w:ascii="Times New Roman" w:hAnsi="Times New Roman" w:eastAsia="宋体"/>
                <w:color w:val="auto"/>
                <w:kern w:val="0"/>
                <w:sz w:val="21"/>
                <w:szCs w:val="21"/>
                <w:highlight w:val="none"/>
              </w:rPr>
              <w:t>：项目区</w:t>
            </w:r>
          </w:p>
        </w:tc>
        <w:tc>
          <w:tcPr>
            <w:tcW w:w="739" w:type="pct"/>
            <w:vAlign w:val="center"/>
          </w:tcPr>
          <w:p w14:paraId="7BE16116">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标准限值</w:t>
            </w:r>
          </w:p>
          <w:p w14:paraId="65CBF673">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（mg/L）</w:t>
            </w:r>
          </w:p>
        </w:tc>
        <w:tc>
          <w:tcPr>
            <w:tcW w:w="471" w:type="pct"/>
            <w:vAlign w:val="center"/>
          </w:tcPr>
          <w:p w14:paraId="0A51588D">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是否合格</w:t>
            </w:r>
          </w:p>
        </w:tc>
      </w:tr>
      <w:tr w14:paraId="3654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07602F95">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p>
        </w:tc>
        <w:tc>
          <w:tcPr>
            <w:tcW w:w="1034" w:type="pct"/>
            <w:vAlign w:val="center"/>
          </w:tcPr>
          <w:p w14:paraId="4EFFAEE2">
            <w:pPr>
              <w:keepNext w:val="0"/>
              <w:keepLines w:val="0"/>
              <w:pageBreakBefore w:val="0"/>
              <w:widowControl w:val="0"/>
              <w:kinsoku/>
              <w:wordWrap/>
              <w:overflowPunct/>
              <w:topLinePunct w:val="0"/>
              <w:autoSpaceDE/>
              <w:autoSpaceDN/>
              <w:bidi w:val="0"/>
              <w:adjustRightInd/>
              <w:spacing w:beforeAutospacing="0" w:afterAutospacing="0"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pH</w:t>
            </w:r>
          </w:p>
        </w:tc>
        <w:tc>
          <w:tcPr>
            <w:tcW w:w="454" w:type="pct"/>
            <w:vAlign w:val="center"/>
          </w:tcPr>
          <w:p w14:paraId="2FBC801A">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000000"/>
                <w:kern w:val="0"/>
                <w:sz w:val="21"/>
                <w:szCs w:val="21"/>
                <w:highlight w:val="none"/>
              </w:rPr>
              <w:t>无量纲</w:t>
            </w:r>
          </w:p>
        </w:tc>
        <w:tc>
          <w:tcPr>
            <w:tcW w:w="658" w:type="pct"/>
            <w:vAlign w:val="center"/>
          </w:tcPr>
          <w:p w14:paraId="5825F50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shd w:val="clear"/>
                <w:lang w:val="en-US" w:eastAsia="zh-CN"/>
              </w:rPr>
              <w:t>7.6</w:t>
            </w:r>
          </w:p>
        </w:tc>
        <w:tc>
          <w:tcPr>
            <w:tcW w:w="658" w:type="pct"/>
            <w:vAlign w:val="center"/>
          </w:tcPr>
          <w:p w14:paraId="05D73414">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7.8</w:t>
            </w:r>
          </w:p>
        </w:tc>
        <w:tc>
          <w:tcPr>
            <w:tcW w:w="658" w:type="pct"/>
            <w:vAlign w:val="center"/>
          </w:tcPr>
          <w:p w14:paraId="3106D1BB">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7.7</w:t>
            </w:r>
          </w:p>
        </w:tc>
        <w:tc>
          <w:tcPr>
            <w:tcW w:w="739" w:type="pct"/>
            <w:vAlign w:val="center"/>
          </w:tcPr>
          <w:p w14:paraId="09EAC004">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000000"/>
                <w:kern w:val="0"/>
                <w:sz w:val="21"/>
                <w:szCs w:val="21"/>
                <w:highlight w:val="none"/>
                <w:lang w:val="en-US" w:eastAsia="zh-CN"/>
              </w:rPr>
              <w:t>6.5~8.5</w:t>
            </w:r>
          </w:p>
        </w:tc>
        <w:tc>
          <w:tcPr>
            <w:tcW w:w="471" w:type="pct"/>
            <w:vAlign w:val="center"/>
          </w:tcPr>
          <w:p w14:paraId="5A1E7E4D">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64C3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46CAA499">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p>
        </w:tc>
        <w:tc>
          <w:tcPr>
            <w:tcW w:w="1034" w:type="pct"/>
            <w:vAlign w:val="center"/>
          </w:tcPr>
          <w:p w14:paraId="3814A7CC">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4"/>
                <w:highlight w:val="none"/>
                <w:lang w:eastAsia="zh-CN"/>
              </w:rPr>
              <w:t>挥发酚</w:t>
            </w:r>
          </w:p>
        </w:tc>
        <w:tc>
          <w:tcPr>
            <w:tcW w:w="454" w:type="pct"/>
            <w:vAlign w:val="center"/>
          </w:tcPr>
          <w:p w14:paraId="4D84A5D8">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14:paraId="332278A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0.0003</w:t>
            </w:r>
          </w:p>
        </w:tc>
        <w:tc>
          <w:tcPr>
            <w:tcW w:w="658" w:type="pct"/>
            <w:vAlign w:val="center"/>
          </w:tcPr>
          <w:p w14:paraId="0E8C161C">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0.0003</w:t>
            </w:r>
          </w:p>
        </w:tc>
        <w:tc>
          <w:tcPr>
            <w:tcW w:w="658" w:type="pct"/>
            <w:vAlign w:val="center"/>
          </w:tcPr>
          <w:p w14:paraId="3A6B9F79">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0.0003</w:t>
            </w:r>
          </w:p>
        </w:tc>
        <w:tc>
          <w:tcPr>
            <w:tcW w:w="739" w:type="pct"/>
            <w:vAlign w:val="center"/>
          </w:tcPr>
          <w:p w14:paraId="654D3328">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0.002</w:t>
            </w:r>
            <w:r>
              <w:rPr>
                <w:rFonts w:ascii="Times New Roman" w:hAnsi="Times New Roman" w:eastAsia="宋体"/>
                <w:color w:val="000000"/>
                <w:kern w:val="0"/>
                <w:sz w:val="21"/>
                <w:szCs w:val="21"/>
                <w:highlight w:val="none"/>
              </w:rPr>
              <w:t>mg/L</w:t>
            </w:r>
          </w:p>
        </w:tc>
        <w:tc>
          <w:tcPr>
            <w:tcW w:w="471" w:type="pct"/>
            <w:vAlign w:val="center"/>
          </w:tcPr>
          <w:p w14:paraId="6C02C808">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4586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14:paraId="7280D08A">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p>
        </w:tc>
        <w:tc>
          <w:tcPr>
            <w:tcW w:w="1034" w:type="pct"/>
            <w:vAlign w:val="center"/>
          </w:tcPr>
          <w:p w14:paraId="1CA0C039">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镉</w:t>
            </w:r>
          </w:p>
        </w:tc>
        <w:tc>
          <w:tcPr>
            <w:tcW w:w="454" w:type="pct"/>
            <w:vAlign w:val="center"/>
          </w:tcPr>
          <w:p w14:paraId="165E5D31">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lang w:eastAsia="zh-CN"/>
              </w:rPr>
              <w:t>μ</w:t>
            </w:r>
            <w:r>
              <w:rPr>
                <w:rFonts w:ascii="Times New Roman" w:hAnsi="Times New Roman" w:eastAsia="宋体"/>
                <w:color w:val="000000"/>
                <w:kern w:val="0"/>
                <w:sz w:val="21"/>
                <w:szCs w:val="21"/>
              </w:rPr>
              <w:t>g/L</w:t>
            </w:r>
          </w:p>
        </w:tc>
        <w:tc>
          <w:tcPr>
            <w:tcW w:w="658" w:type="pct"/>
            <w:vAlign w:val="center"/>
          </w:tcPr>
          <w:p w14:paraId="524324C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1</w:t>
            </w:r>
          </w:p>
        </w:tc>
        <w:tc>
          <w:tcPr>
            <w:tcW w:w="658" w:type="pct"/>
            <w:vAlign w:val="center"/>
          </w:tcPr>
          <w:p w14:paraId="3651F8F5">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w:t>
            </w:r>
          </w:p>
        </w:tc>
        <w:tc>
          <w:tcPr>
            <w:tcW w:w="658" w:type="pct"/>
            <w:vAlign w:val="center"/>
          </w:tcPr>
          <w:p w14:paraId="1FBD04DE">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w:t>
            </w:r>
          </w:p>
        </w:tc>
        <w:tc>
          <w:tcPr>
            <w:tcW w:w="739" w:type="pct"/>
            <w:vAlign w:val="center"/>
          </w:tcPr>
          <w:p w14:paraId="471A4401">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0.005</w:t>
            </w:r>
            <w:r>
              <w:rPr>
                <w:rFonts w:ascii="Times New Roman" w:hAnsi="Times New Roman" w:eastAsia="宋体"/>
                <w:color w:val="000000"/>
                <w:kern w:val="0"/>
                <w:sz w:val="21"/>
                <w:szCs w:val="21"/>
                <w:highlight w:val="none"/>
              </w:rPr>
              <w:t>mg/L</w:t>
            </w:r>
          </w:p>
        </w:tc>
        <w:tc>
          <w:tcPr>
            <w:tcW w:w="471" w:type="pct"/>
            <w:vAlign w:val="center"/>
          </w:tcPr>
          <w:p w14:paraId="1EB5535B">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74D6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DAEAE4B">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4</w:t>
            </w:r>
          </w:p>
        </w:tc>
        <w:tc>
          <w:tcPr>
            <w:tcW w:w="1034" w:type="pct"/>
            <w:vAlign w:val="center"/>
          </w:tcPr>
          <w:p w14:paraId="689A4E6F">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砷</w:t>
            </w:r>
          </w:p>
        </w:tc>
        <w:tc>
          <w:tcPr>
            <w:tcW w:w="454" w:type="pct"/>
            <w:vAlign w:val="center"/>
          </w:tcPr>
          <w:p w14:paraId="04DC2AE6">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lang w:eastAsia="zh-CN"/>
              </w:rPr>
              <w:t>μ</w:t>
            </w:r>
            <w:r>
              <w:rPr>
                <w:rFonts w:ascii="Times New Roman" w:hAnsi="Times New Roman" w:eastAsia="宋体"/>
                <w:color w:val="000000"/>
                <w:kern w:val="0"/>
                <w:sz w:val="21"/>
                <w:szCs w:val="21"/>
              </w:rPr>
              <w:t>g/L</w:t>
            </w:r>
          </w:p>
        </w:tc>
        <w:tc>
          <w:tcPr>
            <w:tcW w:w="658" w:type="pct"/>
            <w:vAlign w:val="center"/>
          </w:tcPr>
          <w:p w14:paraId="730036A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shd w:val="clear"/>
                <w:lang w:val="en-US" w:eastAsia="zh-CN"/>
              </w:rPr>
              <w:t>0.6</w:t>
            </w:r>
          </w:p>
        </w:tc>
        <w:tc>
          <w:tcPr>
            <w:tcW w:w="658" w:type="pct"/>
            <w:vAlign w:val="center"/>
          </w:tcPr>
          <w:p w14:paraId="79FAF80D">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0.7</w:t>
            </w:r>
          </w:p>
        </w:tc>
        <w:tc>
          <w:tcPr>
            <w:tcW w:w="658" w:type="pct"/>
            <w:vAlign w:val="center"/>
          </w:tcPr>
          <w:p w14:paraId="5050725E">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0.7</w:t>
            </w:r>
          </w:p>
        </w:tc>
        <w:tc>
          <w:tcPr>
            <w:tcW w:w="739" w:type="pct"/>
            <w:vAlign w:val="center"/>
          </w:tcPr>
          <w:p w14:paraId="2C037B9E">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0.01</w:t>
            </w:r>
            <w:r>
              <w:rPr>
                <w:rFonts w:ascii="Times New Roman" w:hAnsi="Times New Roman" w:eastAsia="宋体"/>
                <w:color w:val="000000"/>
                <w:kern w:val="0"/>
                <w:sz w:val="21"/>
                <w:szCs w:val="21"/>
                <w:highlight w:val="none"/>
              </w:rPr>
              <w:t>mg/L</w:t>
            </w:r>
          </w:p>
        </w:tc>
        <w:tc>
          <w:tcPr>
            <w:tcW w:w="471" w:type="pct"/>
            <w:vAlign w:val="center"/>
          </w:tcPr>
          <w:p w14:paraId="6B6AB713">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7080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B8BF802">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5</w:t>
            </w:r>
          </w:p>
        </w:tc>
        <w:tc>
          <w:tcPr>
            <w:tcW w:w="1034" w:type="pct"/>
            <w:vAlign w:val="center"/>
          </w:tcPr>
          <w:p w14:paraId="3503D6D5">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汞</w:t>
            </w:r>
          </w:p>
        </w:tc>
        <w:tc>
          <w:tcPr>
            <w:tcW w:w="454" w:type="pct"/>
            <w:vAlign w:val="center"/>
          </w:tcPr>
          <w:p w14:paraId="2DABCB04">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lang w:eastAsia="zh-CN"/>
              </w:rPr>
              <w:t>μ</w:t>
            </w:r>
            <w:r>
              <w:rPr>
                <w:rFonts w:ascii="Times New Roman" w:hAnsi="Times New Roman" w:eastAsia="宋体"/>
                <w:color w:val="000000"/>
                <w:kern w:val="0"/>
                <w:sz w:val="21"/>
                <w:szCs w:val="21"/>
              </w:rPr>
              <w:t>g/L</w:t>
            </w:r>
          </w:p>
        </w:tc>
        <w:tc>
          <w:tcPr>
            <w:tcW w:w="658" w:type="pct"/>
            <w:vAlign w:val="center"/>
          </w:tcPr>
          <w:p w14:paraId="5E2F220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0.04</w:t>
            </w:r>
          </w:p>
        </w:tc>
        <w:tc>
          <w:tcPr>
            <w:tcW w:w="658" w:type="pct"/>
            <w:vAlign w:val="center"/>
          </w:tcPr>
          <w:p w14:paraId="128FDD5C">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0.7</w:t>
            </w:r>
          </w:p>
        </w:tc>
        <w:tc>
          <w:tcPr>
            <w:tcW w:w="658" w:type="pct"/>
            <w:vAlign w:val="center"/>
          </w:tcPr>
          <w:p w14:paraId="7A42B91E">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0.7</w:t>
            </w:r>
          </w:p>
        </w:tc>
        <w:tc>
          <w:tcPr>
            <w:tcW w:w="739" w:type="pct"/>
            <w:vAlign w:val="center"/>
          </w:tcPr>
          <w:p w14:paraId="191E5CF6">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0.001</w:t>
            </w:r>
            <w:r>
              <w:rPr>
                <w:rFonts w:ascii="Times New Roman" w:hAnsi="Times New Roman" w:eastAsia="宋体"/>
                <w:color w:val="000000"/>
                <w:kern w:val="0"/>
                <w:sz w:val="21"/>
                <w:szCs w:val="21"/>
                <w:highlight w:val="none"/>
              </w:rPr>
              <w:t>mg/L</w:t>
            </w:r>
          </w:p>
        </w:tc>
        <w:tc>
          <w:tcPr>
            <w:tcW w:w="471" w:type="pct"/>
            <w:vAlign w:val="center"/>
          </w:tcPr>
          <w:p w14:paraId="42022217">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3353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66F0A668">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6</w:t>
            </w:r>
          </w:p>
        </w:tc>
        <w:tc>
          <w:tcPr>
            <w:tcW w:w="1034" w:type="pct"/>
            <w:vAlign w:val="center"/>
          </w:tcPr>
          <w:p w14:paraId="7F8A03D7">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铅</w:t>
            </w:r>
          </w:p>
        </w:tc>
        <w:tc>
          <w:tcPr>
            <w:tcW w:w="454" w:type="pct"/>
            <w:vAlign w:val="center"/>
          </w:tcPr>
          <w:p w14:paraId="6F45E869">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lang w:eastAsia="zh-CN"/>
              </w:rPr>
              <w:t>μ</w:t>
            </w:r>
            <w:r>
              <w:rPr>
                <w:rFonts w:ascii="Times New Roman" w:hAnsi="Times New Roman" w:eastAsia="宋体"/>
                <w:color w:val="000000"/>
                <w:kern w:val="0"/>
                <w:sz w:val="21"/>
                <w:szCs w:val="21"/>
              </w:rPr>
              <w:t>g/L</w:t>
            </w:r>
          </w:p>
        </w:tc>
        <w:tc>
          <w:tcPr>
            <w:tcW w:w="658" w:type="pct"/>
            <w:vAlign w:val="center"/>
          </w:tcPr>
          <w:p w14:paraId="00DC8B0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10</w:t>
            </w:r>
          </w:p>
        </w:tc>
        <w:tc>
          <w:tcPr>
            <w:tcW w:w="658" w:type="pct"/>
            <w:vAlign w:val="center"/>
          </w:tcPr>
          <w:p w14:paraId="2462D535">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10</w:t>
            </w:r>
          </w:p>
        </w:tc>
        <w:tc>
          <w:tcPr>
            <w:tcW w:w="658" w:type="pct"/>
            <w:vAlign w:val="center"/>
          </w:tcPr>
          <w:p w14:paraId="78DDE978">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10</w:t>
            </w:r>
          </w:p>
        </w:tc>
        <w:tc>
          <w:tcPr>
            <w:tcW w:w="739" w:type="pct"/>
            <w:vAlign w:val="center"/>
          </w:tcPr>
          <w:p w14:paraId="76D107FD">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0.01</w:t>
            </w:r>
            <w:r>
              <w:rPr>
                <w:rFonts w:ascii="Times New Roman" w:hAnsi="Times New Roman" w:eastAsia="宋体"/>
                <w:color w:val="000000"/>
                <w:kern w:val="0"/>
                <w:sz w:val="21"/>
                <w:szCs w:val="21"/>
                <w:highlight w:val="none"/>
              </w:rPr>
              <w:t>mg/L</w:t>
            </w:r>
          </w:p>
        </w:tc>
        <w:tc>
          <w:tcPr>
            <w:tcW w:w="471" w:type="pct"/>
            <w:vAlign w:val="center"/>
          </w:tcPr>
          <w:p w14:paraId="1C834AB7">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2F72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651DC810">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7</w:t>
            </w:r>
          </w:p>
        </w:tc>
        <w:tc>
          <w:tcPr>
            <w:tcW w:w="1034" w:type="pct"/>
            <w:vAlign w:val="center"/>
          </w:tcPr>
          <w:p w14:paraId="219A62CF">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氨氮</w:t>
            </w:r>
          </w:p>
        </w:tc>
        <w:tc>
          <w:tcPr>
            <w:tcW w:w="454" w:type="pct"/>
            <w:vAlign w:val="center"/>
          </w:tcPr>
          <w:p w14:paraId="3F27AED2">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14:paraId="3D4D8DC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0.047</w:t>
            </w:r>
          </w:p>
        </w:tc>
        <w:tc>
          <w:tcPr>
            <w:tcW w:w="658" w:type="pct"/>
            <w:vAlign w:val="center"/>
          </w:tcPr>
          <w:p w14:paraId="49459946">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0.071</w:t>
            </w:r>
          </w:p>
        </w:tc>
        <w:tc>
          <w:tcPr>
            <w:tcW w:w="658" w:type="pct"/>
            <w:vAlign w:val="center"/>
          </w:tcPr>
          <w:p w14:paraId="139F9FF7">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0.047</w:t>
            </w:r>
          </w:p>
        </w:tc>
        <w:tc>
          <w:tcPr>
            <w:tcW w:w="739" w:type="pct"/>
            <w:vAlign w:val="center"/>
          </w:tcPr>
          <w:p w14:paraId="0FA603EA">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0.50</w:t>
            </w:r>
            <w:r>
              <w:rPr>
                <w:rFonts w:ascii="Times New Roman" w:hAnsi="Times New Roman" w:eastAsia="宋体"/>
                <w:color w:val="000000"/>
                <w:kern w:val="0"/>
                <w:sz w:val="21"/>
                <w:szCs w:val="21"/>
                <w:highlight w:val="none"/>
              </w:rPr>
              <w:t>mg/L</w:t>
            </w:r>
          </w:p>
        </w:tc>
        <w:tc>
          <w:tcPr>
            <w:tcW w:w="471" w:type="pct"/>
            <w:vAlign w:val="center"/>
          </w:tcPr>
          <w:p w14:paraId="1852414E">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1C55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79A5E2B2">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8</w:t>
            </w:r>
          </w:p>
        </w:tc>
        <w:tc>
          <w:tcPr>
            <w:tcW w:w="1034" w:type="pct"/>
            <w:vAlign w:val="center"/>
          </w:tcPr>
          <w:p w14:paraId="08AB484B">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总硬度</w:t>
            </w:r>
          </w:p>
        </w:tc>
        <w:tc>
          <w:tcPr>
            <w:tcW w:w="454" w:type="pct"/>
            <w:vAlign w:val="center"/>
          </w:tcPr>
          <w:p w14:paraId="38F2FB9E">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14:paraId="4787818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184</w:t>
            </w:r>
          </w:p>
        </w:tc>
        <w:tc>
          <w:tcPr>
            <w:tcW w:w="658" w:type="pct"/>
            <w:vAlign w:val="center"/>
          </w:tcPr>
          <w:p w14:paraId="5D5E2369">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172</w:t>
            </w:r>
          </w:p>
        </w:tc>
        <w:tc>
          <w:tcPr>
            <w:tcW w:w="658" w:type="pct"/>
            <w:vAlign w:val="center"/>
          </w:tcPr>
          <w:p w14:paraId="13FA5C64">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164</w:t>
            </w:r>
          </w:p>
        </w:tc>
        <w:tc>
          <w:tcPr>
            <w:tcW w:w="739" w:type="pct"/>
            <w:vAlign w:val="center"/>
          </w:tcPr>
          <w:p w14:paraId="6CAA74EE">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450</w:t>
            </w:r>
            <w:r>
              <w:rPr>
                <w:rFonts w:ascii="Times New Roman" w:hAnsi="Times New Roman" w:eastAsia="宋体"/>
                <w:color w:val="000000"/>
                <w:kern w:val="0"/>
                <w:sz w:val="21"/>
                <w:szCs w:val="21"/>
                <w:highlight w:val="none"/>
              </w:rPr>
              <w:t>mg/L</w:t>
            </w:r>
          </w:p>
        </w:tc>
        <w:tc>
          <w:tcPr>
            <w:tcW w:w="471" w:type="pct"/>
            <w:vAlign w:val="center"/>
          </w:tcPr>
          <w:p w14:paraId="3FE40E52">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6E8E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7ED5B1EF">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9</w:t>
            </w:r>
          </w:p>
        </w:tc>
        <w:tc>
          <w:tcPr>
            <w:tcW w:w="1034" w:type="pct"/>
            <w:vAlign w:val="center"/>
          </w:tcPr>
          <w:p w14:paraId="6F8AB099">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硝酸盐氮</w:t>
            </w:r>
          </w:p>
        </w:tc>
        <w:tc>
          <w:tcPr>
            <w:tcW w:w="454" w:type="pct"/>
            <w:vAlign w:val="center"/>
          </w:tcPr>
          <w:p w14:paraId="16F9051F">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14:paraId="6094E2DA">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2.74</w:t>
            </w:r>
          </w:p>
        </w:tc>
        <w:tc>
          <w:tcPr>
            <w:tcW w:w="658" w:type="pct"/>
            <w:vAlign w:val="center"/>
          </w:tcPr>
          <w:p w14:paraId="32785AF4">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0.39</w:t>
            </w:r>
          </w:p>
        </w:tc>
        <w:tc>
          <w:tcPr>
            <w:tcW w:w="658" w:type="pct"/>
            <w:vAlign w:val="center"/>
          </w:tcPr>
          <w:p w14:paraId="49F4D763">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0.49</w:t>
            </w:r>
          </w:p>
        </w:tc>
        <w:tc>
          <w:tcPr>
            <w:tcW w:w="739" w:type="pct"/>
            <w:vAlign w:val="center"/>
          </w:tcPr>
          <w:p w14:paraId="194815BD">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20</w:t>
            </w:r>
            <w:r>
              <w:rPr>
                <w:rFonts w:ascii="Times New Roman" w:hAnsi="Times New Roman" w:eastAsia="宋体"/>
                <w:color w:val="000000"/>
                <w:kern w:val="0"/>
                <w:sz w:val="21"/>
                <w:szCs w:val="21"/>
                <w:highlight w:val="none"/>
              </w:rPr>
              <w:t>mg/L</w:t>
            </w:r>
          </w:p>
        </w:tc>
        <w:tc>
          <w:tcPr>
            <w:tcW w:w="471" w:type="pct"/>
            <w:vAlign w:val="center"/>
          </w:tcPr>
          <w:p w14:paraId="51CF6408">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7495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220F5E90">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10</w:t>
            </w:r>
          </w:p>
        </w:tc>
        <w:tc>
          <w:tcPr>
            <w:tcW w:w="1034" w:type="pct"/>
            <w:vAlign w:val="center"/>
          </w:tcPr>
          <w:p w14:paraId="10F80A83">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亚硝酸盐氮</w:t>
            </w:r>
          </w:p>
        </w:tc>
        <w:tc>
          <w:tcPr>
            <w:tcW w:w="454" w:type="pct"/>
            <w:vAlign w:val="center"/>
          </w:tcPr>
          <w:p w14:paraId="07D175A7">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14:paraId="2DDAE3BC">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0.003</w:t>
            </w:r>
          </w:p>
        </w:tc>
        <w:tc>
          <w:tcPr>
            <w:tcW w:w="658" w:type="pct"/>
            <w:vAlign w:val="center"/>
          </w:tcPr>
          <w:p w14:paraId="2C2FDFB2">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color w:val="auto"/>
                <w:sz w:val="21"/>
                <w:szCs w:val="21"/>
                <w:highlight w:val="none"/>
                <w:lang w:val="en-US" w:eastAsia="zh-CN"/>
              </w:rPr>
              <w:t>0.003</w:t>
            </w:r>
          </w:p>
        </w:tc>
        <w:tc>
          <w:tcPr>
            <w:tcW w:w="658" w:type="pct"/>
            <w:vAlign w:val="center"/>
          </w:tcPr>
          <w:p w14:paraId="2A83DD5F">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color w:val="auto"/>
                <w:sz w:val="21"/>
                <w:szCs w:val="21"/>
                <w:highlight w:val="none"/>
                <w:lang w:val="en-US" w:eastAsia="zh-CN"/>
              </w:rPr>
              <w:t>0.003</w:t>
            </w:r>
          </w:p>
        </w:tc>
        <w:tc>
          <w:tcPr>
            <w:tcW w:w="739" w:type="pct"/>
            <w:vAlign w:val="center"/>
          </w:tcPr>
          <w:p w14:paraId="5B365394">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1.00</w:t>
            </w:r>
            <w:r>
              <w:rPr>
                <w:rFonts w:ascii="Times New Roman" w:hAnsi="Times New Roman" w:eastAsia="宋体"/>
                <w:color w:val="000000"/>
                <w:kern w:val="0"/>
                <w:sz w:val="21"/>
                <w:szCs w:val="21"/>
                <w:highlight w:val="none"/>
              </w:rPr>
              <w:t>mg/L</w:t>
            </w:r>
          </w:p>
        </w:tc>
        <w:tc>
          <w:tcPr>
            <w:tcW w:w="471" w:type="pct"/>
            <w:vAlign w:val="center"/>
          </w:tcPr>
          <w:p w14:paraId="5C357732">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37DA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14:paraId="2D57D16C">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11</w:t>
            </w:r>
          </w:p>
        </w:tc>
        <w:tc>
          <w:tcPr>
            <w:tcW w:w="1034" w:type="pct"/>
            <w:vAlign w:val="center"/>
          </w:tcPr>
          <w:p w14:paraId="7E222B3D">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氰化物</w:t>
            </w:r>
          </w:p>
        </w:tc>
        <w:tc>
          <w:tcPr>
            <w:tcW w:w="454" w:type="pct"/>
            <w:vAlign w:val="center"/>
          </w:tcPr>
          <w:p w14:paraId="6E20BA07">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14:paraId="334423DB">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0.003</w:t>
            </w:r>
          </w:p>
        </w:tc>
        <w:tc>
          <w:tcPr>
            <w:tcW w:w="658" w:type="pct"/>
            <w:vAlign w:val="center"/>
          </w:tcPr>
          <w:p w14:paraId="168D6DCD">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0.003</w:t>
            </w:r>
          </w:p>
        </w:tc>
        <w:tc>
          <w:tcPr>
            <w:tcW w:w="658" w:type="pct"/>
            <w:vAlign w:val="center"/>
          </w:tcPr>
          <w:p w14:paraId="0FCE4E25">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0.004</w:t>
            </w:r>
          </w:p>
        </w:tc>
        <w:tc>
          <w:tcPr>
            <w:tcW w:w="739" w:type="pct"/>
            <w:vAlign w:val="center"/>
          </w:tcPr>
          <w:p w14:paraId="4DEC1316">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0.05</w:t>
            </w:r>
            <w:r>
              <w:rPr>
                <w:rFonts w:ascii="Times New Roman" w:hAnsi="Times New Roman" w:eastAsia="宋体"/>
                <w:color w:val="000000"/>
                <w:kern w:val="0"/>
                <w:sz w:val="21"/>
                <w:szCs w:val="21"/>
                <w:highlight w:val="none"/>
              </w:rPr>
              <w:t>mg/L</w:t>
            </w:r>
          </w:p>
        </w:tc>
        <w:tc>
          <w:tcPr>
            <w:tcW w:w="471" w:type="pct"/>
            <w:vAlign w:val="center"/>
          </w:tcPr>
          <w:p w14:paraId="39790C9F">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27A6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14:paraId="5F3F2D37">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12</w:t>
            </w:r>
          </w:p>
        </w:tc>
        <w:tc>
          <w:tcPr>
            <w:tcW w:w="1034" w:type="pct"/>
            <w:vAlign w:val="center"/>
          </w:tcPr>
          <w:p w14:paraId="46A0410E">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氟化物</w:t>
            </w:r>
          </w:p>
        </w:tc>
        <w:tc>
          <w:tcPr>
            <w:tcW w:w="454" w:type="pct"/>
            <w:vAlign w:val="center"/>
          </w:tcPr>
          <w:p w14:paraId="603B6B83">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14:paraId="689327B0">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0.22</w:t>
            </w:r>
          </w:p>
        </w:tc>
        <w:tc>
          <w:tcPr>
            <w:tcW w:w="658" w:type="pct"/>
            <w:vAlign w:val="center"/>
          </w:tcPr>
          <w:p w14:paraId="0B3FD69B">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0.24</w:t>
            </w:r>
          </w:p>
        </w:tc>
        <w:tc>
          <w:tcPr>
            <w:tcW w:w="658" w:type="pct"/>
            <w:vAlign w:val="center"/>
          </w:tcPr>
          <w:p w14:paraId="615CB7AD">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0.22</w:t>
            </w:r>
          </w:p>
        </w:tc>
        <w:tc>
          <w:tcPr>
            <w:tcW w:w="739" w:type="pct"/>
            <w:vAlign w:val="center"/>
          </w:tcPr>
          <w:p w14:paraId="56E9E20E">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1.0</w:t>
            </w:r>
            <w:r>
              <w:rPr>
                <w:rFonts w:ascii="Times New Roman" w:hAnsi="Times New Roman" w:eastAsia="宋体"/>
                <w:color w:val="000000"/>
                <w:kern w:val="0"/>
                <w:sz w:val="21"/>
                <w:szCs w:val="21"/>
                <w:highlight w:val="none"/>
              </w:rPr>
              <w:t>mg/L</w:t>
            </w:r>
          </w:p>
        </w:tc>
        <w:tc>
          <w:tcPr>
            <w:tcW w:w="471" w:type="pct"/>
            <w:vAlign w:val="center"/>
          </w:tcPr>
          <w:p w14:paraId="1C977235">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6E1C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14:paraId="265EA1FE">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13</w:t>
            </w:r>
          </w:p>
        </w:tc>
        <w:tc>
          <w:tcPr>
            <w:tcW w:w="1034" w:type="pct"/>
            <w:vAlign w:val="center"/>
          </w:tcPr>
          <w:p w14:paraId="2E0719FA">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溶解性总固体</w:t>
            </w:r>
          </w:p>
        </w:tc>
        <w:tc>
          <w:tcPr>
            <w:tcW w:w="454" w:type="pct"/>
            <w:vAlign w:val="center"/>
          </w:tcPr>
          <w:p w14:paraId="437E2DDC">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14:paraId="5122D5A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432</w:t>
            </w:r>
          </w:p>
        </w:tc>
        <w:tc>
          <w:tcPr>
            <w:tcW w:w="658" w:type="pct"/>
            <w:vAlign w:val="center"/>
          </w:tcPr>
          <w:p w14:paraId="47674012">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272</w:t>
            </w:r>
          </w:p>
        </w:tc>
        <w:tc>
          <w:tcPr>
            <w:tcW w:w="658" w:type="pct"/>
            <w:vAlign w:val="center"/>
          </w:tcPr>
          <w:p w14:paraId="55546398">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275</w:t>
            </w:r>
          </w:p>
        </w:tc>
        <w:tc>
          <w:tcPr>
            <w:tcW w:w="739" w:type="pct"/>
            <w:vAlign w:val="center"/>
          </w:tcPr>
          <w:p w14:paraId="024A67B0">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1000</w:t>
            </w:r>
            <w:r>
              <w:rPr>
                <w:rFonts w:ascii="Times New Roman" w:hAnsi="Times New Roman" w:eastAsia="宋体"/>
                <w:color w:val="000000"/>
                <w:kern w:val="0"/>
                <w:sz w:val="21"/>
                <w:szCs w:val="21"/>
                <w:highlight w:val="none"/>
              </w:rPr>
              <w:t>mg/L</w:t>
            </w:r>
          </w:p>
        </w:tc>
        <w:tc>
          <w:tcPr>
            <w:tcW w:w="471" w:type="pct"/>
            <w:vAlign w:val="center"/>
          </w:tcPr>
          <w:p w14:paraId="4F25B9E6">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1C91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14:paraId="22EEF1A8">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14</w:t>
            </w:r>
          </w:p>
        </w:tc>
        <w:tc>
          <w:tcPr>
            <w:tcW w:w="1034" w:type="pct"/>
            <w:vAlign w:val="center"/>
          </w:tcPr>
          <w:p w14:paraId="0327B705">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铜</w:t>
            </w:r>
          </w:p>
        </w:tc>
        <w:tc>
          <w:tcPr>
            <w:tcW w:w="454" w:type="pct"/>
            <w:vAlign w:val="center"/>
          </w:tcPr>
          <w:p w14:paraId="1336F8C4">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lang w:eastAsia="zh-CN"/>
              </w:rPr>
              <w:t>μ</w:t>
            </w:r>
            <w:r>
              <w:rPr>
                <w:rFonts w:ascii="Times New Roman" w:hAnsi="Times New Roman" w:eastAsia="宋体"/>
                <w:color w:val="000000"/>
                <w:kern w:val="0"/>
                <w:sz w:val="21"/>
                <w:szCs w:val="21"/>
              </w:rPr>
              <w:t>g/L</w:t>
            </w:r>
          </w:p>
        </w:tc>
        <w:tc>
          <w:tcPr>
            <w:tcW w:w="658" w:type="pct"/>
            <w:vAlign w:val="center"/>
          </w:tcPr>
          <w:p w14:paraId="5DAB6949">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1</w:t>
            </w:r>
          </w:p>
        </w:tc>
        <w:tc>
          <w:tcPr>
            <w:tcW w:w="658" w:type="pct"/>
            <w:vAlign w:val="center"/>
          </w:tcPr>
          <w:p w14:paraId="40D213CB">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w:t>
            </w:r>
          </w:p>
        </w:tc>
        <w:tc>
          <w:tcPr>
            <w:tcW w:w="658" w:type="pct"/>
            <w:vAlign w:val="center"/>
          </w:tcPr>
          <w:p w14:paraId="7EF233CB">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w:t>
            </w:r>
          </w:p>
        </w:tc>
        <w:tc>
          <w:tcPr>
            <w:tcW w:w="739" w:type="pct"/>
            <w:vAlign w:val="center"/>
          </w:tcPr>
          <w:p w14:paraId="4405CE62">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1.00</w:t>
            </w:r>
            <w:r>
              <w:rPr>
                <w:rFonts w:ascii="Times New Roman" w:hAnsi="Times New Roman" w:eastAsia="宋体"/>
                <w:color w:val="000000"/>
                <w:kern w:val="0"/>
                <w:sz w:val="21"/>
                <w:szCs w:val="21"/>
                <w:highlight w:val="none"/>
              </w:rPr>
              <w:t>mg/L</w:t>
            </w:r>
          </w:p>
        </w:tc>
        <w:tc>
          <w:tcPr>
            <w:tcW w:w="471" w:type="pct"/>
            <w:vAlign w:val="center"/>
          </w:tcPr>
          <w:p w14:paraId="20F508CA">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56705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14:paraId="3283018A">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15</w:t>
            </w:r>
          </w:p>
        </w:tc>
        <w:tc>
          <w:tcPr>
            <w:tcW w:w="1034" w:type="pct"/>
            <w:vAlign w:val="center"/>
          </w:tcPr>
          <w:p w14:paraId="11BC6217">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铁</w:t>
            </w:r>
          </w:p>
        </w:tc>
        <w:tc>
          <w:tcPr>
            <w:tcW w:w="454" w:type="pct"/>
            <w:vAlign w:val="center"/>
          </w:tcPr>
          <w:p w14:paraId="3A2B42A7">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14:paraId="1B5C0D3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0.03</w:t>
            </w:r>
          </w:p>
        </w:tc>
        <w:tc>
          <w:tcPr>
            <w:tcW w:w="658" w:type="pct"/>
            <w:vAlign w:val="center"/>
          </w:tcPr>
          <w:p w14:paraId="726CE1C5">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0.03</w:t>
            </w:r>
          </w:p>
        </w:tc>
        <w:tc>
          <w:tcPr>
            <w:tcW w:w="658" w:type="pct"/>
            <w:vAlign w:val="center"/>
          </w:tcPr>
          <w:p w14:paraId="41181506">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0.03</w:t>
            </w:r>
          </w:p>
        </w:tc>
        <w:tc>
          <w:tcPr>
            <w:tcW w:w="739" w:type="pct"/>
            <w:vAlign w:val="center"/>
          </w:tcPr>
          <w:p w14:paraId="5ABBC5A2">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0.3</w:t>
            </w:r>
            <w:r>
              <w:rPr>
                <w:rFonts w:ascii="Times New Roman" w:hAnsi="Times New Roman" w:eastAsia="宋体"/>
                <w:color w:val="000000"/>
                <w:kern w:val="0"/>
                <w:sz w:val="21"/>
                <w:szCs w:val="21"/>
                <w:highlight w:val="none"/>
              </w:rPr>
              <w:t>mg/L</w:t>
            </w:r>
          </w:p>
        </w:tc>
        <w:tc>
          <w:tcPr>
            <w:tcW w:w="471" w:type="pct"/>
            <w:vAlign w:val="center"/>
          </w:tcPr>
          <w:p w14:paraId="10B57642">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4FB1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14:paraId="7E29C88B">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16</w:t>
            </w:r>
          </w:p>
        </w:tc>
        <w:tc>
          <w:tcPr>
            <w:tcW w:w="1034" w:type="pct"/>
            <w:vAlign w:val="center"/>
          </w:tcPr>
          <w:p w14:paraId="7D0B8ED0">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六价铬</w:t>
            </w:r>
          </w:p>
        </w:tc>
        <w:tc>
          <w:tcPr>
            <w:tcW w:w="454" w:type="pct"/>
            <w:vAlign w:val="center"/>
          </w:tcPr>
          <w:p w14:paraId="597BC182">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14:paraId="106A3305">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0.004</w:t>
            </w:r>
          </w:p>
        </w:tc>
        <w:tc>
          <w:tcPr>
            <w:tcW w:w="658" w:type="pct"/>
            <w:vAlign w:val="center"/>
          </w:tcPr>
          <w:p w14:paraId="5A0BFF18">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0.004</w:t>
            </w:r>
          </w:p>
        </w:tc>
        <w:tc>
          <w:tcPr>
            <w:tcW w:w="658" w:type="pct"/>
            <w:vAlign w:val="center"/>
          </w:tcPr>
          <w:p w14:paraId="2D481A7C">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0.004</w:t>
            </w:r>
          </w:p>
        </w:tc>
        <w:tc>
          <w:tcPr>
            <w:tcW w:w="739" w:type="pct"/>
            <w:vAlign w:val="center"/>
          </w:tcPr>
          <w:p w14:paraId="0DCE023D">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0.50</w:t>
            </w:r>
            <w:r>
              <w:rPr>
                <w:rFonts w:ascii="Times New Roman" w:hAnsi="Times New Roman" w:eastAsia="宋体"/>
                <w:color w:val="000000"/>
                <w:kern w:val="0"/>
                <w:sz w:val="21"/>
                <w:szCs w:val="21"/>
                <w:highlight w:val="none"/>
              </w:rPr>
              <w:t>mg/L</w:t>
            </w:r>
          </w:p>
        </w:tc>
        <w:tc>
          <w:tcPr>
            <w:tcW w:w="471" w:type="pct"/>
            <w:vAlign w:val="center"/>
          </w:tcPr>
          <w:p w14:paraId="5BACF525">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47B6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14:paraId="6A3E1EA7">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17</w:t>
            </w:r>
          </w:p>
        </w:tc>
        <w:tc>
          <w:tcPr>
            <w:tcW w:w="1034" w:type="pct"/>
            <w:vAlign w:val="center"/>
          </w:tcPr>
          <w:p w14:paraId="3F695124">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000000"/>
                <w:kern w:val="0"/>
                <w:sz w:val="21"/>
                <w:szCs w:val="24"/>
                <w:lang w:eastAsia="zh-CN"/>
              </w:rPr>
              <w:t>锌</w:t>
            </w:r>
          </w:p>
        </w:tc>
        <w:tc>
          <w:tcPr>
            <w:tcW w:w="454" w:type="pct"/>
            <w:vAlign w:val="center"/>
          </w:tcPr>
          <w:p w14:paraId="3F283748">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mg/L</w:t>
            </w:r>
          </w:p>
        </w:tc>
        <w:tc>
          <w:tcPr>
            <w:tcW w:w="658" w:type="pct"/>
            <w:vAlign w:val="center"/>
          </w:tcPr>
          <w:p w14:paraId="643A0B4F">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shd w:val="clear"/>
                <w:lang w:val="en-US" w:eastAsia="zh-CN" w:bidi="ar"/>
              </w:rPr>
              <w:t>&lt;</w:t>
            </w:r>
            <w:r>
              <w:rPr>
                <w:rFonts w:hint="eastAsia" w:ascii="Times New Roman" w:hAnsi="Times New Roman" w:eastAsia="宋体" w:cs="Times New Roman"/>
                <w:i w:val="0"/>
                <w:color w:val="auto"/>
                <w:kern w:val="0"/>
                <w:sz w:val="21"/>
                <w:szCs w:val="21"/>
                <w:highlight w:val="none"/>
                <w:u w:val="none"/>
                <w:shd w:val="clear"/>
                <w:lang w:val="en-US" w:eastAsia="zh-CN" w:bidi="ar"/>
              </w:rPr>
              <w:t>0.05</w:t>
            </w:r>
          </w:p>
        </w:tc>
        <w:tc>
          <w:tcPr>
            <w:tcW w:w="658" w:type="pct"/>
            <w:vAlign w:val="center"/>
          </w:tcPr>
          <w:p w14:paraId="6FF68AA5">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658" w:type="pct"/>
            <w:vAlign w:val="center"/>
          </w:tcPr>
          <w:p w14:paraId="6E4BCC86">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0.05</w:t>
            </w:r>
          </w:p>
        </w:tc>
        <w:tc>
          <w:tcPr>
            <w:tcW w:w="739" w:type="pct"/>
            <w:vAlign w:val="center"/>
          </w:tcPr>
          <w:p w14:paraId="3338656F">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1.00</w:t>
            </w:r>
            <w:r>
              <w:rPr>
                <w:rFonts w:ascii="Times New Roman" w:hAnsi="Times New Roman" w:eastAsia="宋体"/>
                <w:color w:val="000000"/>
                <w:kern w:val="0"/>
                <w:sz w:val="21"/>
                <w:szCs w:val="21"/>
                <w:highlight w:val="none"/>
              </w:rPr>
              <w:t>mg/L</w:t>
            </w:r>
          </w:p>
        </w:tc>
        <w:tc>
          <w:tcPr>
            <w:tcW w:w="471" w:type="pct"/>
            <w:vAlign w:val="center"/>
          </w:tcPr>
          <w:p w14:paraId="21544489">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6EF3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14:paraId="5AEF22EC">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18</w:t>
            </w:r>
          </w:p>
        </w:tc>
        <w:tc>
          <w:tcPr>
            <w:tcW w:w="1034" w:type="pct"/>
            <w:vAlign w:val="center"/>
          </w:tcPr>
          <w:p w14:paraId="744DE0F7">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eastAsia="zh-CN"/>
              </w:rPr>
            </w:pPr>
            <w:r>
              <w:rPr>
                <w:rFonts w:hint="eastAsia" w:ascii="Times New Roman" w:hAnsi="Times New Roman" w:eastAsia="宋体" w:cs="Times New Roman"/>
                <w:bCs/>
                <w:color w:val="000000"/>
                <w:kern w:val="0"/>
                <w:sz w:val="21"/>
                <w:szCs w:val="24"/>
                <w:lang w:eastAsia="zh-CN"/>
              </w:rPr>
              <w:t>耗氧量（高锰酸钾指数）</w:t>
            </w:r>
          </w:p>
        </w:tc>
        <w:tc>
          <w:tcPr>
            <w:tcW w:w="454" w:type="pct"/>
            <w:vAlign w:val="center"/>
          </w:tcPr>
          <w:p w14:paraId="4E75937E">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eastAsia="zh-CN"/>
              </w:rPr>
            </w:pPr>
            <w:r>
              <w:rPr>
                <w:rFonts w:ascii="Times New Roman" w:hAnsi="Times New Roman" w:eastAsia="宋体"/>
                <w:color w:val="auto"/>
                <w:kern w:val="0"/>
                <w:sz w:val="21"/>
                <w:szCs w:val="21"/>
                <w:highlight w:val="none"/>
              </w:rPr>
              <w:t>mg/L</w:t>
            </w:r>
          </w:p>
        </w:tc>
        <w:tc>
          <w:tcPr>
            <w:tcW w:w="658" w:type="pct"/>
            <w:vAlign w:val="center"/>
          </w:tcPr>
          <w:p w14:paraId="3ECF8801">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shd w:val="clear"/>
                <w:lang w:val="en-US" w:eastAsia="zh-CN" w:bidi="ar"/>
              </w:rPr>
              <w:t>2.0</w:t>
            </w:r>
          </w:p>
        </w:tc>
        <w:tc>
          <w:tcPr>
            <w:tcW w:w="658" w:type="pct"/>
            <w:vAlign w:val="center"/>
          </w:tcPr>
          <w:p w14:paraId="79980229">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1.9</w:t>
            </w:r>
          </w:p>
        </w:tc>
        <w:tc>
          <w:tcPr>
            <w:tcW w:w="658" w:type="pct"/>
            <w:vAlign w:val="center"/>
          </w:tcPr>
          <w:p w14:paraId="25D0982F">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1.9</w:t>
            </w:r>
          </w:p>
        </w:tc>
        <w:tc>
          <w:tcPr>
            <w:tcW w:w="739" w:type="pct"/>
            <w:vAlign w:val="center"/>
          </w:tcPr>
          <w:p w14:paraId="4BE18475">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3.0</w:t>
            </w:r>
            <w:r>
              <w:rPr>
                <w:rFonts w:ascii="Times New Roman" w:hAnsi="Times New Roman" w:eastAsia="宋体"/>
                <w:color w:val="000000"/>
                <w:kern w:val="0"/>
                <w:sz w:val="21"/>
                <w:szCs w:val="21"/>
                <w:highlight w:val="none"/>
              </w:rPr>
              <w:t>mg/L</w:t>
            </w:r>
          </w:p>
        </w:tc>
        <w:tc>
          <w:tcPr>
            <w:tcW w:w="471" w:type="pct"/>
            <w:vAlign w:val="center"/>
          </w:tcPr>
          <w:p w14:paraId="020819D8">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0988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14:paraId="77F796D0">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19</w:t>
            </w:r>
          </w:p>
        </w:tc>
        <w:tc>
          <w:tcPr>
            <w:tcW w:w="1034" w:type="pct"/>
            <w:vAlign w:val="center"/>
          </w:tcPr>
          <w:p w14:paraId="1592795D">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eastAsia="zh-CN"/>
              </w:rPr>
            </w:pPr>
            <w:r>
              <w:rPr>
                <w:rFonts w:hint="eastAsia" w:ascii="Times New Roman" w:hAnsi="Times New Roman" w:eastAsia="宋体" w:cs="Times New Roman"/>
                <w:bCs/>
                <w:color w:val="000000"/>
                <w:kern w:val="0"/>
                <w:sz w:val="21"/>
                <w:szCs w:val="24"/>
                <w:lang w:eastAsia="zh-CN"/>
              </w:rPr>
              <w:t>氯化物</w:t>
            </w:r>
          </w:p>
        </w:tc>
        <w:tc>
          <w:tcPr>
            <w:tcW w:w="454" w:type="pct"/>
            <w:vAlign w:val="center"/>
          </w:tcPr>
          <w:p w14:paraId="57A7445D">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eastAsia="zh-CN"/>
              </w:rPr>
            </w:pPr>
            <w:r>
              <w:rPr>
                <w:rFonts w:ascii="Times New Roman" w:hAnsi="Times New Roman" w:eastAsia="宋体"/>
                <w:color w:val="auto"/>
                <w:kern w:val="0"/>
                <w:sz w:val="21"/>
                <w:szCs w:val="21"/>
                <w:highlight w:val="none"/>
              </w:rPr>
              <w:t>mg/L</w:t>
            </w:r>
          </w:p>
        </w:tc>
        <w:tc>
          <w:tcPr>
            <w:tcW w:w="658" w:type="pct"/>
            <w:vAlign w:val="center"/>
          </w:tcPr>
          <w:p w14:paraId="11E46EAE">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24</w:t>
            </w:r>
          </w:p>
        </w:tc>
        <w:tc>
          <w:tcPr>
            <w:tcW w:w="658" w:type="pct"/>
            <w:vAlign w:val="center"/>
          </w:tcPr>
          <w:p w14:paraId="551AA76C">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13</w:t>
            </w:r>
          </w:p>
        </w:tc>
        <w:tc>
          <w:tcPr>
            <w:tcW w:w="658" w:type="pct"/>
            <w:vAlign w:val="center"/>
          </w:tcPr>
          <w:p w14:paraId="6D35DE4F">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14</w:t>
            </w:r>
          </w:p>
        </w:tc>
        <w:tc>
          <w:tcPr>
            <w:tcW w:w="739" w:type="pct"/>
            <w:vAlign w:val="center"/>
          </w:tcPr>
          <w:p w14:paraId="267CE566">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250</w:t>
            </w:r>
            <w:r>
              <w:rPr>
                <w:rFonts w:ascii="Times New Roman" w:hAnsi="Times New Roman" w:eastAsia="宋体"/>
                <w:color w:val="000000"/>
                <w:kern w:val="0"/>
                <w:sz w:val="21"/>
                <w:szCs w:val="21"/>
                <w:highlight w:val="none"/>
              </w:rPr>
              <w:t>mg/L</w:t>
            </w:r>
          </w:p>
        </w:tc>
        <w:tc>
          <w:tcPr>
            <w:tcW w:w="471" w:type="pct"/>
            <w:vAlign w:val="center"/>
          </w:tcPr>
          <w:p w14:paraId="154DEFC4">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r w14:paraId="64FC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14:paraId="34D7C03C">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20</w:t>
            </w:r>
          </w:p>
        </w:tc>
        <w:tc>
          <w:tcPr>
            <w:tcW w:w="1034" w:type="pct"/>
            <w:vAlign w:val="center"/>
          </w:tcPr>
          <w:p w14:paraId="375A5528">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eastAsia="zh-CN"/>
              </w:rPr>
            </w:pPr>
            <w:r>
              <w:rPr>
                <w:rFonts w:hint="eastAsia" w:ascii="Times New Roman" w:hAnsi="Times New Roman" w:eastAsia="宋体" w:cs="Times New Roman"/>
                <w:bCs/>
                <w:color w:val="000000"/>
                <w:kern w:val="0"/>
                <w:sz w:val="21"/>
                <w:szCs w:val="24"/>
                <w:lang w:eastAsia="zh-CN"/>
              </w:rPr>
              <w:t>硫酸盐</w:t>
            </w:r>
          </w:p>
        </w:tc>
        <w:tc>
          <w:tcPr>
            <w:tcW w:w="454" w:type="pct"/>
            <w:vAlign w:val="center"/>
          </w:tcPr>
          <w:p w14:paraId="7A5B986B">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hint="eastAsia" w:ascii="Times New Roman" w:hAnsi="Times New Roman" w:eastAsia="宋体"/>
                <w:color w:val="auto"/>
                <w:kern w:val="0"/>
                <w:sz w:val="21"/>
                <w:szCs w:val="21"/>
                <w:highlight w:val="none"/>
                <w:lang w:eastAsia="zh-CN"/>
              </w:rPr>
            </w:pPr>
            <w:r>
              <w:rPr>
                <w:rFonts w:ascii="Times New Roman" w:hAnsi="Times New Roman" w:eastAsia="宋体"/>
                <w:color w:val="auto"/>
                <w:kern w:val="0"/>
                <w:sz w:val="21"/>
                <w:szCs w:val="21"/>
                <w:highlight w:val="none"/>
              </w:rPr>
              <w:t>mg/L</w:t>
            </w:r>
          </w:p>
        </w:tc>
        <w:tc>
          <w:tcPr>
            <w:tcW w:w="658" w:type="pct"/>
            <w:vAlign w:val="center"/>
          </w:tcPr>
          <w:p w14:paraId="62B162C6">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113</w:t>
            </w:r>
          </w:p>
        </w:tc>
        <w:tc>
          <w:tcPr>
            <w:tcW w:w="658" w:type="pct"/>
            <w:vAlign w:val="center"/>
          </w:tcPr>
          <w:p w14:paraId="5279D48D">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w:t>
            </w:r>
          </w:p>
        </w:tc>
        <w:tc>
          <w:tcPr>
            <w:tcW w:w="658" w:type="pct"/>
            <w:vAlign w:val="center"/>
          </w:tcPr>
          <w:p w14:paraId="5AC4A7C7">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&lt;</w:t>
            </w:r>
            <w:r>
              <w:rPr>
                <w:rFonts w:hint="eastAsia" w:ascii="Times New Roman" w:hAnsi="Times New Roman" w:eastAsia="宋体" w:cs="Times New Roman"/>
                <w:i w:val="0"/>
                <w:color w:val="auto"/>
                <w:kern w:val="0"/>
                <w:sz w:val="21"/>
                <w:szCs w:val="21"/>
                <w:highlight w:val="none"/>
                <w:u w:val="none"/>
                <w:lang w:val="en-US" w:eastAsia="zh-CN" w:bidi="ar"/>
              </w:rPr>
              <w:t>1</w:t>
            </w:r>
          </w:p>
        </w:tc>
        <w:tc>
          <w:tcPr>
            <w:tcW w:w="739" w:type="pct"/>
            <w:vAlign w:val="center"/>
          </w:tcPr>
          <w:p w14:paraId="485D1700">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250</w:t>
            </w:r>
            <w:r>
              <w:rPr>
                <w:rFonts w:ascii="Times New Roman" w:hAnsi="Times New Roman" w:eastAsia="宋体"/>
                <w:color w:val="000000"/>
                <w:kern w:val="0"/>
                <w:sz w:val="21"/>
                <w:szCs w:val="21"/>
                <w:highlight w:val="none"/>
              </w:rPr>
              <w:t>mg/L</w:t>
            </w:r>
          </w:p>
        </w:tc>
        <w:tc>
          <w:tcPr>
            <w:tcW w:w="471" w:type="pct"/>
            <w:vAlign w:val="center"/>
          </w:tcPr>
          <w:p w14:paraId="27F36CDD">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合格</w:t>
            </w:r>
          </w:p>
        </w:tc>
      </w:tr>
    </w:tbl>
    <w:p w14:paraId="0AA29B6E">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由上表看出，各监测点均满足</w:t>
      </w:r>
      <w:r>
        <w:rPr>
          <w:rFonts w:hint="eastAsia" w:ascii="Times New Roman" w:hAnsi="Times New Roman" w:eastAsia="宋体"/>
          <w:color w:val="auto"/>
          <w:spacing w:val="-2"/>
          <w:szCs w:val="24"/>
          <w:highlight w:val="none"/>
          <w:lang w:val="zh-CN"/>
        </w:rPr>
        <w:t>《地下水质量标准》（GB/T14848-2017）中Ⅲ类标准，地下水环境质量现状良好。</w:t>
      </w:r>
    </w:p>
    <w:p w14:paraId="713D87E7">
      <w:pPr>
        <w:pStyle w:val="5"/>
        <w:rPr>
          <w:rFonts w:ascii="Times New Roman" w:hAnsi="Times New Roman" w:eastAsia="宋体"/>
          <w:color w:val="auto"/>
          <w:highlight w:val="none"/>
        </w:rPr>
      </w:pPr>
      <w:bookmarkStart w:id="170" w:name="_Toc106663489"/>
      <w:r>
        <w:rPr>
          <w:rFonts w:hint="eastAsia" w:ascii="Times New Roman" w:hAnsi="Times New Roman" w:eastAsia="宋体"/>
          <w:color w:val="auto"/>
          <w:highlight w:val="none"/>
        </w:rPr>
        <w:t>4.2.4声环境质量现状调查与评价</w:t>
      </w:r>
      <w:bookmarkEnd w:id="170"/>
    </w:p>
    <w:p w14:paraId="4146DF7F">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本次声环境质量现状评价委托</w:t>
      </w:r>
      <w:r>
        <w:rPr>
          <w:rFonts w:hint="eastAsia" w:ascii="Times New Roman" w:hAnsi="Times New Roman" w:eastAsia="宋体"/>
          <w:color w:val="auto"/>
          <w:highlight w:val="none"/>
          <w:lang w:eastAsia="zh-CN"/>
        </w:rPr>
        <w:t>新疆锡水金山环境科技有限公司</w:t>
      </w:r>
      <w:r>
        <w:rPr>
          <w:rFonts w:hint="eastAsia" w:ascii="Times New Roman" w:hAnsi="Times New Roman" w:eastAsia="宋体"/>
          <w:color w:val="auto"/>
          <w:highlight w:val="none"/>
        </w:rPr>
        <w:t>对项目所在地声环境质量现状进行了监测，监测时间为202</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年</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月</w:t>
      </w:r>
      <w:r>
        <w:rPr>
          <w:rFonts w:hint="eastAsia" w:ascii="Times New Roman" w:hAnsi="Times New Roman" w:eastAsia="宋体"/>
          <w:color w:val="auto"/>
          <w:highlight w:val="none"/>
          <w:lang w:val="en-US" w:eastAsia="zh-CN"/>
        </w:rPr>
        <w:t>7</w:t>
      </w:r>
      <w:r>
        <w:rPr>
          <w:rFonts w:hint="eastAsia" w:ascii="Times New Roman" w:hAnsi="Times New Roman" w:eastAsia="宋体"/>
          <w:color w:val="auto"/>
          <w:highlight w:val="none"/>
        </w:rPr>
        <w:t>日。</w:t>
      </w:r>
    </w:p>
    <w:p w14:paraId="432EDEC8">
      <w:pPr>
        <w:ind w:firstLine="480"/>
        <w:rPr>
          <w:rFonts w:ascii="Times New Roman" w:hAnsi="Times New Roman" w:eastAsia="宋体"/>
          <w:color w:val="auto"/>
          <w:highlight w:val="none"/>
        </w:rPr>
      </w:pPr>
      <w:r>
        <w:rPr>
          <w:rFonts w:hint="eastAsia" w:ascii="Times New Roman" w:hAnsi="Times New Roman" w:eastAsia="宋体"/>
          <w:color w:val="auto"/>
          <w:highlight w:val="none"/>
        </w:rPr>
        <w:t>（1）监测点位</w:t>
      </w:r>
    </w:p>
    <w:p w14:paraId="3A3AB66A">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本项目在厂址四周设置四个监测点位，噪声监测点位图见附图4.2-</w:t>
      </w:r>
      <w:r>
        <w:rPr>
          <w:rFonts w:hint="eastAsia"/>
          <w:color w:val="auto"/>
          <w:highlight w:val="none"/>
          <w:lang w:val="en-US" w:eastAsia="zh-CN"/>
        </w:rPr>
        <w:t>1</w:t>
      </w:r>
      <w:r>
        <w:rPr>
          <w:rFonts w:hint="eastAsia" w:ascii="Times New Roman" w:hAnsi="Times New Roman" w:eastAsia="宋体"/>
          <w:color w:val="auto"/>
          <w:highlight w:val="none"/>
        </w:rPr>
        <w:t>。</w:t>
      </w:r>
    </w:p>
    <w:p w14:paraId="73B6BFFD">
      <w:pPr>
        <w:ind w:firstLine="480"/>
        <w:rPr>
          <w:rFonts w:ascii="Times New Roman" w:hAnsi="Times New Roman" w:eastAsia="宋体"/>
          <w:color w:val="auto"/>
          <w:highlight w:val="none"/>
        </w:rPr>
      </w:pPr>
      <w:r>
        <w:rPr>
          <w:rFonts w:hint="eastAsia" w:ascii="Times New Roman" w:hAnsi="Times New Roman" w:eastAsia="宋体"/>
          <w:color w:val="auto"/>
          <w:highlight w:val="none"/>
        </w:rPr>
        <w:t>（2）评价标准</w:t>
      </w:r>
    </w:p>
    <w:p w14:paraId="37497998">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根据《声环境质量标准》（GB3096-2008）适用区域划分规定，项目所在地区域属于</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类标准适用区，执行《声环境质量标准》（GB3096-2008）中</w:t>
      </w:r>
      <w:r>
        <w:rPr>
          <w:rFonts w:ascii="Times New Roman" w:hAnsi="Times New Roman" w:eastAsia="宋体"/>
          <w:color w:val="auto"/>
          <w:highlight w:val="none"/>
        </w:rPr>
        <w:t>1</w:t>
      </w:r>
      <w:r>
        <w:rPr>
          <w:rFonts w:hint="eastAsia" w:ascii="Times New Roman" w:hAnsi="Times New Roman" w:eastAsia="宋体"/>
          <w:color w:val="auto"/>
          <w:highlight w:val="none"/>
        </w:rPr>
        <w:t>类标准限值，即昼间</w:t>
      </w:r>
      <w:r>
        <w:rPr>
          <w:rFonts w:hint="eastAsia" w:ascii="Times New Roman" w:hAnsi="Times New Roman" w:eastAsia="宋体"/>
          <w:color w:val="auto"/>
          <w:highlight w:val="none"/>
          <w:lang w:val="en-US" w:eastAsia="zh-CN"/>
        </w:rPr>
        <w:t>60</w:t>
      </w:r>
      <w:r>
        <w:rPr>
          <w:rFonts w:hint="eastAsia" w:ascii="Times New Roman" w:hAnsi="Times New Roman" w:eastAsia="宋体"/>
          <w:color w:val="auto"/>
          <w:highlight w:val="none"/>
        </w:rPr>
        <w:t>dB</w:t>
      </w:r>
      <w:r>
        <w:rPr>
          <w:rFonts w:hint="eastAsia"/>
          <w:color w:val="auto"/>
          <w:highlight w:val="none"/>
          <w:lang w:eastAsia="zh-CN"/>
        </w:rPr>
        <w:t>（</w:t>
      </w:r>
      <w:r>
        <w:rPr>
          <w:rFonts w:hint="eastAsia"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，夜间</w:t>
      </w:r>
      <w:r>
        <w:rPr>
          <w:rFonts w:hint="eastAsia" w:ascii="Times New Roman" w:hAnsi="Times New Roman" w:eastAsia="宋体"/>
          <w:color w:val="auto"/>
          <w:highlight w:val="none"/>
          <w:lang w:val="en-US" w:eastAsia="zh-CN"/>
        </w:rPr>
        <w:t>50</w:t>
      </w:r>
      <w:r>
        <w:rPr>
          <w:rFonts w:hint="eastAsia" w:ascii="Times New Roman" w:hAnsi="Times New Roman" w:eastAsia="宋体"/>
          <w:color w:val="auto"/>
          <w:highlight w:val="none"/>
        </w:rPr>
        <w:t>dB</w:t>
      </w:r>
      <w:r>
        <w:rPr>
          <w:rFonts w:hint="eastAsia"/>
          <w:color w:val="auto"/>
          <w:highlight w:val="none"/>
          <w:lang w:eastAsia="zh-CN"/>
        </w:rPr>
        <w:t>（</w:t>
      </w:r>
      <w:r>
        <w:rPr>
          <w:rFonts w:hint="eastAsia"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w:t>
      </w:r>
    </w:p>
    <w:p w14:paraId="109B7F31">
      <w:pPr>
        <w:ind w:firstLine="480"/>
        <w:rPr>
          <w:rFonts w:ascii="Times New Roman" w:hAnsi="Times New Roman" w:eastAsia="宋体"/>
          <w:color w:val="auto"/>
          <w:highlight w:val="none"/>
        </w:rPr>
      </w:pPr>
      <w:r>
        <w:rPr>
          <w:rFonts w:hint="eastAsia" w:ascii="Times New Roman" w:hAnsi="Times New Roman" w:eastAsia="宋体"/>
          <w:color w:val="auto"/>
          <w:highlight w:val="none"/>
        </w:rPr>
        <w:t>（3）监测数据及评价结果</w:t>
      </w:r>
    </w:p>
    <w:p w14:paraId="278277D9">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项目区噪声监测结果见表4.2-8。</w:t>
      </w:r>
    </w:p>
    <w:p w14:paraId="6DFC14EA">
      <w:pPr>
        <w:pStyle w:val="1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表4.2-8噪声监测结果单位：dB</w:t>
      </w:r>
      <w:r>
        <w:rPr>
          <w:rFonts w:hint="eastAsia"/>
          <w:color w:val="auto"/>
          <w:highlight w:val="none"/>
          <w:lang w:eastAsia="zh-CN"/>
        </w:rPr>
        <w:t>（</w:t>
      </w:r>
      <w:r>
        <w:rPr>
          <w:rFonts w:hint="eastAsia" w:ascii="Times New Roman" w:hAnsi="Times New Roman" w:eastAsia="宋体"/>
          <w:color w:val="auto"/>
          <w:highlight w:val="none"/>
        </w:rPr>
        <w:t>A</w:t>
      </w:r>
      <w:r>
        <w:rPr>
          <w:rFonts w:hint="eastAsia"/>
          <w:color w:val="auto"/>
          <w:highlight w:val="none"/>
          <w:lang w:eastAsia="zh-CN"/>
        </w:rPr>
        <w:t>）</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799"/>
        <w:gridCol w:w="1064"/>
        <w:gridCol w:w="800"/>
        <w:gridCol w:w="800"/>
        <w:gridCol w:w="800"/>
        <w:gridCol w:w="1064"/>
        <w:gridCol w:w="800"/>
        <w:gridCol w:w="800"/>
      </w:tblGrid>
      <w:tr w14:paraId="512B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4" w:type="pct"/>
            <w:vAlign w:val="center"/>
          </w:tcPr>
          <w:p w14:paraId="7FCAF22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监测</w:t>
            </w:r>
            <w:r>
              <w:rPr>
                <w:rFonts w:ascii="Times New Roman" w:hAnsi="Times New Roman" w:eastAsia="宋体"/>
                <w:color w:val="auto"/>
                <w:sz w:val="21"/>
                <w:szCs w:val="21"/>
                <w:highlight w:val="none"/>
              </w:rPr>
              <w:t>点位</w:t>
            </w:r>
          </w:p>
        </w:tc>
        <w:tc>
          <w:tcPr>
            <w:tcW w:w="469" w:type="pct"/>
            <w:vAlign w:val="center"/>
          </w:tcPr>
          <w:p w14:paraId="5D674BC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监测</w:t>
            </w:r>
          </w:p>
          <w:p w14:paraId="626AE0A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时间</w:t>
            </w:r>
          </w:p>
        </w:tc>
        <w:tc>
          <w:tcPr>
            <w:tcW w:w="624" w:type="pct"/>
            <w:vAlign w:val="center"/>
          </w:tcPr>
          <w:p w14:paraId="0EFEB62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测量值</w:t>
            </w:r>
          </w:p>
        </w:tc>
        <w:tc>
          <w:tcPr>
            <w:tcW w:w="469" w:type="pct"/>
            <w:vAlign w:val="center"/>
          </w:tcPr>
          <w:p w14:paraId="3F80239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标准</w:t>
            </w:r>
          </w:p>
          <w:p w14:paraId="6975944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限</w:t>
            </w:r>
            <w:r>
              <w:rPr>
                <w:rFonts w:ascii="Times New Roman" w:hAnsi="Times New Roman" w:eastAsia="宋体"/>
                <w:color w:val="auto"/>
                <w:sz w:val="21"/>
                <w:szCs w:val="21"/>
                <w:highlight w:val="none"/>
              </w:rPr>
              <w:t>值</w:t>
            </w:r>
          </w:p>
        </w:tc>
        <w:tc>
          <w:tcPr>
            <w:tcW w:w="469" w:type="pct"/>
            <w:vAlign w:val="center"/>
          </w:tcPr>
          <w:p w14:paraId="698453C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评价</w:t>
            </w:r>
          </w:p>
          <w:p w14:paraId="6BF815E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结果</w:t>
            </w:r>
          </w:p>
        </w:tc>
        <w:tc>
          <w:tcPr>
            <w:tcW w:w="469" w:type="pct"/>
            <w:vAlign w:val="center"/>
          </w:tcPr>
          <w:p w14:paraId="54DD80C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监测</w:t>
            </w:r>
          </w:p>
          <w:p w14:paraId="0AF55A6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时间</w:t>
            </w:r>
          </w:p>
        </w:tc>
        <w:tc>
          <w:tcPr>
            <w:tcW w:w="624" w:type="pct"/>
            <w:vAlign w:val="center"/>
          </w:tcPr>
          <w:p w14:paraId="329DCEB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测</w:t>
            </w:r>
            <w:r>
              <w:rPr>
                <w:rFonts w:hint="eastAsia" w:ascii="Times New Roman" w:hAnsi="Times New Roman" w:eastAsia="宋体"/>
                <w:color w:val="auto"/>
                <w:sz w:val="21"/>
                <w:szCs w:val="21"/>
                <w:highlight w:val="none"/>
              </w:rPr>
              <w:t>量</w:t>
            </w:r>
            <w:r>
              <w:rPr>
                <w:rFonts w:ascii="Times New Roman" w:hAnsi="Times New Roman" w:eastAsia="宋体"/>
                <w:color w:val="auto"/>
                <w:sz w:val="21"/>
                <w:szCs w:val="21"/>
                <w:highlight w:val="none"/>
              </w:rPr>
              <w:t>值</w:t>
            </w:r>
          </w:p>
        </w:tc>
        <w:tc>
          <w:tcPr>
            <w:tcW w:w="469" w:type="pct"/>
            <w:vAlign w:val="center"/>
          </w:tcPr>
          <w:p w14:paraId="739D741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标准</w:t>
            </w:r>
          </w:p>
          <w:p w14:paraId="10EDFD0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限</w:t>
            </w:r>
            <w:r>
              <w:rPr>
                <w:rFonts w:ascii="Times New Roman" w:hAnsi="Times New Roman" w:eastAsia="宋体"/>
                <w:color w:val="auto"/>
                <w:sz w:val="21"/>
                <w:szCs w:val="21"/>
                <w:highlight w:val="none"/>
              </w:rPr>
              <w:t>值</w:t>
            </w:r>
          </w:p>
        </w:tc>
        <w:tc>
          <w:tcPr>
            <w:tcW w:w="469" w:type="pct"/>
            <w:vAlign w:val="center"/>
          </w:tcPr>
          <w:p w14:paraId="2CBABD1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评价</w:t>
            </w:r>
          </w:p>
          <w:p w14:paraId="598764C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结果</w:t>
            </w:r>
          </w:p>
        </w:tc>
      </w:tr>
      <w:tr w14:paraId="0748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335C617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项目区</w:t>
            </w:r>
            <w:r>
              <w:rPr>
                <w:rFonts w:hint="eastAsia" w:ascii="Times New Roman" w:hAnsi="Times New Roman" w:eastAsia="宋体"/>
                <w:color w:val="auto"/>
                <w:sz w:val="21"/>
                <w:szCs w:val="21"/>
                <w:highlight w:val="none"/>
                <w:lang w:val="en-US" w:eastAsia="zh-CN"/>
              </w:rPr>
              <w:t>东</w:t>
            </w:r>
            <w:r>
              <w:rPr>
                <w:rFonts w:hint="eastAsia" w:ascii="Times New Roman" w:hAnsi="Times New Roman" w:eastAsia="宋体"/>
                <w:color w:val="auto"/>
                <w:sz w:val="21"/>
                <w:szCs w:val="21"/>
                <w:highlight w:val="none"/>
              </w:rPr>
              <w:t>侧</w:t>
            </w:r>
          </w:p>
        </w:tc>
        <w:tc>
          <w:tcPr>
            <w:tcW w:w="469" w:type="pct"/>
            <w:vMerge w:val="restart"/>
            <w:vAlign w:val="center"/>
          </w:tcPr>
          <w:p w14:paraId="4559AB7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昼间</w:t>
            </w:r>
          </w:p>
        </w:tc>
        <w:tc>
          <w:tcPr>
            <w:tcW w:w="624" w:type="pct"/>
            <w:vAlign w:val="center"/>
          </w:tcPr>
          <w:p w14:paraId="00C988D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42</w:t>
            </w:r>
          </w:p>
        </w:tc>
        <w:tc>
          <w:tcPr>
            <w:tcW w:w="469" w:type="pct"/>
            <w:vAlign w:val="center"/>
          </w:tcPr>
          <w:p w14:paraId="53A9FC9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60</w:t>
            </w:r>
          </w:p>
        </w:tc>
        <w:tc>
          <w:tcPr>
            <w:tcW w:w="469" w:type="pct"/>
            <w:vAlign w:val="center"/>
          </w:tcPr>
          <w:p w14:paraId="5BB6C33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c>
          <w:tcPr>
            <w:tcW w:w="469" w:type="pct"/>
            <w:vMerge w:val="restart"/>
            <w:vAlign w:val="center"/>
          </w:tcPr>
          <w:p w14:paraId="76CA43C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夜间</w:t>
            </w:r>
          </w:p>
        </w:tc>
        <w:tc>
          <w:tcPr>
            <w:tcW w:w="624" w:type="pct"/>
            <w:vAlign w:val="center"/>
          </w:tcPr>
          <w:p w14:paraId="4DA0872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39</w:t>
            </w:r>
          </w:p>
        </w:tc>
        <w:tc>
          <w:tcPr>
            <w:tcW w:w="469" w:type="pct"/>
            <w:vAlign w:val="center"/>
          </w:tcPr>
          <w:p w14:paraId="1440E99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c>
          <w:tcPr>
            <w:tcW w:w="469" w:type="pct"/>
            <w:vAlign w:val="center"/>
          </w:tcPr>
          <w:p w14:paraId="20F0489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r>
      <w:tr w14:paraId="6FBA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0302537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项目区</w:t>
            </w:r>
            <w:r>
              <w:rPr>
                <w:rFonts w:hint="eastAsia" w:ascii="Times New Roman" w:hAnsi="Times New Roman" w:eastAsia="宋体"/>
                <w:color w:val="auto"/>
                <w:sz w:val="21"/>
                <w:szCs w:val="21"/>
                <w:highlight w:val="none"/>
                <w:lang w:val="en-US" w:eastAsia="zh-CN"/>
              </w:rPr>
              <w:t>南</w:t>
            </w:r>
            <w:r>
              <w:rPr>
                <w:rFonts w:hint="eastAsia" w:ascii="Times New Roman" w:hAnsi="Times New Roman" w:eastAsia="宋体"/>
                <w:color w:val="auto"/>
                <w:sz w:val="21"/>
                <w:szCs w:val="21"/>
                <w:highlight w:val="none"/>
              </w:rPr>
              <w:t>侧</w:t>
            </w:r>
          </w:p>
        </w:tc>
        <w:tc>
          <w:tcPr>
            <w:tcW w:w="469" w:type="pct"/>
            <w:vMerge w:val="continue"/>
            <w:vAlign w:val="center"/>
          </w:tcPr>
          <w:p w14:paraId="441BD7C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p>
        </w:tc>
        <w:tc>
          <w:tcPr>
            <w:tcW w:w="624" w:type="pct"/>
            <w:vAlign w:val="center"/>
          </w:tcPr>
          <w:p w14:paraId="1507347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43</w:t>
            </w:r>
          </w:p>
        </w:tc>
        <w:tc>
          <w:tcPr>
            <w:tcW w:w="469" w:type="pct"/>
          </w:tcPr>
          <w:p w14:paraId="0E21412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60</w:t>
            </w:r>
          </w:p>
        </w:tc>
        <w:tc>
          <w:tcPr>
            <w:tcW w:w="469" w:type="pct"/>
            <w:vAlign w:val="center"/>
          </w:tcPr>
          <w:p w14:paraId="4C99F50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c>
          <w:tcPr>
            <w:tcW w:w="469" w:type="pct"/>
            <w:vMerge w:val="continue"/>
            <w:vAlign w:val="center"/>
          </w:tcPr>
          <w:p w14:paraId="72F2F8B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p>
        </w:tc>
        <w:tc>
          <w:tcPr>
            <w:tcW w:w="624" w:type="pct"/>
            <w:vAlign w:val="center"/>
          </w:tcPr>
          <w:p w14:paraId="28DD9E5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w:t>
            </w:r>
          </w:p>
        </w:tc>
        <w:tc>
          <w:tcPr>
            <w:tcW w:w="469" w:type="pct"/>
          </w:tcPr>
          <w:p w14:paraId="64516E2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c>
          <w:tcPr>
            <w:tcW w:w="469" w:type="pct"/>
            <w:vAlign w:val="center"/>
          </w:tcPr>
          <w:p w14:paraId="6F29D81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r>
      <w:tr w14:paraId="7A16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648AA5B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项目区</w:t>
            </w:r>
            <w:r>
              <w:rPr>
                <w:rFonts w:hint="eastAsia" w:ascii="Times New Roman" w:hAnsi="Times New Roman" w:eastAsia="宋体"/>
                <w:color w:val="auto"/>
                <w:sz w:val="21"/>
                <w:szCs w:val="21"/>
                <w:highlight w:val="none"/>
                <w:lang w:val="en-US" w:eastAsia="zh-CN"/>
              </w:rPr>
              <w:t>西</w:t>
            </w:r>
            <w:r>
              <w:rPr>
                <w:rFonts w:hint="eastAsia" w:ascii="Times New Roman" w:hAnsi="Times New Roman" w:eastAsia="宋体"/>
                <w:color w:val="auto"/>
                <w:sz w:val="21"/>
                <w:szCs w:val="21"/>
                <w:highlight w:val="none"/>
              </w:rPr>
              <w:t>侧</w:t>
            </w:r>
          </w:p>
        </w:tc>
        <w:tc>
          <w:tcPr>
            <w:tcW w:w="469" w:type="pct"/>
            <w:vMerge w:val="continue"/>
            <w:vAlign w:val="center"/>
          </w:tcPr>
          <w:p w14:paraId="083B32B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p>
        </w:tc>
        <w:tc>
          <w:tcPr>
            <w:tcW w:w="624" w:type="pct"/>
            <w:vAlign w:val="center"/>
          </w:tcPr>
          <w:p w14:paraId="6A023E4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42</w:t>
            </w:r>
          </w:p>
        </w:tc>
        <w:tc>
          <w:tcPr>
            <w:tcW w:w="469" w:type="pct"/>
          </w:tcPr>
          <w:p w14:paraId="28125F1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60</w:t>
            </w:r>
          </w:p>
        </w:tc>
        <w:tc>
          <w:tcPr>
            <w:tcW w:w="469" w:type="pct"/>
            <w:vAlign w:val="center"/>
          </w:tcPr>
          <w:p w14:paraId="6725401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c>
          <w:tcPr>
            <w:tcW w:w="469" w:type="pct"/>
            <w:vMerge w:val="continue"/>
            <w:vAlign w:val="center"/>
          </w:tcPr>
          <w:p w14:paraId="69F30D4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p>
        </w:tc>
        <w:tc>
          <w:tcPr>
            <w:tcW w:w="624" w:type="pct"/>
            <w:vAlign w:val="center"/>
          </w:tcPr>
          <w:p w14:paraId="1F8BEE9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39</w:t>
            </w:r>
          </w:p>
        </w:tc>
        <w:tc>
          <w:tcPr>
            <w:tcW w:w="469" w:type="pct"/>
          </w:tcPr>
          <w:p w14:paraId="3C04A14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c>
          <w:tcPr>
            <w:tcW w:w="469" w:type="pct"/>
            <w:vAlign w:val="center"/>
          </w:tcPr>
          <w:p w14:paraId="529BB46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r>
      <w:tr w14:paraId="1F7A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1561CDC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项目区</w:t>
            </w:r>
            <w:r>
              <w:rPr>
                <w:rFonts w:hint="eastAsia" w:ascii="Times New Roman" w:hAnsi="Times New Roman" w:eastAsia="宋体"/>
                <w:color w:val="auto"/>
                <w:sz w:val="21"/>
                <w:szCs w:val="21"/>
                <w:highlight w:val="none"/>
                <w:lang w:val="en-US" w:eastAsia="zh-CN"/>
              </w:rPr>
              <w:t>北</w:t>
            </w:r>
            <w:r>
              <w:rPr>
                <w:rFonts w:hint="eastAsia" w:ascii="Times New Roman" w:hAnsi="Times New Roman" w:eastAsia="宋体"/>
                <w:color w:val="auto"/>
                <w:sz w:val="21"/>
                <w:szCs w:val="21"/>
                <w:highlight w:val="none"/>
              </w:rPr>
              <w:t>侧</w:t>
            </w:r>
          </w:p>
        </w:tc>
        <w:tc>
          <w:tcPr>
            <w:tcW w:w="469" w:type="pct"/>
            <w:vMerge w:val="continue"/>
            <w:vAlign w:val="center"/>
          </w:tcPr>
          <w:p w14:paraId="5CECD88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p>
        </w:tc>
        <w:tc>
          <w:tcPr>
            <w:tcW w:w="624" w:type="pct"/>
            <w:vAlign w:val="center"/>
          </w:tcPr>
          <w:p w14:paraId="3F78A41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43</w:t>
            </w:r>
          </w:p>
        </w:tc>
        <w:tc>
          <w:tcPr>
            <w:tcW w:w="469" w:type="pct"/>
          </w:tcPr>
          <w:p w14:paraId="559810A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60</w:t>
            </w:r>
          </w:p>
        </w:tc>
        <w:tc>
          <w:tcPr>
            <w:tcW w:w="469" w:type="pct"/>
            <w:vAlign w:val="center"/>
          </w:tcPr>
          <w:p w14:paraId="3257A11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c>
          <w:tcPr>
            <w:tcW w:w="469" w:type="pct"/>
            <w:vMerge w:val="continue"/>
            <w:vAlign w:val="center"/>
          </w:tcPr>
          <w:p w14:paraId="345CB96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p>
        </w:tc>
        <w:tc>
          <w:tcPr>
            <w:tcW w:w="624" w:type="pct"/>
            <w:vAlign w:val="center"/>
          </w:tcPr>
          <w:p w14:paraId="59DBA97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38</w:t>
            </w:r>
          </w:p>
        </w:tc>
        <w:tc>
          <w:tcPr>
            <w:tcW w:w="469" w:type="pct"/>
          </w:tcPr>
          <w:p w14:paraId="5BF18B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c>
          <w:tcPr>
            <w:tcW w:w="469" w:type="pct"/>
            <w:vAlign w:val="center"/>
          </w:tcPr>
          <w:p w14:paraId="2C06F08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达标</w:t>
            </w:r>
          </w:p>
        </w:tc>
      </w:tr>
    </w:tbl>
    <w:p w14:paraId="792E2FB1">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根据噪声监测结果可知，项目区厂界噪声值较低，厂界四周环境噪声均未超过《声环境质量标准》（GB3096-2008）中</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类标准的限值，均能达到声环境质量标准的要求。</w:t>
      </w:r>
    </w:p>
    <w:p w14:paraId="7C27A37E">
      <w:pPr>
        <w:pStyle w:val="5"/>
        <w:rPr>
          <w:rFonts w:ascii="Times New Roman" w:hAnsi="Times New Roman" w:eastAsia="宋体"/>
          <w:color w:val="auto"/>
          <w:highlight w:val="none"/>
        </w:rPr>
      </w:pPr>
      <w:bookmarkStart w:id="171" w:name="_Toc106663490"/>
      <w:r>
        <w:rPr>
          <w:rFonts w:hint="eastAsia" w:ascii="Times New Roman" w:hAnsi="Times New Roman" w:eastAsia="宋体"/>
          <w:color w:val="auto"/>
          <w:highlight w:val="none"/>
        </w:rPr>
        <w:t>4.2.5土壤环境质量现状调查与评价</w:t>
      </w:r>
      <w:bookmarkEnd w:id="171"/>
    </w:p>
    <w:p w14:paraId="709D2641">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本次土壤环境质量现状监测委托</w:t>
      </w:r>
      <w:r>
        <w:rPr>
          <w:rFonts w:hint="eastAsia" w:ascii="Times New Roman" w:hAnsi="Times New Roman" w:eastAsia="宋体"/>
          <w:color w:val="auto"/>
          <w:highlight w:val="none"/>
          <w:lang w:eastAsia="zh-CN"/>
        </w:rPr>
        <w:t>新疆锡水金山环境科技有限公司</w:t>
      </w:r>
      <w:r>
        <w:rPr>
          <w:rFonts w:hint="eastAsia" w:ascii="Times New Roman" w:hAnsi="Times New Roman" w:eastAsia="宋体"/>
          <w:color w:val="auto"/>
          <w:highlight w:val="none"/>
        </w:rPr>
        <w:t>对项目区土壤环境进行监测，监测时间为202</w:t>
      </w:r>
      <w:r>
        <w:rPr>
          <w:rFonts w:hint="eastAsia"/>
          <w:color w:val="auto"/>
          <w:highlight w:val="none"/>
          <w:lang w:val="en-US" w:eastAsia="zh-CN"/>
        </w:rPr>
        <w:t>3</w:t>
      </w:r>
      <w:r>
        <w:rPr>
          <w:rFonts w:hint="eastAsia" w:ascii="Times New Roman" w:hAnsi="Times New Roman" w:eastAsia="宋体"/>
          <w:color w:val="auto"/>
          <w:highlight w:val="none"/>
        </w:rPr>
        <w:t>年</w:t>
      </w:r>
      <w:r>
        <w:rPr>
          <w:rFonts w:hint="eastAsia"/>
          <w:color w:val="auto"/>
          <w:highlight w:val="none"/>
          <w:lang w:val="en-US" w:eastAsia="zh-CN"/>
        </w:rPr>
        <w:t>7</w:t>
      </w:r>
      <w:r>
        <w:rPr>
          <w:rFonts w:hint="eastAsia" w:ascii="Times New Roman" w:hAnsi="Times New Roman" w:eastAsia="宋体"/>
          <w:color w:val="auto"/>
          <w:highlight w:val="none"/>
        </w:rPr>
        <w:t>月</w:t>
      </w:r>
      <w:r>
        <w:rPr>
          <w:rFonts w:hint="eastAsia"/>
          <w:color w:val="auto"/>
          <w:highlight w:val="none"/>
          <w:lang w:val="en-US" w:eastAsia="zh-CN"/>
        </w:rPr>
        <w:t>7</w:t>
      </w:r>
      <w:r>
        <w:rPr>
          <w:rFonts w:hint="eastAsia" w:ascii="Times New Roman" w:hAnsi="Times New Roman" w:eastAsia="宋体"/>
          <w:color w:val="auto"/>
          <w:highlight w:val="none"/>
        </w:rPr>
        <w:t>日。</w:t>
      </w:r>
    </w:p>
    <w:p w14:paraId="60F7480B">
      <w:pPr>
        <w:ind w:firstLine="480"/>
        <w:rPr>
          <w:rFonts w:ascii="Times New Roman" w:hAnsi="Times New Roman" w:eastAsia="宋体"/>
          <w:color w:val="auto"/>
          <w:highlight w:val="none"/>
        </w:rPr>
      </w:pPr>
      <w:r>
        <w:rPr>
          <w:rFonts w:hint="eastAsia" w:ascii="Times New Roman" w:hAnsi="Times New Roman" w:eastAsia="宋体"/>
          <w:color w:val="auto"/>
          <w:highlight w:val="none"/>
        </w:rPr>
        <w:t>（1）监测布点</w:t>
      </w:r>
    </w:p>
    <w:p w14:paraId="137FE086">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根据《环境影响评价技术导则土壤环境（试行）》（HJ964-2018），本次土壤现状监测在占地范围内布设三个表层样点。监测点位信息见表4.2-9，监测点位图见附图4.2-</w:t>
      </w:r>
      <w:r>
        <w:rPr>
          <w:rFonts w:hint="eastAsia"/>
          <w:color w:val="auto"/>
          <w:highlight w:val="none"/>
          <w:lang w:val="en-US" w:eastAsia="zh-CN"/>
        </w:rPr>
        <w:t>1</w:t>
      </w:r>
      <w:r>
        <w:rPr>
          <w:rFonts w:hint="eastAsia" w:ascii="Times New Roman" w:hAnsi="Times New Roman" w:eastAsia="宋体"/>
          <w:color w:val="auto"/>
          <w:highlight w:val="none"/>
        </w:rPr>
        <w:t>。</w:t>
      </w:r>
    </w:p>
    <w:p w14:paraId="3BDB7DAD">
      <w:pPr>
        <w:pStyle w:val="10"/>
        <w:rPr>
          <w:rFonts w:ascii="Times New Roman" w:hAnsi="Times New Roman" w:eastAsia="宋体"/>
          <w:color w:val="auto"/>
          <w:highlight w:val="none"/>
        </w:rPr>
      </w:pPr>
      <w:r>
        <w:rPr>
          <w:rFonts w:hint="eastAsia" w:ascii="Times New Roman" w:hAnsi="Times New Roman" w:eastAsia="宋体"/>
          <w:color w:val="auto"/>
          <w:highlight w:val="none"/>
        </w:rPr>
        <w:t>表4.2-9土壤现状监测信息一览表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3857"/>
        <w:gridCol w:w="3140"/>
      </w:tblGrid>
      <w:tr w14:paraId="0ED6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5" w:type="pct"/>
            <w:vAlign w:val="center"/>
          </w:tcPr>
          <w:p w14:paraId="6ECF902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监测点位</w:t>
            </w:r>
          </w:p>
        </w:tc>
        <w:tc>
          <w:tcPr>
            <w:tcW w:w="2263" w:type="pct"/>
            <w:vAlign w:val="center"/>
          </w:tcPr>
          <w:p w14:paraId="7051C523">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编号</w:t>
            </w:r>
          </w:p>
        </w:tc>
        <w:tc>
          <w:tcPr>
            <w:tcW w:w="1842" w:type="pct"/>
            <w:vAlign w:val="center"/>
          </w:tcPr>
          <w:p w14:paraId="11FF5E5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监测点坐标</w:t>
            </w:r>
          </w:p>
        </w:tc>
      </w:tr>
      <w:tr w14:paraId="3AB3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vMerge w:val="restart"/>
            <w:vAlign w:val="center"/>
          </w:tcPr>
          <w:p w14:paraId="56ED3F8B">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项目区内</w:t>
            </w:r>
          </w:p>
        </w:tc>
        <w:tc>
          <w:tcPr>
            <w:tcW w:w="2263" w:type="pct"/>
            <w:vAlign w:val="center"/>
          </w:tcPr>
          <w:p w14:paraId="12F60FFA">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1</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rPr>
              <w:t>：项目区南侧（表层样：0~0.2m）</w:t>
            </w:r>
          </w:p>
        </w:tc>
        <w:tc>
          <w:tcPr>
            <w:tcW w:w="1842" w:type="pct"/>
            <w:vAlign w:val="center"/>
          </w:tcPr>
          <w:p w14:paraId="23D3B155">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86</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19</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46.56</w:t>
            </w:r>
            <w:r>
              <w:rPr>
                <w:rFonts w:hint="default" w:ascii="Times New Roman" w:hAnsi="Times New Roman" w:eastAsia="宋体"/>
                <w:color w:val="auto"/>
                <w:sz w:val="21"/>
                <w:szCs w:val="21"/>
                <w:highlight w:val="none"/>
                <w:lang w:val="en-US" w:eastAsia="zh-CN"/>
              </w:rPr>
              <w:t>″</w:t>
            </w:r>
            <w:r>
              <w:rPr>
                <w:rFonts w:ascii="Times New Roman" w:hAnsi="Times New Roman" w:eastAsia="宋体"/>
                <w:color w:val="auto"/>
                <w:sz w:val="21"/>
                <w:szCs w:val="21"/>
                <w:highlight w:val="none"/>
              </w:rPr>
              <w:t>E，</w:t>
            </w:r>
            <w:r>
              <w:rPr>
                <w:rFonts w:hint="eastAsia" w:ascii="Times New Roman" w:hAnsi="Times New Roman" w:eastAsia="宋体"/>
                <w:color w:val="auto"/>
                <w:sz w:val="21"/>
                <w:szCs w:val="21"/>
                <w:highlight w:val="none"/>
                <w:lang w:val="en-US" w:eastAsia="zh-CN"/>
              </w:rPr>
              <w:t>44</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20</w:t>
            </w:r>
            <w:r>
              <w:rPr>
                <w:rFonts w:hint="default" w:ascii="Times New Roman" w:hAnsi="Times New Roman" w:eastAsia="宋体"/>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54.42</w:t>
            </w:r>
            <w:r>
              <w:rPr>
                <w:rFonts w:hint="default" w:ascii="Times New Roman" w:hAnsi="Times New Roman" w:eastAsia="宋体"/>
                <w:color w:val="auto"/>
                <w:sz w:val="21"/>
                <w:szCs w:val="21"/>
                <w:highlight w:val="none"/>
                <w:lang w:val="en-US" w:eastAsia="zh-CN"/>
              </w:rPr>
              <w:t>″</w:t>
            </w:r>
            <w:r>
              <w:rPr>
                <w:rFonts w:ascii="Times New Roman" w:hAnsi="Times New Roman" w:eastAsia="宋体"/>
                <w:color w:val="auto"/>
                <w:sz w:val="21"/>
                <w:szCs w:val="21"/>
                <w:highlight w:val="none"/>
              </w:rPr>
              <w:t>N</w:t>
            </w:r>
          </w:p>
        </w:tc>
      </w:tr>
      <w:tr w14:paraId="3191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vMerge w:val="continue"/>
            <w:vAlign w:val="center"/>
          </w:tcPr>
          <w:p w14:paraId="5094626E">
            <w:pPr>
              <w:spacing w:line="240" w:lineRule="auto"/>
              <w:ind w:firstLine="0" w:firstLineChars="0"/>
              <w:jc w:val="center"/>
              <w:rPr>
                <w:rFonts w:ascii="Times New Roman" w:hAnsi="Times New Roman" w:eastAsia="宋体"/>
                <w:color w:val="auto"/>
                <w:sz w:val="21"/>
                <w:szCs w:val="21"/>
                <w:highlight w:val="none"/>
              </w:rPr>
            </w:pPr>
          </w:p>
        </w:tc>
        <w:tc>
          <w:tcPr>
            <w:tcW w:w="2263" w:type="pct"/>
            <w:vAlign w:val="center"/>
          </w:tcPr>
          <w:p w14:paraId="29DDBFAF">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2</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rPr>
              <w:t>：项目区中间（表层样：0~0.2m）</w:t>
            </w:r>
          </w:p>
        </w:tc>
        <w:tc>
          <w:tcPr>
            <w:tcW w:w="1842" w:type="pct"/>
            <w:vAlign w:val="center"/>
          </w:tcPr>
          <w:p w14:paraId="106A3A4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w:t>
            </w:r>
            <w:r>
              <w:rPr>
                <w:rFonts w:ascii="Times New Roman" w:hAnsi="Times New Roman" w:eastAsia="宋体"/>
                <w:color w:val="auto"/>
                <w:sz w:val="21"/>
                <w:szCs w:val="21"/>
                <w:highlight w:val="none"/>
              </w:rPr>
              <w:t>6°53′7.101″E，</w:t>
            </w:r>
            <w:r>
              <w:rPr>
                <w:rFonts w:hint="eastAsia" w:ascii="Times New Roman" w:hAnsi="Times New Roman" w:eastAsia="宋体"/>
                <w:color w:val="auto"/>
                <w:sz w:val="21"/>
                <w:szCs w:val="21"/>
                <w:highlight w:val="none"/>
              </w:rPr>
              <w:t>44</w:t>
            </w:r>
            <w:r>
              <w:rPr>
                <w:rFonts w:ascii="Times New Roman" w:hAnsi="Times New Roman" w:eastAsia="宋体"/>
                <w:color w:val="auto"/>
                <w:sz w:val="21"/>
                <w:szCs w:val="21"/>
                <w:highlight w:val="none"/>
              </w:rPr>
              <w:t>°22′7.992″N</w:t>
            </w:r>
          </w:p>
        </w:tc>
      </w:tr>
      <w:tr w14:paraId="308C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5" w:type="pct"/>
            <w:vMerge w:val="continue"/>
            <w:vAlign w:val="center"/>
          </w:tcPr>
          <w:p w14:paraId="519EE2D3">
            <w:pPr>
              <w:spacing w:line="240" w:lineRule="auto"/>
              <w:ind w:firstLine="0" w:firstLineChars="0"/>
              <w:jc w:val="center"/>
              <w:rPr>
                <w:rFonts w:ascii="Times New Roman" w:hAnsi="Times New Roman" w:eastAsia="宋体"/>
                <w:color w:val="auto"/>
                <w:sz w:val="21"/>
                <w:szCs w:val="21"/>
                <w:highlight w:val="none"/>
              </w:rPr>
            </w:pPr>
          </w:p>
        </w:tc>
        <w:tc>
          <w:tcPr>
            <w:tcW w:w="2263" w:type="pct"/>
            <w:vAlign w:val="center"/>
          </w:tcPr>
          <w:p w14:paraId="731957BE">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3</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rPr>
              <w:t>：项目区北侧（表层样：0~0.2m）</w:t>
            </w:r>
          </w:p>
        </w:tc>
        <w:tc>
          <w:tcPr>
            <w:tcW w:w="1842" w:type="pct"/>
            <w:vAlign w:val="center"/>
          </w:tcPr>
          <w:p w14:paraId="2461D9F6">
            <w:pPr>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w:t>
            </w:r>
            <w:r>
              <w:rPr>
                <w:rFonts w:ascii="Times New Roman" w:hAnsi="Times New Roman" w:eastAsia="宋体"/>
                <w:color w:val="auto"/>
                <w:sz w:val="21"/>
                <w:szCs w:val="21"/>
                <w:highlight w:val="none"/>
              </w:rPr>
              <w:t>6°53′5.825″E，</w:t>
            </w:r>
            <w:r>
              <w:rPr>
                <w:rFonts w:hint="eastAsia" w:ascii="Times New Roman" w:hAnsi="Times New Roman" w:eastAsia="宋体"/>
                <w:color w:val="auto"/>
                <w:sz w:val="21"/>
                <w:szCs w:val="21"/>
                <w:highlight w:val="none"/>
              </w:rPr>
              <w:t>44</w:t>
            </w:r>
            <w:r>
              <w:rPr>
                <w:rFonts w:ascii="Times New Roman" w:hAnsi="Times New Roman" w:eastAsia="宋体"/>
                <w:color w:val="auto"/>
                <w:sz w:val="21"/>
                <w:szCs w:val="21"/>
                <w:highlight w:val="none"/>
              </w:rPr>
              <w:t>°22′10.179″N</w:t>
            </w:r>
          </w:p>
        </w:tc>
      </w:tr>
    </w:tbl>
    <w:p w14:paraId="019E12AC">
      <w:pPr>
        <w:ind w:firstLine="480"/>
        <w:rPr>
          <w:rFonts w:ascii="Times New Roman" w:hAnsi="Times New Roman" w:eastAsia="宋体"/>
          <w:color w:val="auto"/>
          <w:highlight w:val="none"/>
        </w:rPr>
      </w:pPr>
      <w:r>
        <w:rPr>
          <w:rFonts w:hint="eastAsia" w:ascii="Times New Roman" w:hAnsi="Times New Roman" w:eastAsia="宋体"/>
          <w:color w:val="auto"/>
          <w:highlight w:val="none"/>
        </w:rPr>
        <w:t>（2）监测项目</w:t>
      </w:r>
    </w:p>
    <w:p w14:paraId="7B149B67">
      <w:pPr>
        <w:ind w:firstLine="480"/>
        <w:rPr>
          <w:rFonts w:ascii="Times New Roman" w:hAnsi="Times New Roman" w:eastAsia="宋体"/>
          <w:color w:val="auto"/>
          <w:highlight w:val="none"/>
        </w:rPr>
      </w:pPr>
      <w:r>
        <w:rPr>
          <w:rFonts w:hint="eastAsia" w:ascii="Times New Roman" w:hAnsi="Times New Roman" w:eastAsia="宋体" w:cs="Times New Roman"/>
          <w:bCs/>
          <w:color w:val="auto"/>
          <w:kern w:val="0"/>
          <w:szCs w:val="24"/>
          <w:highlight w:val="none"/>
        </w:rPr>
        <w:t>镉、汞、砷、铅、</w:t>
      </w:r>
      <w:r>
        <w:rPr>
          <w:rFonts w:hint="eastAsia" w:ascii="Times New Roman" w:hAnsi="Times New Roman" w:eastAsia="宋体" w:cs="Times New Roman"/>
          <w:bCs/>
          <w:color w:val="auto"/>
          <w:kern w:val="0"/>
          <w:szCs w:val="24"/>
          <w:highlight w:val="none"/>
          <w:lang w:eastAsia="zh-CN"/>
        </w:rPr>
        <w:t>六价</w:t>
      </w:r>
      <w:r>
        <w:rPr>
          <w:rFonts w:hint="eastAsia" w:ascii="Times New Roman" w:hAnsi="Times New Roman" w:eastAsia="宋体" w:cs="Times New Roman"/>
          <w:bCs/>
          <w:color w:val="auto"/>
          <w:kern w:val="0"/>
          <w:szCs w:val="24"/>
          <w:highlight w:val="none"/>
        </w:rPr>
        <w:t>铬、铜、镍、</w:t>
      </w:r>
      <w:r>
        <w:rPr>
          <w:rFonts w:hint="eastAsia" w:ascii="Times New Roman" w:hAnsi="Times New Roman" w:eastAsia="宋体" w:cs="Times New Roman"/>
          <w:bCs/>
          <w:color w:val="auto"/>
          <w:kern w:val="0"/>
          <w:szCs w:val="24"/>
          <w:highlight w:val="none"/>
          <w:lang w:eastAsia="zh-CN"/>
        </w:rPr>
        <w:t>四氯化碳、氯仿、氯甲烷、1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1-二氯乙烷、1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2-二氯乙烷、1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1-二氯乙烯、顺-1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2-二氯乙烯、反-1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2-二氯乙烯、二氯甲烷、1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2-二氯丙烷、1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2-四氯乙烷、1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2-四氯乙烷、四氯乙烯、1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1-三氯乙烷、1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2-三氯乙烷、三氯乙烯、1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3-三氯丙烷、氯乙烯、苯、氯苯、1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2-二氯苯、1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4-二氯苯、乙苯、苯乙烯、甲苯、间二甲苯+对二甲苯、邻二甲苯、硝基苯、苯胺、2-氯苯酚、苯并[a]蒽、苯并[a]芘、苯并[b]荧蒽、苯并[k]荧蒽、䓛、二苯并[a</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h]蒽、茚并[1</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2</w:t>
      </w:r>
      <w:r>
        <w:rPr>
          <w:rFonts w:hint="eastAsia" w:cs="Times New Roman"/>
          <w:bCs/>
          <w:color w:val="auto"/>
          <w:kern w:val="0"/>
          <w:szCs w:val="24"/>
          <w:highlight w:val="none"/>
          <w:lang w:eastAsia="zh-CN"/>
        </w:rPr>
        <w:t>，</w:t>
      </w:r>
      <w:r>
        <w:rPr>
          <w:rFonts w:hint="eastAsia" w:ascii="Times New Roman" w:hAnsi="Times New Roman" w:eastAsia="宋体" w:cs="Times New Roman"/>
          <w:bCs/>
          <w:color w:val="auto"/>
          <w:kern w:val="0"/>
          <w:szCs w:val="24"/>
          <w:highlight w:val="none"/>
          <w:lang w:eastAsia="zh-CN"/>
        </w:rPr>
        <w:t>3-cd]芘、萘。</w:t>
      </w:r>
    </w:p>
    <w:p w14:paraId="2A635EE7">
      <w:pPr>
        <w:ind w:firstLine="480"/>
        <w:rPr>
          <w:rFonts w:ascii="Times New Roman" w:hAnsi="Times New Roman" w:eastAsia="宋体"/>
          <w:color w:val="auto"/>
          <w:highlight w:val="none"/>
        </w:rPr>
      </w:pPr>
      <w:r>
        <w:rPr>
          <w:rFonts w:hint="eastAsia" w:ascii="Times New Roman" w:hAnsi="Times New Roman" w:eastAsia="宋体"/>
          <w:color w:val="auto"/>
          <w:highlight w:val="none"/>
        </w:rPr>
        <w:t>（3）评价标准</w:t>
      </w:r>
    </w:p>
    <w:p w14:paraId="1FF5C452">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本次土壤环境质量评价采用《土壤环境质量农用地土壤污染风险管控标准》（试行）（GB</w:t>
      </w:r>
      <w:r>
        <w:rPr>
          <w:rFonts w:ascii="Times New Roman" w:hAnsi="Times New Roman" w:eastAsia="宋体"/>
          <w:color w:val="auto"/>
          <w:highlight w:val="none"/>
        </w:rPr>
        <w:t>15618</w:t>
      </w:r>
      <w:r>
        <w:rPr>
          <w:rFonts w:hint="eastAsia" w:ascii="Times New Roman" w:hAnsi="Times New Roman" w:eastAsia="宋体"/>
          <w:color w:val="auto"/>
          <w:highlight w:val="none"/>
        </w:rPr>
        <w:t>-2018）中农用地土壤污染风险筛选值、风险管理值。</w:t>
      </w:r>
    </w:p>
    <w:p w14:paraId="3821E76F">
      <w:pPr>
        <w:ind w:firstLine="480"/>
        <w:rPr>
          <w:rFonts w:ascii="Times New Roman" w:hAnsi="Times New Roman" w:eastAsia="宋体"/>
          <w:color w:val="auto"/>
          <w:highlight w:val="none"/>
        </w:rPr>
      </w:pPr>
      <w:r>
        <w:rPr>
          <w:rFonts w:hint="eastAsia" w:ascii="Times New Roman" w:hAnsi="Times New Roman" w:eastAsia="宋体"/>
          <w:color w:val="auto"/>
          <w:highlight w:val="none"/>
        </w:rPr>
        <w:t>（4）监测数据及评价结果</w:t>
      </w:r>
    </w:p>
    <w:p w14:paraId="3DDB8F6D">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监测数据及评价结果见表4.2-10。</w:t>
      </w:r>
    </w:p>
    <w:p w14:paraId="362A4C3C">
      <w:pPr>
        <w:pStyle w:val="10"/>
        <w:rPr>
          <w:rFonts w:ascii="Times New Roman" w:hAnsi="Times New Roman" w:eastAsia="宋体"/>
          <w:color w:val="auto"/>
          <w:highlight w:val="none"/>
        </w:rPr>
      </w:pPr>
      <w:r>
        <w:rPr>
          <w:rFonts w:hint="eastAsia" w:ascii="Times New Roman" w:hAnsi="Times New Roman" w:eastAsia="宋体"/>
          <w:color w:val="auto"/>
          <w:highlight w:val="none"/>
        </w:rPr>
        <w:t>表4.2-10土壤环境质量现状监测结果</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64"/>
        <w:gridCol w:w="1235"/>
        <w:gridCol w:w="1114"/>
        <w:gridCol w:w="1093"/>
        <w:gridCol w:w="1105"/>
        <w:gridCol w:w="1219"/>
        <w:gridCol w:w="856"/>
      </w:tblGrid>
      <w:tr w14:paraId="4AAC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73" w:type="pct"/>
            <w:vMerge w:val="restart"/>
            <w:shd w:val="clear" w:color="auto" w:fill="auto"/>
            <w:vAlign w:val="center"/>
          </w:tcPr>
          <w:p w14:paraId="2397CB8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采样点位</w:t>
            </w:r>
          </w:p>
        </w:tc>
        <w:tc>
          <w:tcPr>
            <w:tcW w:w="741" w:type="pct"/>
            <w:vMerge w:val="restart"/>
            <w:shd w:val="clear" w:color="auto" w:fill="auto"/>
            <w:vAlign w:val="center"/>
          </w:tcPr>
          <w:p w14:paraId="793779F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监测项目</w:t>
            </w:r>
          </w:p>
        </w:tc>
        <w:tc>
          <w:tcPr>
            <w:tcW w:w="724" w:type="pct"/>
            <w:vMerge w:val="restart"/>
            <w:shd w:val="clear" w:color="auto" w:fill="auto"/>
            <w:vAlign w:val="center"/>
          </w:tcPr>
          <w:p w14:paraId="7FDFB8C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单位</w:t>
            </w:r>
          </w:p>
        </w:tc>
        <w:tc>
          <w:tcPr>
            <w:tcW w:w="1942" w:type="pct"/>
            <w:gridSpan w:val="3"/>
            <w:shd w:val="clear" w:color="auto" w:fill="auto"/>
            <w:vAlign w:val="center"/>
          </w:tcPr>
          <w:p w14:paraId="0269B28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检测结果</w:t>
            </w:r>
          </w:p>
        </w:tc>
        <w:tc>
          <w:tcPr>
            <w:tcW w:w="715" w:type="pct"/>
            <w:vMerge w:val="restart"/>
            <w:shd w:val="clear" w:color="auto" w:fill="auto"/>
            <w:vAlign w:val="center"/>
          </w:tcPr>
          <w:p w14:paraId="4EC78BD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标准限值（</w:t>
            </w:r>
            <w:r>
              <w:rPr>
                <w:rFonts w:ascii="Times New Roman" w:hAnsi="Times New Roman" w:eastAsia="宋体"/>
                <w:color w:val="auto"/>
                <w:kern w:val="0"/>
                <w:sz w:val="21"/>
                <w:szCs w:val="21"/>
                <w:highlight w:val="none"/>
              </w:rPr>
              <w:t>mg/kg</w:t>
            </w:r>
            <w:r>
              <w:rPr>
                <w:rFonts w:hint="eastAsia" w:ascii="Times New Roman" w:hAnsi="Times New Roman" w:eastAsia="宋体"/>
                <w:color w:val="auto"/>
                <w:kern w:val="0"/>
                <w:sz w:val="21"/>
                <w:szCs w:val="21"/>
                <w:highlight w:val="none"/>
              </w:rPr>
              <w:t>）</w:t>
            </w:r>
          </w:p>
        </w:tc>
        <w:tc>
          <w:tcPr>
            <w:tcW w:w="502" w:type="pct"/>
            <w:vMerge w:val="restart"/>
            <w:shd w:val="clear" w:color="auto" w:fill="auto"/>
            <w:vAlign w:val="center"/>
          </w:tcPr>
          <w:p w14:paraId="59B36AE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达标情况</w:t>
            </w:r>
          </w:p>
        </w:tc>
      </w:tr>
      <w:tr w14:paraId="0127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535248F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vMerge w:val="continue"/>
            <w:shd w:val="clear" w:color="auto" w:fill="auto"/>
            <w:vAlign w:val="center"/>
          </w:tcPr>
          <w:p w14:paraId="56DB09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24" w:type="pct"/>
            <w:vMerge w:val="continue"/>
            <w:shd w:val="clear" w:color="auto" w:fill="auto"/>
            <w:vAlign w:val="center"/>
          </w:tcPr>
          <w:p w14:paraId="56880AF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653" w:type="pct"/>
            <w:shd w:val="clear" w:color="auto" w:fill="auto"/>
            <w:vAlign w:val="center"/>
          </w:tcPr>
          <w:p w14:paraId="776C3EA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1</w:t>
            </w:r>
            <w:r>
              <w:rPr>
                <w:rFonts w:hint="eastAsia" w:ascii="Times New Roman" w:hAnsi="Times New Roman" w:eastAsia="宋体"/>
                <w:color w:val="auto"/>
                <w:kern w:val="0"/>
                <w:sz w:val="21"/>
                <w:szCs w:val="21"/>
                <w:highlight w:val="none"/>
              </w:rPr>
              <w:t>#</w:t>
            </w:r>
          </w:p>
        </w:tc>
        <w:tc>
          <w:tcPr>
            <w:tcW w:w="641" w:type="pct"/>
            <w:shd w:val="clear" w:color="auto" w:fill="auto"/>
            <w:vAlign w:val="center"/>
          </w:tcPr>
          <w:p w14:paraId="298AAAF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2</w:t>
            </w:r>
            <w:r>
              <w:rPr>
                <w:rFonts w:hint="eastAsia" w:ascii="Times New Roman" w:hAnsi="Times New Roman" w:eastAsia="宋体"/>
                <w:color w:val="auto"/>
                <w:kern w:val="0"/>
                <w:sz w:val="21"/>
                <w:szCs w:val="21"/>
                <w:highlight w:val="none"/>
              </w:rPr>
              <w:t>#</w:t>
            </w:r>
          </w:p>
        </w:tc>
        <w:tc>
          <w:tcPr>
            <w:tcW w:w="647" w:type="pct"/>
            <w:shd w:val="clear" w:color="auto" w:fill="auto"/>
            <w:vAlign w:val="center"/>
          </w:tcPr>
          <w:p w14:paraId="3146617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3</w:t>
            </w:r>
            <w:r>
              <w:rPr>
                <w:rFonts w:hint="eastAsia" w:ascii="Times New Roman" w:hAnsi="Times New Roman" w:eastAsia="宋体"/>
                <w:color w:val="auto"/>
                <w:kern w:val="0"/>
                <w:sz w:val="21"/>
                <w:szCs w:val="21"/>
                <w:highlight w:val="none"/>
              </w:rPr>
              <w:t>#</w:t>
            </w:r>
          </w:p>
        </w:tc>
        <w:tc>
          <w:tcPr>
            <w:tcW w:w="715" w:type="pct"/>
            <w:vMerge w:val="continue"/>
            <w:shd w:val="clear" w:color="auto" w:fill="auto"/>
            <w:vAlign w:val="center"/>
          </w:tcPr>
          <w:p w14:paraId="172262C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502" w:type="pct"/>
            <w:vMerge w:val="continue"/>
            <w:shd w:val="clear" w:color="auto" w:fill="auto"/>
            <w:vAlign w:val="center"/>
          </w:tcPr>
          <w:p w14:paraId="2E592D0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r>
      <w:tr w14:paraId="51B7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restart"/>
            <w:shd w:val="clear" w:color="auto" w:fill="auto"/>
            <w:vAlign w:val="center"/>
          </w:tcPr>
          <w:p w14:paraId="6937522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1</w:t>
            </w:r>
            <w:r>
              <w:rPr>
                <w:rFonts w:hint="eastAsia" w:ascii="Times New Roman" w:hAnsi="Times New Roman" w:eastAsia="宋体"/>
                <w:color w:val="auto"/>
                <w:kern w:val="0"/>
                <w:sz w:val="21"/>
                <w:szCs w:val="21"/>
                <w:highlight w:val="none"/>
              </w:rPr>
              <w:t>#：项目区</w:t>
            </w:r>
            <w:r>
              <w:rPr>
                <w:rFonts w:hint="eastAsia" w:ascii="Times New Roman" w:hAnsi="Times New Roman" w:eastAsia="宋体"/>
                <w:color w:val="auto"/>
                <w:kern w:val="0"/>
                <w:sz w:val="21"/>
                <w:szCs w:val="21"/>
                <w:highlight w:val="none"/>
                <w:lang w:val="en-US" w:eastAsia="zh-CN"/>
              </w:rPr>
              <w:t>北侧</w:t>
            </w:r>
            <w:r>
              <w:rPr>
                <w:rFonts w:hint="eastAsia" w:ascii="Times New Roman" w:hAnsi="Times New Roman" w:eastAsia="宋体"/>
                <w:color w:val="auto"/>
                <w:kern w:val="0"/>
                <w:sz w:val="21"/>
                <w:szCs w:val="21"/>
                <w:highlight w:val="none"/>
              </w:rPr>
              <w:t>、</w:t>
            </w:r>
            <w:r>
              <w:rPr>
                <w:rFonts w:hint="eastAsia" w:ascii="Times New Roman" w:hAnsi="Times New Roman" w:eastAsia="宋体"/>
                <w:color w:val="auto"/>
                <w:kern w:val="0"/>
                <w:sz w:val="21"/>
                <w:szCs w:val="21"/>
                <w:highlight w:val="none"/>
                <w:lang w:val="en-US" w:eastAsia="zh-CN"/>
              </w:rPr>
              <w:t>2</w:t>
            </w:r>
            <w:r>
              <w:rPr>
                <w:rFonts w:hint="eastAsia" w:ascii="Times New Roman" w:hAnsi="Times New Roman" w:eastAsia="宋体"/>
                <w:color w:val="auto"/>
                <w:kern w:val="0"/>
                <w:sz w:val="21"/>
                <w:szCs w:val="21"/>
                <w:highlight w:val="none"/>
              </w:rPr>
              <w:t>#：项目区</w:t>
            </w:r>
            <w:r>
              <w:rPr>
                <w:rFonts w:hint="eastAsia" w:ascii="Times New Roman" w:hAnsi="Times New Roman" w:eastAsia="宋体"/>
                <w:color w:val="auto"/>
                <w:kern w:val="0"/>
                <w:sz w:val="21"/>
                <w:szCs w:val="21"/>
                <w:highlight w:val="none"/>
                <w:lang w:val="en-US" w:eastAsia="zh-CN"/>
              </w:rPr>
              <w:t>中间</w:t>
            </w:r>
            <w:r>
              <w:rPr>
                <w:rFonts w:hint="eastAsia" w:ascii="Times New Roman" w:hAnsi="Times New Roman" w:eastAsia="宋体"/>
                <w:color w:val="auto"/>
                <w:kern w:val="0"/>
                <w:sz w:val="21"/>
                <w:szCs w:val="21"/>
                <w:highlight w:val="none"/>
              </w:rPr>
              <w:t>、</w:t>
            </w:r>
            <w:r>
              <w:rPr>
                <w:rFonts w:hint="eastAsia" w:ascii="Times New Roman" w:hAnsi="Times New Roman" w:eastAsia="宋体"/>
                <w:color w:val="auto"/>
                <w:kern w:val="0"/>
                <w:sz w:val="21"/>
                <w:szCs w:val="21"/>
                <w:highlight w:val="none"/>
                <w:lang w:val="en-US" w:eastAsia="zh-CN"/>
              </w:rPr>
              <w:t>3</w:t>
            </w:r>
            <w:r>
              <w:rPr>
                <w:rFonts w:hint="eastAsia" w:ascii="Times New Roman" w:hAnsi="Times New Roman" w:eastAsia="宋体"/>
                <w:color w:val="auto"/>
                <w:kern w:val="0"/>
                <w:sz w:val="21"/>
                <w:szCs w:val="21"/>
                <w:highlight w:val="none"/>
              </w:rPr>
              <w:t>#：项目区</w:t>
            </w:r>
            <w:r>
              <w:rPr>
                <w:rFonts w:hint="eastAsia" w:ascii="Times New Roman" w:hAnsi="Times New Roman" w:eastAsia="宋体"/>
                <w:color w:val="auto"/>
                <w:kern w:val="0"/>
                <w:sz w:val="21"/>
                <w:szCs w:val="21"/>
                <w:highlight w:val="none"/>
                <w:lang w:val="en-US" w:eastAsia="zh-CN"/>
              </w:rPr>
              <w:t>南</w:t>
            </w:r>
            <w:r>
              <w:rPr>
                <w:rFonts w:hint="eastAsia" w:ascii="Times New Roman" w:hAnsi="Times New Roman" w:eastAsia="宋体"/>
                <w:color w:val="auto"/>
                <w:kern w:val="0"/>
                <w:sz w:val="21"/>
                <w:szCs w:val="21"/>
                <w:highlight w:val="none"/>
              </w:rPr>
              <w:t>、</w:t>
            </w:r>
          </w:p>
        </w:tc>
        <w:tc>
          <w:tcPr>
            <w:tcW w:w="741" w:type="pct"/>
            <w:shd w:val="clear" w:color="auto" w:fill="auto"/>
            <w:vAlign w:val="center"/>
          </w:tcPr>
          <w:p w14:paraId="5F929A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氯乙烯</w:t>
            </w:r>
          </w:p>
        </w:tc>
        <w:tc>
          <w:tcPr>
            <w:tcW w:w="724" w:type="pct"/>
            <w:tcBorders>
              <w:top w:val="single" w:color="auto" w:sz="4" w:space="0"/>
              <w:left w:val="single" w:color="auto" w:sz="4" w:space="0"/>
              <w:bottom w:val="nil"/>
              <w:right w:val="nil"/>
            </w:tcBorders>
            <w:shd w:val="clear" w:color="auto" w:fill="auto"/>
            <w:vAlign w:val="center"/>
          </w:tcPr>
          <w:p w14:paraId="7B3D1F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14:paraId="5B7E05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1.5</w:t>
            </w:r>
          </w:p>
        </w:tc>
        <w:tc>
          <w:tcPr>
            <w:tcW w:w="641" w:type="pct"/>
            <w:tcBorders>
              <w:top w:val="single" w:color="auto" w:sz="4" w:space="0"/>
              <w:left w:val="single" w:color="auto" w:sz="4" w:space="0"/>
              <w:bottom w:val="nil"/>
              <w:right w:val="nil"/>
            </w:tcBorders>
            <w:shd w:val="clear" w:color="auto" w:fill="auto"/>
            <w:vAlign w:val="center"/>
          </w:tcPr>
          <w:p w14:paraId="13E279E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16"/>
                <w:highlight w:val="none"/>
                <w:lang w:val="en-US" w:eastAsia="zh-CN"/>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14:paraId="33B326A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5E1192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0.43</w:t>
            </w:r>
          </w:p>
        </w:tc>
        <w:tc>
          <w:tcPr>
            <w:tcW w:w="502" w:type="pct"/>
            <w:shd w:val="clear" w:color="auto" w:fill="auto"/>
            <w:vAlign w:val="center"/>
          </w:tcPr>
          <w:p w14:paraId="0F2F614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6BE2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5491B14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726DDA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1-二氯乙烯</w:t>
            </w:r>
          </w:p>
        </w:tc>
        <w:tc>
          <w:tcPr>
            <w:tcW w:w="724" w:type="pct"/>
            <w:tcBorders>
              <w:top w:val="single" w:color="auto" w:sz="4" w:space="0"/>
              <w:left w:val="single" w:color="auto" w:sz="4" w:space="0"/>
              <w:bottom w:val="nil"/>
              <w:right w:val="nil"/>
            </w:tcBorders>
            <w:shd w:val="clear" w:color="auto" w:fill="auto"/>
            <w:vAlign w:val="center"/>
          </w:tcPr>
          <w:p w14:paraId="193961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14:paraId="7ACC90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0.8</w:t>
            </w:r>
          </w:p>
        </w:tc>
        <w:tc>
          <w:tcPr>
            <w:tcW w:w="641" w:type="pct"/>
            <w:tcBorders>
              <w:top w:val="single" w:color="auto" w:sz="4" w:space="0"/>
              <w:left w:val="single" w:color="auto" w:sz="4" w:space="0"/>
              <w:bottom w:val="nil"/>
              <w:right w:val="nil"/>
            </w:tcBorders>
            <w:shd w:val="clear" w:color="auto" w:fill="auto"/>
            <w:vAlign w:val="center"/>
          </w:tcPr>
          <w:p w14:paraId="244509E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14:paraId="0721779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4A97B7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66</w:t>
            </w:r>
          </w:p>
        </w:tc>
        <w:tc>
          <w:tcPr>
            <w:tcW w:w="502" w:type="pct"/>
            <w:shd w:val="clear" w:color="auto" w:fill="auto"/>
            <w:vAlign w:val="center"/>
          </w:tcPr>
          <w:p w14:paraId="58CD988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05D6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7C0FFE2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465BFA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二氯甲烷</w:t>
            </w:r>
          </w:p>
        </w:tc>
        <w:tc>
          <w:tcPr>
            <w:tcW w:w="724" w:type="pct"/>
            <w:tcBorders>
              <w:top w:val="single" w:color="auto" w:sz="4" w:space="0"/>
              <w:left w:val="single" w:color="auto" w:sz="4" w:space="0"/>
              <w:bottom w:val="nil"/>
              <w:right w:val="nil"/>
            </w:tcBorders>
            <w:shd w:val="clear" w:color="auto" w:fill="auto"/>
            <w:vAlign w:val="center"/>
          </w:tcPr>
          <w:p w14:paraId="0444BA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14:paraId="0C0014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2.6</w:t>
            </w:r>
          </w:p>
        </w:tc>
        <w:tc>
          <w:tcPr>
            <w:tcW w:w="641" w:type="pct"/>
            <w:tcBorders>
              <w:top w:val="single" w:color="auto" w:sz="4" w:space="0"/>
              <w:left w:val="single" w:color="auto" w:sz="4" w:space="0"/>
              <w:bottom w:val="nil"/>
              <w:right w:val="nil"/>
            </w:tcBorders>
            <w:shd w:val="clear" w:color="auto" w:fill="auto"/>
            <w:vAlign w:val="center"/>
          </w:tcPr>
          <w:p w14:paraId="301D741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14:paraId="050C82D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239EAE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bidi="ar-SA"/>
              </w:rPr>
              <w:t>616</w:t>
            </w:r>
          </w:p>
        </w:tc>
        <w:tc>
          <w:tcPr>
            <w:tcW w:w="502" w:type="pct"/>
            <w:shd w:val="clear" w:color="auto" w:fill="auto"/>
            <w:vAlign w:val="center"/>
          </w:tcPr>
          <w:p w14:paraId="3A20F93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29E7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0E08464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6A6D6D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反-1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2-二氯乙烯</w:t>
            </w:r>
          </w:p>
        </w:tc>
        <w:tc>
          <w:tcPr>
            <w:tcW w:w="724" w:type="pct"/>
            <w:tcBorders>
              <w:top w:val="single" w:color="auto" w:sz="4" w:space="0"/>
              <w:left w:val="single" w:color="auto" w:sz="4" w:space="0"/>
              <w:bottom w:val="nil"/>
              <w:right w:val="nil"/>
            </w:tcBorders>
            <w:shd w:val="clear" w:color="auto" w:fill="auto"/>
            <w:vAlign w:val="center"/>
          </w:tcPr>
          <w:p w14:paraId="6EF1479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14:paraId="7844E1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0.9</w:t>
            </w:r>
          </w:p>
        </w:tc>
        <w:tc>
          <w:tcPr>
            <w:tcW w:w="641" w:type="pct"/>
            <w:tcBorders>
              <w:top w:val="single" w:color="auto" w:sz="4" w:space="0"/>
              <w:left w:val="single" w:color="auto" w:sz="4" w:space="0"/>
              <w:bottom w:val="nil"/>
              <w:right w:val="nil"/>
            </w:tcBorders>
            <w:shd w:val="clear" w:color="auto" w:fill="auto"/>
            <w:vAlign w:val="center"/>
          </w:tcPr>
          <w:p w14:paraId="3070143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14:paraId="3E127EB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2F617F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54</w:t>
            </w:r>
          </w:p>
        </w:tc>
        <w:tc>
          <w:tcPr>
            <w:tcW w:w="502" w:type="pct"/>
            <w:shd w:val="clear" w:color="auto" w:fill="auto"/>
            <w:vAlign w:val="center"/>
          </w:tcPr>
          <w:p w14:paraId="15E6140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246C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61EB140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0C6D47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1-二氯乙烷</w:t>
            </w:r>
          </w:p>
        </w:tc>
        <w:tc>
          <w:tcPr>
            <w:tcW w:w="724" w:type="pct"/>
            <w:tcBorders>
              <w:top w:val="single" w:color="auto" w:sz="4" w:space="0"/>
              <w:left w:val="single" w:color="auto" w:sz="4" w:space="0"/>
              <w:bottom w:val="nil"/>
              <w:right w:val="nil"/>
            </w:tcBorders>
            <w:shd w:val="clear" w:color="auto" w:fill="auto"/>
            <w:vAlign w:val="center"/>
          </w:tcPr>
          <w:p w14:paraId="6706EE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14:paraId="23E04C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1.6</w:t>
            </w:r>
          </w:p>
        </w:tc>
        <w:tc>
          <w:tcPr>
            <w:tcW w:w="641" w:type="pct"/>
            <w:tcBorders>
              <w:top w:val="single" w:color="auto" w:sz="4" w:space="0"/>
              <w:left w:val="single" w:color="auto" w:sz="4" w:space="0"/>
              <w:bottom w:val="nil"/>
              <w:right w:val="nil"/>
            </w:tcBorders>
            <w:shd w:val="clear" w:color="auto" w:fill="auto"/>
            <w:vAlign w:val="center"/>
          </w:tcPr>
          <w:p w14:paraId="2D16A6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14:paraId="311D393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07A4BB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9</w:t>
            </w:r>
          </w:p>
        </w:tc>
        <w:tc>
          <w:tcPr>
            <w:tcW w:w="502" w:type="pct"/>
            <w:shd w:val="clear" w:color="auto" w:fill="auto"/>
            <w:vAlign w:val="center"/>
          </w:tcPr>
          <w:p w14:paraId="53D9C40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31A5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320A5CB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213E29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顺-1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2-二氯乙烯</w:t>
            </w:r>
          </w:p>
        </w:tc>
        <w:tc>
          <w:tcPr>
            <w:tcW w:w="724" w:type="pct"/>
            <w:tcBorders>
              <w:top w:val="single" w:color="auto" w:sz="4" w:space="0"/>
              <w:left w:val="single" w:color="auto" w:sz="4" w:space="0"/>
              <w:bottom w:val="nil"/>
              <w:right w:val="nil"/>
            </w:tcBorders>
            <w:shd w:val="clear" w:color="auto" w:fill="auto"/>
            <w:vAlign w:val="center"/>
          </w:tcPr>
          <w:p w14:paraId="610013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14:paraId="38131B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0.9</w:t>
            </w:r>
          </w:p>
        </w:tc>
        <w:tc>
          <w:tcPr>
            <w:tcW w:w="641" w:type="pct"/>
            <w:tcBorders>
              <w:top w:val="single" w:color="auto" w:sz="4" w:space="0"/>
              <w:left w:val="single" w:color="auto" w:sz="4" w:space="0"/>
              <w:bottom w:val="nil"/>
              <w:right w:val="nil"/>
            </w:tcBorders>
            <w:shd w:val="clear" w:color="auto" w:fill="auto"/>
            <w:vAlign w:val="center"/>
          </w:tcPr>
          <w:p w14:paraId="4C0B91B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14:paraId="2F97AB2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20E4D8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596</w:t>
            </w:r>
          </w:p>
        </w:tc>
        <w:tc>
          <w:tcPr>
            <w:tcW w:w="502" w:type="pct"/>
            <w:shd w:val="clear" w:color="auto" w:fill="auto"/>
            <w:vAlign w:val="center"/>
          </w:tcPr>
          <w:p w14:paraId="3B64BFF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375F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4BC67D8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4089A6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氯仿</w:t>
            </w:r>
          </w:p>
        </w:tc>
        <w:tc>
          <w:tcPr>
            <w:tcW w:w="724" w:type="pct"/>
            <w:tcBorders>
              <w:top w:val="single" w:color="auto" w:sz="4" w:space="0"/>
              <w:left w:val="single" w:color="auto" w:sz="4" w:space="0"/>
              <w:bottom w:val="nil"/>
              <w:right w:val="nil"/>
            </w:tcBorders>
            <w:shd w:val="clear" w:color="auto" w:fill="auto"/>
            <w:vAlign w:val="center"/>
          </w:tcPr>
          <w:p w14:paraId="10714A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14:paraId="62DB3C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1.5</w:t>
            </w:r>
          </w:p>
        </w:tc>
        <w:tc>
          <w:tcPr>
            <w:tcW w:w="641" w:type="pct"/>
            <w:tcBorders>
              <w:top w:val="single" w:color="auto" w:sz="4" w:space="0"/>
              <w:left w:val="single" w:color="auto" w:sz="4" w:space="0"/>
              <w:bottom w:val="nil"/>
              <w:right w:val="nil"/>
            </w:tcBorders>
            <w:shd w:val="clear" w:color="auto" w:fill="auto"/>
            <w:vAlign w:val="center"/>
          </w:tcPr>
          <w:p w14:paraId="0274608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14:paraId="73A82A5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3E908C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0.9</w:t>
            </w:r>
          </w:p>
        </w:tc>
        <w:tc>
          <w:tcPr>
            <w:tcW w:w="502" w:type="pct"/>
            <w:shd w:val="clear" w:color="auto" w:fill="auto"/>
            <w:vAlign w:val="center"/>
          </w:tcPr>
          <w:p w14:paraId="3545EC5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2E1A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7BD43B7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0C3094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1-三氯乙烷</w:t>
            </w:r>
          </w:p>
        </w:tc>
        <w:tc>
          <w:tcPr>
            <w:tcW w:w="724" w:type="pct"/>
            <w:tcBorders>
              <w:top w:val="single" w:color="auto" w:sz="4" w:space="0"/>
              <w:left w:val="single" w:color="auto" w:sz="4" w:space="0"/>
              <w:bottom w:val="nil"/>
              <w:right w:val="nil"/>
            </w:tcBorders>
            <w:shd w:val="clear" w:color="auto" w:fill="auto"/>
            <w:vAlign w:val="center"/>
          </w:tcPr>
          <w:p w14:paraId="061D27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14:paraId="01215E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1.1</w:t>
            </w:r>
          </w:p>
        </w:tc>
        <w:tc>
          <w:tcPr>
            <w:tcW w:w="641" w:type="pct"/>
            <w:tcBorders>
              <w:top w:val="single" w:color="auto" w:sz="4" w:space="0"/>
              <w:left w:val="single" w:color="auto" w:sz="4" w:space="0"/>
              <w:bottom w:val="nil"/>
              <w:right w:val="nil"/>
            </w:tcBorders>
            <w:shd w:val="clear" w:color="auto" w:fill="auto"/>
            <w:vAlign w:val="center"/>
          </w:tcPr>
          <w:p w14:paraId="4DE6AD9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14:paraId="0D91891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6155E6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840</w:t>
            </w:r>
          </w:p>
        </w:tc>
        <w:tc>
          <w:tcPr>
            <w:tcW w:w="502" w:type="pct"/>
            <w:shd w:val="clear" w:color="auto" w:fill="auto"/>
            <w:vAlign w:val="center"/>
          </w:tcPr>
          <w:p w14:paraId="38A8DD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7844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0B85969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646141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四氯化碳</w:t>
            </w:r>
          </w:p>
        </w:tc>
        <w:tc>
          <w:tcPr>
            <w:tcW w:w="724" w:type="pct"/>
            <w:tcBorders>
              <w:top w:val="single" w:color="auto" w:sz="4" w:space="0"/>
              <w:left w:val="single" w:color="auto" w:sz="4" w:space="0"/>
              <w:bottom w:val="nil"/>
              <w:right w:val="nil"/>
            </w:tcBorders>
            <w:shd w:val="clear" w:color="auto" w:fill="auto"/>
            <w:vAlign w:val="center"/>
          </w:tcPr>
          <w:p w14:paraId="31441A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tcBorders>
              <w:top w:val="single" w:color="auto" w:sz="4" w:space="0"/>
              <w:left w:val="single" w:color="auto" w:sz="4" w:space="0"/>
              <w:bottom w:val="nil"/>
              <w:right w:val="nil"/>
            </w:tcBorders>
            <w:shd w:val="clear" w:color="auto" w:fill="auto"/>
            <w:vAlign w:val="center"/>
          </w:tcPr>
          <w:p w14:paraId="35263B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16"/>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2.1</w:t>
            </w:r>
          </w:p>
        </w:tc>
        <w:tc>
          <w:tcPr>
            <w:tcW w:w="641" w:type="pct"/>
            <w:tcBorders>
              <w:top w:val="single" w:color="auto" w:sz="4" w:space="0"/>
              <w:left w:val="single" w:color="auto" w:sz="4" w:space="0"/>
              <w:bottom w:val="nil"/>
              <w:right w:val="nil"/>
            </w:tcBorders>
            <w:shd w:val="clear" w:color="auto" w:fill="auto"/>
            <w:vAlign w:val="center"/>
          </w:tcPr>
          <w:p w14:paraId="713192E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647" w:type="pct"/>
            <w:tcBorders>
              <w:top w:val="single" w:color="auto" w:sz="4" w:space="0"/>
              <w:left w:val="single" w:color="auto" w:sz="4" w:space="0"/>
              <w:bottom w:val="nil"/>
              <w:right w:val="nil"/>
            </w:tcBorders>
            <w:shd w:val="clear" w:color="auto" w:fill="auto"/>
            <w:vAlign w:val="center"/>
          </w:tcPr>
          <w:p w14:paraId="4238CEA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16"/>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556F16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2.8</w:t>
            </w:r>
          </w:p>
        </w:tc>
        <w:tc>
          <w:tcPr>
            <w:tcW w:w="502" w:type="pct"/>
            <w:shd w:val="clear" w:color="auto" w:fill="auto"/>
            <w:vAlign w:val="center"/>
          </w:tcPr>
          <w:p w14:paraId="6F54C8B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6FDD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005D514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000B83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2-二氯乙烷</w:t>
            </w:r>
          </w:p>
        </w:tc>
        <w:tc>
          <w:tcPr>
            <w:tcW w:w="724" w:type="pct"/>
            <w:shd w:val="clear" w:color="auto" w:fill="auto"/>
            <w:vAlign w:val="center"/>
          </w:tcPr>
          <w:p w14:paraId="7D4478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7C7886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1.3</w:t>
            </w:r>
          </w:p>
        </w:tc>
        <w:tc>
          <w:tcPr>
            <w:tcW w:w="641" w:type="pct"/>
            <w:shd w:val="clear" w:color="auto" w:fill="auto"/>
            <w:vAlign w:val="center"/>
          </w:tcPr>
          <w:p w14:paraId="508A56F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4FBABF1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4CD17D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w:t>
            </w:r>
          </w:p>
        </w:tc>
        <w:tc>
          <w:tcPr>
            <w:tcW w:w="502" w:type="pct"/>
            <w:shd w:val="clear" w:color="auto" w:fill="auto"/>
            <w:vAlign w:val="center"/>
          </w:tcPr>
          <w:p w14:paraId="1103404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3381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2774FC7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51088C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苯</w:t>
            </w:r>
          </w:p>
        </w:tc>
        <w:tc>
          <w:tcPr>
            <w:tcW w:w="724" w:type="pct"/>
            <w:shd w:val="clear" w:color="auto" w:fill="auto"/>
            <w:vAlign w:val="center"/>
          </w:tcPr>
          <w:p w14:paraId="0C3607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4BE5D5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w:t>
            </w:r>
            <w:r>
              <w:rPr>
                <w:rFonts w:hint="eastAsia" w:ascii="Times New Roman" w:hAnsi="Times New Roman" w:eastAsia="宋体" w:cs="Times New Roman"/>
                <w:color w:val="auto"/>
                <w:kern w:val="0"/>
                <w:sz w:val="21"/>
                <w:szCs w:val="21"/>
                <w:highlight w:val="none"/>
                <w:lang w:val="en-US" w:eastAsia="zh-CN"/>
              </w:rPr>
              <w:t>6</w:t>
            </w:r>
          </w:p>
        </w:tc>
        <w:tc>
          <w:tcPr>
            <w:tcW w:w="641" w:type="pct"/>
            <w:shd w:val="clear" w:color="auto" w:fill="auto"/>
            <w:vAlign w:val="center"/>
          </w:tcPr>
          <w:p w14:paraId="58172BD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338A00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3A5786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4</w:t>
            </w:r>
          </w:p>
        </w:tc>
        <w:tc>
          <w:tcPr>
            <w:tcW w:w="502" w:type="pct"/>
            <w:shd w:val="clear" w:color="auto" w:fill="auto"/>
            <w:vAlign w:val="center"/>
          </w:tcPr>
          <w:p w14:paraId="421F2FA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4252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5673E14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065EB5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三氯乙烯</w:t>
            </w:r>
          </w:p>
        </w:tc>
        <w:tc>
          <w:tcPr>
            <w:tcW w:w="724" w:type="pct"/>
            <w:shd w:val="clear" w:color="auto" w:fill="auto"/>
            <w:vAlign w:val="center"/>
          </w:tcPr>
          <w:p w14:paraId="79ABC1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4F0E75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0.9</w:t>
            </w:r>
          </w:p>
        </w:tc>
        <w:tc>
          <w:tcPr>
            <w:tcW w:w="641" w:type="pct"/>
            <w:shd w:val="clear" w:color="auto" w:fill="auto"/>
            <w:vAlign w:val="center"/>
          </w:tcPr>
          <w:p w14:paraId="5609B82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4F8F873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15FB28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2.8</w:t>
            </w:r>
          </w:p>
        </w:tc>
        <w:tc>
          <w:tcPr>
            <w:tcW w:w="502" w:type="pct"/>
            <w:shd w:val="clear" w:color="auto" w:fill="auto"/>
            <w:vAlign w:val="center"/>
          </w:tcPr>
          <w:p w14:paraId="4C6BCA2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4331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301E9CF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17FDAE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2-二氯丙烷</w:t>
            </w:r>
          </w:p>
        </w:tc>
        <w:tc>
          <w:tcPr>
            <w:tcW w:w="724" w:type="pct"/>
            <w:shd w:val="clear" w:color="auto" w:fill="auto"/>
            <w:vAlign w:val="center"/>
          </w:tcPr>
          <w:p w14:paraId="6FAC5C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600EAD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1.9</w:t>
            </w:r>
          </w:p>
        </w:tc>
        <w:tc>
          <w:tcPr>
            <w:tcW w:w="641" w:type="pct"/>
            <w:shd w:val="clear" w:color="auto" w:fill="auto"/>
            <w:vAlign w:val="center"/>
          </w:tcPr>
          <w:p w14:paraId="59014F0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01A5CDD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22C186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w:t>
            </w:r>
          </w:p>
        </w:tc>
        <w:tc>
          <w:tcPr>
            <w:tcW w:w="502" w:type="pct"/>
            <w:shd w:val="clear" w:color="auto" w:fill="auto"/>
            <w:vAlign w:val="center"/>
          </w:tcPr>
          <w:p w14:paraId="0710B0E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41C8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6553343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18BB54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甲苯</w:t>
            </w:r>
          </w:p>
        </w:tc>
        <w:tc>
          <w:tcPr>
            <w:tcW w:w="724" w:type="pct"/>
            <w:shd w:val="clear" w:color="auto" w:fill="auto"/>
            <w:vAlign w:val="center"/>
          </w:tcPr>
          <w:p w14:paraId="584798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08A7A2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&lt;2.0</w:t>
            </w:r>
          </w:p>
        </w:tc>
        <w:tc>
          <w:tcPr>
            <w:tcW w:w="641" w:type="pct"/>
            <w:shd w:val="clear" w:color="auto" w:fill="auto"/>
            <w:vAlign w:val="center"/>
          </w:tcPr>
          <w:p w14:paraId="63E061F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6E565E5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645BEA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1200</w:t>
            </w:r>
          </w:p>
        </w:tc>
        <w:tc>
          <w:tcPr>
            <w:tcW w:w="502" w:type="pct"/>
            <w:shd w:val="clear" w:color="auto" w:fill="auto"/>
            <w:vAlign w:val="center"/>
          </w:tcPr>
          <w:p w14:paraId="6D25E89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5B1F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494AB42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25EDB8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2-三氯乙烷</w:t>
            </w:r>
          </w:p>
        </w:tc>
        <w:tc>
          <w:tcPr>
            <w:tcW w:w="724" w:type="pct"/>
            <w:shd w:val="clear" w:color="auto" w:fill="auto"/>
            <w:vAlign w:val="center"/>
          </w:tcPr>
          <w:p w14:paraId="66ACA7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27B0B7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1.4</w:t>
            </w:r>
          </w:p>
        </w:tc>
        <w:tc>
          <w:tcPr>
            <w:tcW w:w="641" w:type="pct"/>
            <w:shd w:val="clear" w:color="auto" w:fill="auto"/>
            <w:vAlign w:val="center"/>
          </w:tcPr>
          <w:p w14:paraId="69D4CE5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3BAE6EB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21E3D4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2.8</w:t>
            </w:r>
          </w:p>
        </w:tc>
        <w:tc>
          <w:tcPr>
            <w:tcW w:w="502" w:type="pct"/>
            <w:shd w:val="clear" w:color="auto" w:fill="auto"/>
            <w:vAlign w:val="center"/>
          </w:tcPr>
          <w:p w14:paraId="31D580D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6944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210B633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310337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四氯乙烯</w:t>
            </w:r>
          </w:p>
        </w:tc>
        <w:tc>
          <w:tcPr>
            <w:tcW w:w="724" w:type="pct"/>
            <w:shd w:val="clear" w:color="auto" w:fill="auto"/>
            <w:vAlign w:val="center"/>
          </w:tcPr>
          <w:p w14:paraId="6A6563E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7A69919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0.8</w:t>
            </w:r>
          </w:p>
        </w:tc>
        <w:tc>
          <w:tcPr>
            <w:tcW w:w="641" w:type="pct"/>
            <w:shd w:val="clear" w:color="auto" w:fill="auto"/>
            <w:vAlign w:val="center"/>
          </w:tcPr>
          <w:p w14:paraId="4EDF878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7AA5FB2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0CB4F2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53</w:t>
            </w:r>
          </w:p>
        </w:tc>
        <w:tc>
          <w:tcPr>
            <w:tcW w:w="502" w:type="pct"/>
            <w:shd w:val="clear" w:color="auto" w:fill="auto"/>
            <w:vAlign w:val="center"/>
          </w:tcPr>
          <w:p w14:paraId="0256E7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760F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4B16C04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4DECAC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氯苯</w:t>
            </w:r>
          </w:p>
        </w:tc>
        <w:tc>
          <w:tcPr>
            <w:tcW w:w="724" w:type="pct"/>
            <w:shd w:val="clear" w:color="auto" w:fill="auto"/>
            <w:vAlign w:val="center"/>
          </w:tcPr>
          <w:p w14:paraId="339CB6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12FA05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1.1</w:t>
            </w:r>
          </w:p>
        </w:tc>
        <w:tc>
          <w:tcPr>
            <w:tcW w:w="641" w:type="pct"/>
            <w:shd w:val="clear" w:color="auto" w:fill="auto"/>
            <w:vAlign w:val="center"/>
          </w:tcPr>
          <w:p w14:paraId="03646A3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35898DB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458E24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270</w:t>
            </w:r>
          </w:p>
        </w:tc>
        <w:tc>
          <w:tcPr>
            <w:tcW w:w="502" w:type="pct"/>
            <w:shd w:val="clear" w:color="auto" w:fill="auto"/>
            <w:vAlign w:val="center"/>
          </w:tcPr>
          <w:p w14:paraId="5DB8CAE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42CE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651CE8E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6684D0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2-四氯乙烷</w:t>
            </w:r>
          </w:p>
        </w:tc>
        <w:tc>
          <w:tcPr>
            <w:tcW w:w="724" w:type="pct"/>
            <w:shd w:val="clear" w:color="auto" w:fill="auto"/>
            <w:vAlign w:val="center"/>
          </w:tcPr>
          <w:p w14:paraId="01006B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5902B6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1.0</w:t>
            </w:r>
          </w:p>
        </w:tc>
        <w:tc>
          <w:tcPr>
            <w:tcW w:w="641" w:type="pct"/>
            <w:shd w:val="clear" w:color="auto" w:fill="auto"/>
            <w:vAlign w:val="center"/>
          </w:tcPr>
          <w:p w14:paraId="4C79E21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6B95624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404347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10</w:t>
            </w:r>
          </w:p>
        </w:tc>
        <w:tc>
          <w:tcPr>
            <w:tcW w:w="502" w:type="pct"/>
            <w:shd w:val="clear" w:color="auto" w:fill="auto"/>
            <w:vAlign w:val="center"/>
          </w:tcPr>
          <w:p w14:paraId="4AAA43C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6C88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7BAF47B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55FD79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乙苯</w:t>
            </w:r>
          </w:p>
        </w:tc>
        <w:tc>
          <w:tcPr>
            <w:tcW w:w="724" w:type="pct"/>
            <w:shd w:val="clear" w:color="auto" w:fill="auto"/>
            <w:vAlign w:val="center"/>
          </w:tcPr>
          <w:p w14:paraId="6309BC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6B30C3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1.2</w:t>
            </w:r>
          </w:p>
        </w:tc>
        <w:tc>
          <w:tcPr>
            <w:tcW w:w="641" w:type="pct"/>
            <w:shd w:val="clear" w:color="auto" w:fill="auto"/>
            <w:vAlign w:val="center"/>
          </w:tcPr>
          <w:p w14:paraId="4E1CC84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3DDEB90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329349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28</w:t>
            </w:r>
          </w:p>
        </w:tc>
        <w:tc>
          <w:tcPr>
            <w:tcW w:w="502" w:type="pct"/>
            <w:shd w:val="clear" w:color="auto" w:fill="auto"/>
            <w:vAlign w:val="center"/>
          </w:tcPr>
          <w:p w14:paraId="05799E4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4E4B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7981DE4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4C5C0A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间</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对-二甲苯</w:t>
            </w:r>
          </w:p>
        </w:tc>
        <w:tc>
          <w:tcPr>
            <w:tcW w:w="724" w:type="pct"/>
            <w:shd w:val="clear" w:color="auto" w:fill="auto"/>
            <w:vAlign w:val="center"/>
          </w:tcPr>
          <w:p w14:paraId="7F7550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4DCE28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3.6</w:t>
            </w:r>
          </w:p>
        </w:tc>
        <w:tc>
          <w:tcPr>
            <w:tcW w:w="641" w:type="pct"/>
            <w:shd w:val="clear" w:color="auto" w:fill="auto"/>
            <w:vAlign w:val="center"/>
          </w:tcPr>
          <w:p w14:paraId="55182CF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1149BC9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32153A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570</w:t>
            </w:r>
          </w:p>
        </w:tc>
        <w:tc>
          <w:tcPr>
            <w:tcW w:w="502" w:type="pct"/>
            <w:shd w:val="clear" w:color="auto" w:fill="auto"/>
            <w:vAlign w:val="center"/>
          </w:tcPr>
          <w:p w14:paraId="3717CB6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7EA1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7181A0C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0018A9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邻-二甲苯</w:t>
            </w:r>
          </w:p>
        </w:tc>
        <w:tc>
          <w:tcPr>
            <w:tcW w:w="724" w:type="pct"/>
            <w:shd w:val="clear" w:color="auto" w:fill="auto"/>
            <w:vAlign w:val="center"/>
          </w:tcPr>
          <w:p w14:paraId="65E628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5480BE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1.3</w:t>
            </w:r>
          </w:p>
        </w:tc>
        <w:tc>
          <w:tcPr>
            <w:tcW w:w="641" w:type="pct"/>
            <w:shd w:val="clear" w:color="auto" w:fill="auto"/>
            <w:vAlign w:val="center"/>
          </w:tcPr>
          <w:p w14:paraId="2EA64D9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67F3F1F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2ADA6E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640</w:t>
            </w:r>
          </w:p>
        </w:tc>
        <w:tc>
          <w:tcPr>
            <w:tcW w:w="502" w:type="pct"/>
            <w:shd w:val="clear" w:color="auto" w:fill="auto"/>
            <w:vAlign w:val="center"/>
          </w:tcPr>
          <w:p w14:paraId="2DE8EAF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61A2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6D8E431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0092CF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苯乙烯</w:t>
            </w:r>
          </w:p>
        </w:tc>
        <w:tc>
          <w:tcPr>
            <w:tcW w:w="724" w:type="pct"/>
            <w:shd w:val="clear" w:color="auto" w:fill="auto"/>
            <w:vAlign w:val="center"/>
          </w:tcPr>
          <w:p w14:paraId="6F6C409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21A015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1.6</w:t>
            </w:r>
          </w:p>
        </w:tc>
        <w:tc>
          <w:tcPr>
            <w:tcW w:w="641" w:type="pct"/>
            <w:shd w:val="clear" w:color="auto" w:fill="auto"/>
            <w:vAlign w:val="center"/>
          </w:tcPr>
          <w:p w14:paraId="76D3935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2F6A1F0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440EFE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1290</w:t>
            </w:r>
          </w:p>
        </w:tc>
        <w:tc>
          <w:tcPr>
            <w:tcW w:w="502" w:type="pct"/>
            <w:shd w:val="clear" w:color="auto" w:fill="auto"/>
            <w:vAlign w:val="center"/>
          </w:tcPr>
          <w:p w14:paraId="2D32BF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2B42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4B21474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1141BF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2-四氯乙烷</w:t>
            </w:r>
          </w:p>
        </w:tc>
        <w:tc>
          <w:tcPr>
            <w:tcW w:w="724" w:type="pct"/>
            <w:shd w:val="clear" w:color="auto" w:fill="auto"/>
            <w:vAlign w:val="center"/>
          </w:tcPr>
          <w:p w14:paraId="589D0E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0A64EC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1.0</w:t>
            </w:r>
          </w:p>
        </w:tc>
        <w:tc>
          <w:tcPr>
            <w:tcW w:w="641" w:type="pct"/>
            <w:shd w:val="clear" w:color="auto" w:fill="auto"/>
            <w:vAlign w:val="center"/>
          </w:tcPr>
          <w:p w14:paraId="215EB11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7878EA1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040D3D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6.8</w:t>
            </w:r>
          </w:p>
        </w:tc>
        <w:tc>
          <w:tcPr>
            <w:tcW w:w="502" w:type="pct"/>
            <w:shd w:val="clear" w:color="auto" w:fill="auto"/>
            <w:vAlign w:val="center"/>
          </w:tcPr>
          <w:p w14:paraId="2131B10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63B0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6898321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744242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2</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3-三氯丙烷</w:t>
            </w:r>
          </w:p>
        </w:tc>
        <w:tc>
          <w:tcPr>
            <w:tcW w:w="724" w:type="pct"/>
            <w:shd w:val="clear" w:color="auto" w:fill="auto"/>
            <w:vAlign w:val="center"/>
          </w:tcPr>
          <w:p w14:paraId="5C83F3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3E40AB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1.0</w:t>
            </w:r>
          </w:p>
        </w:tc>
        <w:tc>
          <w:tcPr>
            <w:tcW w:w="641" w:type="pct"/>
            <w:shd w:val="clear" w:color="auto" w:fill="auto"/>
            <w:vAlign w:val="center"/>
          </w:tcPr>
          <w:p w14:paraId="560B105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415118A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1AADCC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0.5</w:t>
            </w:r>
          </w:p>
        </w:tc>
        <w:tc>
          <w:tcPr>
            <w:tcW w:w="502" w:type="pct"/>
            <w:shd w:val="clear" w:color="auto" w:fill="auto"/>
            <w:vAlign w:val="center"/>
          </w:tcPr>
          <w:p w14:paraId="238074E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4F08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3779801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4810B8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4-二氯苯</w:t>
            </w:r>
          </w:p>
        </w:tc>
        <w:tc>
          <w:tcPr>
            <w:tcW w:w="724" w:type="pct"/>
            <w:shd w:val="clear" w:color="auto" w:fill="auto"/>
            <w:vAlign w:val="center"/>
          </w:tcPr>
          <w:p w14:paraId="223ED7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3B5818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1.2</w:t>
            </w:r>
          </w:p>
        </w:tc>
        <w:tc>
          <w:tcPr>
            <w:tcW w:w="641" w:type="pct"/>
            <w:shd w:val="clear" w:color="auto" w:fill="auto"/>
            <w:vAlign w:val="center"/>
          </w:tcPr>
          <w:p w14:paraId="6242317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1BB9136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128800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20</w:t>
            </w:r>
          </w:p>
        </w:tc>
        <w:tc>
          <w:tcPr>
            <w:tcW w:w="502" w:type="pct"/>
            <w:shd w:val="clear" w:color="auto" w:fill="auto"/>
            <w:vAlign w:val="center"/>
          </w:tcPr>
          <w:p w14:paraId="1522EB4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1F172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216E8FB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55FDAE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1</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2-二氯苯</w:t>
            </w:r>
          </w:p>
        </w:tc>
        <w:tc>
          <w:tcPr>
            <w:tcW w:w="724" w:type="pct"/>
            <w:shd w:val="clear" w:color="auto" w:fill="auto"/>
            <w:vAlign w:val="center"/>
          </w:tcPr>
          <w:p w14:paraId="5113A0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3045EF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1.0</w:t>
            </w:r>
          </w:p>
        </w:tc>
        <w:tc>
          <w:tcPr>
            <w:tcW w:w="641" w:type="pct"/>
            <w:shd w:val="clear" w:color="auto" w:fill="auto"/>
            <w:vAlign w:val="center"/>
          </w:tcPr>
          <w:p w14:paraId="365A028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6FF677D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40DA94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560</w:t>
            </w:r>
          </w:p>
        </w:tc>
        <w:tc>
          <w:tcPr>
            <w:tcW w:w="502" w:type="pct"/>
            <w:shd w:val="clear" w:color="auto" w:fill="auto"/>
            <w:vAlign w:val="center"/>
          </w:tcPr>
          <w:p w14:paraId="401E384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20FC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3AF07C1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5E84E4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氯甲烷</w:t>
            </w:r>
          </w:p>
        </w:tc>
        <w:tc>
          <w:tcPr>
            <w:tcW w:w="724" w:type="pct"/>
            <w:shd w:val="clear" w:color="auto" w:fill="auto"/>
            <w:vAlign w:val="center"/>
          </w:tcPr>
          <w:p w14:paraId="3E9C95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highlight w:val="none"/>
                <w:lang w:eastAsia="zh-CN"/>
              </w:rPr>
              <w:t>μ</w:t>
            </w:r>
            <w:r>
              <w:rPr>
                <w:rFonts w:hint="default" w:ascii="Times New Roman" w:hAnsi="Times New Roman" w:eastAsia="宋体" w:cs="Times New Roman"/>
                <w:color w:val="auto"/>
                <w:kern w:val="0"/>
                <w:sz w:val="21"/>
                <w:highlight w:val="none"/>
              </w:rPr>
              <w:t>g/</w:t>
            </w:r>
            <w:r>
              <w:rPr>
                <w:rFonts w:hint="default" w:ascii="Times New Roman" w:hAnsi="Times New Roman" w:eastAsia="宋体" w:cs="Times New Roman"/>
                <w:color w:val="auto"/>
                <w:kern w:val="0"/>
                <w:sz w:val="21"/>
                <w:highlight w:val="none"/>
                <w:lang w:val="en-US" w:eastAsia="zh-CN"/>
              </w:rPr>
              <w:t>kg</w:t>
            </w:r>
          </w:p>
        </w:tc>
        <w:tc>
          <w:tcPr>
            <w:tcW w:w="653" w:type="pct"/>
            <w:shd w:val="clear" w:color="auto" w:fill="auto"/>
            <w:vAlign w:val="center"/>
          </w:tcPr>
          <w:p w14:paraId="1AA234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3</w:t>
            </w:r>
            <w:r>
              <w:rPr>
                <w:rFonts w:hint="eastAsia" w:ascii="Times New Roman" w:hAnsi="Times New Roman" w:eastAsia="宋体" w:cs="Times New Roman"/>
                <w:color w:val="auto"/>
                <w:kern w:val="0"/>
                <w:sz w:val="21"/>
                <w:szCs w:val="21"/>
                <w:highlight w:val="none"/>
                <w:lang w:val="en-US" w:eastAsia="zh-CN"/>
              </w:rPr>
              <w:t>.0</w:t>
            </w:r>
          </w:p>
        </w:tc>
        <w:tc>
          <w:tcPr>
            <w:tcW w:w="641" w:type="pct"/>
            <w:shd w:val="clear" w:color="auto" w:fill="auto"/>
            <w:vAlign w:val="center"/>
          </w:tcPr>
          <w:p w14:paraId="6FFBD2E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68EFFBC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53E013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37</w:t>
            </w:r>
          </w:p>
        </w:tc>
        <w:tc>
          <w:tcPr>
            <w:tcW w:w="502" w:type="pct"/>
            <w:shd w:val="clear" w:color="auto" w:fill="auto"/>
            <w:vAlign w:val="center"/>
          </w:tcPr>
          <w:p w14:paraId="3815883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32B9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6270A55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02E072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硝基苯</w:t>
            </w:r>
          </w:p>
        </w:tc>
        <w:tc>
          <w:tcPr>
            <w:tcW w:w="724" w:type="pct"/>
            <w:shd w:val="clear" w:color="auto" w:fill="auto"/>
            <w:vAlign w:val="center"/>
          </w:tcPr>
          <w:p w14:paraId="7772A6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560F27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0.09</w:t>
            </w:r>
          </w:p>
        </w:tc>
        <w:tc>
          <w:tcPr>
            <w:tcW w:w="641" w:type="pct"/>
            <w:shd w:val="clear" w:color="auto" w:fill="auto"/>
            <w:vAlign w:val="center"/>
          </w:tcPr>
          <w:p w14:paraId="49F0F9D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66C748D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4E51D4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76</w:t>
            </w:r>
          </w:p>
        </w:tc>
        <w:tc>
          <w:tcPr>
            <w:tcW w:w="502" w:type="pct"/>
            <w:shd w:val="clear" w:color="auto" w:fill="auto"/>
            <w:vAlign w:val="center"/>
          </w:tcPr>
          <w:p w14:paraId="4442D53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16FB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0EB63F4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1402BE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苯胺</w:t>
            </w:r>
          </w:p>
        </w:tc>
        <w:tc>
          <w:tcPr>
            <w:tcW w:w="724" w:type="pct"/>
            <w:shd w:val="clear" w:color="auto" w:fill="auto"/>
            <w:vAlign w:val="center"/>
          </w:tcPr>
          <w:p w14:paraId="427E89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2F2A37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&lt;3.78</w:t>
            </w:r>
          </w:p>
        </w:tc>
        <w:tc>
          <w:tcPr>
            <w:tcW w:w="641" w:type="pct"/>
            <w:shd w:val="clear" w:color="auto" w:fill="auto"/>
            <w:vAlign w:val="center"/>
          </w:tcPr>
          <w:p w14:paraId="69307D3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086A3D3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5B6530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260</w:t>
            </w:r>
          </w:p>
        </w:tc>
        <w:tc>
          <w:tcPr>
            <w:tcW w:w="502" w:type="pct"/>
            <w:shd w:val="clear" w:color="auto" w:fill="auto"/>
            <w:vAlign w:val="center"/>
          </w:tcPr>
          <w:p w14:paraId="05831C6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7BC9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7A2E337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3AEEF5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2-氯</w:t>
            </w:r>
            <w:r>
              <w:rPr>
                <w:rFonts w:hint="eastAsia" w:ascii="Times New Roman" w:hAnsi="Times New Roman" w:eastAsia="宋体" w:cs="Times New Roman"/>
                <w:color w:val="auto"/>
                <w:kern w:val="0"/>
                <w:sz w:val="21"/>
                <w:szCs w:val="21"/>
                <w:highlight w:val="none"/>
                <w:lang w:val="en-US" w:eastAsia="zh-CN"/>
              </w:rPr>
              <w:t>苯</w:t>
            </w:r>
            <w:r>
              <w:rPr>
                <w:rFonts w:hint="default" w:ascii="Times New Roman" w:hAnsi="Times New Roman" w:eastAsia="宋体" w:cs="Times New Roman"/>
                <w:color w:val="auto"/>
                <w:kern w:val="0"/>
                <w:sz w:val="21"/>
                <w:szCs w:val="21"/>
                <w:highlight w:val="none"/>
                <w:lang w:val="en-US" w:eastAsia="zh-CN"/>
              </w:rPr>
              <w:t>酚</w:t>
            </w:r>
          </w:p>
        </w:tc>
        <w:tc>
          <w:tcPr>
            <w:tcW w:w="724" w:type="pct"/>
            <w:shd w:val="clear" w:color="auto" w:fill="auto"/>
            <w:vAlign w:val="center"/>
          </w:tcPr>
          <w:p w14:paraId="221BD5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3DF144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&lt;0.051</w:t>
            </w:r>
          </w:p>
        </w:tc>
        <w:tc>
          <w:tcPr>
            <w:tcW w:w="641" w:type="pct"/>
            <w:shd w:val="clear" w:color="auto" w:fill="auto"/>
            <w:vAlign w:val="center"/>
          </w:tcPr>
          <w:p w14:paraId="4CDF9E3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45EA307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1F14EB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2256</w:t>
            </w:r>
          </w:p>
        </w:tc>
        <w:tc>
          <w:tcPr>
            <w:tcW w:w="502" w:type="pct"/>
            <w:shd w:val="clear" w:color="auto" w:fill="auto"/>
            <w:vAlign w:val="center"/>
          </w:tcPr>
          <w:p w14:paraId="7DCD78F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1BA9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33EB962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59F638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苯并[a]蒽</w:t>
            </w:r>
          </w:p>
        </w:tc>
        <w:tc>
          <w:tcPr>
            <w:tcW w:w="724" w:type="pct"/>
            <w:shd w:val="clear" w:color="auto" w:fill="auto"/>
            <w:vAlign w:val="center"/>
          </w:tcPr>
          <w:p w14:paraId="1955A0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6726DA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0.1</w:t>
            </w:r>
          </w:p>
        </w:tc>
        <w:tc>
          <w:tcPr>
            <w:tcW w:w="641" w:type="pct"/>
            <w:shd w:val="clear" w:color="auto" w:fill="auto"/>
            <w:vAlign w:val="center"/>
          </w:tcPr>
          <w:p w14:paraId="3734B6C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3F6D7F4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1AD951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15</w:t>
            </w:r>
          </w:p>
        </w:tc>
        <w:tc>
          <w:tcPr>
            <w:tcW w:w="502" w:type="pct"/>
            <w:shd w:val="clear" w:color="auto" w:fill="auto"/>
            <w:vAlign w:val="center"/>
          </w:tcPr>
          <w:p w14:paraId="0BED462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3977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73A2188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6A9BB6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苯并[a]芘</w:t>
            </w:r>
          </w:p>
        </w:tc>
        <w:tc>
          <w:tcPr>
            <w:tcW w:w="724" w:type="pct"/>
            <w:shd w:val="clear" w:color="auto" w:fill="auto"/>
            <w:vAlign w:val="center"/>
          </w:tcPr>
          <w:p w14:paraId="79BD59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5D197F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0.1</w:t>
            </w:r>
          </w:p>
        </w:tc>
        <w:tc>
          <w:tcPr>
            <w:tcW w:w="641" w:type="pct"/>
            <w:shd w:val="clear" w:color="auto" w:fill="auto"/>
            <w:vAlign w:val="center"/>
          </w:tcPr>
          <w:p w14:paraId="44072D3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1D8DF3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650F96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1.5</w:t>
            </w:r>
          </w:p>
        </w:tc>
        <w:tc>
          <w:tcPr>
            <w:tcW w:w="502" w:type="pct"/>
            <w:shd w:val="clear" w:color="auto" w:fill="auto"/>
            <w:vAlign w:val="center"/>
          </w:tcPr>
          <w:p w14:paraId="4D25335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3B6D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1898962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3527AC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苯并[b]荧蒽</w:t>
            </w:r>
          </w:p>
        </w:tc>
        <w:tc>
          <w:tcPr>
            <w:tcW w:w="724" w:type="pct"/>
            <w:shd w:val="clear" w:color="auto" w:fill="auto"/>
            <w:vAlign w:val="center"/>
          </w:tcPr>
          <w:p w14:paraId="16DF45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39392C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0.2</w:t>
            </w:r>
          </w:p>
        </w:tc>
        <w:tc>
          <w:tcPr>
            <w:tcW w:w="641" w:type="pct"/>
            <w:shd w:val="clear" w:color="auto" w:fill="auto"/>
            <w:vAlign w:val="center"/>
          </w:tcPr>
          <w:p w14:paraId="48FE469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51253EC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488C93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15</w:t>
            </w:r>
          </w:p>
        </w:tc>
        <w:tc>
          <w:tcPr>
            <w:tcW w:w="502" w:type="pct"/>
            <w:shd w:val="clear" w:color="auto" w:fill="auto"/>
            <w:vAlign w:val="center"/>
          </w:tcPr>
          <w:p w14:paraId="7FFD63E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1FBE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589AFF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7AEB8E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苯并[k]荧蒽</w:t>
            </w:r>
          </w:p>
        </w:tc>
        <w:tc>
          <w:tcPr>
            <w:tcW w:w="724" w:type="pct"/>
            <w:shd w:val="clear" w:color="auto" w:fill="auto"/>
            <w:vAlign w:val="center"/>
          </w:tcPr>
          <w:p w14:paraId="2510D4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2013B4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0.1</w:t>
            </w:r>
          </w:p>
        </w:tc>
        <w:tc>
          <w:tcPr>
            <w:tcW w:w="641" w:type="pct"/>
            <w:shd w:val="clear" w:color="auto" w:fill="auto"/>
            <w:vAlign w:val="center"/>
          </w:tcPr>
          <w:p w14:paraId="17677A0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13A9DAE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3EEDEE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151</w:t>
            </w:r>
          </w:p>
        </w:tc>
        <w:tc>
          <w:tcPr>
            <w:tcW w:w="502" w:type="pct"/>
            <w:shd w:val="clear" w:color="auto" w:fill="auto"/>
            <w:vAlign w:val="center"/>
          </w:tcPr>
          <w:p w14:paraId="0B60970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0FB6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120FB03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00A2E7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䓛</w:t>
            </w:r>
          </w:p>
        </w:tc>
        <w:tc>
          <w:tcPr>
            <w:tcW w:w="724" w:type="pct"/>
            <w:shd w:val="clear" w:color="auto" w:fill="auto"/>
            <w:vAlign w:val="center"/>
          </w:tcPr>
          <w:p w14:paraId="49BD86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67A706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0.1</w:t>
            </w:r>
          </w:p>
        </w:tc>
        <w:tc>
          <w:tcPr>
            <w:tcW w:w="641" w:type="pct"/>
            <w:shd w:val="clear" w:color="auto" w:fill="auto"/>
            <w:vAlign w:val="center"/>
          </w:tcPr>
          <w:p w14:paraId="37AFA53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567B46C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4681FE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1293</w:t>
            </w:r>
          </w:p>
        </w:tc>
        <w:tc>
          <w:tcPr>
            <w:tcW w:w="502" w:type="pct"/>
            <w:shd w:val="clear" w:color="auto" w:fill="auto"/>
            <w:vAlign w:val="center"/>
          </w:tcPr>
          <w:p w14:paraId="37865CC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02E9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6424214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12F2D0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二苯并[a</w:t>
            </w:r>
            <w:r>
              <w:rPr>
                <w:rFonts w:hint="eastAsia"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h]蒽</w:t>
            </w:r>
          </w:p>
        </w:tc>
        <w:tc>
          <w:tcPr>
            <w:tcW w:w="724" w:type="pct"/>
            <w:shd w:val="clear" w:color="auto" w:fill="auto"/>
            <w:vAlign w:val="center"/>
          </w:tcPr>
          <w:p w14:paraId="25ED96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388D74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0.1</w:t>
            </w:r>
          </w:p>
        </w:tc>
        <w:tc>
          <w:tcPr>
            <w:tcW w:w="641" w:type="pct"/>
            <w:shd w:val="clear" w:color="auto" w:fill="auto"/>
            <w:vAlign w:val="center"/>
          </w:tcPr>
          <w:p w14:paraId="76D6AC3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442D1C5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0A33EB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1.5</w:t>
            </w:r>
          </w:p>
        </w:tc>
        <w:tc>
          <w:tcPr>
            <w:tcW w:w="502" w:type="pct"/>
            <w:shd w:val="clear" w:color="auto" w:fill="auto"/>
            <w:vAlign w:val="center"/>
          </w:tcPr>
          <w:p w14:paraId="3B83E5C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13F4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17F14C7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032A3C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茚并[1</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2</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3-cd]芘</w:t>
            </w:r>
          </w:p>
        </w:tc>
        <w:tc>
          <w:tcPr>
            <w:tcW w:w="724" w:type="pct"/>
            <w:shd w:val="clear" w:color="auto" w:fill="auto"/>
            <w:vAlign w:val="center"/>
          </w:tcPr>
          <w:p w14:paraId="53BA2E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389FF2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&lt;0.1</w:t>
            </w:r>
          </w:p>
        </w:tc>
        <w:tc>
          <w:tcPr>
            <w:tcW w:w="641" w:type="pct"/>
            <w:shd w:val="clear" w:color="auto" w:fill="auto"/>
            <w:vAlign w:val="center"/>
          </w:tcPr>
          <w:p w14:paraId="35DCD9A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6F0F4C8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0E532F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15</w:t>
            </w:r>
          </w:p>
        </w:tc>
        <w:tc>
          <w:tcPr>
            <w:tcW w:w="502" w:type="pct"/>
            <w:shd w:val="clear" w:color="auto" w:fill="auto"/>
            <w:vAlign w:val="center"/>
          </w:tcPr>
          <w:p w14:paraId="2D6BBE8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6EC4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215BFE3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4FBF5B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萘</w:t>
            </w:r>
          </w:p>
        </w:tc>
        <w:tc>
          <w:tcPr>
            <w:tcW w:w="724" w:type="pct"/>
            <w:shd w:val="clear" w:color="auto" w:fill="auto"/>
            <w:vAlign w:val="center"/>
          </w:tcPr>
          <w:p w14:paraId="4E3D69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0E7A34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&lt;</w:t>
            </w:r>
            <w:r>
              <w:rPr>
                <w:rFonts w:hint="default" w:ascii="Times New Roman" w:hAnsi="Times New Roman" w:eastAsia="宋体" w:cs="Times New Roman"/>
                <w:color w:val="auto"/>
                <w:kern w:val="0"/>
                <w:sz w:val="21"/>
                <w:szCs w:val="21"/>
                <w:highlight w:val="none"/>
                <w:lang w:val="en-US" w:eastAsia="zh-CN"/>
              </w:rPr>
              <w:t>0.</w:t>
            </w:r>
            <w:r>
              <w:rPr>
                <w:rFonts w:hint="eastAsia" w:ascii="Times New Roman" w:hAnsi="Times New Roman" w:eastAsia="宋体" w:cs="Times New Roman"/>
                <w:color w:val="auto"/>
                <w:kern w:val="0"/>
                <w:sz w:val="21"/>
                <w:szCs w:val="21"/>
                <w:highlight w:val="none"/>
                <w:lang w:val="en-US" w:eastAsia="zh-CN"/>
              </w:rPr>
              <w:t>09</w:t>
            </w:r>
          </w:p>
        </w:tc>
        <w:tc>
          <w:tcPr>
            <w:tcW w:w="641" w:type="pct"/>
            <w:shd w:val="clear" w:color="auto" w:fill="auto"/>
            <w:vAlign w:val="center"/>
          </w:tcPr>
          <w:p w14:paraId="16C477C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647" w:type="pct"/>
            <w:shd w:val="clear" w:color="auto" w:fill="auto"/>
            <w:vAlign w:val="center"/>
          </w:tcPr>
          <w:p w14:paraId="451D757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16"/>
                <w:highlight w:val="none"/>
                <w:lang w:val="en-US" w:eastAsia="zh-CN"/>
              </w:rPr>
              <w:t>/</w:t>
            </w:r>
          </w:p>
        </w:tc>
        <w:tc>
          <w:tcPr>
            <w:tcW w:w="715" w:type="pct"/>
            <w:shd w:val="clear" w:color="auto" w:fill="auto"/>
            <w:vAlign w:val="center"/>
          </w:tcPr>
          <w:p w14:paraId="1EC71C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70</w:t>
            </w:r>
          </w:p>
        </w:tc>
        <w:tc>
          <w:tcPr>
            <w:tcW w:w="502" w:type="pct"/>
            <w:shd w:val="clear" w:color="auto" w:fill="auto"/>
            <w:vAlign w:val="center"/>
          </w:tcPr>
          <w:p w14:paraId="0067FFB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5E61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4124593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4158EA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eastAsia="zh-CN"/>
              </w:rPr>
              <w:t>砷</w:t>
            </w:r>
          </w:p>
        </w:tc>
        <w:tc>
          <w:tcPr>
            <w:tcW w:w="724" w:type="pct"/>
            <w:shd w:val="clear" w:color="auto" w:fill="auto"/>
            <w:vAlign w:val="center"/>
          </w:tcPr>
          <w:p w14:paraId="0D170C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2B2568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5.53</w:t>
            </w:r>
          </w:p>
        </w:tc>
        <w:tc>
          <w:tcPr>
            <w:tcW w:w="641" w:type="pct"/>
            <w:shd w:val="clear" w:color="auto" w:fill="auto"/>
            <w:vAlign w:val="center"/>
          </w:tcPr>
          <w:p w14:paraId="2A80AC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6.38</w:t>
            </w:r>
          </w:p>
        </w:tc>
        <w:tc>
          <w:tcPr>
            <w:tcW w:w="647" w:type="pct"/>
            <w:shd w:val="clear" w:color="auto" w:fill="auto"/>
            <w:vAlign w:val="center"/>
          </w:tcPr>
          <w:p w14:paraId="28D6F9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6.30</w:t>
            </w:r>
          </w:p>
        </w:tc>
        <w:tc>
          <w:tcPr>
            <w:tcW w:w="715" w:type="pct"/>
            <w:shd w:val="clear" w:color="auto" w:fill="auto"/>
            <w:vAlign w:val="center"/>
          </w:tcPr>
          <w:p w14:paraId="545BDF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60</w:t>
            </w:r>
          </w:p>
        </w:tc>
        <w:tc>
          <w:tcPr>
            <w:tcW w:w="502" w:type="pct"/>
            <w:shd w:val="clear" w:color="auto" w:fill="auto"/>
            <w:vAlign w:val="center"/>
          </w:tcPr>
          <w:p w14:paraId="19FDD33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3F4A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1383C8B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299A12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eastAsia="zh-CN"/>
              </w:rPr>
              <w:t>铅</w:t>
            </w:r>
          </w:p>
        </w:tc>
        <w:tc>
          <w:tcPr>
            <w:tcW w:w="724" w:type="pct"/>
            <w:shd w:val="clear" w:color="auto" w:fill="auto"/>
            <w:vAlign w:val="center"/>
          </w:tcPr>
          <w:p w14:paraId="46623B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1E92CC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24</w:t>
            </w:r>
          </w:p>
        </w:tc>
        <w:tc>
          <w:tcPr>
            <w:tcW w:w="641" w:type="pct"/>
            <w:shd w:val="clear" w:color="auto" w:fill="auto"/>
            <w:vAlign w:val="center"/>
          </w:tcPr>
          <w:p w14:paraId="2E63F7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21</w:t>
            </w:r>
          </w:p>
        </w:tc>
        <w:tc>
          <w:tcPr>
            <w:tcW w:w="647" w:type="pct"/>
            <w:shd w:val="clear" w:color="auto" w:fill="auto"/>
            <w:vAlign w:val="center"/>
          </w:tcPr>
          <w:p w14:paraId="30C9F5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25</w:t>
            </w:r>
          </w:p>
        </w:tc>
        <w:tc>
          <w:tcPr>
            <w:tcW w:w="715" w:type="pct"/>
            <w:shd w:val="clear" w:color="auto" w:fill="auto"/>
            <w:vAlign w:val="center"/>
          </w:tcPr>
          <w:p w14:paraId="3D377D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800</w:t>
            </w:r>
          </w:p>
        </w:tc>
        <w:tc>
          <w:tcPr>
            <w:tcW w:w="502" w:type="pct"/>
            <w:shd w:val="clear" w:color="auto" w:fill="auto"/>
            <w:vAlign w:val="center"/>
          </w:tcPr>
          <w:p w14:paraId="4E82EC8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5BE7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6540EC8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30F8D2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eastAsia="zh-CN"/>
              </w:rPr>
              <w:t>汞</w:t>
            </w:r>
          </w:p>
        </w:tc>
        <w:tc>
          <w:tcPr>
            <w:tcW w:w="724" w:type="pct"/>
            <w:shd w:val="clear" w:color="auto" w:fill="auto"/>
            <w:vAlign w:val="center"/>
          </w:tcPr>
          <w:p w14:paraId="6E1D5B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69E72B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0.089</w:t>
            </w:r>
          </w:p>
        </w:tc>
        <w:tc>
          <w:tcPr>
            <w:tcW w:w="641" w:type="pct"/>
            <w:shd w:val="clear" w:color="auto" w:fill="auto"/>
            <w:vAlign w:val="center"/>
          </w:tcPr>
          <w:p w14:paraId="190607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0.114</w:t>
            </w:r>
          </w:p>
        </w:tc>
        <w:tc>
          <w:tcPr>
            <w:tcW w:w="647" w:type="pct"/>
            <w:shd w:val="clear" w:color="auto" w:fill="auto"/>
            <w:vAlign w:val="center"/>
          </w:tcPr>
          <w:p w14:paraId="51D7E8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0.124</w:t>
            </w:r>
          </w:p>
        </w:tc>
        <w:tc>
          <w:tcPr>
            <w:tcW w:w="715" w:type="pct"/>
            <w:shd w:val="clear" w:color="auto" w:fill="auto"/>
            <w:vAlign w:val="center"/>
          </w:tcPr>
          <w:p w14:paraId="5FC6EE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38</w:t>
            </w:r>
          </w:p>
        </w:tc>
        <w:tc>
          <w:tcPr>
            <w:tcW w:w="502" w:type="pct"/>
            <w:shd w:val="clear" w:color="auto" w:fill="auto"/>
            <w:vAlign w:val="center"/>
          </w:tcPr>
          <w:p w14:paraId="17C5F80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489A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500259E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7A2A23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eastAsia="zh-CN"/>
              </w:rPr>
              <w:t>镉</w:t>
            </w:r>
          </w:p>
        </w:tc>
        <w:tc>
          <w:tcPr>
            <w:tcW w:w="724" w:type="pct"/>
            <w:shd w:val="clear" w:color="auto" w:fill="auto"/>
            <w:vAlign w:val="center"/>
          </w:tcPr>
          <w:p w14:paraId="62F3E3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46F934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0.10</w:t>
            </w:r>
          </w:p>
        </w:tc>
        <w:tc>
          <w:tcPr>
            <w:tcW w:w="641" w:type="pct"/>
            <w:shd w:val="clear" w:color="auto" w:fill="auto"/>
            <w:vAlign w:val="center"/>
          </w:tcPr>
          <w:p w14:paraId="277597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0.11</w:t>
            </w:r>
          </w:p>
        </w:tc>
        <w:tc>
          <w:tcPr>
            <w:tcW w:w="647" w:type="pct"/>
            <w:shd w:val="clear" w:color="auto" w:fill="auto"/>
            <w:vAlign w:val="center"/>
          </w:tcPr>
          <w:p w14:paraId="440487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0.10</w:t>
            </w:r>
          </w:p>
        </w:tc>
        <w:tc>
          <w:tcPr>
            <w:tcW w:w="715" w:type="pct"/>
            <w:shd w:val="clear" w:color="auto" w:fill="auto"/>
            <w:vAlign w:val="center"/>
          </w:tcPr>
          <w:p w14:paraId="7D5A4E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65</w:t>
            </w:r>
          </w:p>
        </w:tc>
        <w:tc>
          <w:tcPr>
            <w:tcW w:w="502" w:type="pct"/>
            <w:shd w:val="clear" w:color="auto" w:fill="auto"/>
            <w:vAlign w:val="center"/>
          </w:tcPr>
          <w:p w14:paraId="665A458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72F7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36D0FE0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58A905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eastAsia="zh-CN"/>
              </w:rPr>
              <w:t>铜</w:t>
            </w:r>
          </w:p>
        </w:tc>
        <w:tc>
          <w:tcPr>
            <w:tcW w:w="724" w:type="pct"/>
            <w:shd w:val="clear" w:color="auto" w:fill="auto"/>
            <w:vAlign w:val="center"/>
          </w:tcPr>
          <w:p w14:paraId="685455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21F02E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21</w:t>
            </w:r>
          </w:p>
        </w:tc>
        <w:tc>
          <w:tcPr>
            <w:tcW w:w="641" w:type="pct"/>
            <w:shd w:val="clear" w:color="auto" w:fill="auto"/>
            <w:vAlign w:val="center"/>
          </w:tcPr>
          <w:p w14:paraId="424E3C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22</w:t>
            </w:r>
          </w:p>
        </w:tc>
        <w:tc>
          <w:tcPr>
            <w:tcW w:w="647" w:type="pct"/>
            <w:shd w:val="clear" w:color="auto" w:fill="auto"/>
            <w:vAlign w:val="center"/>
          </w:tcPr>
          <w:p w14:paraId="446EBD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25</w:t>
            </w:r>
          </w:p>
        </w:tc>
        <w:tc>
          <w:tcPr>
            <w:tcW w:w="715" w:type="pct"/>
            <w:shd w:val="clear" w:color="auto" w:fill="auto"/>
            <w:vAlign w:val="center"/>
          </w:tcPr>
          <w:p w14:paraId="13D8C1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18000</w:t>
            </w:r>
          </w:p>
        </w:tc>
        <w:tc>
          <w:tcPr>
            <w:tcW w:w="502" w:type="pct"/>
            <w:shd w:val="clear" w:color="auto" w:fill="auto"/>
            <w:vAlign w:val="center"/>
          </w:tcPr>
          <w:p w14:paraId="1522E90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3AA5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33DA8D8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7D40E79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eastAsia="zh-CN"/>
              </w:rPr>
              <w:t>镍</w:t>
            </w:r>
          </w:p>
        </w:tc>
        <w:tc>
          <w:tcPr>
            <w:tcW w:w="724" w:type="pct"/>
            <w:shd w:val="clear" w:color="auto" w:fill="auto"/>
            <w:vAlign w:val="center"/>
          </w:tcPr>
          <w:p w14:paraId="68B35C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22F197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24</w:t>
            </w:r>
          </w:p>
        </w:tc>
        <w:tc>
          <w:tcPr>
            <w:tcW w:w="641" w:type="pct"/>
            <w:shd w:val="clear" w:color="auto" w:fill="auto"/>
            <w:vAlign w:val="center"/>
          </w:tcPr>
          <w:p w14:paraId="0E93B3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23</w:t>
            </w:r>
          </w:p>
        </w:tc>
        <w:tc>
          <w:tcPr>
            <w:tcW w:w="647" w:type="pct"/>
            <w:shd w:val="clear" w:color="auto" w:fill="auto"/>
            <w:vAlign w:val="center"/>
          </w:tcPr>
          <w:p w14:paraId="42571C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23</w:t>
            </w:r>
          </w:p>
        </w:tc>
        <w:tc>
          <w:tcPr>
            <w:tcW w:w="715" w:type="pct"/>
            <w:shd w:val="clear" w:color="auto" w:fill="auto"/>
            <w:vAlign w:val="center"/>
          </w:tcPr>
          <w:p w14:paraId="6375E0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900</w:t>
            </w:r>
          </w:p>
        </w:tc>
        <w:tc>
          <w:tcPr>
            <w:tcW w:w="502" w:type="pct"/>
            <w:shd w:val="clear" w:color="auto" w:fill="auto"/>
            <w:vAlign w:val="center"/>
          </w:tcPr>
          <w:p w14:paraId="7C7A174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r w14:paraId="12E0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Merge w:val="continue"/>
            <w:shd w:val="clear" w:color="auto" w:fill="auto"/>
            <w:vAlign w:val="center"/>
          </w:tcPr>
          <w:p w14:paraId="5DC533D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p>
        </w:tc>
        <w:tc>
          <w:tcPr>
            <w:tcW w:w="741" w:type="pct"/>
            <w:shd w:val="clear" w:color="auto" w:fill="auto"/>
            <w:vAlign w:val="center"/>
          </w:tcPr>
          <w:p w14:paraId="15291A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lang w:val="en-US" w:eastAsia="zh-CN"/>
              </w:rPr>
              <w:t>六价</w:t>
            </w:r>
            <w:r>
              <w:rPr>
                <w:rFonts w:hint="eastAsia" w:ascii="Times New Roman" w:hAnsi="Times New Roman" w:eastAsia="宋体"/>
                <w:color w:val="auto"/>
                <w:kern w:val="0"/>
                <w:sz w:val="21"/>
                <w:szCs w:val="21"/>
                <w:highlight w:val="none"/>
                <w:lang w:eastAsia="zh-CN"/>
              </w:rPr>
              <w:t>铬</w:t>
            </w:r>
          </w:p>
        </w:tc>
        <w:tc>
          <w:tcPr>
            <w:tcW w:w="724" w:type="pct"/>
            <w:shd w:val="clear" w:color="auto" w:fill="auto"/>
            <w:vAlign w:val="center"/>
          </w:tcPr>
          <w:p w14:paraId="5E0D72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highlight w:val="none"/>
              </w:rPr>
              <w:t>mg/</w:t>
            </w:r>
            <w:r>
              <w:rPr>
                <w:rFonts w:hint="eastAsia" w:ascii="Times New Roman" w:hAnsi="Times New Roman" w:eastAsia="宋体"/>
                <w:color w:val="auto"/>
                <w:kern w:val="0"/>
                <w:sz w:val="21"/>
                <w:highlight w:val="none"/>
                <w:lang w:val="en-US" w:eastAsia="zh-CN"/>
              </w:rPr>
              <w:t>kg</w:t>
            </w:r>
          </w:p>
        </w:tc>
        <w:tc>
          <w:tcPr>
            <w:tcW w:w="653" w:type="pct"/>
            <w:shd w:val="clear" w:color="auto" w:fill="auto"/>
            <w:vAlign w:val="center"/>
          </w:tcPr>
          <w:p w14:paraId="210331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0.8</w:t>
            </w:r>
          </w:p>
        </w:tc>
        <w:tc>
          <w:tcPr>
            <w:tcW w:w="641" w:type="pct"/>
            <w:shd w:val="clear" w:color="auto" w:fill="auto"/>
            <w:vAlign w:val="center"/>
          </w:tcPr>
          <w:p w14:paraId="46AB2EE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1.0</w:t>
            </w:r>
          </w:p>
        </w:tc>
        <w:tc>
          <w:tcPr>
            <w:tcW w:w="647" w:type="pct"/>
            <w:shd w:val="clear" w:color="auto" w:fill="auto"/>
            <w:vAlign w:val="center"/>
          </w:tcPr>
          <w:p w14:paraId="09A84A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bidi="ar-SA"/>
              </w:rPr>
              <w:t>0.9</w:t>
            </w:r>
          </w:p>
        </w:tc>
        <w:tc>
          <w:tcPr>
            <w:tcW w:w="715" w:type="pct"/>
            <w:shd w:val="clear" w:color="auto" w:fill="auto"/>
            <w:vAlign w:val="center"/>
          </w:tcPr>
          <w:p w14:paraId="0D615A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olor w:val="auto"/>
                <w:kern w:val="0"/>
                <w:sz w:val="21"/>
                <w:szCs w:val="21"/>
                <w:highlight w:val="none"/>
              </w:rPr>
            </w:pPr>
            <w:r>
              <w:rPr>
                <w:rFonts w:hint="eastAsia" w:ascii="Times New Roman" w:hAnsi="Times New Roman" w:eastAsia="宋体" w:cs="Times New Roman"/>
                <w:bCs/>
                <w:color w:val="auto"/>
                <w:kern w:val="0"/>
                <w:sz w:val="21"/>
                <w:szCs w:val="21"/>
                <w:highlight w:val="none"/>
                <w:lang w:val="en-US" w:eastAsia="zh-CN"/>
              </w:rPr>
              <w:t>5.7</w:t>
            </w:r>
          </w:p>
        </w:tc>
        <w:tc>
          <w:tcPr>
            <w:tcW w:w="502" w:type="pct"/>
            <w:shd w:val="clear" w:color="auto" w:fill="auto"/>
            <w:vAlign w:val="center"/>
          </w:tcPr>
          <w:p w14:paraId="3DD7D0A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达标</w:t>
            </w:r>
          </w:p>
        </w:tc>
      </w:tr>
    </w:tbl>
    <w:p w14:paraId="344C1487">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根据监测结果可知，项目所在区域土壤环境质量满足《土壤环境质量农用地土壤污染风险管控标准》（试行）（GB</w:t>
      </w:r>
      <w:r>
        <w:rPr>
          <w:rFonts w:ascii="Times New Roman" w:hAnsi="Times New Roman" w:eastAsia="宋体"/>
          <w:color w:val="auto"/>
          <w:highlight w:val="none"/>
        </w:rPr>
        <w:t>15618</w:t>
      </w:r>
      <w:r>
        <w:rPr>
          <w:rFonts w:hint="eastAsia" w:ascii="Times New Roman" w:hAnsi="Times New Roman" w:eastAsia="宋体"/>
          <w:color w:val="auto"/>
          <w:highlight w:val="none"/>
        </w:rPr>
        <w:t>-2018）中农用地风险筛选值。</w:t>
      </w:r>
    </w:p>
    <w:p w14:paraId="64CD4948">
      <w:pPr>
        <w:pStyle w:val="5"/>
        <w:rPr>
          <w:rFonts w:ascii="Times New Roman" w:hAnsi="Times New Roman" w:eastAsia="宋体"/>
          <w:color w:val="auto"/>
          <w:highlight w:val="none"/>
        </w:rPr>
      </w:pPr>
      <w:bookmarkStart w:id="172" w:name="_Toc106663491"/>
      <w:r>
        <w:rPr>
          <w:rFonts w:hint="eastAsia" w:ascii="Times New Roman" w:hAnsi="Times New Roman" w:eastAsia="宋体"/>
          <w:color w:val="auto"/>
          <w:highlight w:val="none"/>
        </w:rPr>
        <w:t>4.2.6生态现状调查</w:t>
      </w:r>
      <w:bookmarkEnd w:id="172"/>
    </w:p>
    <w:p w14:paraId="1E21076E">
      <w:pPr>
        <w:ind w:firstLine="480"/>
        <w:rPr>
          <w:rFonts w:ascii="Times New Roman" w:hAnsi="Times New Roman" w:eastAsia="宋体"/>
          <w:color w:val="auto"/>
          <w:highlight w:val="none"/>
        </w:rPr>
      </w:pPr>
      <w:r>
        <w:rPr>
          <w:rFonts w:hint="eastAsia" w:ascii="Times New Roman" w:hAnsi="Times New Roman" w:eastAsia="宋体"/>
          <w:color w:val="auto"/>
          <w:highlight w:val="none"/>
        </w:rPr>
        <w:t>（1）生态功能区划</w:t>
      </w:r>
    </w:p>
    <w:p w14:paraId="6E1774C4">
      <w:pPr>
        <w:pStyle w:val="155"/>
        <w:ind w:firstLine="480"/>
        <w:rPr>
          <w:rFonts w:ascii="Times New Roman" w:hAnsi="Times New Roman" w:eastAsia="宋体"/>
          <w:color w:val="auto"/>
          <w:highlight w:val="none"/>
        </w:rPr>
      </w:pPr>
      <w:r>
        <w:rPr>
          <w:rFonts w:ascii="Times New Roman" w:hAnsi="Times New Roman" w:eastAsia="宋体"/>
          <w:color w:val="auto"/>
          <w:highlight w:val="none"/>
        </w:rPr>
        <w:t>根据《新疆生态功能区划》，本项目所在区域属于</w:t>
      </w:r>
      <w:r>
        <w:rPr>
          <w:rFonts w:hint="eastAsia"/>
          <w:color w:val="auto"/>
          <w:highlight w:val="none"/>
          <w:lang w:eastAsia="zh-CN"/>
        </w:rPr>
        <w:t>”</w:t>
      </w:r>
      <w:r>
        <w:rPr>
          <w:rFonts w:ascii="Times New Roman" w:hAnsi="Times New Roman" w:eastAsia="宋体"/>
          <w:color w:val="auto"/>
          <w:highlight w:val="none"/>
        </w:rPr>
        <w:t>准噶尔盆地温性荒漠与绿洲农业生态区</w:t>
      </w:r>
      <w:r>
        <w:rPr>
          <w:rFonts w:hint="eastAsia"/>
          <w:color w:val="auto"/>
          <w:highlight w:val="none"/>
          <w:lang w:eastAsia="zh-CN"/>
        </w:rPr>
        <w:t>（</w:t>
      </w:r>
      <w:r>
        <w:rPr>
          <w:rFonts w:ascii="Times New Roman" w:hAnsi="Times New Roman" w:eastAsia="宋体"/>
          <w:color w:val="auto"/>
          <w:highlight w:val="none"/>
        </w:rPr>
        <w:t>Ⅱ</w:t>
      </w:r>
      <w:r>
        <w:rPr>
          <w:rFonts w:hint="eastAsia"/>
          <w:color w:val="auto"/>
          <w:highlight w:val="none"/>
          <w:lang w:eastAsia="zh-CN"/>
        </w:rPr>
        <w:t>）</w:t>
      </w:r>
      <w:r>
        <w:rPr>
          <w:rFonts w:ascii="Times New Roman" w:hAnsi="Times New Roman" w:eastAsia="宋体"/>
          <w:color w:val="auto"/>
          <w:highlight w:val="none"/>
        </w:rPr>
        <w:t>准噶尔盆地南部荒漠绿洲农业生态亚区</w:t>
      </w:r>
      <w:r>
        <w:rPr>
          <w:rFonts w:hint="eastAsia"/>
          <w:color w:val="auto"/>
          <w:highlight w:val="none"/>
          <w:lang w:eastAsia="zh-CN"/>
        </w:rPr>
        <w:t>（</w:t>
      </w:r>
      <w:r>
        <w:rPr>
          <w:rFonts w:ascii="Times New Roman" w:hAnsi="Times New Roman" w:eastAsia="宋体"/>
          <w:color w:val="auto"/>
          <w:highlight w:val="none"/>
        </w:rPr>
        <w:t>Ⅱ3</w:t>
      </w:r>
      <w:r>
        <w:rPr>
          <w:rFonts w:hint="eastAsia"/>
          <w:color w:val="auto"/>
          <w:highlight w:val="none"/>
          <w:lang w:eastAsia="zh-CN"/>
        </w:rPr>
        <w:t>）</w:t>
      </w:r>
      <w:r>
        <w:rPr>
          <w:rFonts w:ascii="Times New Roman" w:hAnsi="Times New Roman" w:eastAsia="宋体"/>
          <w:color w:val="auto"/>
          <w:highlight w:val="none"/>
        </w:rPr>
        <w:t>23古尔班通古特沙漠化敏感及植被保护生态功能区</w:t>
      </w:r>
      <w:r>
        <w:rPr>
          <w:rFonts w:hint="eastAsia"/>
          <w:color w:val="auto"/>
          <w:highlight w:val="none"/>
          <w:lang w:eastAsia="zh-CN"/>
        </w:rPr>
        <w:t>”</w:t>
      </w:r>
      <w:r>
        <w:rPr>
          <w:rFonts w:ascii="Times New Roman" w:hAnsi="Times New Roman" w:eastAsia="宋体"/>
          <w:color w:val="auto"/>
          <w:highlight w:val="none"/>
        </w:rPr>
        <w:t>。该生态功能区的主要生态服务功能、生态敏感因子、主要生态环境问题和主要保护目标见表4.2-1</w:t>
      </w:r>
      <w:r>
        <w:rPr>
          <w:rFonts w:hint="eastAsia" w:ascii="Times New Roman" w:hAnsi="Times New Roman" w:eastAsia="宋体"/>
          <w:color w:val="auto"/>
          <w:highlight w:val="none"/>
        </w:rPr>
        <w:t>1</w:t>
      </w:r>
      <w:r>
        <w:rPr>
          <w:rFonts w:ascii="Times New Roman" w:hAnsi="Times New Roman" w:eastAsia="宋体"/>
          <w:color w:val="auto"/>
          <w:highlight w:val="none"/>
        </w:rPr>
        <w:t>。</w:t>
      </w:r>
    </w:p>
    <w:p w14:paraId="01BAD52F">
      <w:pPr>
        <w:pStyle w:val="162"/>
        <w:spacing w:before="163" w:beforeLines="50" w:line="240" w:lineRule="auto"/>
        <w:ind w:firstLine="480"/>
        <w:outlineLvl w:val="9"/>
        <w:rPr>
          <w:rFonts w:ascii="Times New Roman" w:hAnsi="Times New Roman" w:eastAsia="宋体"/>
          <w:color w:val="auto"/>
          <w:highlight w:val="none"/>
        </w:rPr>
      </w:pPr>
      <w:r>
        <w:rPr>
          <w:rFonts w:ascii="Times New Roman" w:hAnsi="Times New Roman" w:eastAsia="宋体"/>
          <w:color w:val="auto"/>
          <w:highlight w:val="none"/>
        </w:rPr>
        <w:t>表4.2-1</w:t>
      </w:r>
      <w:r>
        <w:rPr>
          <w:rFonts w:hint="eastAsia" w:ascii="Times New Roman" w:hAnsi="Times New Roman" w:eastAsia="宋体"/>
          <w:color w:val="auto"/>
          <w:highlight w:val="none"/>
        </w:rPr>
        <w:t>1</w:t>
      </w:r>
      <w:r>
        <w:rPr>
          <w:rFonts w:ascii="Times New Roman" w:hAnsi="Times New Roman" w:eastAsia="宋体"/>
          <w:color w:val="auto"/>
          <w:highlight w:val="none"/>
        </w:rPr>
        <w:t>评价区生态功能区划</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57"/>
        <w:gridCol w:w="1341"/>
        <w:gridCol w:w="6011"/>
      </w:tblGrid>
      <w:tr w14:paraId="5EE89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6" w:type="pct"/>
            <w:vMerge w:val="restart"/>
            <w:tcBorders>
              <w:bottom w:val="nil"/>
            </w:tcBorders>
            <w:vAlign w:val="center"/>
          </w:tcPr>
          <w:p w14:paraId="58F87B22">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生态功能分区单元</w:t>
            </w:r>
          </w:p>
        </w:tc>
        <w:tc>
          <w:tcPr>
            <w:tcW w:w="807" w:type="pct"/>
            <w:vAlign w:val="center"/>
          </w:tcPr>
          <w:p w14:paraId="3AC4F1A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生态区</w:t>
            </w:r>
          </w:p>
        </w:tc>
        <w:tc>
          <w:tcPr>
            <w:tcW w:w="3616" w:type="pct"/>
            <w:vAlign w:val="center"/>
          </w:tcPr>
          <w:p w14:paraId="5056B7C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Ⅱ准噶尔盆地温性荒漠与绿洲农业生态区</w:t>
            </w:r>
          </w:p>
        </w:tc>
      </w:tr>
      <w:tr w14:paraId="6B557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576" w:type="pct"/>
            <w:vMerge w:val="continue"/>
            <w:tcBorders>
              <w:top w:val="nil"/>
              <w:bottom w:val="nil"/>
            </w:tcBorders>
            <w:vAlign w:val="center"/>
          </w:tcPr>
          <w:p w14:paraId="1744684E">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807" w:type="pct"/>
            <w:vAlign w:val="center"/>
          </w:tcPr>
          <w:p w14:paraId="475B49F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生态亚区</w:t>
            </w:r>
          </w:p>
        </w:tc>
        <w:tc>
          <w:tcPr>
            <w:tcW w:w="3616" w:type="pct"/>
            <w:vAlign w:val="center"/>
          </w:tcPr>
          <w:p w14:paraId="3AC11610">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Ⅱ</w:t>
            </w:r>
            <w:r>
              <w:rPr>
                <w:rFonts w:ascii="Times New Roman" w:hAnsi="Times New Roman" w:eastAsia="宋体" w:cs="Times New Roman"/>
                <w:color w:val="auto"/>
                <w:spacing w:val="0"/>
                <w:position w:val="-2"/>
                <w:sz w:val="21"/>
                <w:szCs w:val="14"/>
                <w:highlight w:val="none"/>
              </w:rPr>
              <w:t>3</w:t>
            </w:r>
            <w:r>
              <w:rPr>
                <w:rFonts w:ascii="Times New Roman" w:hAnsi="Times New Roman" w:eastAsia="宋体" w:cs="宋体"/>
                <w:color w:val="auto"/>
                <w:spacing w:val="0"/>
                <w:sz w:val="21"/>
                <w:szCs w:val="21"/>
                <w:highlight w:val="none"/>
              </w:rPr>
              <w:t>准噶尔盆地南部荒漠绿洲农业生态亚区</w:t>
            </w:r>
          </w:p>
        </w:tc>
      </w:tr>
      <w:tr w14:paraId="48530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576" w:type="pct"/>
            <w:vMerge w:val="continue"/>
            <w:tcBorders>
              <w:top w:val="nil"/>
            </w:tcBorders>
            <w:vAlign w:val="center"/>
          </w:tcPr>
          <w:p w14:paraId="728E8BE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olor w:val="auto"/>
                <w:spacing w:val="0"/>
                <w:sz w:val="21"/>
                <w:highlight w:val="none"/>
              </w:rPr>
            </w:pPr>
          </w:p>
        </w:tc>
        <w:tc>
          <w:tcPr>
            <w:tcW w:w="807" w:type="pct"/>
            <w:vAlign w:val="center"/>
          </w:tcPr>
          <w:p w14:paraId="78AFDED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生态功能区</w:t>
            </w:r>
          </w:p>
        </w:tc>
        <w:tc>
          <w:tcPr>
            <w:tcW w:w="3616" w:type="pct"/>
            <w:vAlign w:val="center"/>
          </w:tcPr>
          <w:p w14:paraId="186F869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古尔班通古特沙漠化敏感及植被保护生态功能区</w:t>
            </w:r>
          </w:p>
        </w:tc>
      </w:tr>
      <w:tr w14:paraId="499FC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1383" w:type="pct"/>
            <w:gridSpan w:val="2"/>
            <w:vAlign w:val="center"/>
          </w:tcPr>
          <w:p w14:paraId="0D4E4081">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主要生态服务功能</w:t>
            </w:r>
          </w:p>
        </w:tc>
        <w:tc>
          <w:tcPr>
            <w:tcW w:w="3616" w:type="pct"/>
            <w:vAlign w:val="center"/>
          </w:tcPr>
          <w:p w14:paraId="3A782403">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工农畜产品生产、人居环境、荒漠化控制</w:t>
            </w:r>
          </w:p>
        </w:tc>
      </w:tr>
      <w:tr w14:paraId="547D0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383" w:type="pct"/>
            <w:gridSpan w:val="2"/>
            <w:vAlign w:val="center"/>
          </w:tcPr>
          <w:p w14:paraId="2A8332B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主要生态环境问题</w:t>
            </w:r>
          </w:p>
        </w:tc>
        <w:tc>
          <w:tcPr>
            <w:tcW w:w="3616" w:type="pct"/>
            <w:vAlign w:val="center"/>
          </w:tcPr>
          <w:p w14:paraId="127D7A6B">
            <w:pPr>
              <w:keepNext w:val="0"/>
              <w:keepLines w:val="0"/>
              <w:pageBreakBefore w:val="0"/>
              <w:widowControl w:val="0"/>
              <w:kinsoku/>
              <w:wordWrap/>
              <w:overflowPunct/>
              <w:topLinePunct w:val="0"/>
              <w:autoSpaceDE/>
              <w:autoSpaceDN/>
              <w:bidi w:val="0"/>
              <w:adjustRightInd/>
              <w:snapToGrid/>
              <w:spacing w:line="360" w:lineRule="exact"/>
              <w:ind w:left="0" w:right="166"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地下水超采、荒漠植被退化、土地荒漠化与盐渍化、大气和水质及土壤污染、良田减少、绿洲外围受到沙漠化威胁</w:t>
            </w:r>
          </w:p>
        </w:tc>
      </w:tr>
      <w:tr w14:paraId="720D8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383" w:type="pct"/>
            <w:gridSpan w:val="2"/>
            <w:vAlign w:val="center"/>
          </w:tcPr>
          <w:p w14:paraId="594EB8C3">
            <w:pPr>
              <w:keepNext w:val="0"/>
              <w:keepLines w:val="0"/>
              <w:pageBreakBefore w:val="0"/>
              <w:widowControl w:val="0"/>
              <w:kinsoku/>
              <w:wordWrap/>
              <w:overflowPunct/>
              <w:topLinePunct w:val="0"/>
              <w:autoSpaceDE/>
              <w:autoSpaceDN/>
              <w:bidi w:val="0"/>
              <w:adjustRightInd/>
              <w:snapToGrid/>
              <w:spacing w:line="360" w:lineRule="exact"/>
              <w:ind w:left="0" w:right="201"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生态敏感因子敏感程度</w:t>
            </w:r>
          </w:p>
        </w:tc>
        <w:tc>
          <w:tcPr>
            <w:tcW w:w="3616" w:type="pct"/>
            <w:vAlign w:val="center"/>
          </w:tcPr>
          <w:p w14:paraId="693AA1B4">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生物多样性和生境中度敏感，土地沙漠化、土壤侵蚀不敏感，土壤盐渍化不敏感</w:t>
            </w:r>
            <w:r>
              <w:rPr>
                <w:rFonts w:ascii="Times New Roman" w:hAnsi="Times New Roman" w:eastAsia="宋体" w:cs="Times New Roman"/>
                <w:color w:val="auto"/>
                <w:spacing w:val="0"/>
                <w:sz w:val="21"/>
                <w:szCs w:val="21"/>
                <w:highlight w:val="none"/>
              </w:rPr>
              <w:t>\</w:t>
            </w:r>
            <w:r>
              <w:rPr>
                <w:rFonts w:ascii="Times New Roman" w:hAnsi="Times New Roman" w:eastAsia="宋体" w:cs="宋体"/>
                <w:color w:val="auto"/>
                <w:spacing w:val="0"/>
                <w:sz w:val="21"/>
                <w:szCs w:val="21"/>
                <w:highlight w:val="none"/>
              </w:rPr>
              <w:t>轻度敏感。</w:t>
            </w:r>
          </w:p>
        </w:tc>
      </w:tr>
      <w:tr w14:paraId="0465F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1383" w:type="pct"/>
            <w:gridSpan w:val="2"/>
            <w:vAlign w:val="center"/>
          </w:tcPr>
          <w:p w14:paraId="23C32CCF">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保护目标</w:t>
            </w:r>
          </w:p>
        </w:tc>
        <w:tc>
          <w:tcPr>
            <w:tcW w:w="3616" w:type="pct"/>
            <w:vAlign w:val="center"/>
          </w:tcPr>
          <w:p w14:paraId="35F0451D">
            <w:pPr>
              <w:keepNext w:val="0"/>
              <w:keepLines w:val="0"/>
              <w:pageBreakBefore w:val="0"/>
              <w:widowControl w:val="0"/>
              <w:kinsoku/>
              <w:wordWrap/>
              <w:overflowPunct/>
              <w:topLinePunct w:val="0"/>
              <w:autoSpaceDE/>
              <w:autoSpaceDN/>
              <w:bidi w:val="0"/>
              <w:adjustRightInd/>
              <w:snapToGrid/>
              <w:spacing w:line="360" w:lineRule="exact"/>
              <w:ind w:left="0" w:right="197"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保护绿洲农田、保护城市大气和水环境质量、保护荒漠植被、保护农田土壤环境质量</w:t>
            </w:r>
          </w:p>
        </w:tc>
      </w:tr>
      <w:tr w14:paraId="1346B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1383" w:type="pct"/>
            <w:gridSpan w:val="2"/>
            <w:vAlign w:val="center"/>
          </w:tcPr>
          <w:p w14:paraId="06DEEF16">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保护措施</w:t>
            </w:r>
          </w:p>
        </w:tc>
        <w:tc>
          <w:tcPr>
            <w:tcW w:w="3616" w:type="pct"/>
            <w:vAlign w:val="center"/>
          </w:tcPr>
          <w:p w14:paraId="4F6581F8">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节水灌溉、严格控制地下水开采、污染物达标排放、提高城镇建设规划水平、控制城镇建设用地、荒漠草场禁牧休牧、完善防护林体系、加强农田投入品的使用管理</w:t>
            </w:r>
          </w:p>
        </w:tc>
      </w:tr>
      <w:tr w14:paraId="0B181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1383" w:type="pct"/>
            <w:gridSpan w:val="2"/>
            <w:vAlign w:val="center"/>
          </w:tcPr>
          <w:p w14:paraId="2528C317">
            <w:pPr>
              <w:keepNext w:val="0"/>
              <w:keepLines w:val="0"/>
              <w:pageBreakBefore w:val="0"/>
              <w:widowControl w:val="0"/>
              <w:kinsoku/>
              <w:wordWrap/>
              <w:overflowPunct/>
              <w:topLinePunct w:val="0"/>
              <w:autoSpaceDE/>
              <w:autoSpaceDN/>
              <w:bidi w:val="0"/>
              <w:adjustRightInd/>
              <w:snapToGrid/>
              <w:spacing w:line="360" w:lineRule="exact"/>
              <w:ind w:lef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发展方向</w:t>
            </w:r>
          </w:p>
        </w:tc>
        <w:tc>
          <w:tcPr>
            <w:tcW w:w="3616" w:type="pct"/>
            <w:vAlign w:val="center"/>
          </w:tcPr>
          <w:p w14:paraId="1CCD47F5">
            <w:pPr>
              <w:keepNext w:val="0"/>
              <w:keepLines w:val="0"/>
              <w:pageBreakBefore w:val="0"/>
              <w:widowControl w:val="0"/>
              <w:kinsoku/>
              <w:wordWrap/>
              <w:overflowPunct/>
              <w:topLinePunct w:val="0"/>
              <w:autoSpaceDE/>
              <w:autoSpaceDN/>
              <w:bidi w:val="0"/>
              <w:adjustRightInd/>
              <w:snapToGrid/>
              <w:spacing w:line="360" w:lineRule="exact"/>
              <w:ind w:left="0" w:right="166"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发展优质高效农牧业，美化城市环境，建设健康、稳定的城乡生态系统与人居环境。</w:t>
            </w:r>
          </w:p>
        </w:tc>
      </w:tr>
    </w:tbl>
    <w:p w14:paraId="63960170">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lang w:val="en-US" w:eastAsia="zh-CN"/>
        </w:rPr>
        <w:t>2</w:t>
      </w:r>
      <w:r>
        <w:rPr>
          <w:rFonts w:hint="eastAsia"/>
          <w:color w:val="auto"/>
          <w:highlight w:val="none"/>
          <w:lang w:eastAsia="zh-CN"/>
        </w:rPr>
        <w:t>）</w:t>
      </w:r>
      <w:r>
        <w:rPr>
          <w:rFonts w:hint="eastAsia" w:ascii="Times New Roman" w:hAnsi="Times New Roman" w:eastAsia="宋体"/>
          <w:color w:val="auto"/>
          <w:highlight w:val="none"/>
        </w:rPr>
        <w:t>现状用地性质</w:t>
      </w:r>
    </w:p>
    <w:p w14:paraId="046DB921">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玛纳斯县目前现状用地性质为：国有耕地18.8660hm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、集体耕地8.0956hm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、国有林地0.9345hm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、集体林地2.7590hm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、国有荒地32.9091hm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、集体荒地1.0397hm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、农民宅基地0.1601hm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、国有殡葬用地0.0061hm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、国有农村道路用地0.2116hm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、国有设施农业用地1.6848hm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p w14:paraId="1CC106D1">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本项目昌吉州玛纳斯县广东地乡苇坝村东侧1.6km处，用地性质为设施农用地，土地利用现状为荒草地。</w:t>
      </w:r>
    </w:p>
    <w:p w14:paraId="72DFC253">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lang w:val="en-US" w:eastAsia="zh-CN"/>
        </w:rPr>
        <w:t>3</w:t>
      </w:r>
      <w:r>
        <w:rPr>
          <w:rFonts w:hint="eastAsia"/>
          <w:color w:val="auto"/>
          <w:highlight w:val="none"/>
          <w:lang w:eastAsia="zh-CN"/>
        </w:rPr>
        <w:t>）</w:t>
      </w:r>
      <w:r>
        <w:rPr>
          <w:rFonts w:hint="eastAsia" w:ascii="Times New Roman" w:hAnsi="Times New Roman" w:eastAsia="宋体"/>
          <w:color w:val="auto"/>
          <w:highlight w:val="none"/>
        </w:rPr>
        <w:t>土壤类型</w:t>
      </w:r>
    </w:p>
    <w:p w14:paraId="137DCB31">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土质以轻壤、中壤为主，其次是沙壤、重壤、粘土等，土壤有机质含量为2.39%，含氮0.14%、含磷0.18%、碳酸钙14.9%，土壤PH值为5.5~6.5。土壤理化和生物性能良好，土质宜农宜牧。</w:t>
      </w:r>
    </w:p>
    <w:p w14:paraId="4457C9B5">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4</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植被环境</w:t>
      </w:r>
    </w:p>
    <w:p w14:paraId="4EBE502A">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根据项目所在区域的用地性质主要为国有耕地及集体耕地，植被分布主要为农户种植的农作物，包括小麦、玉米、油葵、棉花等农作物，平均生物量1.1kg/m</w:t>
      </w:r>
      <w:r>
        <w:rPr>
          <w:rFonts w:hint="eastAsia" w:ascii="Times New Roman" w:hAnsi="Times New Roman" w:eastAsia="宋体"/>
          <w:color w:val="auto"/>
          <w:highlight w:val="none"/>
          <w:vertAlign w:val="superscript"/>
        </w:rPr>
        <w:t>2</w:t>
      </w:r>
      <w:r>
        <w:rPr>
          <w:rFonts w:hint="eastAsia"/>
          <w:color w:val="auto"/>
          <w:highlight w:val="none"/>
          <w:lang w:eastAsia="zh-CN"/>
        </w:rPr>
        <w:t>（</w:t>
      </w:r>
      <w:r>
        <w:rPr>
          <w:rFonts w:hint="eastAsia" w:ascii="Times New Roman" w:hAnsi="Times New Roman" w:eastAsia="宋体"/>
          <w:color w:val="auto"/>
          <w:highlight w:val="none"/>
        </w:rPr>
        <w:t>平均净生产力644g/</w:t>
      </w:r>
      <w:r>
        <w:rPr>
          <w:rFonts w:hint="eastAsia"/>
          <w:color w:val="auto"/>
          <w:highlight w:val="none"/>
          <w:lang w:eastAsia="zh-CN"/>
        </w:rPr>
        <w:t>（</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；国有林地及集体林地植被主要有杨树、榆树、沙枣树等；国有荒地及集体荒地植被分布主要有蒿类、禾草类、杂草苜蓿、新疆针茅等小禾草外，还有春季短生植物等，植被覆盖度约25%，产草量＜200kg/hm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，平均生物量0.02kg/m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p w14:paraId="549ED173">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lang w:val="en-US" w:eastAsia="zh-CN"/>
        </w:rPr>
        <w:t>5</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动物现状调查与评价</w:t>
      </w:r>
    </w:p>
    <w:p w14:paraId="73E2FAD7">
      <w:pPr>
        <w:ind w:firstLine="480"/>
        <w:rPr>
          <w:rFonts w:ascii="Times New Roman" w:hAnsi="Times New Roman" w:eastAsia="宋体"/>
          <w:color w:val="auto"/>
          <w:highlight w:val="none"/>
        </w:rPr>
        <w:sectPr>
          <w:headerReference r:id="rId21" w:type="default"/>
          <w:footerReference r:id="rId2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r>
        <w:rPr>
          <w:rFonts w:hint="eastAsia" w:ascii="Times New Roman" w:hAnsi="Times New Roman" w:eastAsia="宋体"/>
          <w:color w:val="auto"/>
          <w:highlight w:val="none"/>
        </w:rPr>
        <w:t>本工程所在区域由于人类活动，无珍稀野生动物分布，仅生存着小型啮齿类动物，如麻雀、燕子、野鼠类等。。</w:t>
      </w:r>
    </w:p>
    <w:p w14:paraId="439F2E66">
      <w:pPr>
        <w:pStyle w:val="3"/>
        <w:rPr>
          <w:rFonts w:ascii="Times New Roman" w:hAnsi="Times New Roman" w:eastAsia="宋体"/>
          <w:color w:val="auto"/>
          <w:highlight w:val="none"/>
        </w:rPr>
      </w:pPr>
      <w:bookmarkStart w:id="173" w:name="_Toc89619342"/>
      <w:bookmarkStart w:id="174" w:name="_Toc106663492"/>
      <w:r>
        <w:rPr>
          <w:rFonts w:hint="eastAsia" w:ascii="Times New Roman" w:hAnsi="Times New Roman" w:eastAsia="宋体"/>
          <w:color w:val="auto"/>
          <w:highlight w:val="none"/>
        </w:rPr>
        <w:t>5、建设项目环境影响分析</w:t>
      </w:r>
      <w:bookmarkEnd w:id="173"/>
      <w:bookmarkEnd w:id="174"/>
    </w:p>
    <w:p w14:paraId="1998BFBA">
      <w:pPr>
        <w:pStyle w:val="4"/>
        <w:rPr>
          <w:rFonts w:ascii="Times New Roman" w:hAnsi="Times New Roman" w:eastAsia="宋体"/>
          <w:color w:val="auto"/>
          <w:highlight w:val="none"/>
        </w:rPr>
      </w:pPr>
      <w:bookmarkStart w:id="175" w:name="_Toc89619343"/>
      <w:bookmarkStart w:id="176" w:name="_Toc106663493"/>
      <w:r>
        <w:rPr>
          <w:rFonts w:hint="eastAsia" w:ascii="Times New Roman" w:hAnsi="Times New Roman" w:eastAsia="宋体"/>
          <w:color w:val="auto"/>
          <w:highlight w:val="none"/>
        </w:rPr>
        <w:t>5.1施工期环境影响分析</w:t>
      </w:r>
      <w:bookmarkEnd w:id="175"/>
      <w:bookmarkEnd w:id="176"/>
    </w:p>
    <w:p w14:paraId="0B1326B8">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施工期主要包括基础工程、主体工程、设备安装、装饰工程、工程验收等工序，其过程主要污染物为施工期厂界范围内的施工扬尘、施工设备燃油废气、施工噪声、施工废水、施工生活废水、施工填方、取土、施工建筑弃土、建筑废渣及施工占地产生的生态环境。</w:t>
      </w:r>
    </w:p>
    <w:p w14:paraId="4D14F903">
      <w:pPr>
        <w:pStyle w:val="5"/>
        <w:rPr>
          <w:rFonts w:ascii="Times New Roman" w:hAnsi="Times New Roman" w:eastAsia="宋体"/>
          <w:color w:val="auto"/>
          <w:highlight w:val="none"/>
        </w:rPr>
      </w:pPr>
      <w:bookmarkStart w:id="177" w:name="_Toc106663494"/>
      <w:r>
        <w:rPr>
          <w:rFonts w:hint="eastAsia" w:ascii="Times New Roman" w:hAnsi="Times New Roman" w:eastAsia="宋体"/>
          <w:color w:val="auto"/>
          <w:highlight w:val="none"/>
        </w:rPr>
        <w:t>5.1.1施工期大气环境影响分析</w:t>
      </w:r>
      <w:bookmarkEnd w:id="177"/>
    </w:p>
    <w:p w14:paraId="481184D0">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5.1.1.1施工扬尘</w:t>
      </w:r>
    </w:p>
    <w:p w14:paraId="07F0AEDE">
      <w:pPr>
        <w:ind w:firstLine="480"/>
        <w:rPr>
          <w:rFonts w:ascii="Times New Roman" w:hAnsi="Times New Roman" w:eastAsia="宋体"/>
          <w:color w:val="auto"/>
          <w:highlight w:val="none"/>
        </w:rPr>
      </w:pPr>
      <w:r>
        <w:rPr>
          <w:rFonts w:ascii="Times New Roman" w:hAnsi="Times New Roman" w:eastAsia="宋体"/>
          <w:color w:val="auto"/>
          <w:highlight w:val="none"/>
        </w:rPr>
        <w:t>本项目施工期扬尘主要是主体工程、辅助工程、公用工程基础施工、环保工程等的土建挖取土（石）、推土、场地平整、施工沙石材料等的装卸、运输过程中产生的扬尘以及土石方的临时堆放过程中产生的扬尘，施工扬尘产生与施工管理、气象（特别是风速）条件等密切相关，也与扬尘本身沉降速度有关。如遇干旱无雨季节，在大风时，施工扬尘将更严重。据有关调查显示，施工工地的扬尘主要是由运输车辆行驶产生，与道路路面及车辆行驶速度有关，约占扬尘总量的60%。在完全干燥情况下，可按经验公式计算：</w:t>
      </w:r>
    </w:p>
    <w:p w14:paraId="0D31E1FF">
      <w:pPr>
        <w:ind w:firstLine="0" w:firstLineChars="0"/>
        <w:jc w:val="center"/>
        <w:rPr>
          <w:rFonts w:ascii="Times New Roman" w:hAnsi="Times New Roman" w:eastAsia="宋体"/>
          <w:bCs/>
          <w:color w:val="auto"/>
          <w:highlight w:val="none"/>
        </w:rPr>
      </w:pPr>
      <w:r>
        <w:rPr>
          <w:rFonts w:ascii="Times New Roman" w:hAnsi="Times New Roman" w:eastAsia="宋体"/>
          <w:color w:val="auto"/>
          <w:position w:val="-36"/>
          <w:highlight w:val="none"/>
        </w:rPr>
        <w:object>
          <v:shape id="_x0000_i1032" o:spt="75" type="#_x0000_t75" style="height:35.05pt;width:154.1pt;" o:ole="t" filled="f" o:preferrelative="t" stroked="f" coordsize="21600,21600">
            <v:path/>
            <v:fill on="f" focussize="0,0"/>
            <v:stroke on="f" joinstyle="miter"/>
            <v:imagedata r:id="rId47" o:title=""/>
            <o:lock v:ext="edit" aspectratio="t"/>
            <w10:wrap type="none"/>
            <w10:anchorlock/>
          </v:shape>
          <o:OLEObject Type="Embed" ProgID="Equation.AxMath" ShapeID="_x0000_i1032" DrawAspect="Content" ObjectID="_1468075732" r:id="rId46">
            <o:LockedField>false</o:LockedField>
          </o:OLEObject>
        </w:object>
      </w:r>
    </w:p>
    <w:p w14:paraId="5380CAAA">
      <w:pPr>
        <w:ind w:firstLine="480"/>
        <w:rPr>
          <w:rFonts w:ascii="Times New Roman" w:hAnsi="Times New Roman" w:eastAsia="宋体"/>
          <w:bCs/>
          <w:color w:val="auto"/>
          <w:highlight w:val="none"/>
        </w:rPr>
      </w:pPr>
      <w:r>
        <w:rPr>
          <w:rFonts w:ascii="Times New Roman" w:hAnsi="Times New Roman" w:eastAsia="宋体"/>
          <w:bCs/>
          <w:color w:val="auto"/>
          <w:highlight w:val="none"/>
        </w:rPr>
        <w:t>式中：Q</w:t>
      </w:r>
      <w:r>
        <w:rPr>
          <w:rFonts w:hint="eastAsia" w:ascii="Times New Roman" w:hAnsi="Times New Roman" w:eastAsia="宋体"/>
          <w:bCs/>
          <w:color w:val="auto"/>
          <w:highlight w:val="none"/>
        </w:rPr>
        <w:t>——</w:t>
      </w:r>
      <w:r>
        <w:rPr>
          <w:rFonts w:ascii="Times New Roman" w:hAnsi="Times New Roman" w:eastAsia="宋体"/>
          <w:bCs/>
          <w:color w:val="auto"/>
          <w:highlight w:val="none"/>
        </w:rPr>
        <w:t>汽车行驶时的扬尘，kg/km.辆；</w:t>
      </w:r>
    </w:p>
    <w:p w14:paraId="165FCB52">
      <w:pPr>
        <w:ind w:firstLine="1200" w:firstLineChars="500"/>
        <w:rPr>
          <w:rFonts w:ascii="Times New Roman" w:hAnsi="Times New Roman" w:eastAsia="宋体"/>
          <w:bCs/>
          <w:color w:val="auto"/>
          <w:highlight w:val="none"/>
        </w:rPr>
      </w:pPr>
      <w:r>
        <w:rPr>
          <w:rFonts w:ascii="Times New Roman" w:hAnsi="Times New Roman" w:eastAsia="宋体"/>
          <w:bCs/>
          <w:color w:val="auto"/>
          <w:highlight w:val="none"/>
        </w:rPr>
        <w:t>V</w:t>
      </w:r>
      <w:r>
        <w:rPr>
          <w:rFonts w:hint="eastAsia" w:ascii="Times New Roman" w:hAnsi="Times New Roman" w:eastAsia="宋体"/>
          <w:bCs/>
          <w:color w:val="auto"/>
          <w:highlight w:val="none"/>
        </w:rPr>
        <w:t>——</w:t>
      </w:r>
      <w:r>
        <w:rPr>
          <w:rFonts w:ascii="Times New Roman" w:hAnsi="Times New Roman" w:eastAsia="宋体"/>
          <w:bCs/>
          <w:color w:val="auto"/>
          <w:highlight w:val="none"/>
        </w:rPr>
        <w:t>汽车速度，km/h；</w:t>
      </w:r>
    </w:p>
    <w:p w14:paraId="4B04454F">
      <w:pPr>
        <w:ind w:firstLine="1200" w:firstLineChars="500"/>
        <w:rPr>
          <w:rFonts w:ascii="Times New Roman" w:hAnsi="Times New Roman" w:eastAsia="宋体"/>
          <w:bCs/>
          <w:color w:val="auto"/>
          <w:highlight w:val="none"/>
        </w:rPr>
      </w:pPr>
      <w:r>
        <w:rPr>
          <w:rFonts w:ascii="Times New Roman" w:hAnsi="Times New Roman" w:eastAsia="宋体"/>
          <w:bCs/>
          <w:color w:val="auto"/>
          <w:highlight w:val="none"/>
        </w:rPr>
        <w:t>W</w:t>
      </w:r>
      <w:r>
        <w:rPr>
          <w:rFonts w:hint="eastAsia" w:ascii="Times New Roman" w:hAnsi="Times New Roman" w:eastAsia="宋体"/>
          <w:bCs/>
          <w:color w:val="auto"/>
          <w:highlight w:val="none"/>
        </w:rPr>
        <w:t>——</w:t>
      </w:r>
      <w:r>
        <w:rPr>
          <w:rFonts w:ascii="Times New Roman" w:hAnsi="Times New Roman" w:eastAsia="宋体"/>
          <w:bCs/>
          <w:color w:val="auto"/>
          <w:highlight w:val="none"/>
        </w:rPr>
        <w:t>汽车载重量，吨；</w:t>
      </w:r>
    </w:p>
    <w:p w14:paraId="575E7C33">
      <w:pPr>
        <w:ind w:firstLine="1200" w:firstLineChars="500"/>
        <w:rPr>
          <w:rFonts w:ascii="Times New Roman" w:hAnsi="Times New Roman" w:eastAsia="宋体"/>
          <w:bCs/>
          <w:color w:val="auto"/>
          <w:highlight w:val="none"/>
        </w:rPr>
      </w:pPr>
      <w:r>
        <w:rPr>
          <w:rFonts w:ascii="Times New Roman" w:hAnsi="Times New Roman" w:eastAsia="宋体"/>
          <w:bCs/>
          <w:color w:val="auto"/>
          <w:highlight w:val="none"/>
        </w:rPr>
        <w:t>P</w:t>
      </w:r>
      <w:r>
        <w:rPr>
          <w:rFonts w:hint="eastAsia" w:ascii="Times New Roman" w:hAnsi="Times New Roman" w:eastAsia="宋体"/>
          <w:bCs/>
          <w:color w:val="auto"/>
          <w:highlight w:val="none"/>
        </w:rPr>
        <w:t>——</w:t>
      </w:r>
      <w:r>
        <w:rPr>
          <w:rFonts w:ascii="Times New Roman" w:hAnsi="Times New Roman" w:eastAsia="宋体"/>
          <w:bCs/>
          <w:color w:val="auto"/>
          <w:highlight w:val="none"/>
        </w:rPr>
        <w:t>道路表面粉尘量，kg/m</w:t>
      </w:r>
      <w:r>
        <w:rPr>
          <w:rFonts w:ascii="Times New Roman" w:hAnsi="Times New Roman" w:eastAsia="宋体"/>
          <w:bCs/>
          <w:color w:val="auto"/>
          <w:highlight w:val="none"/>
          <w:vertAlign w:val="superscript"/>
        </w:rPr>
        <w:t>2</w:t>
      </w:r>
    </w:p>
    <w:p w14:paraId="13D97DCC">
      <w:pPr>
        <w:ind w:firstLine="480"/>
        <w:rPr>
          <w:rFonts w:ascii="Times New Roman" w:hAnsi="Times New Roman" w:eastAsia="宋体"/>
          <w:color w:val="auto"/>
          <w:highlight w:val="none"/>
        </w:rPr>
      </w:pPr>
      <w:r>
        <w:rPr>
          <w:rFonts w:ascii="Times New Roman" w:hAnsi="Times New Roman" w:eastAsia="宋体"/>
          <w:color w:val="auto"/>
          <w:highlight w:val="none"/>
        </w:rPr>
        <w:t>一辆载重20t的卡车，通过一段长度为500m的路面时，不同表面清洁程度，不同行驶速度情况下产生的扬尘量如表5.1-1所示。</w:t>
      </w:r>
    </w:p>
    <w:p w14:paraId="52FD1EF6">
      <w:pPr>
        <w:pStyle w:val="10"/>
        <w:rPr>
          <w:rFonts w:ascii="Times New Roman" w:hAnsi="Times New Roman" w:eastAsia="宋体"/>
          <w:color w:val="auto"/>
          <w:highlight w:val="none"/>
        </w:rPr>
      </w:pPr>
      <w:r>
        <w:rPr>
          <w:rFonts w:ascii="Times New Roman" w:hAnsi="Times New Roman" w:eastAsia="宋体"/>
          <w:color w:val="auto"/>
          <w:highlight w:val="none"/>
        </w:rPr>
        <w:t>表5.1-1</w:t>
      </w:r>
      <w:r>
        <w:rPr>
          <w:rFonts w:hint="eastAsia" w:ascii="Times New Roman" w:hAnsi="Times New Roman" w:eastAsia="宋体"/>
          <w:color w:val="auto"/>
          <w:highlight w:val="none"/>
        </w:rPr>
        <w:t>不同车速和地面清洁程度时的汽车扬尘单位：kg/km·辆</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7"/>
        <w:gridCol w:w="1285"/>
        <w:gridCol w:w="999"/>
        <w:gridCol w:w="1111"/>
        <w:gridCol w:w="1113"/>
        <w:gridCol w:w="1109"/>
        <w:gridCol w:w="1108"/>
      </w:tblGrid>
      <w:tr w14:paraId="1416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14:paraId="56C6CC7E">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车速</w:t>
            </w:r>
            <w:r>
              <w:rPr>
                <w:rFonts w:ascii="Times New Roman" w:hAnsi="Times New Roman" w:eastAsia="宋体"/>
                <w:bCs/>
                <w:color w:val="auto"/>
                <w:kern w:val="2"/>
                <w:sz w:val="21"/>
                <w:szCs w:val="21"/>
                <w:highlight w:val="none"/>
              </w:rPr>
              <w:t>（</w:t>
            </w:r>
            <w:r>
              <w:rPr>
                <w:rFonts w:hint="eastAsia" w:ascii="Times New Roman" w:hAnsi="Times New Roman" w:eastAsia="宋体"/>
                <w:bCs/>
                <w:color w:val="auto"/>
                <w:kern w:val="2"/>
                <w:sz w:val="21"/>
                <w:szCs w:val="21"/>
                <w:highlight w:val="none"/>
              </w:rPr>
              <w:t>k</w:t>
            </w:r>
            <w:r>
              <w:rPr>
                <w:rFonts w:ascii="Times New Roman" w:hAnsi="Times New Roman" w:eastAsia="宋体"/>
                <w:bCs/>
                <w:color w:val="auto"/>
                <w:kern w:val="2"/>
                <w:sz w:val="21"/>
                <w:szCs w:val="21"/>
                <w:highlight w:val="none"/>
              </w:rPr>
              <w:t>m/</w:t>
            </w:r>
            <w:r>
              <w:rPr>
                <w:rFonts w:hint="eastAsia" w:ascii="Times New Roman" w:hAnsi="Times New Roman" w:eastAsia="宋体"/>
                <w:bCs/>
                <w:color w:val="auto"/>
                <w:kern w:val="2"/>
                <w:sz w:val="21"/>
                <w:szCs w:val="21"/>
                <w:highlight w:val="none"/>
              </w:rPr>
              <w:t>h</w:t>
            </w:r>
            <w:r>
              <w:rPr>
                <w:rFonts w:ascii="Times New Roman" w:hAnsi="Times New Roman" w:eastAsia="宋体"/>
                <w:bCs/>
                <w:color w:val="auto"/>
                <w:kern w:val="2"/>
                <w:sz w:val="21"/>
                <w:szCs w:val="21"/>
                <w:highlight w:val="none"/>
              </w:rPr>
              <w:t>）</w:t>
            </w:r>
          </w:p>
          <w:p w14:paraId="14028715">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P（kg</w:t>
            </w:r>
            <w:r>
              <w:rPr>
                <w:rFonts w:hint="eastAsia" w:ascii="Times New Roman" w:hAnsi="Times New Roman" w:eastAsia="宋体" w:cs="宋体"/>
                <w:bCs/>
                <w:color w:val="auto"/>
                <w:kern w:val="2"/>
                <w:sz w:val="21"/>
                <w:szCs w:val="21"/>
                <w:highlight w:val="none"/>
              </w:rPr>
              <w:t>/</w:t>
            </w:r>
            <w:r>
              <w:rPr>
                <w:rFonts w:hint="eastAsia" w:ascii="Times New Roman" w:hAnsi="Times New Roman" w:eastAsia="宋体"/>
                <w:bCs/>
                <w:color w:val="auto"/>
                <w:kern w:val="2"/>
                <w:sz w:val="21"/>
                <w:szCs w:val="21"/>
                <w:highlight w:val="none"/>
              </w:rPr>
              <w:t>m</w:t>
            </w:r>
            <w:r>
              <w:rPr>
                <w:rFonts w:hint="eastAsia" w:ascii="Times New Roman" w:hAnsi="Times New Roman" w:eastAsia="宋体"/>
                <w:bCs/>
                <w:color w:val="auto"/>
                <w:kern w:val="2"/>
                <w:sz w:val="21"/>
                <w:szCs w:val="21"/>
                <w:highlight w:val="none"/>
                <w:vertAlign w:val="superscript"/>
              </w:rPr>
              <w:t>2</w:t>
            </w:r>
            <w:r>
              <w:rPr>
                <w:rFonts w:hint="eastAsia" w:ascii="Times New Roman" w:hAnsi="Times New Roman" w:eastAsia="宋体"/>
                <w:bCs/>
                <w:color w:val="auto"/>
                <w:kern w:val="2"/>
                <w:sz w:val="21"/>
                <w:szCs w:val="21"/>
                <w:highlight w:val="none"/>
              </w:rPr>
              <w:t>）</w:t>
            </w:r>
          </w:p>
        </w:tc>
        <w:tc>
          <w:tcPr>
            <w:tcW w:w="660" w:type="pct"/>
            <w:tcBorders>
              <w:tl2br w:val="nil"/>
              <w:tr2bl w:val="nil"/>
            </w:tcBorders>
            <w:vAlign w:val="center"/>
          </w:tcPr>
          <w:p w14:paraId="0371F9FE">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0.1</w:t>
            </w:r>
          </w:p>
        </w:tc>
        <w:tc>
          <w:tcPr>
            <w:tcW w:w="513" w:type="pct"/>
            <w:tcBorders>
              <w:tl2br w:val="nil"/>
              <w:tr2bl w:val="nil"/>
            </w:tcBorders>
            <w:vAlign w:val="center"/>
          </w:tcPr>
          <w:p w14:paraId="66BA1D60">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0.2</w:t>
            </w:r>
          </w:p>
        </w:tc>
        <w:tc>
          <w:tcPr>
            <w:tcW w:w="571" w:type="pct"/>
            <w:tcBorders>
              <w:tl2br w:val="nil"/>
              <w:tr2bl w:val="nil"/>
            </w:tcBorders>
            <w:vAlign w:val="center"/>
          </w:tcPr>
          <w:p w14:paraId="63CDE9E0">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0.3</w:t>
            </w:r>
          </w:p>
        </w:tc>
        <w:tc>
          <w:tcPr>
            <w:tcW w:w="572" w:type="pct"/>
            <w:tcBorders>
              <w:tl2br w:val="nil"/>
              <w:tr2bl w:val="nil"/>
            </w:tcBorders>
            <w:vAlign w:val="center"/>
          </w:tcPr>
          <w:p w14:paraId="466387B9">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0.4</w:t>
            </w:r>
          </w:p>
        </w:tc>
        <w:tc>
          <w:tcPr>
            <w:tcW w:w="570" w:type="pct"/>
            <w:tcBorders>
              <w:tl2br w:val="nil"/>
              <w:tr2bl w:val="nil"/>
            </w:tcBorders>
            <w:vAlign w:val="center"/>
          </w:tcPr>
          <w:p w14:paraId="7E99A361">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0.5</w:t>
            </w:r>
          </w:p>
        </w:tc>
        <w:tc>
          <w:tcPr>
            <w:tcW w:w="570" w:type="pct"/>
            <w:tcBorders>
              <w:tl2br w:val="nil"/>
              <w:tr2bl w:val="nil"/>
            </w:tcBorders>
            <w:vAlign w:val="center"/>
          </w:tcPr>
          <w:p w14:paraId="4A3591D2">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1.0</w:t>
            </w:r>
          </w:p>
        </w:tc>
      </w:tr>
      <w:tr w14:paraId="135D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14:paraId="3EF84A05">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5</w:t>
            </w:r>
          </w:p>
        </w:tc>
        <w:tc>
          <w:tcPr>
            <w:tcW w:w="660" w:type="pct"/>
            <w:tcBorders>
              <w:tl2br w:val="nil"/>
              <w:tr2bl w:val="nil"/>
            </w:tcBorders>
            <w:vAlign w:val="center"/>
          </w:tcPr>
          <w:p w14:paraId="2DF94790">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0.0323</w:t>
            </w:r>
          </w:p>
        </w:tc>
        <w:tc>
          <w:tcPr>
            <w:tcW w:w="513" w:type="pct"/>
            <w:tcBorders>
              <w:tl2br w:val="nil"/>
              <w:tr2bl w:val="nil"/>
            </w:tcBorders>
            <w:vAlign w:val="center"/>
          </w:tcPr>
          <w:p w14:paraId="4D5A20A3">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0.0576</w:t>
            </w:r>
          </w:p>
        </w:tc>
        <w:tc>
          <w:tcPr>
            <w:tcW w:w="571" w:type="pct"/>
            <w:tcBorders>
              <w:tl2br w:val="nil"/>
              <w:tr2bl w:val="nil"/>
            </w:tcBorders>
            <w:vAlign w:val="center"/>
          </w:tcPr>
          <w:p w14:paraId="3F9D26B0">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0.0946</w:t>
            </w:r>
          </w:p>
        </w:tc>
        <w:tc>
          <w:tcPr>
            <w:tcW w:w="572" w:type="pct"/>
            <w:tcBorders>
              <w:tl2br w:val="nil"/>
              <w:tr2bl w:val="nil"/>
            </w:tcBorders>
            <w:vAlign w:val="center"/>
          </w:tcPr>
          <w:p w14:paraId="369D6F85">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0.1427</w:t>
            </w:r>
          </w:p>
        </w:tc>
        <w:tc>
          <w:tcPr>
            <w:tcW w:w="570" w:type="pct"/>
            <w:tcBorders>
              <w:tl2br w:val="nil"/>
              <w:tr2bl w:val="nil"/>
            </w:tcBorders>
            <w:vAlign w:val="center"/>
          </w:tcPr>
          <w:p w14:paraId="613A2FC7">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0.1760</w:t>
            </w:r>
          </w:p>
        </w:tc>
        <w:tc>
          <w:tcPr>
            <w:tcW w:w="570" w:type="pct"/>
            <w:tcBorders>
              <w:tl2br w:val="nil"/>
              <w:tr2bl w:val="nil"/>
            </w:tcBorders>
            <w:vAlign w:val="center"/>
          </w:tcPr>
          <w:p w14:paraId="53BE2806">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0.2393</w:t>
            </w:r>
          </w:p>
        </w:tc>
      </w:tr>
      <w:tr w14:paraId="195B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14:paraId="7D61ED88">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10</w:t>
            </w:r>
          </w:p>
        </w:tc>
        <w:tc>
          <w:tcPr>
            <w:tcW w:w="660" w:type="pct"/>
            <w:tcBorders>
              <w:tl2br w:val="nil"/>
              <w:tr2bl w:val="nil"/>
            </w:tcBorders>
            <w:vAlign w:val="center"/>
          </w:tcPr>
          <w:p w14:paraId="1F2E7874">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0.0716</w:t>
            </w:r>
          </w:p>
        </w:tc>
        <w:tc>
          <w:tcPr>
            <w:tcW w:w="513" w:type="pct"/>
            <w:tcBorders>
              <w:tl2br w:val="nil"/>
              <w:tr2bl w:val="nil"/>
            </w:tcBorders>
            <w:vAlign w:val="center"/>
          </w:tcPr>
          <w:p w14:paraId="3F4F2C36">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0.1253</w:t>
            </w:r>
          </w:p>
        </w:tc>
        <w:tc>
          <w:tcPr>
            <w:tcW w:w="571" w:type="pct"/>
            <w:tcBorders>
              <w:tl2br w:val="nil"/>
              <w:tr2bl w:val="nil"/>
            </w:tcBorders>
            <w:vAlign w:val="center"/>
          </w:tcPr>
          <w:p w14:paraId="7724171E">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0.1638</w:t>
            </w:r>
          </w:p>
        </w:tc>
        <w:tc>
          <w:tcPr>
            <w:tcW w:w="572" w:type="pct"/>
            <w:tcBorders>
              <w:tl2br w:val="nil"/>
              <w:tr2bl w:val="nil"/>
            </w:tcBorders>
            <w:vAlign w:val="center"/>
          </w:tcPr>
          <w:p w14:paraId="43768B9A">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0.2325</w:t>
            </w:r>
          </w:p>
        </w:tc>
        <w:tc>
          <w:tcPr>
            <w:tcW w:w="570" w:type="pct"/>
            <w:tcBorders>
              <w:tl2br w:val="nil"/>
              <w:tr2bl w:val="nil"/>
            </w:tcBorders>
            <w:vAlign w:val="center"/>
          </w:tcPr>
          <w:p w14:paraId="587DCB6C">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0.2231</w:t>
            </w:r>
          </w:p>
        </w:tc>
        <w:tc>
          <w:tcPr>
            <w:tcW w:w="570" w:type="pct"/>
            <w:tcBorders>
              <w:tl2br w:val="nil"/>
              <w:tr2bl w:val="nil"/>
            </w:tcBorders>
            <w:vAlign w:val="center"/>
          </w:tcPr>
          <w:p w14:paraId="0EEEA018">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0.4286</w:t>
            </w:r>
          </w:p>
        </w:tc>
      </w:tr>
      <w:tr w14:paraId="5FEA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14:paraId="2EA21CD1">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15</w:t>
            </w:r>
          </w:p>
        </w:tc>
        <w:tc>
          <w:tcPr>
            <w:tcW w:w="660" w:type="pct"/>
            <w:tcBorders>
              <w:tl2br w:val="nil"/>
              <w:tr2bl w:val="nil"/>
            </w:tcBorders>
            <w:vAlign w:val="center"/>
          </w:tcPr>
          <w:p w14:paraId="60326DB0">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0.1050</w:t>
            </w:r>
          </w:p>
        </w:tc>
        <w:tc>
          <w:tcPr>
            <w:tcW w:w="513" w:type="pct"/>
            <w:tcBorders>
              <w:tl2br w:val="nil"/>
              <w:tr2bl w:val="nil"/>
            </w:tcBorders>
            <w:vAlign w:val="center"/>
          </w:tcPr>
          <w:p w14:paraId="15308120">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0.1636</w:t>
            </w:r>
          </w:p>
        </w:tc>
        <w:tc>
          <w:tcPr>
            <w:tcW w:w="571" w:type="pct"/>
            <w:tcBorders>
              <w:tl2br w:val="nil"/>
              <w:tr2bl w:val="nil"/>
            </w:tcBorders>
            <w:vAlign w:val="center"/>
          </w:tcPr>
          <w:p w14:paraId="38A87EA2">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0.2342</w:t>
            </w:r>
          </w:p>
        </w:tc>
        <w:tc>
          <w:tcPr>
            <w:tcW w:w="572" w:type="pct"/>
            <w:tcBorders>
              <w:tl2br w:val="nil"/>
              <w:tr2bl w:val="nil"/>
            </w:tcBorders>
            <w:vAlign w:val="center"/>
          </w:tcPr>
          <w:p w14:paraId="2476D3A9">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0.3603</w:t>
            </w:r>
          </w:p>
        </w:tc>
        <w:tc>
          <w:tcPr>
            <w:tcW w:w="570" w:type="pct"/>
            <w:tcBorders>
              <w:tl2br w:val="nil"/>
              <w:tr2bl w:val="nil"/>
            </w:tcBorders>
            <w:vAlign w:val="center"/>
          </w:tcPr>
          <w:p w14:paraId="617BB40E">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0.4314</w:t>
            </w:r>
          </w:p>
        </w:tc>
        <w:tc>
          <w:tcPr>
            <w:tcW w:w="570" w:type="pct"/>
            <w:tcBorders>
              <w:tl2br w:val="nil"/>
              <w:tr2bl w:val="nil"/>
            </w:tcBorders>
            <w:vAlign w:val="center"/>
          </w:tcPr>
          <w:p w14:paraId="449C61AE">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0.6878</w:t>
            </w:r>
          </w:p>
        </w:tc>
      </w:tr>
      <w:tr w14:paraId="4CAC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pct"/>
            <w:tcBorders>
              <w:tl2br w:val="nil"/>
              <w:tr2bl w:val="nil"/>
            </w:tcBorders>
            <w:vAlign w:val="center"/>
          </w:tcPr>
          <w:p w14:paraId="28CFF19D">
            <w:pPr>
              <w:snapToGrid w:val="0"/>
              <w:spacing w:line="240" w:lineRule="auto"/>
              <w:ind w:firstLine="0" w:firstLineChars="0"/>
              <w:jc w:val="center"/>
              <w:rPr>
                <w:rFonts w:ascii="Times New Roman" w:hAnsi="Times New Roman" w:eastAsia="宋体"/>
                <w:bCs/>
                <w:color w:val="auto"/>
                <w:kern w:val="2"/>
                <w:sz w:val="21"/>
                <w:szCs w:val="21"/>
                <w:highlight w:val="none"/>
              </w:rPr>
            </w:pPr>
            <w:r>
              <w:rPr>
                <w:rFonts w:hint="eastAsia" w:ascii="Times New Roman" w:hAnsi="Times New Roman" w:eastAsia="宋体"/>
                <w:bCs/>
                <w:color w:val="auto"/>
                <w:kern w:val="2"/>
                <w:sz w:val="21"/>
                <w:szCs w:val="21"/>
                <w:highlight w:val="none"/>
              </w:rPr>
              <w:t>20</w:t>
            </w:r>
          </w:p>
        </w:tc>
        <w:tc>
          <w:tcPr>
            <w:tcW w:w="660" w:type="pct"/>
            <w:tcBorders>
              <w:tl2br w:val="nil"/>
              <w:tr2bl w:val="nil"/>
            </w:tcBorders>
            <w:vAlign w:val="center"/>
          </w:tcPr>
          <w:p w14:paraId="19DEB96F">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0.1433</w:t>
            </w:r>
          </w:p>
        </w:tc>
        <w:tc>
          <w:tcPr>
            <w:tcW w:w="513" w:type="pct"/>
            <w:tcBorders>
              <w:tl2br w:val="nil"/>
              <w:tr2bl w:val="nil"/>
            </w:tcBorders>
            <w:vAlign w:val="center"/>
          </w:tcPr>
          <w:p w14:paraId="75A98B63">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0.2105</w:t>
            </w:r>
          </w:p>
        </w:tc>
        <w:tc>
          <w:tcPr>
            <w:tcW w:w="571" w:type="pct"/>
            <w:tcBorders>
              <w:tl2br w:val="nil"/>
              <w:tr2bl w:val="nil"/>
            </w:tcBorders>
            <w:vAlign w:val="center"/>
          </w:tcPr>
          <w:p w14:paraId="4F20CEDA">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0.2741</w:t>
            </w:r>
          </w:p>
        </w:tc>
        <w:tc>
          <w:tcPr>
            <w:tcW w:w="572" w:type="pct"/>
            <w:tcBorders>
              <w:tl2br w:val="nil"/>
              <w:tr2bl w:val="nil"/>
            </w:tcBorders>
            <w:vAlign w:val="center"/>
          </w:tcPr>
          <w:p w14:paraId="66A1C26B">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0.4204</w:t>
            </w:r>
          </w:p>
        </w:tc>
        <w:tc>
          <w:tcPr>
            <w:tcW w:w="570" w:type="pct"/>
            <w:tcBorders>
              <w:tl2br w:val="nil"/>
              <w:tr2bl w:val="nil"/>
            </w:tcBorders>
            <w:vAlign w:val="center"/>
          </w:tcPr>
          <w:p w14:paraId="76B13C19">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0.5828</w:t>
            </w:r>
          </w:p>
        </w:tc>
        <w:tc>
          <w:tcPr>
            <w:tcW w:w="570" w:type="pct"/>
            <w:tcBorders>
              <w:tl2br w:val="nil"/>
              <w:tr2bl w:val="nil"/>
            </w:tcBorders>
            <w:vAlign w:val="center"/>
          </w:tcPr>
          <w:p w14:paraId="695F5EBE">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0.8471</w:t>
            </w:r>
          </w:p>
        </w:tc>
      </w:tr>
    </w:tbl>
    <w:p w14:paraId="255B3BD5">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由表5.1-1可见，在同样路面清洁情况下，车速越快，扬尘量越大；而在同样车速情况下，路面清洁度越差，则扬尘量越大。根据类比调查，一般情况下，施工场地、施工道路在自然风作用下产生的扬尘所影响的范围在100m以内。</w:t>
      </w:r>
    </w:p>
    <w:p w14:paraId="4132BC59">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抑制扬尘的一个简洁有效的措施是洒水。如果在施工期内对车辆行驶的路面实施洒水抑尘，每天洒水4-5次，可使扬尘减少70%左右。</w:t>
      </w:r>
    </w:p>
    <w:p w14:paraId="0541AFB7">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施工扬尘的另一种重要产生方式是建筑材料的露天堆放和搅拌作业，这类扬尘的主要特点是受作业时风速大小的影响显著。因此，禁止在大风天气时进行此类作业以及减少建筑材料的露天堆放是抑制这类扬尘的一种很有效的手段。对水泥、粉煤灰等细颗粒散体材料在运输、储存时采取遮盖、密封的措施，防止和减少飞扬。</w:t>
      </w:r>
    </w:p>
    <w:p w14:paraId="49EC7F33">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针对施工期扬尘，根据《防治城市扬尘污染技术规范》（HJ/T393-2007）中有关规定要求，本环评要求加强对施工工地扬尘污染的管理与控制。</w:t>
      </w:r>
    </w:p>
    <w:p w14:paraId="19B76BC1">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5.1.1.2燃油机械及机动车废气</w:t>
      </w:r>
    </w:p>
    <w:p w14:paraId="669536F1">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施工期主要是施工机械以及运输车辆排放的尾气，尾气中主要污染物有THC、颗粒物、CO、NO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等。但由于车辆主要在施工现场范围内活动，尾气呈面源污染形式，车辆排气高度较低，尾气扩散范围不大，加之项目区较为平坦开阔，尾气扩散条件良好，另外，施工机械及车辆为非连续行驶状态，污染物排放时间及排放量也相对较小，因此施工机械以及运输车辆尾气对周围区域影响较小。</w:t>
      </w:r>
    </w:p>
    <w:p w14:paraId="20FACF3D">
      <w:pPr>
        <w:pStyle w:val="5"/>
        <w:rPr>
          <w:rFonts w:ascii="Times New Roman" w:hAnsi="Times New Roman" w:eastAsia="宋体"/>
          <w:color w:val="auto"/>
          <w:highlight w:val="none"/>
        </w:rPr>
      </w:pPr>
      <w:bookmarkStart w:id="178" w:name="_Toc106663495"/>
      <w:r>
        <w:rPr>
          <w:rFonts w:hint="eastAsia" w:ascii="Times New Roman" w:hAnsi="Times New Roman" w:eastAsia="宋体"/>
          <w:color w:val="auto"/>
          <w:highlight w:val="none"/>
        </w:rPr>
        <w:t>5.1.2施工期水环境影响分析</w:t>
      </w:r>
      <w:bookmarkEnd w:id="178"/>
    </w:p>
    <w:p w14:paraId="786C14F2">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5.1.2.1施工废水</w:t>
      </w:r>
    </w:p>
    <w:p w14:paraId="6169CBBE">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废水主要是指在制砂浆、混凝土养护等作业中，多余或泄漏的废水，以及清洗模板、机具、车辆设备、场地卫生等排放的污水。主要污染因子为SS，含一定量的泥沙、少量水泥和油污，随工程进度不同产生情况不同，也与操作人员的经验、素质等因素有关，产生量与排放量较难估算。废水中含固体杂质较多，以泥沙为主，施工期废水水量不大，一般产生不了径流，形成不了有组织排水，这部分废水在施工现场因自然蒸发、渗漏等原因而消耗，但若不经处理或处理不当直接外排，同样危害环境。因此要求建设项目的工地应设置简易防渗沉淀池沉淀后回用于生产，项目产生的施工废水均不外排。生产废水的产生量与工地管理水平关系极大，如果管理不善，可能造成施工现场污水横流，对工地周围的环境会造成一定的影响。</w:t>
      </w:r>
    </w:p>
    <w:p w14:paraId="359A99D1">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5.1.2.2生活废水</w:t>
      </w:r>
    </w:p>
    <w:p w14:paraId="4B1F6B11">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本项目施工期施工工人约30人左右，生活污水排放量约为0.96m</w:t>
      </w:r>
      <w:r>
        <w:rPr>
          <w:rFonts w:hint="eastAsia" w:ascii="Times New Roman" w:hAnsi="Times New Roman" w:eastAsia="宋体"/>
          <w:color w:val="auto"/>
          <w:highlight w:val="none"/>
          <w:vertAlign w:val="superscript"/>
        </w:rPr>
        <w:t>3</w:t>
      </w:r>
      <w:r>
        <w:rPr>
          <w:rFonts w:hint="eastAsia" w:ascii="Times New Roman" w:hAnsi="Times New Roman" w:eastAsia="宋体"/>
          <w:color w:val="auto"/>
          <w:highlight w:val="none"/>
        </w:rPr>
        <w:t>/d。在施工期外排生活污水若不集中处理，其对环境的影响主要表现在：影响施工区环境卫生、有可能污染地下水、易造成土壤理化性质改变，土壤层缺氧及臭气污染等。</w:t>
      </w:r>
    </w:p>
    <w:p w14:paraId="4CFF9461">
      <w:pPr>
        <w:pStyle w:val="5"/>
        <w:rPr>
          <w:rFonts w:ascii="Times New Roman" w:hAnsi="Times New Roman" w:eastAsia="宋体"/>
          <w:color w:val="auto"/>
          <w:highlight w:val="none"/>
        </w:rPr>
      </w:pPr>
      <w:bookmarkStart w:id="179" w:name="_Toc106663496"/>
      <w:r>
        <w:rPr>
          <w:rFonts w:hint="eastAsia" w:ascii="Times New Roman" w:hAnsi="Times New Roman" w:eastAsia="宋体"/>
          <w:color w:val="auto"/>
          <w:highlight w:val="none"/>
        </w:rPr>
        <w:t>5.1.3施工期声环境影响分析</w:t>
      </w:r>
      <w:bookmarkEnd w:id="179"/>
    </w:p>
    <w:p w14:paraId="1EE4DE54">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工程分析可知，本项目施工噪声主要来源于土方阶段、基础施工阶段、主体结构阶段、装修阶段施工中各类施工机械和运输车辆，施工噪声具有阶段性、临时性和不固定性，不同的施工设备产生的噪声不同。在多台机械设备同时作业时，各台设备产生的噪声会产生叠加，根据类比调查，叠加后的噪声增值约为3～8dB，施工机械和运输车辆的单体声功率级一般均在100dB（A）以上，其中声级最大的是打桩机，声级可达到120dB，施工机械主要有推土机、挖掘机、装载机、电锯等。</w:t>
      </w:r>
    </w:p>
    <w:p w14:paraId="7BC83399">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根据施工现场噪声源的特点和周围环境状况，选择声源在半自由空间的距离衰减模式。</w:t>
      </w:r>
    </w:p>
    <w:p w14:paraId="362F8732">
      <w:pPr>
        <w:ind w:firstLine="480"/>
        <w:rPr>
          <w:rFonts w:ascii="Times New Roman" w:hAnsi="Times New Roman" w:eastAsia="宋体"/>
          <w:color w:val="auto"/>
          <w:highlight w:val="none"/>
        </w:rPr>
      </w:pPr>
      <w:r>
        <w:rPr>
          <w:rFonts w:hint="eastAsia" w:ascii="Times New Roman" w:hAnsi="Times New Roman" w:eastAsia="宋体"/>
          <w:color w:val="auto"/>
          <w:highlight w:val="none"/>
        </w:rPr>
        <w:t>计算公式：</w:t>
      </w:r>
    </w:p>
    <w:p w14:paraId="5C1302B3">
      <w:pPr>
        <w:ind w:firstLine="480"/>
        <w:rPr>
          <w:rFonts w:ascii="Times New Roman" w:hAnsi="Times New Roman" w:eastAsia="宋体"/>
          <w:color w:val="auto"/>
          <w:highlight w:val="none"/>
        </w:rPr>
      </w:pPr>
      <w:r>
        <w:rPr>
          <w:rFonts w:hint="eastAsia" w:ascii="Times New Roman" w:hAnsi="Times New Roman" w:eastAsia="宋体"/>
          <w:color w:val="auto"/>
          <w:highlight w:val="none"/>
        </w:rPr>
        <w:t>（1）噪声衰减</w:t>
      </w:r>
    </w:p>
    <w:p w14:paraId="2052DDBF">
      <w:pPr>
        <w:spacing w:line="240" w:lineRule="auto"/>
        <w:ind w:firstLine="0" w:firstLineChars="0"/>
        <w:jc w:val="center"/>
        <w:rPr>
          <w:rFonts w:ascii="Times New Roman" w:hAnsi="Times New Roman" w:eastAsia="宋体"/>
          <w:color w:val="auto"/>
          <w:highlight w:val="none"/>
        </w:rPr>
      </w:pPr>
      <w:r>
        <w:rPr>
          <w:rFonts w:hint="eastAsia" w:ascii="Times New Roman" w:hAnsi="Times New Roman" w:eastAsia="宋体"/>
          <w:color w:val="auto"/>
          <w:highlight w:val="none"/>
        </w:rPr>
        <w:drawing>
          <wp:inline distT="0" distB="0" distL="0" distR="0">
            <wp:extent cx="1914525" cy="3905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914525" cy="390525"/>
                    </a:xfrm>
                    <a:prstGeom prst="rect">
                      <a:avLst/>
                    </a:prstGeom>
                    <a:noFill/>
                    <a:ln>
                      <a:noFill/>
                    </a:ln>
                    <a:effectLst/>
                  </pic:spPr>
                </pic:pic>
              </a:graphicData>
            </a:graphic>
          </wp:inline>
        </w:drawing>
      </w:r>
    </w:p>
    <w:p w14:paraId="110A8F11">
      <w:pPr>
        <w:ind w:firstLine="480"/>
        <w:rPr>
          <w:rFonts w:ascii="Times New Roman" w:hAnsi="Times New Roman" w:eastAsia="宋体"/>
          <w:color w:val="auto"/>
          <w:highlight w:val="none"/>
        </w:rPr>
      </w:pPr>
      <w:r>
        <w:rPr>
          <w:rFonts w:hint="eastAsia" w:ascii="Times New Roman" w:hAnsi="Times New Roman" w:eastAsia="宋体"/>
          <w:color w:val="auto"/>
          <w:highlight w:val="none"/>
        </w:rPr>
        <w:t>式中：L</w:t>
      </w:r>
      <w:r>
        <w:rPr>
          <w:rFonts w:hint="eastAsia" w:ascii="Times New Roman" w:hAnsi="Times New Roman" w:eastAsia="宋体"/>
          <w:color w:val="auto"/>
          <w:highlight w:val="none"/>
          <w:vertAlign w:val="subscript"/>
        </w:rPr>
        <w:t>A（r）</w:t>
      </w:r>
      <w:r>
        <w:rPr>
          <w:rFonts w:hint="eastAsia" w:ascii="Times New Roman" w:hAnsi="Times New Roman" w:eastAsia="宋体"/>
          <w:color w:val="auto"/>
          <w:highlight w:val="none"/>
        </w:rPr>
        <w:t>——距声源r处的等效声级，dB（A）；</w:t>
      </w:r>
    </w:p>
    <w:p w14:paraId="2460077D">
      <w:pPr>
        <w:ind w:firstLine="1200" w:firstLineChars="500"/>
        <w:rPr>
          <w:rFonts w:ascii="Times New Roman" w:hAnsi="Times New Roman" w:eastAsia="宋体"/>
          <w:color w:val="auto"/>
          <w:highlight w:val="none"/>
        </w:rPr>
      </w:pPr>
      <w:r>
        <w:rPr>
          <w:rFonts w:hint="eastAsia" w:ascii="Times New Roman" w:hAnsi="Times New Roman" w:eastAsia="宋体"/>
          <w:color w:val="auto"/>
          <w:highlight w:val="none"/>
        </w:rPr>
        <w:t>L</w:t>
      </w:r>
      <w:r>
        <w:rPr>
          <w:rFonts w:hint="eastAsia" w:ascii="Times New Roman" w:hAnsi="Times New Roman" w:eastAsia="宋体"/>
          <w:color w:val="auto"/>
          <w:highlight w:val="none"/>
          <w:vertAlign w:val="subscript"/>
        </w:rPr>
        <w:t>W（A）</w:t>
      </w:r>
      <w:r>
        <w:rPr>
          <w:rFonts w:hint="eastAsia" w:ascii="Times New Roman" w:hAnsi="Times New Roman" w:eastAsia="宋体"/>
          <w:color w:val="auto"/>
          <w:highlight w:val="none"/>
        </w:rPr>
        <w:t>——噪声源的声功率级，dB（A）；</w:t>
      </w:r>
    </w:p>
    <w:p w14:paraId="6DE5EE89">
      <w:pPr>
        <w:ind w:firstLine="960" w:firstLineChars="400"/>
        <w:rPr>
          <w:rFonts w:ascii="Times New Roman" w:hAnsi="Times New Roman" w:eastAsia="宋体"/>
          <w:color w:val="auto"/>
          <w:highlight w:val="none"/>
        </w:rPr>
      </w:pPr>
      <w:r>
        <w:rPr>
          <w:rFonts w:ascii="Times New Roman" w:hAnsi="Times New Roman" w:eastAsia="宋体"/>
          <w:color w:val="auto"/>
          <w:highlight w:val="none"/>
        </w:rPr>
        <w:t>r</w:t>
      </w:r>
      <w:r>
        <w:rPr>
          <w:rFonts w:hint="eastAsia" w:ascii="Times New Roman" w:hAnsi="Times New Roman" w:eastAsia="宋体"/>
          <w:color w:val="auto"/>
          <w:highlight w:val="none"/>
        </w:rPr>
        <w:t>——噪声源距受声点的距离，</w:t>
      </w:r>
      <w:r>
        <w:rPr>
          <w:rFonts w:ascii="Times New Roman" w:hAnsi="Times New Roman" w:eastAsia="宋体"/>
          <w:color w:val="auto"/>
          <w:highlight w:val="none"/>
        </w:rPr>
        <w:t>m</w:t>
      </w:r>
      <w:r>
        <w:rPr>
          <w:rFonts w:hint="eastAsia" w:ascii="Times New Roman" w:hAnsi="Times New Roman" w:eastAsia="宋体"/>
          <w:color w:val="auto"/>
          <w:highlight w:val="none"/>
        </w:rPr>
        <w:t>；</w:t>
      </w:r>
    </w:p>
    <w:p w14:paraId="27F8BD41">
      <w:pPr>
        <w:ind w:firstLine="480"/>
        <w:rPr>
          <w:rFonts w:ascii="Times New Roman" w:hAnsi="Times New Roman" w:eastAsia="宋体"/>
          <w:color w:val="auto"/>
          <w:highlight w:val="none"/>
        </w:rPr>
      </w:pPr>
      <w:r>
        <w:rPr>
          <w:rFonts w:hint="eastAsia" w:ascii="Times New Roman" w:hAnsi="Times New Roman" w:eastAsia="宋体"/>
          <w:color w:val="auto"/>
          <w:highlight w:val="none"/>
        </w:rPr>
        <w:t>（2）噪声影响预测</w:t>
      </w:r>
    </w:p>
    <w:p w14:paraId="3049FE43">
      <w:pPr>
        <w:ind w:firstLine="480"/>
        <w:rPr>
          <w:rFonts w:ascii="Times New Roman" w:hAnsi="Times New Roman" w:eastAsia="宋体"/>
          <w:color w:val="auto"/>
          <w:highlight w:val="none"/>
        </w:rPr>
      </w:pPr>
      <w:r>
        <w:rPr>
          <w:rFonts w:hint="eastAsia" w:ascii="Times New Roman" w:hAnsi="Times New Roman" w:eastAsia="宋体"/>
          <w:color w:val="auto"/>
          <w:highlight w:val="none"/>
        </w:rPr>
        <w:t>工程施工不同距离的噪声预测值见表5.1-2。</w:t>
      </w:r>
    </w:p>
    <w:p w14:paraId="69561964">
      <w:pPr>
        <w:pStyle w:val="10"/>
        <w:rPr>
          <w:rFonts w:ascii="Times New Roman" w:hAnsi="Times New Roman" w:eastAsia="宋体"/>
          <w:color w:val="auto"/>
          <w:highlight w:val="none"/>
        </w:rPr>
      </w:pPr>
      <w:r>
        <w:rPr>
          <w:rFonts w:hint="eastAsia" w:ascii="Times New Roman" w:hAnsi="Times New Roman" w:eastAsia="宋体"/>
          <w:color w:val="auto"/>
          <w:highlight w:val="none"/>
        </w:rPr>
        <w:t>表5.1-2施工阶段噪声预测值</w:t>
      </w:r>
    </w:p>
    <w:tbl>
      <w:tblPr>
        <w:tblStyle w:val="34"/>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30" w:type="dxa"/>
          <w:bottom w:w="0" w:type="dxa"/>
          <w:right w:w="30" w:type="dxa"/>
        </w:tblCellMar>
      </w:tblPr>
      <w:tblGrid>
        <w:gridCol w:w="1553"/>
        <w:gridCol w:w="791"/>
        <w:gridCol w:w="883"/>
        <w:gridCol w:w="1015"/>
        <w:gridCol w:w="1005"/>
        <w:gridCol w:w="1015"/>
        <w:gridCol w:w="821"/>
        <w:gridCol w:w="829"/>
        <w:gridCol w:w="829"/>
        <w:gridCol w:w="833"/>
      </w:tblGrid>
      <w:tr w14:paraId="7B386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83" w:hRule="atLeast"/>
          <w:jc w:val="center"/>
        </w:trPr>
        <w:tc>
          <w:tcPr>
            <w:tcW w:w="811" w:type="pct"/>
            <w:vMerge w:val="restart"/>
            <w:tcBorders>
              <w:tl2br w:val="nil"/>
              <w:tr2bl w:val="nil"/>
            </w:tcBorders>
            <w:vAlign w:val="center"/>
          </w:tcPr>
          <w:p w14:paraId="427D2D91">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施工</w:t>
            </w:r>
            <w:r>
              <w:rPr>
                <w:rFonts w:hint="eastAsia" w:ascii="Times New Roman" w:hAnsi="Times New Roman" w:eastAsia="宋体"/>
                <w:color w:val="auto"/>
                <w:sz w:val="21"/>
                <w:szCs w:val="21"/>
                <w:highlight w:val="none"/>
              </w:rPr>
              <w:t>机械</w:t>
            </w:r>
          </w:p>
        </w:tc>
        <w:tc>
          <w:tcPr>
            <w:tcW w:w="4189" w:type="pct"/>
            <w:gridSpan w:val="9"/>
            <w:tcBorders>
              <w:tl2br w:val="nil"/>
              <w:tr2bl w:val="nil"/>
            </w:tcBorders>
            <w:vAlign w:val="center"/>
          </w:tcPr>
          <w:p w14:paraId="3DC97139">
            <w:pPr>
              <w:autoSpaceDE w:val="0"/>
              <w:autoSpaceDN w:val="0"/>
              <w:adjustRightInd w:val="0"/>
              <w:snapToGrid w:val="0"/>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离施工现场噪声源距离（m）</w:t>
            </w:r>
            <w:r>
              <w:rPr>
                <w:rFonts w:ascii="Times New Roman" w:hAnsi="Times New Roman" w:eastAsia="宋体"/>
                <w:color w:val="auto"/>
                <w:sz w:val="21"/>
                <w:szCs w:val="21"/>
                <w:highlight w:val="none"/>
              </w:rPr>
              <w:t>dB</w:t>
            </w:r>
            <w:r>
              <w:rPr>
                <w:rFonts w:hint="eastAsia"/>
                <w:color w:val="auto"/>
                <w:sz w:val="21"/>
                <w:szCs w:val="21"/>
                <w:highlight w:val="none"/>
                <w:lang w:eastAsia="zh-CN"/>
              </w:rPr>
              <w:t>（</w:t>
            </w:r>
            <w:r>
              <w:rPr>
                <w:rFonts w:ascii="Times New Roman" w:hAnsi="Times New Roman" w:eastAsia="宋体"/>
                <w:color w:val="auto"/>
                <w:sz w:val="21"/>
                <w:szCs w:val="21"/>
                <w:highlight w:val="none"/>
              </w:rPr>
              <w:t>A</w:t>
            </w:r>
            <w:r>
              <w:rPr>
                <w:rFonts w:hint="eastAsia"/>
                <w:color w:val="auto"/>
                <w:sz w:val="21"/>
                <w:szCs w:val="21"/>
                <w:highlight w:val="none"/>
                <w:lang w:eastAsia="zh-CN"/>
              </w:rPr>
              <w:t>）</w:t>
            </w:r>
          </w:p>
        </w:tc>
      </w:tr>
      <w:tr w14:paraId="1A0FE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83" w:hRule="atLeast"/>
          <w:jc w:val="center"/>
        </w:trPr>
        <w:tc>
          <w:tcPr>
            <w:tcW w:w="811" w:type="pct"/>
            <w:vMerge w:val="continue"/>
            <w:tcBorders>
              <w:tl2br w:val="nil"/>
              <w:tr2bl w:val="nil"/>
            </w:tcBorders>
            <w:vAlign w:val="center"/>
          </w:tcPr>
          <w:p w14:paraId="66F0BD54">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p>
        </w:tc>
        <w:tc>
          <w:tcPr>
            <w:tcW w:w="413" w:type="pct"/>
            <w:tcBorders>
              <w:tl2br w:val="nil"/>
              <w:tr2bl w:val="nil"/>
            </w:tcBorders>
            <w:vAlign w:val="center"/>
          </w:tcPr>
          <w:p w14:paraId="230D6D24">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w:t>
            </w:r>
          </w:p>
        </w:tc>
        <w:tc>
          <w:tcPr>
            <w:tcW w:w="461" w:type="pct"/>
            <w:tcBorders>
              <w:tl2br w:val="nil"/>
              <w:tr2bl w:val="nil"/>
            </w:tcBorders>
            <w:vAlign w:val="center"/>
          </w:tcPr>
          <w:p w14:paraId="4F960F11">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w:t>
            </w:r>
          </w:p>
        </w:tc>
        <w:tc>
          <w:tcPr>
            <w:tcW w:w="530" w:type="pct"/>
            <w:tcBorders>
              <w:tl2br w:val="nil"/>
              <w:tr2bl w:val="nil"/>
            </w:tcBorders>
            <w:vAlign w:val="center"/>
          </w:tcPr>
          <w:p w14:paraId="0B4F3511">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20</w:t>
            </w:r>
          </w:p>
        </w:tc>
        <w:tc>
          <w:tcPr>
            <w:tcW w:w="525" w:type="pct"/>
            <w:tcBorders>
              <w:tl2br w:val="nil"/>
              <w:tr2bl w:val="nil"/>
            </w:tcBorders>
            <w:vAlign w:val="center"/>
          </w:tcPr>
          <w:p w14:paraId="2987FCD7">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30</w:t>
            </w:r>
          </w:p>
        </w:tc>
        <w:tc>
          <w:tcPr>
            <w:tcW w:w="530" w:type="pct"/>
            <w:tcBorders>
              <w:tl2br w:val="nil"/>
              <w:tr2bl w:val="nil"/>
            </w:tcBorders>
            <w:vAlign w:val="center"/>
          </w:tcPr>
          <w:p w14:paraId="337D0406">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40</w:t>
            </w:r>
          </w:p>
        </w:tc>
        <w:tc>
          <w:tcPr>
            <w:tcW w:w="429" w:type="pct"/>
            <w:tcBorders>
              <w:right w:val="single" w:color="auto" w:sz="4" w:space="0"/>
              <w:tl2br w:val="nil"/>
              <w:tr2bl w:val="nil"/>
            </w:tcBorders>
            <w:vAlign w:val="center"/>
          </w:tcPr>
          <w:p w14:paraId="1AD8E30F">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50</w:t>
            </w:r>
          </w:p>
        </w:tc>
        <w:tc>
          <w:tcPr>
            <w:tcW w:w="433" w:type="pct"/>
            <w:tcBorders>
              <w:left w:val="single" w:color="auto" w:sz="4" w:space="0"/>
              <w:tl2br w:val="nil"/>
              <w:tr2bl w:val="nil"/>
            </w:tcBorders>
            <w:vAlign w:val="center"/>
          </w:tcPr>
          <w:p w14:paraId="511C904D">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100</w:t>
            </w:r>
          </w:p>
        </w:tc>
        <w:tc>
          <w:tcPr>
            <w:tcW w:w="433" w:type="pct"/>
            <w:tcBorders>
              <w:left w:val="single" w:color="auto" w:sz="4" w:space="0"/>
              <w:tl2br w:val="nil"/>
              <w:tr2bl w:val="nil"/>
            </w:tcBorders>
            <w:vAlign w:val="center"/>
          </w:tcPr>
          <w:p w14:paraId="4803F91D">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150</w:t>
            </w:r>
          </w:p>
        </w:tc>
        <w:tc>
          <w:tcPr>
            <w:tcW w:w="435" w:type="pct"/>
            <w:tcBorders>
              <w:left w:val="single" w:color="auto" w:sz="4" w:space="0"/>
              <w:tl2br w:val="nil"/>
              <w:tr2bl w:val="nil"/>
            </w:tcBorders>
            <w:vAlign w:val="center"/>
          </w:tcPr>
          <w:p w14:paraId="26A9DED6">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200</w:t>
            </w:r>
          </w:p>
        </w:tc>
      </w:tr>
      <w:tr w14:paraId="3B934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060335D2">
            <w:pPr>
              <w:snapToGrid w:val="0"/>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kern w:val="2"/>
                <w:sz w:val="21"/>
                <w:szCs w:val="21"/>
                <w:highlight w:val="none"/>
              </w:rPr>
              <w:t>推土机</w:t>
            </w:r>
          </w:p>
        </w:tc>
        <w:tc>
          <w:tcPr>
            <w:tcW w:w="413" w:type="pct"/>
            <w:tcBorders>
              <w:tl2br w:val="nil"/>
              <w:tr2bl w:val="nil"/>
            </w:tcBorders>
            <w:vAlign w:val="center"/>
          </w:tcPr>
          <w:p w14:paraId="37351A1B">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115</w:t>
            </w:r>
          </w:p>
        </w:tc>
        <w:tc>
          <w:tcPr>
            <w:tcW w:w="461" w:type="pct"/>
            <w:tcBorders>
              <w:tl2br w:val="nil"/>
              <w:tr2bl w:val="nil"/>
            </w:tcBorders>
            <w:vAlign w:val="center"/>
          </w:tcPr>
          <w:p w14:paraId="1190DA0C">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88</w:t>
            </w:r>
          </w:p>
        </w:tc>
        <w:tc>
          <w:tcPr>
            <w:tcW w:w="530" w:type="pct"/>
            <w:tcBorders>
              <w:tl2br w:val="nil"/>
              <w:tr2bl w:val="nil"/>
            </w:tcBorders>
            <w:vAlign w:val="center"/>
          </w:tcPr>
          <w:p w14:paraId="1FC163F7">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81.4</w:t>
            </w:r>
          </w:p>
        </w:tc>
        <w:tc>
          <w:tcPr>
            <w:tcW w:w="525" w:type="pct"/>
            <w:tcBorders>
              <w:tl2br w:val="nil"/>
              <w:tr2bl w:val="nil"/>
            </w:tcBorders>
            <w:vAlign w:val="center"/>
          </w:tcPr>
          <w:p w14:paraId="4042C09F">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77.8</w:t>
            </w:r>
          </w:p>
        </w:tc>
        <w:tc>
          <w:tcPr>
            <w:tcW w:w="530" w:type="pct"/>
            <w:tcBorders>
              <w:tl2br w:val="nil"/>
              <w:tr2bl w:val="nil"/>
            </w:tcBorders>
            <w:vAlign w:val="center"/>
          </w:tcPr>
          <w:p w14:paraId="210701C4">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75</w:t>
            </w:r>
          </w:p>
        </w:tc>
        <w:tc>
          <w:tcPr>
            <w:tcW w:w="429" w:type="pct"/>
            <w:tcBorders>
              <w:tl2br w:val="nil"/>
              <w:tr2bl w:val="nil"/>
            </w:tcBorders>
            <w:vAlign w:val="center"/>
          </w:tcPr>
          <w:p w14:paraId="477689C4">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73.2</w:t>
            </w:r>
          </w:p>
        </w:tc>
        <w:tc>
          <w:tcPr>
            <w:tcW w:w="433" w:type="pct"/>
            <w:tcBorders>
              <w:tl2br w:val="nil"/>
              <w:tr2bl w:val="nil"/>
            </w:tcBorders>
            <w:vAlign w:val="center"/>
          </w:tcPr>
          <w:p w14:paraId="2D9FBDCA">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67</w:t>
            </w:r>
          </w:p>
        </w:tc>
        <w:tc>
          <w:tcPr>
            <w:tcW w:w="433" w:type="pct"/>
            <w:tcBorders>
              <w:tl2br w:val="nil"/>
              <w:tr2bl w:val="nil"/>
            </w:tcBorders>
            <w:vAlign w:val="center"/>
          </w:tcPr>
          <w:p w14:paraId="2E520283">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63.6</w:t>
            </w:r>
          </w:p>
        </w:tc>
        <w:tc>
          <w:tcPr>
            <w:tcW w:w="435" w:type="pct"/>
            <w:tcBorders>
              <w:tl2br w:val="nil"/>
              <w:tr2bl w:val="nil"/>
            </w:tcBorders>
            <w:vAlign w:val="center"/>
          </w:tcPr>
          <w:p w14:paraId="6C3972C3">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61</w:t>
            </w:r>
          </w:p>
        </w:tc>
      </w:tr>
      <w:tr w14:paraId="66F7E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7CE522B0">
            <w:pPr>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装载机</w:t>
            </w:r>
          </w:p>
        </w:tc>
        <w:tc>
          <w:tcPr>
            <w:tcW w:w="413" w:type="pct"/>
            <w:tcBorders>
              <w:tl2br w:val="nil"/>
              <w:tr2bl w:val="nil"/>
            </w:tcBorders>
            <w:vAlign w:val="center"/>
          </w:tcPr>
          <w:p w14:paraId="63CBC673">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105</w:t>
            </w:r>
          </w:p>
        </w:tc>
        <w:tc>
          <w:tcPr>
            <w:tcW w:w="461" w:type="pct"/>
            <w:tcBorders>
              <w:tl2br w:val="nil"/>
              <w:tr2bl w:val="nil"/>
            </w:tcBorders>
            <w:vAlign w:val="center"/>
          </w:tcPr>
          <w:p w14:paraId="07B46234">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78</w:t>
            </w:r>
          </w:p>
        </w:tc>
        <w:tc>
          <w:tcPr>
            <w:tcW w:w="530" w:type="pct"/>
            <w:tcBorders>
              <w:tl2br w:val="nil"/>
              <w:tr2bl w:val="nil"/>
            </w:tcBorders>
            <w:vAlign w:val="center"/>
          </w:tcPr>
          <w:p w14:paraId="34D9FA30">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71.4</w:t>
            </w:r>
          </w:p>
        </w:tc>
        <w:tc>
          <w:tcPr>
            <w:tcW w:w="525" w:type="pct"/>
            <w:tcBorders>
              <w:tl2br w:val="nil"/>
              <w:tr2bl w:val="nil"/>
            </w:tcBorders>
            <w:vAlign w:val="center"/>
          </w:tcPr>
          <w:p w14:paraId="6423471A">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67.8</w:t>
            </w:r>
          </w:p>
        </w:tc>
        <w:tc>
          <w:tcPr>
            <w:tcW w:w="530" w:type="pct"/>
            <w:tcBorders>
              <w:tl2br w:val="nil"/>
              <w:tr2bl w:val="nil"/>
            </w:tcBorders>
            <w:vAlign w:val="center"/>
          </w:tcPr>
          <w:p w14:paraId="41D63DBF">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65</w:t>
            </w:r>
          </w:p>
        </w:tc>
        <w:tc>
          <w:tcPr>
            <w:tcW w:w="429" w:type="pct"/>
            <w:tcBorders>
              <w:tl2br w:val="nil"/>
              <w:tr2bl w:val="nil"/>
            </w:tcBorders>
            <w:vAlign w:val="center"/>
          </w:tcPr>
          <w:p w14:paraId="15D4D8D5">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63.2</w:t>
            </w:r>
          </w:p>
        </w:tc>
        <w:tc>
          <w:tcPr>
            <w:tcW w:w="433" w:type="pct"/>
            <w:tcBorders>
              <w:tl2br w:val="nil"/>
              <w:tr2bl w:val="nil"/>
            </w:tcBorders>
            <w:vAlign w:val="center"/>
          </w:tcPr>
          <w:p w14:paraId="26334131">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57</w:t>
            </w:r>
          </w:p>
        </w:tc>
        <w:tc>
          <w:tcPr>
            <w:tcW w:w="433" w:type="pct"/>
            <w:tcBorders>
              <w:tl2br w:val="nil"/>
              <w:tr2bl w:val="nil"/>
            </w:tcBorders>
            <w:vAlign w:val="center"/>
          </w:tcPr>
          <w:p w14:paraId="50FDE0FF">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53.6</w:t>
            </w:r>
          </w:p>
        </w:tc>
        <w:tc>
          <w:tcPr>
            <w:tcW w:w="435" w:type="pct"/>
            <w:tcBorders>
              <w:tl2br w:val="nil"/>
              <w:tr2bl w:val="nil"/>
            </w:tcBorders>
            <w:vAlign w:val="center"/>
          </w:tcPr>
          <w:p w14:paraId="2667FA6B">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51</w:t>
            </w:r>
          </w:p>
        </w:tc>
      </w:tr>
      <w:tr w14:paraId="3D214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7D083DB4">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挖掘机</w:t>
            </w:r>
          </w:p>
        </w:tc>
        <w:tc>
          <w:tcPr>
            <w:tcW w:w="413" w:type="pct"/>
            <w:tcBorders>
              <w:tl2br w:val="nil"/>
              <w:tr2bl w:val="nil"/>
            </w:tcBorders>
            <w:vAlign w:val="center"/>
          </w:tcPr>
          <w:p w14:paraId="06666932">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100</w:t>
            </w:r>
          </w:p>
        </w:tc>
        <w:tc>
          <w:tcPr>
            <w:tcW w:w="461" w:type="pct"/>
            <w:tcBorders>
              <w:tl2br w:val="nil"/>
              <w:tr2bl w:val="nil"/>
            </w:tcBorders>
            <w:vAlign w:val="center"/>
          </w:tcPr>
          <w:p w14:paraId="49EAA075">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73</w:t>
            </w:r>
          </w:p>
        </w:tc>
        <w:tc>
          <w:tcPr>
            <w:tcW w:w="530" w:type="pct"/>
            <w:tcBorders>
              <w:tl2br w:val="nil"/>
              <w:tr2bl w:val="nil"/>
            </w:tcBorders>
            <w:vAlign w:val="center"/>
          </w:tcPr>
          <w:p w14:paraId="119048AD">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66.4</w:t>
            </w:r>
          </w:p>
        </w:tc>
        <w:tc>
          <w:tcPr>
            <w:tcW w:w="525" w:type="pct"/>
            <w:tcBorders>
              <w:tl2br w:val="nil"/>
              <w:tr2bl w:val="nil"/>
            </w:tcBorders>
            <w:vAlign w:val="center"/>
          </w:tcPr>
          <w:p w14:paraId="54903D93">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62.8</w:t>
            </w:r>
          </w:p>
        </w:tc>
        <w:tc>
          <w:tcPr>
            <w:tcW w:w="530" w:type="pct"/>
            <w:tcBorders>
              <w:tl2br w:val="nil"/>
              <w:tr2bl w:val="nil"/>
            </w:tcBorders>
            <w:vAlign w:val="center"/>
          </w:tcPr>
          <w:p w14:paraId="41DD06B1">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60</w:t>
            </w:r>
          </w:p>
        </w:tc>
        <w:tc>
          <w:tcPr>
            <w:tcW w:w="429" w:type="pct"/>
            <w:tcBorders>
              <w:tl2br w:val="nil"/>
              <w:tr2bl w:val="nil"/>
            </w:tcBorders>
            <w:vAlign w:val="center"/>
          </w:tcPr>
          <w:p w14:paraId="3B7C1FCC">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58.2</w:t>
            </w:r>
          </w:p>
        </w:tc>
        <w:tc>
          <w:tcPr>
            <w:tcW w:w="433" w:type="pct"/>
            <w:tcBorders>
              <w:tl2br w:val="nil"/>
              <w:tr2bl w:val="nil"/>
            </w:tcBorders>
            <w:vAlign w:val="center"/>
          </w:tcPr>
          <w:p w14:paraId="00240AD7">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52</w:t>
            </w:r>
          </w:p>
        </w:tc>
        <w:tc>
          <w:tcPr>
            <w:tcW w:w="433" w:type="pct"/>
            <w:tcBorders>
              <w:tl2br w:val="nil"/>
              <w:tr2bl w:val="nil"/>
            </w:tcBorders>
            <w:vAlign w:val="center"/>
          </w:tcPr>
          <w:p w14:paraId="3A6AC86E">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48.6</w:t>
            </w:r>
          </w:p>
        </w:tc>
        <w:tc>
          <w:tcPr>
            <w:tcW w:w="435" w:type="pct"/>
            <w:tcBorders>
              <w:tl2br w:val="nil"/>
              <w:tr2bl w:val="nil"/>
            </w:tcBorders>
            <w:vAlign w:val="center"/>
          </w:tcPr>
          <w:p w14:paraId="0D64861B">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46</w:t>
            </w:r>
          </w:p>
        </w:tc>
      </w:tr>
      <w:tr w14:paraId="17E06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723059A7">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自卸卡车</w:t>
            </w:r>
          </w:p>
        </w:tc>
        <w:tc>
          <w:tcPr>
            <w:tcW w:w="413" w:type="pct"/>
            <w:tcBorders>
              <w:tl2br w:val="nil"/>
              <w:tr2bl w:val="nil"/>
            </w:tcBorders>
            <w:vAlign w:val="center"/>
          </w:tcPr>
          <w:p w14:paraId="7A6FD789">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100</w:t>
            </w:r>
          </w:p>
        </w:tc>
        <w:tc>
          <w:tcPr>
            <w:tcW w:w="461" w:type="pct"/>
            <w:tcBorders>
              <w:tl2br w:val="nil"/>
              <w:tr2bl w:val="nil"/>
            </w:tcBorders>
            <w:vAlign w:val="center"/>
          </w:tcPr>
          <w:p w14:paraId="394E1DE4">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73</w:t>
            </w:r>
          </w:p>
        </w:tc>
        <w:tc>
          <w:tcPr>
            <w:tcW w:w="530" w:type="pct"/>
            <w:tcBorders>
              <w:tl2br w:val="nil"/>
              <w:tr2bl w:val="nil"/>
            </w:tcBorders>
            <w:vAlign w:val="center"/>
          </w:tcPr>
          <w:p w14:paraId="77AF0847">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66.4</w:t>
            </w:r>
          </w:p>
        </w:tc>
        <w:tc>
          <w:tcPr>
            <w:tcW w:w="525" w:type="pct"/>
            <w:tcBorders>
              <w:tl2br w:val="nil"/>
              <w:tr2bl w:val="nil"/>
            </w:tcBorders>
            <w:vAlign w:val="center"/>
          </w:tcPr>
          <w:p w14:paraId="7D0D7962">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62.8</w:t>
            </w:r>
          </w:p>
        </w:tc>
        <w:tc>
          <w:tcPr>
            <w:tcW w:w="530" w:type="pct"/>
            <w:tcBorders>
              <w:tl2br w:val="nil"/>
              <w:tr2bl w:val="nil"/>
            </w:tcBorders>
            <w:vAlign w:val="center"/>
          </w:tcPr>
          <w:p w14:paraId="5EDD5B70">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60</w:t>
            </w:r>
          </w:p>
        </w:tc>
        <w:tc>
          <w:tcPr>
            <w:tcW w:w="429" w:type="pct"/>
            <w:tcBorders>
              <w:tl2br w:val="nil"/>
              <w:tr2bl w:val="nil"/>
            </w:tcBorders>
            <w:vAlign w:val="center"/>
          </w:tcPr>
          <w:p w14:paraId="3807BE5A">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58.2</w:t>
            </w:r>
          </w:p>
        </w:tc>
        <w:tc>
          <w:tcPr>
            <w:tcW w:w="433" w:type="pct"/>
            <w:tcBorders>
              <w:tl2br w:val="nil"/>
              <w:tr2bl w:val="nil"/>
            </w:tcBorders>
            <w:vAlign w:val="center"/>
          </w:tcPr>
          <w:p w14:paraId="1DD08B91">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52</w:t>
            </w:r>
          </w:p>
        </w:tc>
        <w:tc>
          <w:tcPr>
            <w:tcW w:w="433" w:type="pct"/>
            <w:tcBorders>
              <w:tl2br w:val="nil"/>
              <w:tr2bl w:val="nil"/>
            </w:tcBorders>
            <w:vAlign w:val="center"/>
          </w:tcPr>
          <w:p w14:paraId="5F9A36A9">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48.6</w:t>
            </w:r>
          </w:p>
        </w:tc>
        <w:tc>
          <w:tcPr>
            <w:tcW w:w="435" w:type="pct"/>
            <w:tcBorders>
              <w:tl2br w:val="nil"/>
              <w:tr2bl w:val="nil"/>
            </w:tcBorders>
            <w:vAlign w:val="center"/>
          </w:tcPr>
          <w:p w14:paraId="25D9DA02">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46</w:t>
            </w:r>
          </w:p>
        </w:tc>
      </w:tr>
      <w:tr w14:paraId="2936E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63017224">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空压机</w:t>
            </w:r>
          </w:p>
        </w:tc>
        <w:tc>
          <w:tcPr>
            <w:tcW w:w="413" w:type="pct"/>
            <w:tcBorders>
              <w:tl2br w:val="nil"/>
              <w:tr2bl w:val="nil"/>
            </w:tcBorders>
            <w:vAlign w:val="center"/>
          </w:tcPr>
          <w:p w14:paraId="4667EE65">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110</w:t>
            </w:r>
          </w:p>
        </w:tc>
        <w:tc>
          <w:tcPr>
            <w:tcW w:w="461" w:type="pct"/>
            <w:tcBorders>
              <w:tl2br w:val="nil"/>
              <w:tr2bl w:val="nil"/>
            </w:tcBorders>
            <w:vAlign w:val="center"/>
          </w:tcPr>
          <w:p w14:paraId="0BBC5C11">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83</w:t>
            </w:r>
          </w:p>
        </w:tc>
        <w:tc>
          <w:tcPr>
            <w:tcW w:w="530" w:type="pct"/>
            <w:tcBorders>
              <w:tl2br w:val="nil"/>
              <w:tr2bl w:val="nil"/>
            </w:tcBorders>
            <w:vAlign w:val="center"/>
          </w:tcPr>
          <w:p w14:paraId="5012A78F">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76.4</w:t>
            </w:r>
          </w:p>
        </w:tc>
        <w:tc>
          <w:tcPr>
            <w:tcW w:w="525" w:type="pct"/>
            <w:tcBorders>
              <w:tl2br w:val="nil"/>
              <w:tr2bl w:val="nil"/>
            </w:tcBorders>
            <w:vAlign w:val="center"/>
          </w:tcPr>
          <w:p w14:paraId="66953991">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72.8</w:t>
            </w:r>
          </w:p>
        </w:tc>
        <w:tc>
          <w:tcPr>
            <w:tcW w:w="530" w:type="pct"/>
            <w:tcBorders>
              <w:tl2br w:val="nil"/>
              <w:tr2bl w:val="nil"/>
            </w:tcBorders>
            <w:vAlign w:val="center"/>
          </w:tcPr>
          <w:p w14:paraId="2F0109FB">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70</w:t>
            </w:r>
          </w:p>
        </w:tc>
        <w:tc>
          <w:tcPr>
            <w:tcW w:w="429" w:type="pct"/>
            <w:tcBorders>
              <w:tl2br w:val="nil"/>
              <w:tr2bl w:val="nil"/>
            </w:tcBorders>
            <w:vAlign w:val="center"/>
          </w:tcPr>
          <w:p w14:paraId="5BC61808">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68.2</w:t>
            </w:r>
          </w:p>
        </w:tc>
        <w:tc>
          <w:tcPr>
            <w:tcW w:w="433" w:type="pct"/>
            <w:tcBorders>
              <w:tl2br w:val="nil"/>
              <w:tr2bl w:val="nil"/>
            </w:tcBorders>
            <w:vAlign w:val="center"/>
          </w:tcPr>
          <w:p w14:paraId="7081EEF0">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62</w:t>
            </w:r>
          </w:p>
        </w:tc>
        <w:tc>
          <w:tcPr>
            <w:tcW w:w="433" w:type="pct"/>
            <w:tcBorders>
              <w:tl2br w:val="nil"/>
              <w:tr2bl w:val="nil"/>
            </w:tcBorders>
            <w:vAlign w:val="center"/>
          </w:tcPr>
          <w:p w14:paraId="219A3090">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58.6</w:t>
            </w:r>
          </w:p>
        </w:tc>
        <w:tc>
          <w:tcPr>
            <w:tcW w:w="435" w:type="pct"/>
            <w:tcBorders>
              <w:tl2br w:val="nil"/>
              <w:tr2bl w:val="nil"/>
            </w:tcBorders>
            <w:vAlign w:val="center"/>
          </w:tcPr>
          <w:p w14:paraId="2DFFE903">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56</w:t>
            </w:r>
          </w:p>
        </w:tc>
      </w:tr>
      <w:tr w14:paraId="7D059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478A18FC">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电锯</w:t>
            </w:r>
          </w:p>
        </w:tc>
        <w:tc>
          <w:tcPr>
            <w:tcW w:w="413" w:type="pct"/>
            <w:tcBorders>
              <w:tl2br w:val="nil"/>
              <w:tr2bl w:val="nil"/>
            </w:tcBorders>
            <w:vAlign w:val="center"/>
          </w:tcPr>
          <w:p w14:paraId="63B93130">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115</w:t>
            </w:r>
          </w:p>
        </w:tc>
        <w:tc>
          <w:tcPr>
            <w:tcW w:w="461" w:type="pct"/>
            <w:tcBorders>
              <w:tl2br w:val="nil"/>
              <w:tr2bl w:val="nil"/>
            </w:tcBorders>
            <w:vAlign w:val="center"/>
          </w:tcPr>
          <w:p w14:paraId="139AFDB8">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88</w:t>
            </w:r>
          </w:p>
        </w:tc>
        <w:tc>
          <w:tcPr>
            <w:tcW w:w="530" w:type="pct"/>
            <w:tcBorders>
              <w:tl2br w:val="nil"/>
              <w:tr2bl w:val="nil"/>
            </w:tcBorders>
            <w:vAlign w:val="center"/>
          </w:tcPr>
          <w:p w14:paraId="69387548">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81.4</w:t>
            </w:r>
          </w:p>
        </w:tc>
        <w:tc>
          <w:tcPr>
            <w:tcW w:w="525" w:type="pct"/>
            <w:tcBorders>
              <w:tl2br w:val="nil"/>
              <w:tr2bl w:val="nil"/>
            </w:tcBorders>
            <w:vAlign w:val="center"/>
          </w:tcPr>
          <w:p w14:paraId="211DAE8D">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77.8</w:t>
            </w:r>
          </w:p>
        </w:tc>
        <w:tc>
          <w:tcPr>
            <w:tcW w:w="530" w:type="pct"/>
            <w:tcBorders>
              <w:tl2br w:val="nil"/>
              <w:tr2bl w:val="nil"/>
            </w:tcBorders>
            <w:vAlign w:val="center"/>
          </w:tcPr>
          <w:p w14:paraId="27C93A76">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75</w:t>
            </w:r>
          </w:p>
        </w:tc>
        <w:tc>
          <w:tcPr>
            <w:tcW w:w="429" w:type="pct"/>
            <w:tcBorders>
              <w:tl2br w:val="nil"/>
              <w:tr2bl w:val="nil"/>
            </w:tcBorders>
            <w:vAlign w:val="center"/>
          </w:tcPr>
          <w:p w14:paraId="56FA2552">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73.2</w:t>
            </w:r>
          </w:p>
        </w:tc>
        <w:tc>
          <w:tcPr>
            <w:tcW w:w="433" w:type="pct"/>
            <w:tcBorders>
              <w:tl2br w:val="nil"/>
              <w:tr2bl w:val="nil"/>
            </w:tcBorders>
            <w:vAlign w:val="center"/>
          </w:tcPr>
          <w:p w14:paraId="3D67EA87">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67</w:t>
            </w:r>
          </w:p>
        </w:tc>
        <w:tc>
          <w:tcPr>
            <w:tcW w:w="433" w:type="pct"/>
            <w:tcBorders>
              <w:tl2br w:val="nil"/>
              <w:tr2bl w:val="nil"/>
            </w:tcBorders>
            <w:vAlign w:val="center"/>
          </w:tcPr>
          <w:p w14:paraId="744CAB2A">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63.6</w:t>
            </w:r>
          </w:p>
        </w:tc>
        <w:tc>
          <w:tcPr>
            <w:tcW w:w="435" w:type="pct"/>
            <w:tcBorders>
              <w:tl2br w:val="nil"/>
              <w:tr2bl w:val="nil"/>
            </w:tcBorders>
            <w:vAlign w:val="center"/>
          </w:tcPr>
          <w:p w14:paraId="6DD8F224">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61</w:t>
            </w:r>
          </w:p>
        </w:tc>
      </w:tr>
      <w:tr w14:paraId="4FE8A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2D07E7D0">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卷扬机</w:t>
            </w:r>
          </w:p>
        </w:tc>
        <w:tc>
          <w:tcPr>
            <w:tcW w:w="413" w:type="pct"/>
            <w:tcBorders>
              <w:tl2br w:val="nil"/>
              <w:tr2bl w:val="nil"/>
            </w:tcBorders>
            <w:vAlign w:val="center"/>
          </w:tcPr>
          <w:p w14:paraId="4229EC94">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100</w:t>
            </w:r>
          </w:p>
        </w:tc>
        <w:tc>
          <w:tcPr>
            <w:tcW w:w="461" w:type="pct"/>
            <w:tcBorders>
              <w:tl2br w:val="nil"/>
              <w:tr2bl w:val="nil"/>
            </w:tcBorders>
            <w:vAlign w:val="center"/>
          </w:tcPr>
          <w:p w14:paraId="59397EE5">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73</w:t>
            </w:r>
          </w:p>
        </w:tc>
        <w:tc>
          <w:tcPr>
            <w:tcW w:w="530" w:type="pct"/>
            <w:tcBorders>
              <w:tl2br w:val="nil"/>
              <w:tr2bl w:val="nil"/>
            </w:tcBorders>
            <w:vAlign w:val="center"/>
          </w:tcPr>
          <w:p w14:paraId="2EC84268">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66.4</w:t>
            </w:r>
          </w:p>
        </w:tc>
        <w:tc>
          <w:tcPr>
            <w:tcW w:w="525" w:type="pct"/>
            <w:tcBorders>
              <w:tl2br w:val="nil"/>
              <w:tr2bl w:val="nil"/>
            </w:tcBorders>
            <w:vAlign w:val="center"/>
          </w:tcPr>
          <w:p w14:paraId="5B45C80A">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62.8</w:t>
            </w:r>
          </w:p>
        </w:tc>
        <w:tc>
          <w:tcPr>
            <w:tcW w:w="530" w:type="pct"/>
            <w:tcBorders>
              <w:tl2br w:val="nil"/>
              <w:tr2bl w:val="nil"/>
            </w:tcBorders>
            <w:vAlign w:val="center"/>
          </w:tcPr>
          <w:p w14:paraId="63ED1695">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60</w:t>
            </w:r>
          </w:p>
        </w:tc>
        <w:tc>
          <w:tcPr>
            <w:tcW w:w="429" w:type="pct"/>
            <w:tcBorders>
              <w:tl2br w:val="nil"/>
              <w:tr2bl w:val="nil"/>
            </w:tcBorders>
            <w:vAlign w:val="center"/>
          </w:tcPr>
          <w:p w14:paraId="00A42E64">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58.2</w:t>
            </w:r>
          </w:p>
        </w:tc>
        <w:tc>
          <w:tcPr>
            <w:tcW w:w="433" w:type="pct"/>
            <w:tcBorders>
              <w:tl2br w:val="nil"/>
              <w:tr2bl w:val="nil"/>
            </w:tcBorders>
            <w:vAlign w:val="center"/>
          </w:tcPr>
          <w:p w14:paraId="5B46E068">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52</w:t>
            </w:r>
          </w:p>
        </w:tc>
        <w:tc>
          <w:tcPr>
            <w:tcW w:w="433" w:type="pct"/>
            <w:tcBorders>
              <w:tl2br w:val="nil"/>
              <w:tr2bl w:val="nil"/>
            </w:tcBorders>
            <w:vAlign w:val="center"/>
          </w:tcPr>
          <w:p w14:paraId="75949424">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48.6</w:t>
            </w:r>
          </w:p>
        </w:tc>
        <w:tc>
          <w:tcPr>
            <w:tcW w:w="435" w:type="pct"/>
            <w:tcBorders>
              <w:tl2br w:val="nil"/>
              <w:tr2bl w:val="nil"/>
            </w:tcBorders>
            <w:vAlign w:val="center"/>
          </w:tcPr>
          <w:p w14:paraId="5634BAF9">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46</w:t>
            </w:r>
          </w:p>
        </w:tc>
      </w:tr>
      <w:tr w14:paraId="66A55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811" w:type="pct"/>
            <w:tcBorders>
              <w:tl2br w:val="nil"/>
              <w:tr2bl w:val="nil"/>
            </w:tcBorders>
            <w:vAlign w:val="center"/>
          </w:tcPr>
          <w:p w14:paraId="34409948">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切割机</w:t>
            </w:r>
          </w:p>
        </w:tc>
        <w:tc>
          <w:tcPr>
            <w:tcW w:w="413" w:type="pct"/>
            <w:tcBorders>
              <w:tl2br w:val="nil"/>
              <w:tr2bl w:val="nil"/>
            </w:tcBorders>
            <w:vAlign w:val="center"/>
          </w:tcPr>
          <w:p w14:paraId="2D4A0145">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110</w:t>
            </w:r>
          </w:p>
        </w:tc>
        <w:tc>
          <w:tcPr>
            <w:tcW w:w="461" w:type="pct"/>
            <w:tcBorders>
              <w:tl2br w:val="nil"/>
              <w:tr2bl w:val="nil"/>
            </w:tcBorders>
            <w:vAlign w:val="center"/>
          </w:tcPr>
          <w:p w14:paraId="4F807CB8">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83</w:t>
            </w:r>
          </w:p>
        </w:tc>
        <w:tc>
          <w:tcPr>
            <w:tcW w:w="530" w:type="pct"/>
            <w:tcBorders>
              <w:tl2br w:val="nil"/>
              <w:tr2bl w:val="nil"/>
            </w:tcBorders>
            <w:vAlign w:val="center"/>
          </w:tcPr>
          <w:p w14:paraId="7E48CC11">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76.4</w:t>
            </w:r>
          </w:p>
        </w:tc>
        <w:tc>
          <w:tcPr>
            <w:tcW w:w="525" w:type="pct"/>
            <w:tcBorders>
              <w:tl2br w:val="nil"/>
              <w:tr2bl w:val="nil"/>
            </w:tcBorders>
            <w:vAlign w:val="center"/>
          </w:tcPr>
          <w:p w14:paraId="0A0C86D0">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72.8</w:t>
            </w:r>
          </w:p>
        </w:tc>
        <w:tc>
          <w:tcPr>
            <w:tcW w:w="530" w:type="pct"/>
            <w:tcBorders>
              <w:tl2br w:val="nil"/>
              <w:tr2bl w:val="nil"/>
            </w:tcBorders>
            <w:vAlign w:val="center"/>
          </w:tcPr>
          <w:p w14:paraId="554BD77C">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70</w:t>
            </w:r>
          </w:p>
        </w:tc>
        <w:tc>
          <w:tcPr>
            <w:tcW w:w="429" w:type="pct"/>
            <w:tcBorders>
              <w:tl2br w:val="nil"/>
              <w:tr2bl w:val="nil"/>
            </w:tcBorders>
            <w:vAlign w:val="center"/>
          </w:tcPr>
          <w:p w14:paraId="6D930E7E">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68.2</w:t>
            </w:r>
          </w:p>
        </w:tc>
        <w:tc>
          <w:tcPr>
            <w:tcW w:w="433" w:type="pct"/>
            <w:tcBorders>
              <w:tl2br w:val="nil"/>
              <w:tr2bl w:val="nil"/>
            </w:tcBorders>
            <w:vAlign w:val="center"/>
          </w:tcPr>
          <w:p w14:paraId="4729565E">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62</w:t>
            </w:r>
          </w:p>
        </w:tc>
        <w:tc>
          <w:tcPr>
            <w:tcW w:w="433" w:type="pct"/>
            <w:tcBorders>
              <w:tl2br w:val="nil"/>
              <w:tr2bl w:val="nil"/>
            </w:tcBorders>
            <w:vAlign w:val="center"/>
          </w:tcPr>
          <w:p w14:paraId="5461E095">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58.6</w:t>
            </w:r>
          </w:p>
        </w:tc>
        <w:tc>
          <w:tcPr>
            <w:tcW w:w="435" w:type="pct"/>
            <w:tcBorders>
              <w:tl2br w:val="nil"/>
              <w:tr2bl w:val="nil"/>
            </w:tcBorders>
            <w:vAlign w:val="center"/>
          </w:tcPr>
          <w:p w14:paraId="4A3CA8F5">
            <w:pPr>
              <w:autoSpaceDE w:val="0"/>
              <w:autoSpaceDN w:val="0"/>
              <w:adjustRightInd w:val="0"/>
              <w:snapToGrid w:val="0"/>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56</w:t>
            </w:r>
          </w:p>
        </w:tc>
      </w:tr>
    </w:tbl>
    <w:p w14:paraId="2598D8DB">
      <w:pPr>
        <w:ind w:firstLine="480"/>
        <w:rPr>
          <w:rFonts w:ascii="Times New Roman" w:hAnsi="Times New Roman" w:eastAsia="宋体"/>
          <w:color w:val="auto"/>
          <w:highlight w:val="none"/>
        </w:rPr>
      </w:pPr>
      <w:r>
        <w:rPr>
          <w:rFonts w:hint="eastAsia" w:ascii="Times New Roman" w:hAnsi="Times New Roman" w:eastAsia="宋体"/>
          <w:color w:val="auto"/>
          <w:highlight w:val="none"/>
        </w:rPr>
        <w:t>注：按《建筑施工场界环境噪声排放标准》（GB12523-2011）进行评价。</w:t>
      </w:r>
    </w:p>
    <w:p w14:paraId="09047BBB">
      <w:pPr>
        <w:ind w:firstLine="480"/>
        <w:rPr>
          <w:rFonts w:ascii="Times New Roman" w:hAnsi="Times New Roman" w:eastAsia="宋体"/>
          <w:color w:val="auto"/>
          <w:highlight w:val="none"/>
        </w:rPr>
      </w:pPr>
      <w:r>
        <w:rPr>
          <w:rFonts w:hint="eastAsia" w:ascii="Times New Roman" w:hAnsi="Times New Roman" w:eastAsia="宋体"/>
          <w:color w:val="auto"/>
          <w:highlight w:val="none"/>
        </w:rPr>
        <w:t>按照《建筑施工场界环境噪声排放标准》（GB12523-2011）的规定，昼间的厂界噪声限值为70dB，夜间厂界噪声限值为55dB。表5.1-2表明：项目施工方阶段厂界昼间施工噪声于声源外约100m处达标，估算夜间于355m处达标；基础施工阶段厂界昼间施工噪声于声源外125m处达标，夜间噪声达标距离估算在210m；主体结构阶段昼间厂界施工噪声于声源外100m处达标，估算夜间于380m处达标；装修阶段施工噪声昼间于声源外40m处达标，夜间于100m处达标。项目施工机械在靠近厂界边施工时，昼夜施工厂界噪声超过《建筑施工厂界环境噪声排放标准》（GB12523-2011）中限值的要求，本项目评价范围内无声环境敏感目标，施工期噪声经衰减后对环境影响甚微。</w:t>
      </w:r>
    </w:p>
    <w:p w14:paraId="6585B8CA">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根据项目施工期的施工特点，提出如下噪声防治措施：</w:t>
      </w:r>
    </w:p>
    <w:p w14:paraId="68BCA90F">
      <w:pPr>
        <w:ind w:firstLine="480"/>
        <w:rPr>
          <w:rFonts w:ascii="Times New Roman" w:hAnsi="Times New Roman" w:eastAsia="宋体"/>
          <w:color w:val="auto"/>
          <w:highlight w:val="none"/>
        </w:rPr>
      </w:pPr>
      <w:r>
        <w:rPr>
          <w:rFonts w:hint="eastAsia" w:ascii="Times New Roman" w:hAnsi="Times New Roman" w:eastAsia="宋体"/>
          <w:color w:val="auto"/>
          <w:highlight w:val="none"/>
        </w:rPr>
        <w:t>（1）施工单位施工过程中尽量避免在靠近厂界处的同一地点安排大量动力机械设备施工，以减缓局部叠加声级过高造成的厂界噪声超标的风险。</w:t>
      </w:r>
    </w:p>
    <w:p w14:paraId="47DAE0BA">
      <w:pPr>
        <w:ind w:firstLine="480"/>
        <w:rPr>
          <w:rFonts w:ascii="Times New Roman" w:hAnsi="Times New Roman" w:eastAsia="宋体"/>
          <w:color w:val="auto"/>
          <w:highlight w:val="none"/>
        </w:rPr>
      </w:pPr>
      <w:r>
        <w:rPr>
          <w:rFonts w:hint="eastAsia" w:ascii="Times New Roman" w:hAnsi="Times New Roman" w:eastAsia="宋体"/>
          <w:color w:val="auto"/>
          <w:highlight w:val="none"/>
        </w:rPr>
        <w:t>（2）设备选型上，在不影响施工质量的前提下，在土石方、装修等施工过程应采用低噪声、低振动的设备，对施工设备进行定期维修保养，避免因设备性能减退而使噪声增强的现象发生。</w:t>
      </w:r>
    </w:p>
    <w:p w14:paraId="4C0E69C2">
      <w:pPr>
        <w:pStyle w:val="5"/>
        <w:rPr>
          <w:rFonts w:ascii="Times New Roman" w:hAnsi="Times New Roman" w:eastAsia="宋体"/>
          <w:color w:val="auto"/>
          <w:highlight w:val="none"/>
        </w:rPr>
      </w:pPr>
      <w:bookmarkStart w:id="180" w:name="_Toc106663497"/>
      <w:r>
        <w:rPr>
          <w:rFonts w:hint="eastAsia" w:ascii="Times New Roman" w:hAnsi="Times New Roman" w:eastAsia="宋体"/>
          <w:color w:val="auto"/>
          <w:highlight w:val="none"/>
        </w:rPr>
        <w:t>5.1.4施工期固体废物环境影响分析</w:t>
      </w:r>
      <w:bookmarkEnd w:id="180"/>
    </w:p>
    <w:p w14:paraId="4ACB2D8A">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由工程分析可知，施工期固体废物主要由施工建筑垃圾和施工人员产生的生活垃圾组成。</w:t>
      </w:r>
    </w:p>
    <w:p w14:paraId="1248312B">
      <w:pPr>
        <w:ind w:firstLine="480"/>
        <w:rPr>
          <w:rFonts w:ascii="Times New Roman" w:hAnsi="Times New Roman" w:eastAsia="宋体"/>
          <w:color w:val="auto"/>
          <w:highlight w:val="none"/>
        </w:rPr>
      </w:pPr>
      <w:r>
        <w:rPr>
          <w:rFonts w:hint="eastAsia" w:ascii="Times New Roman" w:hAnsi="Times New Roman" w:eastAsia="宋体"/>
          <w:color w:val="auto"/>
          <w:highlight w:val="none"/>
        </w:rPr>
        <w:t>（1）施工建筑垃圾</w:t>
      </w:r>
    </w:p>
    <w:p w14:paraId="6E5B34FC">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筑施工中会产生碎砖块、砂浆、桩头、水泥、钢筋、涂料和包装材料等建筑垃圾。建筑废弃物在项目施工开工前应签订环保责任书，由各施工单位负责施工期固体废弃物的处理，施工产生的固体废物中遗留在现场的建筑废物要及时清运或回填，将建筑垃圾运至指定地点。各施工单位要加强施工管理，对施工产生的生活垃圾和建筑垃圾不得随意倾倒。</w:t>
      </w:r>
    </w:p>
    <w:p w14:paraId="2FA77489">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建筑垃圾的影响主要体现在其堆放过程中，在风力作用下，引起垃圾及粉尘随风飘散，对空气造成污染影响。</w:t>
      </w:r>
    </w:p>
    <w:p w14:paraId="18686FEB">
      <w:pPr>
        <w:ind w:firstLine="480"/>
        <w:rPr>
          <w:rFonts w:ascii="Times New Roman" w:hAnsi="Times New Roman" w:eastAsia="宋体"/>
          <w:color w:val="auto"/>
          <w:highlight w:val="none"/>
        </w:rPr>
      </w:pPr>
      <w:r>
        <w:rPr>
          <w:rFonts w:hint="eastAsia" w:ascii="Times New Roman" w:hAnsi="Times New Roman" w:eastAsia="宋体"/>
          <w:color w:val="auto"/>
          <w:highlight w:val="none"/>
        </w:rPr>
        <w:t>（2）生活垃圾</w:t>
      </w:r>
    </w:p>
    <w:p w14:paraId="6975BBDF">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本项目施工高峰期施工人员及工地管理人员约30人，生活垃圾总排放量为1.35t，产生的少量生活垃圾在施工区定点收集，后统一清运交由</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环卫部门统一处理。</w:t>
      </w:r>
    </w:p>
    <w:p w14:paraId="16F0488C">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施工过程中的生活垃圾，如不及时处理，在气温适宜的条件下则会滋生蚊虫、产生恶臭、传播疾病，对周围环境产生不利影响，必须及时清运，杜绝因乱堆乱放对环境产生的影响。</w:t>
      </w:r>
    </w:p>
    <w:p w14:paraId="75EF15EA">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筑垃圾若处置不当，会造成大面积占用土地，引起二次扬尘污染，影响景观等，生活垃圾若不合理堆放，及时清运，夏季气温较高，容易孳生蚊蝇和产生恶臭气体和垃圾沥水，会对当地环境卫生和空气质量造成不利影响。</w:t>
      </w:r>
    </w:p>
    <w:p w14:paraId="150EB7F6">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施工期项目的固体废弃物排放是暂时的，随着施工的结束而减小，通过积极有效的施工管理，施工期固体废弃物对环境造成的影响不大。</w:t>
      </w:r>
    </w:p>
    <w:p w14:paraId="0DEB160B">
      <w:pPr>
        <w:ind w:firstLine="480"/>
        <w:rPr>
          <w:rFonts w:ascii="Times New Roman" w:hAnsi="Times New Roman" w:eastAsia="宋体"/>
          <w:color w:val="auto"/>
          <w:highlight w:val="none"/>
        </w:rPr>
      </w:pPr>
      <w:r>
        <w:rPr>
          <w:rFonts w:hint="eastAsia" w:ascii="Times New Roman" w:hAnsi="Times New Roman" w:eastAsia="宋体"/>
          <w:color w:val="auto"/>
          <w:highlight w:val="none"/>
        </w:rPr>
        <w:t>针对项目施工期固体废弃物种类及特点，提出如下防治措施：</w:t>
      </w:r>
    </w:p>
    <w:p w14:paraId="274A1D32">
      <w:pPr>
        <w:ind w:firstLine="480"/>
        <w:rPr>
          <w:rFonts w:ascii="Times New Roman" w:hAnsi="Times New Roman" w:eastAsia="宋体"/>
          <w:color w:val="auto"/>
          <w:highlight w:val="none"/>
        </w:rPr>
      </w:pPr>
      <w:r>
        <w:rPr>
          <w:rFonts w:hint="eastAsia" w:ascii="Times New Roman" w:hAnsi="Times New Roman" w:eastAsia="宋体"/>
          <w:color w:val="auto"/>
          <w:highlight w:val="none"/>
        </w:rPr>
        <w:t>（1）临时土石方于施工区就近堆放，采取覆盖围护措施，防止大风和大雨时造成的水土流失。堆放前设置挡土墙，堆放后表土覆盖防尘布，抑制扬尘产生。</w:t>
      </w:r>
    </w:p>
    <w:p w14:paraId="7D046936">
      <w:pPr>
        <w:ind w:firstLine="480"/>
        <w:rPr>
          <w:rFonts w:ascii="Times New Roman" w:hAnsi="Times New Roman" w:eastAsia="宋体"/>
          <w:color w:val="auto"/>
          <w:highlight w:val="none"/>
        </w:rPr>
      </w:pPr>
      <w:r>
        <w:rPr>
          <w:rFonts w:hint="eastAsia" w:ascii="Times New Roman" w:hAnsi="Times New Roman" w:eastAsia="宋体"/>
          <w:color w:val="auto"/>
          <w:highlight w:val="none"/>
        </w:rPr>
        <w:t>（2）对施工中产生的不能再利用的建筑垃圾，应进行分类收集、分类管理，能够回收利用的尽量回收再利用，以节约资源；对于不能回收利用的要进行收集并于施工区内固定地点集中暂存，施工完成后及时处理，拉运至当地市政部门指定的建筑垃圾填埋场填埋处置或委托处置建筑垃圾的单位及时处置。</w:t>
      </w:r>
    </w:p>
    <w:p w14:paraId="5D051BA1">
      <w:pPr>
        <w:ind w:firstLine="480"/>
        <w:rPr>
          <w:rFonts w:ascii="Times New Roman" w:hAnsi="Times New Roman" w:eastAsia="宋体"/>
          <w:color w:val="auto"/>
          <w:highlight w:val="none"/>
        </w:rPr>
      </w:pPr>
      <w:r>
        <w:rPr>
          <w:rFonts w:hint="eastAsia" w:ascii="Times New Roman" w:hAnsi="Times New Roman" w:eastAsia="宋体"/>
          <w:color w:val="auto"/>
          <w:highlight w:val="none"/>
        </w:rPr>
        <w:t>（3）车辆运输建筑垃圾时，须采取覆盖措施，不得沿途漏撒；施工单位应在施工前5日向当地建设局申报工程垃圾处置计划，如实填报建筑垃圾的种类、数量、运输路线及处置方案等事项，并与有关管理部门签订环境卫生责任书。</w:t>
      </w:r>
    </w:p>
    <w:p w14:paraId="2DD97386">
      <w:pPr>
        <w:ind w:firstLine="480"/>
        <w:rPr>
          <w:rFonts w:ascii="Times New Roman" w:hAnsi="Times New Roman" w:eastAsia="宋体"/>
          <w:color w:val="auto"/>
          <w:highlight w:val="none"/>
        </w:rPr>
      </w:pPr>
      <w:r>
        <w:rPr>
          <w:rFonts w:hint="eastAsia" w:ascii="Times New Roman" w:hAnsi="Times New Roman" w:eastAsia="宋体"/>
          <w:color w:val="auto"/>
          <w:highlight w:val="none"/>
        </w:rPr>
        <w:t>（4）施工部门应当持当地建设局核发的处置证明，向运输单位办理建筑垃圾托运手续。运输车辆在运输建筑垃圾时应携带处置证明，接收渣土管理部门的检查，运输路线应按渣土管理部门会同公安、交通管理部门规定的线路运输。</w:t>
      </w:r>
    </w:p>
    <w:p w14:paraId="35D56A54">
      <w:pPr>
        <w:ind w:firstLine="480"/>
        <w:rPr>
          <w:rFonts w:ascii="Times New Roman" w:hAnsi="Times New Roman" w:eastAsia="宋体"/>
          <w:color w:val="auto"/>
          <w:highlight w:val="none"/>
        </w:rPr>
      </w:pPr>
      <w:r>
        <w:rPr>
          <w:rFonts w:hint="eastAsia" w:ascii="Times New Roman" w:hAnsi="Times New Roman" w:eastAsia="宋体"/>
          <w:color w:val="auto"/>
          <w:highlight w:val="none"/>
        </w:rPr>
        <w:t>（5）工程完工后1个月内，应当将施工场地的剩余建筑垃圾处置干净，不得占用道路或其他类型土地来堆放建筑垃圾。</w:t>
      </w:r>
    </w:p>
    <w:p w14:paraId="1A2A45C5">
      <w:pPr>
        <w:ind w:firstLine="480"/>
        <w:rPr>
          <w:rFonts w:ascii="Times New Roman" w:hAnsi="Times New Roman" w:eastAsia="宋体"/>
          <w:color w:val="auto"/>
          <w:highlight w:val="none"/>
        </w:rPr>
      </w:pPr>
      <w:r>
        <w:rPr>
          <w:rFonts w:hint="eastAsia" w:ascii="Times New Roman" w:hAnsi="Times New Roman" w:eastAsia="宋体"/>
          <w:color w:val="auto"/>
          <w:highlight w:val="none"/>
        </w:rPr>
        <w:t>采取以上措施后，施工期固体废物对周围环境影响较小。</w:t>
      </w:r>
    </w:p>
    <w:p w14:paraId="70B2E5CF">
      <w:pPr>
        <w:pStyle w:val="5"/>
        <w:rPr>
          <w:rFonts w:ascii="Times New Roman" w:hAnsi="Times New Roman" w:eastAsia="宋体"/>
          <w:color w:val="auto"/>
          <w:highlight w:val="none"/>
        </w:rPr>
      </w:pPr>
      <w:bookmarkStart w:id="181" w:name="_Toc106663498"/>
      <w:r>
        <w:rPr>
          <w:rFonts w:hint="eastAsia" w:ascii="Times New Roman" w:hAnsi="Times New Roman" w:eastAsia="宋体"/>
          <w:color w:val="auto"/>
          <w:highlight w:val="none"/>
        </w:rPr>
        <w:t>5.1.5施工期生态影响分析</w:t>
      </w:r>
      <w:bookmarkEnd w:id="181"/>
    </w:p>
    <w:p w14:paraId="5D1490F8">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项目施工期对生态环境的影响主要是场地平整时破坏了项目区原有土壤理化性质和可能产生的水土流失影响。项目建设期对生态的影响主要体现在因施工造成的区域水土流失。</w:t>
      </w:r>
    </w:p>
    <w:p w14:paraId="1ADEC1B7">
      <w:pPr>
        <w:ind w:firstLine="480"/>
        <w:rPr>
          <w:rFonts w:ascii="Times New Roman" w:hAnsi="Times New Roman" w:eastAsia="宋体"/>
          <w:color w:val="auto"/>
          <w:highlight w:val="none"/>
        </w:rPr>
      </w:pPr>
      <w:r>
        <w:rPr>
          <w:rFonts w:hint="eastAsia" w:ascii="Times New Roman" w:hAnsi="Times New Roman" w:eastAsia="宋体"/>
          <w:color w:val="auto"/>
          <w:highlight w:val="none"/>
        </w:rPr>
        <w:t>（1）占地影响</w:t>
      </w:r>
    </w:p>
    <w:p w14:paraId="2013C5CF">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项目占地均为永久性占地，拟建项目永久占地面积约</w:t>
      </w:r>
      <w:r>
        <w:rPr>
          <w:rFonts w:hint="eastAsia" w:ascii="Times New Roman" w:hAnsi="Times New Roman" w:eastAsia="宋体"/>
          <w:color w:val="auto"/>
          <w:highlight w:val="none"/>
          <w:lang w:eastAsia="zh-CN"/>
        </w:rPr>
        <w:t>7.01</w:t>
      </w:r>
      <w:r>
        <w:rPr>
          <w:rFonts w:hint="eastAsia" w:ascii="Times New Roman" w:hAnsi="Times New Roman" w:eastAsia="宋体"/>
          <w:color w:val="auto"/>
          <w:highlight w:val="none"/>
        </w:rPr>
        <w:t>hm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永久性占地改变了原有土地使用功能，原有植被大部分不复存在。施工作业时的临时占地，由于施工人员及施工机械对地表植被的践踏、碾压等外力因素，破坏了原有土壤结构及性能，降低了土壤效力。严重影响了原有的地表形态、土壤结构和理化性质，在项目结束后也难以恢复原有形态及生产力。车辆行驶也同样对地表土壤结构造成破坏，这种破坏具有暂时性，经过一定时期能够恢复。施工期地表土层遭到不同程度的破坏，植被如不及时恢复，易引起土壤沙化。</w:t>
      </w:r>
    </w:p>
    <w:p w14:paraId="745548E3">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方在施工前应先做好施工组织，做出详细的规划，划定施工活动范围，包括材料的堆存范围、人员食宿及运动范围，尽量减少临时占地数量。在施工过程中需加强管理，严禁不按操作规程野蛮施工。施工监理部门和当地环保部门也应紧密合作，进行监督管理。</w:t>
      </w:r>
    </w:p>
    <w:p w14:paraId="095BC867">
      <w:pPr>
        <w:ind w:firstLine="480"/>
        <w:rPr>
          <w:rFonts w:ascii="Times New Roman" w:hAnsi="Times New Roman" w:eastAsia="宋体"/>
          <w:color w:val="auto"/>
          <w:highlight w:val="none"/>
        </w:rPr>
      </w:pPr>
      <w:r>
        <w:rPr>
          <w:rFonts w:hint="eastAsia" w:ascii="Times New Roman" w:hAnsi="Times New Roman" w:eastAsia="宋体"/>
          <w:color w:val="auto"/>
          <w:highlight w:val="none"/>
        </w:rPr>
        <w:t>（2）对植被的影响分析</w:t>
      </w:r>
    </w:p>
    <w:p w14:paraId="43BD73F2">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项目的建设将不可避免的破坏、扰动原地形地貌和植被；建设占地对区域植被的破坏是永久性的，这部分植被将永远失去生产能力，从而降低该区域植被覆盖率和生物多样性，造成植被生物量的减少。</w:t>
      </w:r>
    </w:p>
    <w:p w14:paraId="4EC55C75">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于施工期将引起原有植被的破坏，受破坏的植被类型为评价区内的常见类型，也无国家重点保护的珍稀濒危植物和野生动物，并且建成后通过对其进行绿化补偿，充分考虑乔、灌、草的比例，从而增加该区域内的物种数量，增强了项目区域内的生物多样性和稳定性，因此相对于整个区域而言，本项目的建设对植物区系、植被类型的影响较小，不会导致区域内现有种类和植被类型的消失灭绝。</w:t>
      </w:r>
    </w:p>
    <w:p w14:paraId="4738B103">
      <w:pPr>
        <w:ind w:firstLine="480"/>
        <w:rPr>
          <w:rFonts w:ascii="Times New Roman" w:hAnsi="Times New Roman" w:eastAsia="宋体"/>
          <w:color w:val="auto"/>
          <w:highlight w:val="none"/>
        </w:rPr>
      </w:pPr>
      <w:r>
        <w:rPr>
          <w:rFonts w:hint="eastAsia" w:ascii="Times New Roman" w:hAnsi="Times New Roman" w:eastAsia="宋体"/>
          <w:color w:val="auto"/>
          <w:highlight w:val="none"/>
        </w:rPr>
        <w:t>（3）对动物的影响分析</w:t>
      </w:r>
    </w:p>
    <w:p w14:paraId="0BA00672">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对陆生动物的直接影响是施工人员集中活动和工程施工过程对动物的惊扰；间接影响主要是项目建设破坏植被和土壤，造成部分陆生动物栖息地的丧失。施工区的主要动物是小型常见鸟类和鼠类、常见的蜥蜴类，且数量不多，具有较强的迁移能力，因此，施工期对这些动物的生存影响较小。</w:t>
      </w:r>
    </w:p>
    <w:p w14:paraId="378F591A">
      <w:pPr>
        <w:ind w:firstLine="480"/>
        <w:rPr>
          <w:rFonts w:ascii="Times New Roman" w:hAnsi="Times New Roman" w:eastAsia="宋体"/>
          <w:color w:val="auto"/>
          <w:highlight w:val="none"/>
        </w:rPr>
      </w:pPr>
      <w:r>
        <w:rPr>
          <w:rFonts w:hint="eastAsia" w:ascii="Times New Roman" w:hAnsi="Times New Roman" w:eastAsia="宋体"/>
          <w:color w:val="auto"/>
          <w:highlight w:val="none"/>
        </w:rPr>
        <w:t>（4）对其他生态环境的影响分析</w:t>
      </w:r>
    </w:p>
    <w:p w14:paraId="42ACA3D1">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用的砂土若随意堆放和场地平整后未及时绿化，在大风天气将产生风蚀，造成环境空气污染，雨季又会产生水蚀，加重地表水体污染。因此必须采取相应的措施。如：施工砂土在室内堆放或搭建顶棚，大风天气设置围档。场地平整后尽快夯实、硬化，大风天气适量洒水等。</w:t>
      </w:r>
    </w:p>
    <w:p w14:paraId="5F78715F">
      <w:pPr>
        <w:ind w:firstLine="480"/>
        <w:rPr>
          <w:rFonts w:ascii="Times New Roman" w:hAnsi="Times New Roman" w:eastAsia="宋体"/>
          <w:color w:val="auto"/>
          <w:highlight w:val="none"/>
        </w:rPr>
      </w:pPr>
      <w:r>
        <w:rPr>
          <w:rFonts w:hint="eastAsia" w:ascii="Times New Roman" w:hAnsi="Times New Roman" w:eastAsia="宋体"/>
          <w:color w:val="auto"/>
          <w:highlight w:val="none"/>
        </w:rPr>
        <w:t>（5）对水土流失的影响分析</w:t>
      </w:r>
    </w:p>
    <w:p w14:paraId="0F9DA182">
      <w:pPr>
        <w:ind w:firstLine="480"/>
        <w:rPr>
          <w:rFonts w:ascii="Times New Roman" w:hAnsi="Times New Roman" w:eastAsia="宋体"/>
          <w:color w:val="auto"/>
          <w:highlight w:val="none"/>
        </w:rPr>
      </w:pPr>
      <w:r>
        <w:rPr>
          <w:rFonts w:hint="eastAsia" w:ascii="Times New Roman" w:hAnsi="Times New Roman" w:eastAsia="宋体"/>
          <w:color w:val="auto"/>
          <w:highlight w:val="none"/>
        </w:rPr>
        <w:t>水土流失将造成一定程度的生态影响，具体表现在：</w:t>
      </w:r>
    </w:p>
    <w:p w14:paraId="09FCDC3F">
      <w:pPr>
        <w:ind w:firstLine="480"/>
        <w:rPr>
          <w:rFonts w:ascii="Times New Roman" w:hAnsi="Times New Roman" w:eastAsia="宋体"/>
          <w:color w:val="auto"/>
          <w:highlight w:val="none"/>
        </w:rPr>
      </w:pPr>
      <w:r>
        <w:rPr>
          <w:rFonts w:hint="eastAsia" w:ascii="Times New Roman" w:hAnsi="Times New Roman" w:eastAsia="宋体"/>
          <w:color w:val="auto"/>
          <w:highlight w:val="none"/>
        </w:rPr>
        <w:t>①因施工开挖，将改变原土壤结构和地表物质组成，影响土壤肥力，从而导致土地生产力降低，给区域植被带来一定影响。</w:t>
      </w:r>
    </w:p>
    <w:p w14:paraId="738853D1">
      <w:pPr>
        <w:ind w:firstLine="480"/>
        <w:rPr>
          <w:rFonts w:ascii="Times New Roman" w:hAnsi="Times New Roman" w:eastAsia="宋体"/>
          <w:color w:val="auto"/>
          <w:highlight w:val="none"/>
        </w:rPr>
      </w:pPr>
      <w:r>
        <w:rPr>
          <w:rFonts w:hint="eastAsia" w:ascii="Times New Roman" w:hAnsi="Times New Roman" w:eastAsia="宋体"/>
          <w:color w:val="auto"/>
          <w:highlight w:val="none"/>
        </w:rPr>
        <w:t>②施工期运输机械往来，使施工区表层土碾压疏松，大风天将产生扬尘，加剧区域水土流失。</w:t>
      </w:r>
    </w:p>
    <w:p w14:paraId="0338AF8F">
      <w:pPr>
        <w:ind w:firstLine="480"/>
        <w:rPr>
          <w:rFonts w:ascii="Times New Roman" w:hAnsi="Times New Roman" w:eastAsia="宋体"/>
          <w:color w:val="auto"/>
          <w:highlight w:val="none"/>
        </w:rPr>
      </w:pPr>
      <w:r>
        <w:rPr>
          <w:rFonts w:hint="eastAsia" w:ascii="Times New Roman" w:hAnsi="Times New Roman" w:eastAsia="宋体"/>
          <w:color w:val="auto"/>
          <w:highlight w:val="none"/>
        </w:rPr>
        <w:t>③施工时产生大量的临时堆土，虽然堆置为临时堆置，但受大风影响也会产生水土流失。</w:t>
      </w:r>
    </w:p>
    <w:p w14:paraId="3993170E">
      <w:pPr>
        <w:ind w:firstLine="480"/>
        <w:rPr>
          <w:rFonts w:ascii="Times New Roman" w:hAnsi="Times New Roman" w:eastAsia="宋体"/>
          <w:color w:val="auto"/>
          <w:highlight w:val="none"/>
        </w:rPr>
      </w:pPr>
      <w:r>
        <w:rPr>
          <w:rFonts w:hint="eastAsia" w:ascii="Times New Roman" w:hAnsi="Times New Roman" w:eastAsia="宋体"/>
          <w:color w:val="auto"/>
          <w:highlight w:val="none"/>
        </w:rPr>
        <w:t>④土建工程施工过程中对占地区造成扰动，降低土壤抗侵蚀能力，使施工期间项目部分区域土壤侵蚀强度呈增加趋势。</w:t>
      </w:r>
    </w:p>
    <w:p w14:paraId="33ACEE60">
      <w:pPr>
        <w:ind w:firstLine="480"/>
        <w:rPr>
          <w:rFonts w:ascii="Times New Roman" w:hAnsi="Times New Roman" w:eastAsia="宋体"/>
          <w:color w:val="auto"/>
          <w:highlight w:val="none"/>
        </w:rPr>
      </w:pPr>
      <w:r>
        <w:rPr>
          <w:rFonts w:hint="eastAsia" w:ascii="Times New Roman" w:hAnsi="Times New Roman" w:eastAsia="宋体"/>
          <w:color w:val="auto"/>
          <w:highlight w:val="none"/>
        </w:rPr>
        <w:t>区域土壤侵蚀主要为风蚀，项目建设不可避免地要加重区域水土流失。拟建项目产生的水土流失可以分为三个阶段，第一阶段是在施工准备期，</w:t>
      </w:r>
      <w:r>
        <w:rPr>
          <w:rFonts w:hint="eastAsia"/>
          <w:color w:val="auto"/>
          <w:highlight w:val="none"/>
          <w:lang w:eastAsia="zh-CN"/>
        </w:rPr>
        <w:t>”</w:t>
      </w:r>
      <w:r>
        <w:rPr>
          <w:rFonts w:hint="eastAsia" w:ascii="Times New Roman" w:hAnsi="Times New Roman" w:eastAsia="宋体"/>
          <w:color w:val="auto"/>
          <w:highlight w:val="none"/>
        </w:rPr>
        <w:t>三通一平</w:t>
      </w:r>
      <w:r>
        <w:rPr>
          <w:rFonts w:hint="eastAsia"/>
          <w:color w:val="auto"/>
          <w:highlight w:val="none"/>
          <w:lang w:eastAsia="zh-CN"/>
        </w:rPr>
        <w:t>”</w:t>
      </w:r>
      <w:r>
        <w:rPr>
          <w:rFonts w:hint="eastAsia" w:ascii="Times New Roman" w:hAnsi="Times New Roman" w:eastAsia="宋体"/>
          <w:color w:val="auto"/>
          <w:highlight w:val="none"/>
        </w:rPr>
        <w:t>工作产生大量土石方的开挖、运移活动，地表扰动严重，植被几乎完全被破坏，裸露的地表水土保持功能明显减弱，土壤侵蚀强度增强；第二阶段是土建期，工业场地</w:t>
      </w:r>
      <w:r>
        <w:rPr>
          <w:rFonts w:hint="eastAsia"/>
          <w:color w:val="auto"/>
          <w:highlight w:val="none"/>
          <w:lang w:eastAsia="zh-CN"/>
        </w:rPr>
        <w:t>”</w:t>
      </w:r>
      <w:r>
        <w:rPr>
          <w:rFonts w:hint="eastAsia" w:ascii="Times New Roman" w:hAnsi="Times New Roman" w:eastAsia="宋体"/>
          <w:color w:val="auto"/>
          <w:highlight w:val="none"/>
        </w:rPr>
        <w:t>三通一平</w:t>
      </w:r>
      <w:r>
        <w:rPr>
          <w:rFonts w:hint="eastAsia"/>
          <w:color w:val="auto"/>
          <w:highlight w:val="none"/>
          <w:lang w:eastAsia="zh-CN"/>
        </w:rPr>
        <w:t>”</w:t>
      </w:r>
      <w:r>
        <w:rPr>
          <w:rFonts w:hint="eastAsia" w:ascii="Times New Roman" w:hAnsi="Times New Roman" w:eastAsia="宋体"/>
          <w:color w:val="auto"/>
          <w:highlight w:val="none"/>
        </w:rPr>
        <w:t>工作完成后，整个地表在绝大部分施工期内处于裸露状态，且有大量土石方和建筑材料临时堆放，再加上土建期排水系统的不完善，地表径流肆意冲刷施工面和堆放的土石料，工业场地内水土流失，如不采取有效的防治措施，将产生严重的水土流失。第三阶段是植被恢复期，地表建筑物等建设完成，土石方清理完毕，地表因大部分被硬化，地表土壤侵蚀强度较建设期有明显下降，但此时仍存在裸露地表，特别是林草植被种刚刚栽植，不能完全覆盖裸露的地表，林草植被措施还不能发挥作用，此时遇侵蚀性降雨等天气仍将不可避免的产生水土流失。运营期因采取绿化补偿等措施，可有效防止水土流失。</w:t>
      </w:r>
    </w:p>
    <w:p w14:paraId="3EB87461">
      <w:pPr>
        <w:ind w:firstLine="480"/>
        <w:rPr>
          <w:rFonts w:ascii="Times New Roman" w:hAnsi="Times New Roman" w:eastAsia="宋体"/>
          <w:color w:val="auto"/>
          <w:highlight w:val="none"/>
        </w:rPr>
      </w:pPr>
      <w:r>
        <w:rPr>
          <w:rFonts w:hint="eastAsia" w:ascii="Times New Roman" w:hAnsi="Times New Roman" w:eastAsia="宋体"/>
          <w:color w:val="auto"/>
          <w:highlight w:val="none"/>
        </w:rPr>
        <w:t>因此，本项目建设的水土流失危害主要表现在三个方面：一是项目建设破坏部分地表植被，在施工准备期及施工期对占地范围内的地表扰动剧烈，由此引起的人为加速土壤流失将对周边环境产生不良影响；二是发生的土壤流失如不能做好防治工作，可能淤积区域排水管道，阻断区域排水体系，影响区域沟道的排水功能；三是在各分项工程区内，如果不注重施工的临时性防护，也会造成当地水土流失的加剧，对当地环境及周边居民的生产生活产生影响。</w:t>
      </w:r>
    </w:p>
    <w:p w14:paraId="4DC1C909">
      <w:pPr>
        <w:ind w:firstLine="480"/>
        <w:rPr>
          <w:rFonts w:ascii="Times New Roman" w:hAnsi="Times New Roman" w:eastAsia="宋体"/>
          <w:color w:val="auto"/>
          <w:highlight w:val="none"/>
        </w:rPr>
      </w:pPr>
      <w:r>
        <w:rPr>
          <w:rFonts w:hint="eastAsia" w:ascii="Times New Roman" w:hAnsi="Times New Roman" w:eastAsia="宋体"/>
          <w:color w:val="auto"/>
          <w:highlight w:val="none"/>
        </w:rPr>
        <w:t>为减少施工期的水土流失，建设单位应精心组织，合理安排施工计划，在暴雨季节采取合理的防护措施，并减少雨季时的施工，对土石方挖填等方案进行周密论证，优选出水土流失较少的方案。</w:t>
      </w:r>
    </w:p>
    <w:p w14:paraId="21403004">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要注意防止水土流失，要尽量做到挖、填方的平衡，减少借方和弃方；施工中所用材料统一堆放管理，设置专门的材料场；加强施工管理，把拟建项目引起的难以避免的植被破坏减少到最低限度，并采取措施，尽力减少土壤侵蚀；控制各种项目的地表剥离，加强项目完成后对破坏植被的恢复。</w:t>
      </w:r>
    </w:p>
    <w:p w14:paraId="20F9AB65">
      <w:pPr>
        <w:ind w:firstLine="480"/>
        <w:rPr>
          <w:rFonts w:ascii="Times New Roman" w:hAnsi="Times New Roman" w:eastAsia="宋体"/>
          <w:color w:val="auto"/>
          <w:highlight w:val="none"/>
        </w:rPr>
      </w:pPr>
      <w:r>
        <w:rPr>
          <w:rFonts w:hint="eastAsia" w:ascii="Times New Roman" w:hAnsi="Times New Roman" w:eastAsia="宋体"/>
          <w:color w:val="auto"/>
          <w:highlight w:val="none"/>
        </w:rPr>
        <w:t>（6）对景观的影响</w:t>
      </w:r>
    </w:p>
    <w:p w14:paraId="6B561F0D">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在施工建筑材料、土石方临时堆放、运输、土方开挖将会对周围景观的不良影响。项目在施工活动中，应注重施工活动与周围景观的协调性与完整性。建筑材料、土石方临时堆放时应整齐堆放，采用防尘布覆盖。项目施工虽然在施工期内存在对自然景观和自然生态的影响，但在运营期采取场内防疫隔离绿化带、防护林植被绿化措施后，可将施工期对景观不利影响减到最低程度。</w:t>
      </w:r>
    </w:p>
    <w:p w14:paraId="2489892D">
      <w:pPr>
        <w:ind w:firstLine="480"/>
        <w:rPr>
          <w:rFonts w:ascii="Times New Roman" w:hAnsi="Times New Roman" w:eastAsia="宋体"/>
          <w:color w:val="auto"/>
          <w:highlight w:val="none"/>
        </w:rPr>
      </w:pPr>
      <w:r>
        <w:rPr>
          <w:rFonts w:hint="eastAsia" w:ascii="Times New Roman" w:hAnsi="Times New Roman" w:eastAsia="宋体"/>
          <w:color w:val="auto"/>
          <w:highlight w:val="none"/>
        </w:rPr>
        <w:t>（7）对自然体系稳定性影响</w:t>
      </w:r>
    </w:p>
    <w:p w14:paraId="1E373733">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项目对自然体系稳定状况的度量从恢复稳定性和阻抗稳定性两个角度来度量。</w:t>
      </w:r>
    </w:p>
    <w:p w14:paraId="743E8A7D">
      <w:pPr>
        <w:ind w:firstLine="480"/>
        <w:rPr>
          <w:rFonts w:ascii="Times New Roman" w:hAnsi="Times New Roman" w:eastAsia="宋体"/>
          <w:color w:val="auto"/>
          <w:highlight w:val="none"/>
        </w:rPr>
      </w:pPr>
      <w:r>
        <w:rPr>
          <w:rFonts w:hint="eastAsia" w:ascii="Times New Roman" w:hAnsi="Times New Roman" w:eastAsia="宋体"/>
          <w:color w:val="auto"/>
          <w:highlight w:val="none"/>
        </w:rPr>
        <w:t>对自然体系阻抗稳定性的度量，是通过对植被异质性程度的改变程度来度量的。项目区的土地利用类型主要为农业生态区的人工管理生态系统。从景观生态学角度看，人工管理的生态系统相对自然生态系统的稳定性调控能力不是很强。天然植被对自然系统有着较强的调控的能力，项目区目前人为活动相对较少，天然植被大部分还未被侵扰。因此，项目实施对区域自然体系中模地组分自身的异质化程度将产生一定影响</w:t>
      </w:r>
    </w:p>
    <w:p w14:paraId="7E0A2EC7">
      <w:pPr>
        <w:pStyle w:val="4"/>
        <w:rPr>
          <w:rFonts w:ascii="Times New Roman" w:hAnsi="Times New Roman" w:eastAsia="宋体"/>
          <w:color w:val="auto"/>
          <w:highlight w:val="none"/>
        </w:rPr>
      </w:pPr>
      <w:bookmarkStart w:id="182" w:name="_Toc106663499"/>
      <w:bookmarkStart w:id="183" w:name="_Toc89619344"/>
      <w:r>
        <w:rPr>
          <w:rFonts w:hint="eastAsia" w:ascii="Times New Roman" w:hAnsi="Times New Roman" w:eastAsia="宋体"/>
          <w:color w:val="auto"/>
          <w:highlight w:val="none"/>
        </w:rPr>
        <w:t>5.2运营期环境影响分析</w:t>
      </w:r>
      <w:bookmarkEnd w:id="182"/>
      <w:bookmarkEnd w:id="183"/>
    </w:p>
    <w:p w14:paraId="3D565B19">
      <w:pPr>
        <w:pStyle w:val="5"/>
        <w:rPr>
          <w:rFonts w:ascii="Times New Roman" w:hAnsi="Times New Roman" w:eastAsia="宋体"/>
          <w:color w:val="auto"/>
          <w:highlight w:val="none"/>
        </w:rPr>
      </w:pPr>
      <w:bookmarkStart w:id="184" w:name="_Toc106663500"/>
      <w:r>
        <w:rPr>
          <w:rFonts w:hint="eastAsia" w:ascii="Times New Roman" w:hAnsi="Times New Roman" w:eastAsia="宋体"/>
          <w:color w:val="auto"/>
          <w:highlight w:val="none"/>
        </w:rPr>
        <w:t>5.2.1大气环境影响分析与评价</w:t>
      </w:r>
      <w:bookmarkEnd w:id="184"/>
    </w:p>
    <w:p w14:paraId="250DE0F3">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b/>
          <w:bCs/>
          <w:color w:val="auto"/>
          <w:spacing w:val="0"/>
          <w:sz w:val="24"/>
          <w:szCs w:val="24"/>
          <w:highlight w:val="none"/>
        </w:rPr>
      </w:pPr>
      <w:r>
        <w:rPr>
          <w:rFonts w:hint="eastAsia" w:ascii="Times New Roman" w:hAnsi="Times New Roman" w:eastAsia="宋体" w:cs="Times New Roman"/>
          <w:b/>
          <w:bCs/>
          <w:color w:val="auto"/>
          <w:spacing w:val="0"/>
          <w:sz w:val="24"/>
          <w:szCs w:val="24"/>
          <w:highlight w:val="none"/>
          <w:lang w:val="en-US" w:eastAsia="zh-CN"/>
        </w:rPr>
        <w:t>5</w:t>
      </w:r>
      <w:r>
        <w:rPr>
          <w:rFonts w:ascii="Times New Roman" w:hAnsi="Times New Roman" w:eastAsia="宋体" w:cs="Times New Roman"/>
          <w:b/>
          <w:bCs/>
          <w:color w:val="auto"/>
          <w:spacing w:val="0"/>
          <w:sz w:val="24"/>
          <w:szCs w:val="24"/>
          <w:highlight w:val="none"/>
        </w:rPr>
        <w:t>.2.1.1</w:t>
      </w:r>
      <w:r>
        <w:rPr>
          <w:rFonts w:ascii="Times New Roman" w:hAnsi="Times New Roman" w:eastAsia="宋体" w:cs="宋体"/>
          <w:b/>
          <w:bCs/>
          <w:color w:val="auto"/>
          <w:spacing w:val="0"/>
          <w:sz w:val="24"/>
          <w:szCs w:val="24"/>
          <w:highlight w:val="none"/>
        </w:rPr>
        <w:t>大气污染物排放源分析</w:t>
      </w:r>
    </w:p>
    <w:p w14:paraId="2E397A0F">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1</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达标性分析</w:t>
      </w:r>
    </w:p>
    <w:p w14:paraId="68241DF9">
      <w:pPr>
        <w:keepNext w:val="0"/>
        <w:keepLines w:val="0"/>
        <w:pageBreakBefore w:val="0"/>
        <w:widowControl w:val="0"/>
        <w:kinsoku/>
        <w:wordWrap/>
        <w:overflowPunct/>
        <w:topLinePunct w:val="0"/>
        <w:autoSpaceDE/>
        <w:autoSpaceDN/>
        <w:bidi w:val="0"/>
        <w:adjustRightInd/>
        <w:snapToGrid/>
        <w:spacing w:line="480" w:lineRule="exact"/>
        <w:ind w:left="0" w:right="0" w:firstLine="478"/>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根据工程分析，本项目大气污染物主要来自鸡舍、</w:t>
      </w:r>
      <w:r>
        <w:rPr>
          <w:rFonts w:hint="eastAsia" w:cs="宋体"/>
          <w:color w:val="auto"/>
          <w:spacing w:val="0"/>
          <w:sz w:val="24"/>
          <w:szCs w:val="24"/>
          <w:highlight w:val="none"/>
          <w:lang w:eastAsia="zh-CN"/>
        </w:rPr>
        <w:t>废水收集池</w:t>
      </w:r>
      <w:r>
        <w:rPr>
          <w:rFonts w:ascii="Times New Roman" w:hAnsi="Times New Roman" w:eastAsia="宋体" w:cs="宋体"/>
          <w:color w:val="auto"/>
          <w:spacing w:val="0"/>
          <w:sz w:val="24"/>
          <w:szCs w:val="24"/>
          <w:highlight w:val="none"/>
        </w:rPr>
        <w:t>，为无组织排放，主要污染物为</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和</w:t>
      </w:r>
      <w:r>
        <w:rPr>
          <w:rFonts w:ascii="Times New Roman" w:hAnsi="Times New Roman" w:eastAsia="宋体" w:cs="Times New Roman"/>
          <w:color w:val="auto"/>
          <w:spacing w:val="0"/>
          <w:sz w:val="24"/>
          <w:szCs w:val="24"/>
          <w:highlight w:val="none"/>
        </w:rPr>
        <w:t>H</w:t>
      </w:r>
      <w:r>
        <w:rPr>
          <w:rFonts w:ascii="Times New Roman" w:hAnsi="Times New Roman" w:eastAsia="宋体" w:cs="Times New Roman"/>
          <w:color w:val="auto"/>
          <w:spacing w:val="0"/>
          <w:sz w:val="24"/>
          <w:szCs w:val="15"/>
          <w:highlight w:val="none"/>
          <w:vertAlign w:val="subscript"/>
        </w:rPr>
        <w:t>2</w:t>
      </w:r>
      <w:r>
        <w:rPr>
          <w:rFonts w:ascii="Times New Roman" w:hAnsi="Times New Roman" w:eastAsia="宋体" w:cs="Times New Roman"/>
          <w:color w:val="auto"/>
          <w:spacing w:val="0"/>
          <w:sz w:val="24"/>
          <w:szCs w:val="24"/>
          <w:highlight w:val="none"/>
        </w:rPr>
        <w:t>S</w:t>
      </w:r>
      <w:r>
        <w:rPr>
          <w:rFonts w:ascii="Times New Roman" w:hAnsi="Times New Roman" w:eastAsia="宋体" w:cs="宋体"/>
          <w:color w:val="auto"/>
          <w:spacing w:val="0"/>
          <w:sz w:val="24"/>
          <w:szCs w:val="24"/>
          <w:highlight w:val="none"/>
        </w:rPr>
        <w:t>。</w:t>
      </w:r>
    </w:p>
    <w:p w14:paraId="79B5A3E3">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①鸡舍</w:t>
      </w:r>
    </w:p>
    <w:p w14:paraId="2DAE6B64">
      <w:pPr>
        <w:keepNext w:val="0"/>
        <w:keepLines w:val="0"/>
        <w:pageBreakBefore w:val="0"/>
        <w:widowControl w:val="0"/>
        <w:kinsoku/>
        <w:wordWrap/>
        <w:overflowPunct/>
        <w:topLinePunct w:val="0"/>
        <w:autoSpaceDE/>
        <w:autoSpaceDN/>
        <w:bidi w:val="0"/>
        <w:adjustRightInd/>
        <w:snapToGrid/>
        <w:spacing w:line="480" w:lineRule="exact"/>
        <w:ind w:left="0" w:right="0" w:firstLine="481"/>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运营期鸡舍采用自动清粪系统，每天及时对鸡舍内的鸡粪进行清扫，因而鸡粪在养殖区内的积累和堆存时间相对较短，拉运至有机肥厂。定期在鸡舍喷洒除臭剂，生产区与生活区通过绿化带分隔开，减少臭气的污染。</w:t>
      </w:r>
    </w:p>
    <w:p w14:paraId="113A4037">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hint="eastAsia" w:ascii="Times New Roman" w:hAnsi="Times New Roman" w:eastAsia="宋体" w:cs="宋体"/>
          <w:color w:val="auto"/>
          <w:spacing w:val="0"/>
          <w:sz w:val="24"/>
          <w:szCs w:val="24"/>
          <w:highlight w:val="none"/>
          <w:lang w:eastAsia="zh-CN"/>
        </w:rPr>
      </w:pPr>
      <w:r>
        <w:rPr>
          <w:rFonts w:ascii="Times New Roman" w:hAnsi="Times New Roman" w:eastAsia="宋体" w:cs="宋体"/>
          <w:color w:val="auto"/>
          <w:spacing w:val="0"/>
          <w:sz w:val="24"/>
          <w:szCs w:val="24"/>
          <w:highlight w:val="none"/>
        </w:rPr>
        <w:t>②</w:t>
      </w:r>
      <w:r>
        <w:rPr>
          <w:rFonts w:hint="eastAsia" w:cs="宋体"/>
          <w:color w:val="auto"/>
          <w:spacing w:val="0"/>
          <w:sz w:val="24"/>
          <w:szCs w:val="24"/>
          <w:highlight w:val="none"/>
          <w:lang w:eastAsia="zh-CN"/>
        </w:rPr>
        <w:t>废水收集池</w:t>
      </w:r>
    </w:p>
    <w:p w14:paraId="5F2443E1">
      <w:pPr>
        <w:keepNext w:val="0"/>
        <w:keepLines w:val="0"/>
        <w:pageBreakBefore w:val="0"/>
        <w:widowControl w:val="0"/>
        <w:kinsoku/>
        <w:wordWrap/>
        <w:overflowPunct/>
        <w:topLinePunct w:val="0"/>
        <w:autoSpaceDE/>
        <w:autoSpaceDN/>
        <w:bidi w:val="0"/>
        <w:adjustRightInd/>
        <w:snapToGrid/>
        <w:spacing w:line="480" w:lineRule="exact"/>
        <w:ind w:left="0" w:right="0" w:firstLine="469"/>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鸡舍冲洗废水在暂存的过程中会产生恶臭，</w:t>
      </w:r>
      <w:r>
        <w:rPr>
          <w:rFonts w:hint="eastAsia" w:cs="宋体"/>
          <w:color w:val="auto"/>
          <w:spacing w:val="0"/>
          <w:sz w:val="24"/>
          <w:szCs w:val="24"/>
          <w:highlight w:val="none"/>
          <w:lang w:eastAsia="zh-CN"/>
        </w:rPr>
        <w:t>废水收集池</w:t>
      </w:r>
      <w:r>
        <w:rPr>
          <w:rFonts w:ascii="Times New Roman" w:hAnsi="Times New Roman" w:eastAsia="宋体" w:cs="宋体"/>
          <w:color w:val="auto"/>
          <w:spacing w:val="0"/>
          <w:sz w:val="24"/>
          <w:szCs w:val="24"/>
          <w:highlight w:val="none"/>
        </w:rPr>
        <w:t>采取加盖密封的方式，释放污染物量较少。</w:t>
      </w:r>
    </w:p>
    <w:p w14:paraId="7874907F">
      <w:pPr>
        <w:keepNext w:val="0"/>
        <w:keepLines w:val="0"/>
        <w:pageBreakBefore w:val="0"/>
        <w:widowControl w:val="0"/>
        <w:kinsoku/>
        <w:wordWrap/>
        <w:overflowPunct/>
        <w:topLinePunct w:val="0"/>
        <w:autoSpaceDE/>
        <w:autoSpaceDN/>
        <w:bidi w:val="0"/>
        <w:adjustRightInd/>
        <w:snapToGrid/>
        <w:spacing w:line="480" w:lineRule="exact"/>
        <w:ind w:left="0" w:right="0" w:firstLine="492"/>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根据类比《沙湾县沙湾县升升养殖农民专业合作社年产</w:t>
      </w:r>
      <w:r>
        <w:rPr>
          <w:rFonts w:ascii="Times New Roman" w:hAnsi="Times New Roman" w:eastAsia="宋体" w:cs="Times New Roman"/>
          <w:color w:val="auto"/>
          <w:spacing w:val="0"/>
          <w:sz w:val="24"/>
          <w:szCs w:val="24"/>
          <w:highlight w:val="none"/>
        </w:rPr>
        <w:t>30</w:t>
      </w:r>
      <w:r>
        <w:rPr>
          <w:rFonts w:ascii="Times New Roman" w:hAnsi="Times New Roman" w:eastAsia="宋体" w:cs="宋体"/>
          <w:color w:val="auto"/>
          <w:spacing w:val="0"/>
          <w:sz w:val="24"/>
          <w:szCs w:val="24"/>
          <w:highlight w:val="none"/>
        </w:rPr>
        <w:t>万羽黄麻鸡养殖项目环境影响报告书》污染源监测，规模为年产</w:t>
      </w:r>
      <w:r>
        <w:rPr>
          <w:rFonts w:ascii="Times New Roman" w:hAnsi="Times New Roman" w:eastAsia="宋体" w:cs="Times New Roman"/>
          <w:color w:val="auto"/>
          <w:spacing w:val="0"/>
          <w:sz w:val="24"/>
          <w:szCs w:val="24"/>
          <w:highlight w:val="none"/>
        </w:rPr>
        <w:t>30</w:t>
      </w:r>
      <w:r>
        <w:rPr>
          <w:rFonts w:ascii="Times New Roman" w:hAnsi="Times New Roman" w:eastAsia="宋体" w:cs="宋体"/>
          <w:color w:val="auto"/>
          <w:spacing w:val="0"/>
          <w:sz w:val="24"/>
          <w:szCs w:val="24"/>
          <w:highlight w:val="none"/>
        </w:rPr>
        <w:t>万羽黄麻鸡，针对项目区下风向</w:t>
      </w:r>
      <w:r>
        <w:rPr>
          <w:rFonts w:ascii="Times New Roman" w:hAnsi="Times New Roman" w:eastAsia="宋体" w:cs="Times New Roman"/>
          <w:color w:val="auto"/>
          <w:spacing w:val="0"/>
          <w:sz w:val="24"/>
          <w:szCs w:val="24"/>
          <w:highlight w:val="none"/>
        </w:rPr>
        <w:t>H</w:t>
      </w:r>
      <w:r>
        <w:rPr>
          <w:rFonts w:ascii="Times New Roman" w:hAnsi="Times New Roman" w:eastAsia="宋体" w:cs="Times New Roman"/>
          <w:color w:val="auto"/>
          <w:spacing w:val="0"/>
          <w:sz w:val="24"/>
          <w:szCs w:val="15"/>
          <w:highlight w:val="none"/>
          <w:vertAlign w:val="subscript"/>
        </w:rPr>
        <w:t>2</w:t>
      </w:r>
      <w:r>
        <w:rPr>
          <w:rFonts w:ascii="Times New Roman" w:hAnsi="Times New Roman" w:eastAsia="宋体" w:cs="Times New Roman"/>
          <w:color w:val="auto"/>
          <w:spacing w:val="0"/>
          <w:sz w:val="24"/>
          <w:szCs w:val="24"/>
          <w:highlight w:val="none"/>
        </w:rPr>
        <w:t>S</w:t>
      </w:r>
      <w:r>
        <w:rPr>
          <w:rFonts w:ascii="Times New Roman" w:hAnsi="Times New Roman" w:eastAsia="宋体" w:cs="宋体"/>
          <w:color w:val="auto"/>
          <w:spacing w:val="0"/>
          <w:sz w:val="24"/>
          <w:szCs w:val="24"/>
          <w:highlight w:val="none"/>
        </w:rPr>
        <w:t>、</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无组织排放浓度以及厂界恶臭浓度进行了监测，监测结果见表</w:t>
      </w:r>
      <w:r>
        <w:rPr>
          <w:rFonts w:hint="eastAsia" w:ascii="Times New Roman" w:hAnsi="Times New Roman" w:eastAsia="宋体" w:cs="Times New Roman"/>
          <w:color w:val="auto"/>
          <w:spacing w:val="0"/>
          <w:sz w:val="24"/>
          <w:szCs w:val="24"/>
          <w:highlight w:val="none"/>
          <w:lang w:val="en-US" w:eastAsia="zh-CN"/>
        </w:rPr>
        <w:t>5</w:t>
      </w:r>
      <w:r>
        <w:rPr>
          <w:rFonts w:ascii="Times New Roman" w:hAnsi="Times New Roman" w:eastAsia="宋体" w:cs="Times New Roman"/>
          <w:color w:val="auto"/>
          <w:spacing w:val="0"/>
          <w:sz w:val="24"/>
          <w:szCs w:val="24"/>
          <w:highlight w:val="none"/>
        </w:rPr>
        <w:t>.2-1</w:t>
      </w:r>
      <w:r>
        <w:rPr>
          <w:rFonts w:ascii="Times New Roman" w:hAnsi="Times New Roman" w:eastAsia="宋体" w:cs="宋体"/>
          <w:color w:val="auto"/>
          <w:spacing w:val="0"/>
          <w:sz w:val="24"/>
          <w:szCs w:val="24"/>
          <w:highlight w:val="none"/>
        </w:rPr>
        <w:t>。</w:t>
      </w:r>
    </w:p>
    <w:p w14:paraId="46864029">
      <w:pPr>
        <w:keepNext w:val="0"/>
        <w:keepLines w:val="0"/>
        <w:pageBreakBefore w:val="0"/>
        <w:widowControl w:val="0"/>
        <w:kinsoku/>
        <w:wordWrap/>
        <w:overflowPunct/>
        <w:topLinePunct w:val="0"/>
        <w:autoSpaceDE/>
        <w:autoSpaceDN/>
        <w:bidi w:val="0"/>
        <w:adjustRightInd/>
        <w:snapToGrid/>
        <w:spacing w:line="480" w:lineRule="exact"/>
        <w:ind w:left="0" w:right="0" w:firstLine="0" w:firstLineChars="0"/>
        <w:jc w:val="center"/>
        <w:textAlignment w:val="auto"/>
        <w:rPr>
          <w:rFonts w:ascii="Times New Roman" w:hAnsi="Times New Roman" w:eastAsia="宋体" w:cs="黑体"/>
          <w:b/>
          <w:bCs/>
          <w:color w:val="auto"/>
          <w:spacing w:val="0"/>
          <w:sz w:val="24"/>
          <w:szCs w:val="21"/>
          <w:highlight w:val="none"/>
        </w:rPr>
      </w:pPr>
      <w:r>
        <w:rPr>
          <w:rFonts w:ascii="Times New Roman" w:hAnsi="Times New Roman" w:eastAsia="宋体" w:cs="黑体"/>
          <w:b/>
          <w:bCs/>
          <w:color w:val="auto"/>
          <w:spacing w:val="0"/>
          <w:sz w:val="24"/>
          <w:szCs w:val="21"/>
          <w:highlight w:val="none"/>
        </w:rPr>
        <w:t>表</w:t>
      </w:r>
      <w:r>
        <w:rPr>
          <w:rFonts w:ascii="Times New Roman" w:hAnsi="Times New Roman" w:eastAsia="宋体" w:cs="Times New Roman"/>
          <w:b/>
          <w:bCs/>
          <w:color w:val="auto"/>
          <w:spacing w:val="0"/>
          <w:sz w:val="24"/>
          <w:szCs w:val="21"/>
          <w:highlight w:val="none"/>
        </w:rPr>
        <w:t>4.2-1</w:t>
      </w:r>
      <w:r>
        <w:rPr>
          <w:rFonts w:ascii="Times New Roman" w:hAnsi="Times New Roman" w:eastAsia="宋体" w:cs="黑体"/>
          <w:b/>
          <w:bCs/>
          <w:color w:val="auto"/>
          <w:spacing w:val="0"/>
          <w:sz w:val="24"/>
          <w:szCs w:val="21"/>
          <w:highlight w:val="none"/>
        </w:rPr>
        <w:t>项目区厂界下风向恶臭污染物排放浓度监测结果</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68"/>
        <w:gridCol w:w="1428"/>
        <w:gridCol w:w="1588"/>
        <w:gridCol w:w="1428"/>
        <w:gridCol w:w="2884"/>
        <w:gridCol w:w="928"/>
      </w:tblGrid>
      <w:tr w14:paraId="2E3BD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666" w:type="pct"/>
            <w:vAlign w:val="center"/>
          </w:tcPr>
          <w:p w14:paraId="3F5582F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w:t>
            </w:r>
          </w:p>
        </w:tc>
        <w:tc>
          <w:tcPr>
            <w:tcW w:w="749" w:type="pct"/>
            <w:vAlign w:val="center"/>
          </w:tcPr>
          <w:p w14:paraId="5C22ABD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监测点位</w:t>
            </w:r>
          </w:p>
        </w:tc>
        <w:tc>
          <w:tcPr>
            <w:tcW w:w="833" w:type="pct"/>
            <w:vAlign w:val="center"/>
          </w:tcPr>
          <w:p w14:paraId="7323748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排放浓度</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mg/m</w:t>
            </w:r>
            <w:r>
              <w:rPr>
                <w:rFonts w:ascii="Times New Roman" w:hAnsi="Times New Roman" w:eastAsia="宋体" w:cs="Times New Roman"/>
                <w:color w:val="auto"/>
                <w:spacing w:val="0"/>
                <w:position w:val="0"/>
                <w:sz w:val="21"/>
                <w:szCs w:val="14"/>
                <w:highlight w:val="none"/>
                <w:vertAlign w:val="superscript"/>
              </w:rPr>
              <w:t>3</w:t>
            </w:r>
            <w:r>
              <w:rPr>
                <w:rFonts w:hint="eastAsia" w:cs="宋体"/>
                <w:color w:val="auto"/>
                <w:spacing w:val="0"/>
                <w:position w:val="0"/>
                <w:sz w:val="21"/>
                <w:szCs w:val="21"/>
                <w:highlight w:val="none"/>
                <w:lang w:eastAsia="zh-CN"/>
              </w:rPr>
              <w:t>）</w:t>
            </w:r>
          </w:p>
        </w:tc>
        <w:tc>
          <w:tcPr>
            <w:tcW w:w="749" w:type="pct"/>
            <w:vAlign w:val="center"/>
          </w:tcPr>
          <w:p w14:paraId="5A6F936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标准值</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mg/m</w:t>
            </w:r>
            <w:r>
              <w:rPr>
                <w:rFonts w:ascii="Times New Roman" w:hAnsi="Times New Roman" w:eastAsia="宋体" w:cs="Times New Roman"/>
                <w:color w:val="auto"/>
                <w:spacing w:val="0"/>
                <w:position w:val="0"/>
                <w:sz w:val="21"/>
                <w:szCs w:val="14"/>
                <w:highlight w:val="none"/>
                <w:vertAlign w:val="superscript"/>
              </w:rPr>
              <w:t>3</w:t>
            </w:r>
            <w:r>
              <w:rPr>
                <w:rFonts w:hint="eastAsia" w:cs="宋体"/>
                <w:color w:val="auto"/>
                <w:spacing w:val="0"/>
                <w:position w:val="0"/>
                <w:sz w:val="21"/>
                <w:szCs w:val="21"/>
                <w:highlight w:val="none"/>
                <w:lang w:eastAsia="zh-CN"/>
              </w:rPr>
              <w:t>）</w:t>
            </w:r>
          </w:p>
        </w:tc>
        <w:tc>
          <w:tcPr>
            <w:tcW w:w="1513" w:type="pct"/>
            <w:vAlign w:val="center"/>
          </w:tcPr>
          <w:p w14:paraId="6114573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执行标准</w:t>
            </w:r>
          </w:p>
        </w:tc>
        <w:tc>
          <w:tcPr>
            <w:tcW w:w="487" w:type="pct"/>
            <w:vAlign w:val="center"/>
          </w:tcPr>
          <w:p w14:paraId="3753C9B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达标</w:t>
            </w:r>
          </w:p>
          <w:p w14:paraId="5B4921A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情况</w:t>
            </w:r>
          </w:p>
        </w:tc>
      </w:tr>
      <w:tr w14:paraId="0C1A8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666" w:type="pct"/>
            <w:vAlign w:val="center"/>
          </w:tcPr>
          <w:p w14:paraId="65FEC77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p>
        </w:tc>
        <w:tc>
          <w:tcPr>
            <w:tcW w:w="749" w:type="pct"/>
            <w:vAlign w:val="center"/>
          </w:tcPr>
          <w:p w14:paraId="3ED55EA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下风向</w:t>
            </w:r>
          </w:p>
        </w:tc>
        <w:tc>
          <w:tcPr>
            <w:tcW w:w="833" w:type="pct"/>
            <w:vAlign w:val="center"/>
          </w:tcPr>
          <w:p w14:paraId="09DAD6C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0.08~0.014</w:t>
            </w:r>
          </w:p>
        </w:tc>
        <w:tc>
          <w:tcPr>
            <w:tcW w:w="749" w:type="pct"/>
            <w:vAlign w:val="center"/>
          </w:tcPr>
          <w:p w14:paraId="55D6068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1.5</w:t>
            </w:r>
          </w:p>
        </w:tc>
        <w:tc>
          <w:tcPr>
            <w:tcW w:w="1513" w:type="pct"/>
            <w:vMerge w:val="restart"/>
            <w:tcBorders>
              <w:bottom w:val="nil"/>
            </w:tcBorders>
            <w:vAlign w:val="center"/>
          </w:tcPr>
          <w:p w14:paraId="167B783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《恶臭污染物排放标准》</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GB14554-93</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中表</w:t>
            </w:r>
            <w:r>
              <w:rPr>
                <w:rFonts w:ascii="Times New Roman" w:hAnsi="Times New Roman" w:eastAsia="宋体" w:cs="Times New Roman"/>
                <w:color w:val="auto"/>
                <w:spacing w:val="0"/>
                <w:position w:val="0"/>
                <w:sz w:val="21"/>
                <w:szCs w:val="21"/>
                <w:highlight w:val="none"/>
              </w:rPr>
              <w:t>1</w:t>
            </w:r>
            <w:r>
              <w:rPr>
                <w:rFonts w:ascii="Times New Roman" w:hAnsi="Times New Roman" w:eastAsia="宋体" w:cs="宋体"/>
                <w:color w:val="auto"/>
                <w:spacing w:val="0"/>
                <w:position w:val="0"/>
                <w:sz w:val="21"/>
                <w:szCs w:val="21"/>
                <w:highlight w:val="none"/>
              </w:rPr>
              <w:t>新</w:t>
            </w:r>
          </w:p>
          <w:p w14:paraId="736D784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污染源二级标准</w:t>
            </w:r>
          </w:p>
        </w:tc>
        <w:tc>
          <w:tcPr>
            <w:tcW w:w="487" w:type="pct"/>
            <w:vAlign w:val="center"/>
          </w:tcPr>
          <w:p w14:paraId="32B3EE2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达标</w:t>
            </w:r>
          </w:p>
        </w:tc>
      </w:tr>
      <w:tr w14:paraId="7038B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jc w:val="center"/>
        </w:trPr>
        <w:tc>
          <w:tcPr>
            <w:tcW w:w="666" w:type="pct"/>
            <w:vAlign w:val="center"/>
          </w:tcPr>
          <w:p w14:paraId="3AF4BF4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H</w:t>
            </w:r>
            <w:r>
              <w:rPr>
                <w:rFonts w:ascii="Times New Roman" w:hAnsi="Times New Roman" w:eastAsia="宋体" w:cs="Times New Roman"/>
                <w:color w:val="auto"/>
                <w:spacing w:val="0"/>
                <w:position w:val="0"/>
                <w:sz w:val="21"/>
                <w:szCs w:val="14"/>
                <w:highlight w:val="none"/>
                <w:vertAlign w:val="subscript"/>
              </w:rPr>
              <w:t>2</w:t>
            </w:r>
            <w:r>
              <w:rPr>
                <w:rFonts w:ascii="Times New Roman" w:hAnsi="Times New Roman" w:eastAsia="宋体" w:cs="Times New Roman"/>
                <w:color w:val="auto"/>
                <w:spacing w:val="0"/>
                <w:position w:val="0"/>
                <w:sz w:val="21"/>
                <w:szCs w:val="21"/>
                <w:highlight w:val="none"/>
              </w:rPr>
              <w:t>S</w:t>
            </w:r>
          </w:p>
        </w:tc>
        <w:tc>
          <w:tcPr>
            <w:tcW w:w="749" w:type="pct"/>
            <w:vAlign w:val="center"/>
          </w:tcPr>
          <w:p w14:paraId="3019513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下风向</w:t>
            </w:r>
          </w:p>
        </w:tc>
        <w:tc>
          <w:tcPr>
            <w:tcW w:w="833" w:type="pct"/>
            <w:vAlign w:val="center"/>
          </w:tcPr>
          <w:p w14:paraId="6206C8C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0.008</w:t>
            </w:r>
          </w:p>
        </w:tc>
        <w:tc>
          <w:tcPr>
            <w:tcW w:w="749" w:type="pct"/>
            <w:vAlign w:val="center"/>
          </w:tcPr>
          <w:p w14:paraId="53C24EC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0.06</w:t>
            </w:r>
          </w:p>
        </w:tc>
        <w:tc>
          <w:tcPr>
            <w:tcW w:w="1513" w:type="pct"/>
            <w:vMerge w:val="continue"/>
            <w:tcBorders>
              <w:top w:val="nil"/>
            </w:tcBorders>
            <w:vAlign w:val="center"/>
          </w:tcPr>
          <w:p w14:paraId="4F37E32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487" w:type="pct"/>
            <w:vAlign w:val="center"/>
          </w:tcPr>
          <w:p w14:paraId="3AD75A6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达标</w:t>
            </w:r>
          </w:p>
        </w:tc>
      </w:tr>
      <w:tr w14:paraId="1703E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jc w:val="center"/>
        </w:trPr>
        <w:tc>
          <w:tcPr>
            <w:tcW w:w="666" w:type="pct"/>
            <w:vAlign w:val="center"/>
          </w:tcPr>
          <w:p w14:paraId="6776631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臭气浓度</w:t>
            </w:r>
          </w:p>
        </w:tc>
        <w:tc>
          <w:tcPr>
            <w:tcW w:w="749" w:type="pct"/>
            <w:vAlign w:val="center"/>
          </w:tcPr>
          <w:p w14:paraId="4A238A7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下风向</w:t>
            </w:r>
          </w:p>
        </w:tc>
        <w:tc>
          <w:tcPr>
            <w:tcW w:w="833" w:type="pct"/>
            <w:vAlign w:val="center"/>
          </w:tcPr>
          <w:p w14:paraId="2872FE0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14~18</w:t>
            </w:r>
          </w:p>
        </w:tc>
        <w:tc>
          <w:tcPr>
            <w:tcW w:w="749" w:type="pct"/>
            <w:vAlign w:val="center"/>
          </w:tcPr>
          <w:p w14:paraId="616DD95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Times New Roman"/>
                <w:color w:val="auto"/>
                <w:spacing w:val="0"/>
                <w:position w:val="0"/>
                <w:sz w:val="21"/>
                <w:szCs w:val="21"/>
                <w:highlight w:val="none"/>
              </w:rPr>
              <w:t>70</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无量纲</w:t>
            </w:r>
            <w:r>
              <w:rPr>
                <w:rFonts w:hint="eastAsia" w:cs="宋体"/>
                <w:color w:val="auto"/>
                <w:spacing w:val="0"/>
                <w:position w:val="0"/>
                <w:sz w:val="21"/>
                <w:szCs w:val="21"/>
                <w:highlight w:val="none"/>
                <w:lang w:eastAsia="zh-CN"/>
              </w:rPr>
              <w:t>）</w:t>
            </w:r>
          </w:p>
        </w:tc>
        <w:tc>
          <w:tcPr>
            <w:tcW w:w="1513" w:type="pct"/>
            <w:vAlign w:val="center"/>
          </w:tcPr>
          <w:p w14:paraId="0CEEF92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《畜禽养殖业污染物排放标准》</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GB18596-2001</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中集约化畜禽养殖业恶臭污染物排放标准</w:t>
            </w:r>
          </w:p>
        </w:tc>
        <w:tc>
          <w:tcPr>
            <w:tcW w:w="487" w:type="pct"/>
            <w:vAlign w:val="center"/>
          </w:tcPr>
          <w:p w14:paraId="7D34D65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达标</w:t>
            </w:r>
          </w:p>
        </w:tc>
      </w:tr>
    </w:tbl>
    <w:p w14:paraId="644069D7">
      <w:pPr>
        <w:keepNext w:val="0"/>
        <w:keepLines w:val="0"/>
        <w:pageBreakBefore w:val="0"/>
        <w:widowControl w:val="0"/>
        <w:kinsoku/>
        <w:wordWrap/>
        <w:overflowPunct/>
        <w:topLinePunct w:val="0"/>
        <w:autoSpaceDE/>
        <w:autoSpaceDN/>
        <w:bidi w:val="0"/>
        <w:adjustRightInd/>
        <w:snapToGrid/>
        <w:spacing w:line="480" w:lineRule="exact"/>
        <w:ind w:left="0" w:right="0" w:firstLine="479"/>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本项目年出栏青年鸡</w:t>
      </w:r>
      <w:r>
        <w:rPr>
          <w:rFonts w:hint="eastAsia" w:ascii="Times New Roman" w:hAnsi="Times New Roman" w:eastAsia="宋体" w:cs="宋体"/>
          <w:color w:val="auto"/>
          <w:spacing w:val="0"/>
          <w:sz w:val="24"/>
          <w:szCs w:val="24"/>
          <w:highlight w:val="none"/>
          <w:lang w:val="en-US" w:eastAsia="zh-CN"/>
        </w:rPr>
        <w:t>72</w:t>
      </w:r>
      <w:r>
        <w:rPr>
          <w:rFonts w:ascii="Times New Roman" w:hAnsi="Times New Roman" w:eastAsia="宋体" w:cs="宋体"/>
          <w:color w:val="auto"/>
          <w:spacing w:val="0"/>
          <w:sz w:val="24"/>
          <w:szCs w:val="24"/>
          <w:highlight w:val="none"/>
        </w:rPr>
        <w:t>万羽，由此可见，本项目运行期恶臭污染物</w:t>
      </w:r>
      <w:r>
        <w:rPr>
          <w:rFonts w:ascii="Times New Roman" w:hAnsi="Times New Roman" w:eastAsia="宋体" w:cs="Times New Roman"/>
          <w:color w:val="auto"/>
          <w:spacing w:val="0"/>
          <w:sz w:val="24"/>
          <w:szCs w:val="24"/>
          <w:highlight w:val="none"/>
        </w:rPr>
        <w:t>H</w:t>
      </w:r>
      <w:r>
        <w:rPr>
          <w:rFonts w:ascii="Times New Roman" w:hAnsi="Times New Roman" w:eastAsia="宋体" w:cs="Times New Roman"/>
          <w:color w:val="auto"/>
          <w:spacing w:val="0"/>
          <w:sz w:val="24"/>
          <w:szCs w:val="15"/>
          <w:highlight w:val="none"/>
          <w:vertAlign w:val="subscript"/>
        </w:rPr>
        <w:t>2</w:t>
      </w:r>
      <w:r>
        <w:rPr>
          <w:rFonts w:ascii="Times New Roman" w:hAnsi="Times New Roman" w:eastAsia="宋体" w:cs="Times New Roman"/>
          <w:color w:val="auto"/>
          <w:spacing w:val="0"/>
          <w:sz w:val="24"/>
          <w:szCs w:val="24"/>
          <w:highlight w:val="none"/>
        </w:rPr>
        <w:t>S</w:t>
      </w:r>
      <w:r>
        <w:rPr>
          <w:rFonts w:ascii="Times New Roman" w:hAnsi="Times New Roman" w:eastAsia="宋体" w:cs="宋体"/>
          <w:color w:val="auto"/>
          <w:spacing w:val="0"/>
          <w:sz w:val="24"/>
          <w:szCs w:val="24"/>
          <w:highlight w:val="none"/>
        </w:rPr>
        <w:t>和</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无组织排放浓度均可满足《恶臭污染物排放标准》</w:t>
      </w: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GB14554-93</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中表</w:t>
      </w:r>
      <w:r>
        <w:rPr>
          <w:rFonts w:ascii="Times New Roman" w:hAnsi="Times New Roman" w:eastAsia="宋体" w:cs="Times New Roman"/>
          <w:color w:val="auto"/>
          <w:spacing w:val="0"/>
          <w:sz w:val="24"/>
          <w:szCs w:val="24"/>
          <w:highlight w:val="none"/>
        </w:rPr>
        <w:t>1</w:t>
      </w:r>
      <w:r>
        <w:rPr>
          <w:rFonts w:ascii="Times New Roman" w:hAnsi="Times New Roman" w:eastAsia="宋体" w:cs="宋体"/>
          <w:color w:val="auto"/>
          <w:spacing w:val="0"/>
          <w:sz w:val="24"/>
          <w:szCs w:val="24"/>
          <w:highlight w:val="none"/>
        </w:rPr>
        <w:t>新污染源二级标准，厂界恶臭浓度《畜禽养殖业污染物排放标准》</w:t>
      </w: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GB18596-2001</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中集约化畜禽养殖业恶臭污染物排放标准。</w:t>
      </w:r>
    </w:p>
    <w:p w14:paraId="28AFF9E9">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2、大气环境影响估算</w:t>
      </w:r>
    </w:p>
    <w:p w14:paraId="6ACEACF1">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1</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估算模型选取</w:t>
      </w:r>
    </w:p>
    <w:p w14:paraId="2C1ECA14">
      <w:pPr>
        <w:keepNext w:val="0"/>
        <w:keepLines w:val="0"/>
        <w:pageBreakBefore w:val="0"/>
        <w:widowControl w:val="0"/>
        <w:kinsoku/>
        <w:wordWrap/>
        <w:overflowPunct/>
        <w:topLinePunct w:val="0"/>
        <w:autoSpaceDE/>
        <w:autoSpaceDN/>
        <w:bidi w:val="0"/>
        <w:adjustRightInd/>
        <w:snapToGrid/>
        <w:spacing w:line="480" w:lineRule="exact"/>
        <w:ind w:left="0" w:right="0" w:firstLine="481"/>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为了解本项目废气对周边环境的影响，本此评价根据《环境影响评价技术导则大气环境》</w:t>
      </w: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HJ2.2-2018</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，采用估算模式</w:t>
      </w: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AERSCREEN</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对项目排放的废气进行预测分析。结合本项目特点，本评价选取</w:t>
      </w:r>
      <w:r>
        <w:rPr>
          <w:rFonts w:ascii="Times New Roman" w:hAnsi="Times New Roman" w:eastAsia="宋体" w:cs="Times New Roman"/>
          <w:color w:val="auto"/>
          <w:spacing w:val="0"/>
          <w:sz w:val="24"/>
          <w:szCs w:val="24"/>
          <w:highlight w:val="none"/>
        </w:rPr>
        <w:t>NH</w:t>
      </w:r>
      <w:r>
        <w:rPr>
          <w:rFonts w:ascii="Times New Roman" w:hAnsi="Times New Roman" w:eastAsia="宋体" w:cs="Times New Roman"/>
          <w:color w:val="auto"/>
          <w:spacing w:val="0"/>
          <w:sz w:val="24"/>
          <w:szCs w:val="15"/>
          <w:highlight w:val="none"/>
          <w:vertAlign w:val="subscript"/>
        </w:rPr>
        <w:t>3</w:t>
      </w:r>
      <w:r>
        <w:rPr>
          <w:rFonts w:ascii="Times New Roman" w:hAnsi="Times New Roman" w:eastAsia="宋体" w:cs="宋体"/>
          <w:color w:val="auto"/>
          <w:spacing w:val="0"/>
          <w:sz w:val="24"/>
          <w:szCs w:val="24"/>
          <w:highlight w:val="none"/>
        </w:rPr>
        <w:t>、</w:t>
      </w:r>
      <w:r>
        <w:rPr>
          <w:rFonts w:ascii="Times New Roman" w:hAnsi="Times New Roman" w:eastAsia="宋体" w:cs="Times New Roman"/>
          <w:color w:val="auto"/>
          <w:spacing w:val="0"/>
          <w:sz w:val="24"/>
          <w:szCs w:val="24"/>
          <w:highlight w:val="none"/>
        </w:rPr>
        <w:t>H</w:t>
      </w:r>
      <w:r>
        <w:rPr>
          <w:rFonts w:ascii="Times New Roman" w:hAnsi="Times New Roman" w:eastAsia="宋体" w:cs="Times New Roman"/>
          <w:color w:val="auto"/>
          <w:spacing w:val="0"/>
          <w:sz w:val="24"/>
          <w:szCs w:val="15"/>
          <w:highlight w:val="none"/>
          <w:vertAlign w:val="subscript"/>
        </w:rPr>
        <w:t>2</w:t>
      </w:r>
      <w:r>
        <w:rPr>
          <w:rFonts w:ascii="Times New Roman" w:hAnsi="Times New Roman" w:eastAsia="宋体" w:cs="Times New Roman"/>
          <w:color w:val="auto"/>
          <w:spacing w:val="0"/>
          <w:sz w:val="24"/>
          <w:szCs w:val="24"/>
          <w:highlight w:val="none"/>
        </w:rPr>
        <w:t>S</w:t>
      </w:r>
      <w:r>
        <w:rPr>
          <w:rFonts w:ascii="Times New Roman" w:hAnsi="Times New Roman" w:eastAsia="宋体" w:cs="宋体"/>
          <w:color w:val="auto"/>
          <w:spacing w:val="0"/>
          <w:sz w:val="24"/>
          <w:szCs w:val="24"/>
          <w:highlight w:val="none"/>
        </w:rPr>
        <w:t>作为预测估算因子。</w:t>
      </w:r>
    </w:p>
    <w:p w14:paraId="1A317523">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2</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评价标准</w:t>
      </w:r>
    </w:p>
    <w:p w14:paraId="7B3CA41A">
      <w:pPr>
        <w:keepNext w:val="0"/>
        <w:keepLines w:val="0"/>
        <w:pageBreakBefore w:val="0"/>
        <w:widowControl w:val="0"/>
        <w:kinsoku/>
        <w:wordWrap/>
        <w:overflowPunct/>
        <w:topLinePunct w:val="0"/>
        <w:autoSpaceDE/>
        <w:autoSpaceDN/>
        <w:bidi w:val="0"/>
        <w:adjustRightInd/>
        <w:snapToGrid/>
        <w:spacing w:line="480" w:lineRule="exact"/>
        <w:ind w:left="0" w:righ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项目评价因子和和评价标准详见表</w:t>
      </w:r>
      <w:r>
        <w:rPr>
          <w:rFonts w:hint="eastAsia" w:ascii="Times New Roman" w:hAnsi="Times New Roman" w:eastAsia="宋体" w:cs="Times New Roman"/>
          <w:color w:val="auto"/>
          <w:spacing w:val="0"/>
          <w:sz w:val="24"/>
          <w:szCs w:val="24"/>
          <w:highlight w:val="none"/>
          <w:lang w:val="en-US" w:eastAsia="zh-CN"/>
        </w:rPr>
        <w:t>5</w:t>
      </w:r>
      <w:r>
        <w:rPr>
          <w:rFonts w:ascii="Times New Roman" w:hAnsi="Times New Roman" w:eastAsia="宋体" w:cs="Times New Roman"/>
          <w:color w:val="auto"/>
          <w:spacing w:val="0"/>
          <w:sz w:val="24"/>
          <w:szCs w:val="24"/>
          <w:highlight w:val="none"/>
        </w:rPr>
        <w:t>.2-2</w:t>
      </w:r>
      <w:r>
        <w:rPr>
          <w:rFonts w:ascii="Times New Roman" w:hAnsi="Times New Roman" w:eastAsia="宋体" w:cs="宋体"/>
          <w:color w:val="auto"/>
          <w:spacing w:val="0"/>
          <w:sz w:val="24"/>
          <w:szCs w:val="24"/>
          <w:highlight w:val="none"/>
        </w:rPr>
        <w:t>。</w:t>
      </w:r>
    </w:p>
    <w:p w14:paraId="772CDC35">
      <w:pPr>
        <w:keepNext w:val="0"/>
        <w:keepLines w:val="0"/>
        <w:pageBreakBefore w:val="0"/>
        <w:widowControl w:val="0"/>
        <w:kinsoku/>
        <w:wordWrap/>
        <w:overflowPunct/>
        <w:topLinePunct w:val="0"/>
        <w:autoSpaceDE/>
        <w:autoSpaceDN/>
        <w:bidi w:val="0"/>
        <w:adjustRightInd/>
        <w:snapToGrid/>
        <w:spacing w:line="480" w:lineRule="exact"/>
        <w:ind w:left="0" w:right="0" w:firstLine="0" w:firstLineChars="0"/>
        <w:jc w:val="center"/>
        <w:textAlignment w:val="auto"/>
        <w:rPr>
          <w:rFonts w:ascii="Times New Roman" w:hAnsi="Times New Roman" w:eastAsia="宋体" w:cs="黑体"/>
          <w:b/>
          <w:bCs/>
          <w:color w:val="auto"/>
          <w:spacing w:val="0"/>
          <w:sz w:val="24"/>
          <w:szCs w:val="21"/>
          <w:highlight w:val="none"/>
        </w:rPr>
      </w:pPr>
      <w:r>
        <w:rPr>
          <w:rFonts w:ascii="Times New Roman" w:hAnsi="Times New Roman" w:eastAsia="宋体" w:cs="黑体"/>
          <w:b/>
          <w:bCs/>
          <w:color w:val="auto"/>
          <w:spacing w:val="0"/>
          <w:sz w:val="24"/>
          <w:szCs w:val="21"/>
          <w:highlight w:val="none"/>
        </w:rPr>
        <w:t>表</w:t>
      </w:r>
      <w:r>
        <w:rPr>
          <w:rFonts w:hint="eastAsia" w:ascii="Times New Roman" w:hAnsi="Times New Roman" w:eastAsia="宋体" w:cs="Times New Roman"/>
          <w:b/>
          <w:bCs/>
          <w:color w:val="auto"/>
          <w:spacing w:val="0"/>
          <w:sz w:val="24"/>
          <w:szCs w:val="21"/>
          <w:highlight w:val="none"/>
          <w:lang w:val="en-US" w:eastAsia="zh-CN"/>
        </w:rPr>
        <w:t>5</w:t>
      </w:r>
      <w:r>
        <w:rPr>
          <w:rFonts w:ascii="Times New Roman" w:hAnsi="Times New Roman" w:eastAsia="宋体" w:cs="Times New Roman"/>
          <w:b/>
          <w:bCs/>
          <w:color w:val="auto"/>
          <w:spacing w:val="0"/>
          <w:sz w:val="24"/>
          <w:szCs w:val="21"/>
          <w:highlight w:val="none"/>
        </w:rPr>
        <w:t>.2-2</w:t>
      </w:r>
      <w:r>
        <w:rPr>
          <w:rFonts w:ascii="Times New Roman" w:hAnsi="Times New Roman" w:eastAsia="宋体" w:cs="黑体"/>
          <w:b/>
          <w:bCs/>
          <w:color w:val="auto"/>
          <w:spacing w:val="0"/>
          <w:sz w:val="24"/>
          <w:szCs w:val="21"/>
          <w:highlight w:val="none"/>
        </w:rPr>
        <w:t>评价因子和评价标准一览表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66"/>
        <w:gridCol w:w="1757"/>
        <w:gridCol w:w="2078"/>
        <w:gridCol w:w="4123"/>
      </w:tblGrid>
      <w:tr w14:paraId="2FE09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822" w:type="pct"/>
            <w:vAlign w:val="center"/>
          </w:tcPr>
          <w:p w14:paraId="3AF45EE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评价因子</w:t>
            </w:r>
          </w:p>
        </w:tc>
        <w:tc>
          <w:tcPr>
            <w:tcW w:w="922" w:type="pct"/>
            <w:vAlign w:val="center"/>
          </w:tcPr>
          <w:p w14:paraId="26A6D8A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评价时段</w:t>
            </w:r>
          </w:p>
        </w:tc>
        <w:tc>
          <w:tcPr>
            <w:tcW w:w="1090" w:type="pct"/>
            <w:vAlign w:val="center"/>
          </w:tcPr>
          <w:p w14:paraId="1E72271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标准值</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μg/m</w:t>
            </w:r>
            <w:r>
              <w:rPr>
                <w:rFonts w:ascii="Times New Roman" w:hAnsi="Times New Roman" w:eastAsia="宋体" w:cs="Times New Roman"/>
                <w:color w:val="auto"/>
                <w:spacing w:val="0"/>
                <w:position w:val="0"/>
                <w:sz w:val="21"/>
                <w:szCs w:val="14"/>
                <w:highlight w:val="none"/>
                <w:vertAlign w:val="superscript"/>
              </w:rPr>
              <w:t>3</w:t>
            </w:r>
            <w:r>
              <w:rPr>
                <w:rFonts w:hint="eastAsia" w:cs="宋体"/>
                <w:color w:val="auto"/>
                <w:spacing w:val="0"/>
                <w:position w:val="0"/>
                <w:sz w:val="21"/>
                <w:szCs w:val="21"/>
                <w:highlight w:val="none"/>
                <w:lang w:eastAsia="zh-CN"/>
              </w:rPr>
              <w:t>）</w:t>
            </w:r>
          </w:p>
        </w:tc>
        <w:tc>
          <w:tcPr>
            <w:tcW w:w="2163" w:type="pct"/>
            <w:vAlign w:val="center"/>
          </w:tcPr>
          <w:p w14:paraId="7F6EA84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标准来源</w:t>
            </w:r>
          </w:p>
        </w:tc>
      </w:tr>
      <w:tr w14:paraId="70F7E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22" w:type="pct"/>
            <w:vAlign w:val="center"/>
          </w:tcPr>
          <w:p w14:paraId="1393064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perscript"/>
              </w:rPr>
              <w:t>3</w:t>
            </w:r>
          </w:p>
        </w:tc>
        <w:tc>
          <w:tcPr>
            <w:tcW w:w="922" w:type="pct"/>
            <w:vAlign w:val="center"/>
          </w:tcPr>
          <w:p w14:paraId="4A30AF8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r>
              <w:rPr>
                <w:rFonts w:ascii="Times New Roman" w:hAnsi="Times New Roman" w:eastAsia="宋体" w:cs="宋体"/>
                <w:color w:val="auto"/>
                <w:spacing w:val="0"/>
                <w:position w:val="0"/>
                <w:sz w:val="21"/>
                <w:szCs w:val="21"/>
                <w:highlight w:val="none"/>
              </w:rPr>
              <w:t>小时</w:t>
            </w:r>
          </w:p>
        </w:tc>
        <w:tc>
          <w:tcPr>
            <w:tcW w:w="1090" w:type="pct"/>
            <w:vAlign w:val="center"/>
          </w:tcPr>
          <w:p w14:paraId="5811121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200</w:t>
            </w:r>
          </w:p>
        </w:tc>
        <w:tc>
          <w:tcPr>
            <w:tcW w:w="2163" w:type="pct"/>
            <w:vMerge w:val="restart"/>
            <w:tcBorders>
              <w:bottom w:val="nil"/>
            </w:tcBorders>
            <w:vAlign w:val="center"/>
          </w:tcPr>
          <w:p w14:paraId="3711CCC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《环境影响评价技术导则大气环境》</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0HJ2.2-2018</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附录</w:t>
            </w:r>
            <w:r>
              <w:rPr>
                <w:rFonts w:ascii="Times New Roman" w:hAnsi="Times New Roman" w:eastAsia="宋体" w:cs="Times New Roman"/>
                <w:color w:val="auto"/>
                <w:spacing w:val="0"/>
                <w:position w:val="0"/>
                <w:sz w:val="21"/>
                <w:szCs w:val="21"/>
                <w:highlight w:val="none"/>
              </w:rPr>
              <w:t>D</w:t>
            </w:r>
            <w:r>
              <w:rPr>
                <w:rFonts w:ascii="Times New Roman" w:hAnsi="Times New Roman" w:eastAsia="宋体" w:cs="宋体"/>
                <w:color w:val="auto"/>
                <w:spacing w:val="0"/>
                <w:position w:val="0"/>
                <w:sz w:val="21"/>
                <w:szCs w:val="21"/>
                <w:highlight w:val="none"/>
              </w:rPr>
              <w:t>浓度限</w:t>
            </w:r>
          </w:p>
          <w:p w14:paraId="5C75163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值</w:t>
            </w:r>
          </w:p>
        </w:tc>
      </w:tr>
      <w:tr w14:paraId="4CCCA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822" w:type="pct"/>
            <w:vAlign w:val="center"/>
          </w:tcPr>
          <w:p w14:paraId="79B9F01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H</w:t>
            </w:r>
            <w:r>
              <w:rPr>
                <w:rFonts w:ascii="Times New Roman" w:hAnsi="Times New Roman" w:eastAsia="宋体" w:cs="Times New Roman"/>
                <w:color w:val="auto"/>
                <w:spacing w:val="0"/>
                <w:position w:val="0"/>
                <w:sz w:val="21"/>
                <w:szCs w:val="14"/>
                <w:highlight w:val="none"/>
                <w:vertAlign w:val="subscript"/>
              </w:rPr>
              <w:t>2</w:t>
            </w:r>
            <w:r>
              <w:rPr>
                <w:rFonts w:ascii="Times New Roman" w:hAnsi="Times New Roman" w:eastAsia="宋体" w:cs="Times New Roman"/>
                <w:color w:val="auto"/>
                <w:spacing w:val="0"/>
                <w:position w:val="0"/>
                <w:sz w:val="21"/>
                <w:szCs w:val="21"/>
                <w:highlight w:val="none"/>
              </w:rPr>
              <w:t>S</w:t>
            </w:r>
          </w:p>
        </w:tc>
        <w:tc>
          <w:tcPr>
            <w:tcW w:w="922" w:type="pct"/>
            <w:vAlign w:val="center"/>
          </w:tcPr>
          <w:p w14:paraId="4BC6241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r>
              <w:rPr>
                <w:rFonts w:ascii="Times New Roman" w:hAnsi="Times New Roman" w:eastAsia="宋体" w:cs="宋体"/>
                <w:color w:val="auto"/>
                <w:spacing w:val="0"/>
                <w:position w:val="0"/>
                <w:sz w:val="21"/>
                <w:szCs w:val="21"/>
                <w:highlight w:val="none"/>
              </w:rPr>
              <w:t>小时</w:t>
            </w:r>
          </w:p>
        </w:tc>
        <w:tc>
          <w:tcPr>
            <w:tcW w:w="1090" w:type="pct"/>
            <w:vAlign w:val="center"/>
          </w:tcPr>
          <w:p w14:paraId="0DD5CB9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10</w:t>
            </w:r>
          </w:p>
        </w:tc>
        <w:tc>
          <w:tcPr>
            <w:tcW w:w="2163" w:type="pct"/>
            <w:vMerge w:val="continue"/>
            <w:tcBorders>
              <w:top w:val="nil"/>
            </w:tcBorders>
            <w:vAlign w:val="center"/>
          </w:tcPr>
          <w:p w14:paraId="3461FA6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bl>
    <w:p w14:paraId="42A718D9">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3</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污染源强</w:t>
      </w:r>
    </w:p>
    <w:p w14:paraId="1343D005">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根据工程分析，项目工程污染源具体见表</w:t>
      </w:r>
      <w:r>
        <w:rPr>
          <w:rFonts w:hint="eastAsia" w:ascii="Times New Roman" w:hAnsi="Times New Roman" w:eastAsia="宋体" w:cs="Times New Roman"/>
          <w:color w:val="auto"/>
          <w:spacing w:val="0"/>
          <w:sz w:val="24"/>
          <w:szCs w:val="24"/>
          <w:highlight w:val="none"/>
          <w:lang w:val="en-US" w:eastAsia="zh-CN"/>
        </w:rPr>
        <w:t>5</w:t>
      </w:r>
      <w:r>
        <w:rPr>
          <w:rFonts w:ascii="Times New Roman" w:hAnsi="Times New Roman" w:eastAsia="宋体" w:cs="Times New Roman"/>
          <w:color w:val="auto"/>
          <w:spacing w:val="0"/>
          <w:sz w:val="24"/>
          <w:szCs w:val="24"/>
          <w:highlight w:val="none"/>
        </w:rPr>
        <w:t>.2-3</w:t>
      </w:r>
      <w:r>
        <w:rPr>
          <w:rFonts w:ascii="Times New Roman" w:hAnsi="Times New Roman" w:eastAsia="宋体" w:cs="宋体"/>
          <w:color w:val="auto"/>
          <w:spacing w:val="0"/>
          <w:sz w:val="24"/>
          <w:szCs w:val="24"/>
          <w:highlight w:val="none"/>
        </w:rPr>
        <w:t>。</w:t>
      </w:r>
    </w:p>
    <w:p w14:paraId="0F2B7CEA">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黑体"/>
          <w:b/>
          <w:bCs/>
          <w:color w:val="auto"/>
          <w:spacing w:val="0"/>
          <w:sz w:val="24"/>
          <w:szCs w:val="21"/>
          <w:highlight w:val="none"/>
          <w:lang w:eastAsia="zh-CN"/>
        </w:rPr>
      </w:pPr>
      <w:r>
        <w:rPr>
          <w:rFonts w:ascii="Times New Roman" w:hAnsi="Times New Roman" w:eastAsia="宋体" w:cs="黑体"/>
          <w:b/>
          <w:bCs/>
          <w:color w:val="auto"/>
          <w:spacing w:val="0"/>
          <w:sz w:val="24"/>
          <w:szCs w:val="21"/>
          <w:highlight w:val="none"/>
        </w:rPr>
        <w:t>表</w:t>
      </w:r>
      <w:r>
        <w:rPr>
          <w:rFonts w:hint="eastAsia" w:ascii="Times New Roman" w:hAnsi="Times New Roman" w:eastAsia="宋体" w:cs="Times New Roman"/>
          <w:b/>
          <w:bCs/>
          <w:color w:val="auto"/>
          <w:spacing w:val="0"/>
          <w:sz w:val="24"/>
          <w:szCs w:val="21"/>
          <w:highlight w:val="none"/>
          <w:lang w:val="en-US" w:eastAsia="zh-CN"/>
        </w:rPr>
        <w:t>5</w:t>
      </w:r>
      <w:r>
        <w:rPr>
          <w:rFonts w:ascii="Times New Roman" w:hAnsi="Times New Roman" w:eastAsia="宋体" w:cs="Times New Roman"/>
          <w:b/>
          <w:bCs/>
          <w:color w:val="auto"/>
          <w:spacing w:val="0"/>
          <w:sz w:val="24"/>
          <w:szCs w:val="21"/>
          <w:highlight w:val="none"/>
        </w:rPr>
        <w:t>.2-3</w:t>
      </w:r>
      <w:r>
        <w:rPr>
          <w:rFonts w:ascii="Times New Roman" w:hAnsi="Times New Roman" w:eastAsia="宋体" w:cs="黑体"/>
          <w:b/>
          <w:bCs/>
          <w:color w:val="auto"/>
          <w:spacing w:val="0"/>
          <w:sz w:val="24"/>
          <w:szCs w:val="21"/>
          <w:highlight w:val="none"/>
        </w:rPr>
        <w:t>圈舍无组织废气污染源一览表</w:t>
      </w:r>
      <w:r>
        <w:rPr>
          <w:rFonts w:hint="eastAsia" w:cs="黑体"/>
          <w:b/>
          <w:bCs/>
          <w:color w:val="auto"/>
          <w:spacing w:val="0"/>
          <w:sz w:val="24"/>
          <w:szCs w:val="21"/>
          <w:highlight w:val="none"/>
          <w:lang w:eastAsia="zh-CN"/>
        </w:rPr>
        <w:t>（</w:t>
      </w:r>
      <w:r>
        <w:rPr>
          <w:rFonts w:ascii="Times New Roman" w:hAnsi="Times New Roman" w:eastAsia="宋体" w:cs="黑体"/>
          <w:b/>
          <w:bCs/>
          <w:color w:val="auto"/>
          <w:spacing w:val="0"/>
          <w:sz w:val="24"/>
          <w:szCs w:val="21"/>
          <w:highlight w:val="none"/>
        </w:rPr>
        <w:t>面源</w:t>
      </w:r>
      <w:r>
        <w:rPr>
          <w:rFonts w:hint="eastAsia" w:cs="黑体"/>
          <w:b/>
          <w:bCs/>
          <w:color w:val="auto"/>
          <w:spacing w:val="0"/>
          <w:sz w:val="24"/>
          <w:szCs w:val="21"/>
          <w:highlight w:val="none"/>
          <w:lang w:eastAsia="zh-CN"/>
        </w:rPr>
        <w:t>）</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685"/>
        <w:gridCol w:w="1761"/>
        <w:gridCol w:w="5080"/>
      </w:tblGrid>
      <w:tr w14:paraId="1B1A5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2333" w:type="pct"/>
            <w:gridSpan w:val="2"/>
            <w:tcBorders>
              <w:tl2br w:val="nil"/>
              <w:tr2bl w:val="nil"/>
            </w:tcBorders>
            <w:vAlign w:val="center"/>
          </w:tcPr>
          <w:p w14:paraId="670E5AB0">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污染源名称</w:t>
            </w:r>
          </w:p>
        </w:tc>
        <w:tc>
          <w:tcPr>
            <w:tcW w:w="2666" w:type="pct"/>
            <w:tcBorders>
              <w:tl2br w:val="nil"/>
              <w:tr2bl w:val="nil"/>
            </w:tcBorders>
            <w:vAlign w:val="center"/>
          </w:tcPr>
          <w:p w14:paraId="3F45EAD3">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厂区</w:t>
            </w:r>
          </w:p>
        </w:tc>
      </w:tr>
      <w:tr w14:paraId="2AA8E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409" w:type="pct"/>
            <w:vMerge w:val="restart"/>
            <w:tcBorders>
              <w:tl2br w:val="nil"/>
              <w:tr2bl w:val="nil"/>
            </w:tcBorders>
            <w:vAlign w:val="center"/>
          </w:tcPr>
          <w:p w14:paraId="45117E59">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面源中心坐标</w:t>
            </w:r>
            <w:r>
              <w:rPr>
                <w:rFonts w:ascii="Times New Roman" w:hAnsi="Times New Roman" w:eastAsia="宋体" w:cs="Times New Roman"/>
                <w:color w:val="auto"/>
                <w:spacing w:val="0"/>
                <w:position w:val="0"/>
                <w:sz w:val="21"/>
                <w:szCs w:val="21"/>
                <w:highlight w:val="none"/>
              </w:rPr>
              <w:t>/m</w:t>
            </w:r>
          </w:p>
        </w:tc>
        <w:tc>
          <w:tcPr>
            <w:tcW w:w="923" w:type="pct"/>
            <w:tcBorders>
              <w:tl2br w:val="nil"/>
              <w:tr2bl w:val="nil"/>
            </w:tcBorders>
            <w:vAlign w:val="center"/>
          </w:tcPr>
          <w:p w14:paraId="497D1B69">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X</w:t>
            </w:r>
          </w:p>
        </w:tc>
        <w:tc>
          <w:tcPr>
            <w:tcW w:w="2666" w:type="pct"/>
            <w:tcBorders>
              <w:tl2br w:val="nil"/>
              <w:tr2bl w:val="nil"/>
            </w:tcBorders>
            <w:vAlign w:val="center"/>
          </w:tcPr>
          <w:p w14:paraId="36DED53B">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446728</w:t>
            </w:r>
          </w:p>
        </w:tc>
      </w:tr>
      <w:tr w14:paraId="14C76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409" w:type="pct"/>
            <w:vMerge w:val="continue"/>
            <w:tcBorders>
              <w:tl2br w:val="nil"/>
              <w:tr2bl w:val="nil"/>
            </w:tcBorders>
            <w:vAlign w:val="center"/>
          </w:tcPr>
          <w:p w14:paraId="0DF2E285">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olor w:val="auto"/>
                <w:spacing w:val="0"/>
                <w:position w:val="0"/>
                <w:sz w:val="21"/>
                <w:highlight w:val="none"/>
              </w:rPr>
            </w:pPr>
          </w:p>
        </w:tc>
        <w:tc>
          <w:tcPr>
            <w:tcW w:w="923" w:type="pct"/>
            <w:tcBorders>
              <w:tl2br w:val="nil"/>
              <w:tr2bl w:val="nil"/>
            </w:tcBorders>
            <w:vAlign w:val="center"/>
          </w:tcPr>
          <w:p w14:paraId="42918C8B">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Y</w:t>
            </w:r>
          </w:p>
        </w:tc>
        <w:tc>
          <w:tcPr>
            <w:tcW w:w="2666" w:type="pct"/>
            <w:tcBorders>
              <w:tl2br w:val="nil"/>
              <w:tr2bl w:val="nil"/>
            </w:tcBorders>
            <w:vAlign w:val="center"/>
          </w:tcPr>
          <w:p w14:paraId="7DBF390E">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4910317</w:t>
            </w:r>
          </w:p>
        </w:tc>
      </w:tr>
      <w:tr w14:paraId="527F9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3" w:type="pct"/>
            <w:gridSpan w:val="2"/>
            <w:tcBorders>
              <w:tl2br w:val="nil"/>
              <w:tr2bl w:val="nil"/>
            </w:tcBorders>
            <w:vAlign w:val="center"/>
          </w:tcPr>
          <w:p w14:paraId="6E334AD5">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面源中心海拔高度</w:t>
            </w:r>
            <w:r>
              <w:rPr>
                <w:rFonts w:ascii="Times New Roman" w:hAnsi="Times New Roman" w:eastAsia="宋体" w:cs="Times New Roman"/>
                <w:color w:val="auto"/>
                <w:spacing w:val="0"/>
                <w:position w:val="0"/>
                <w:sz w:val="21"/>
                <w:szCs w:val="21"/>
                <w:highlight w:val="none"/>
              </w:rPr>
              <w:t>/m</w:t>
            </w:r>
          </w:p>
        </w:tc>
        <w:tc>
          <w:tcPr>
            <w:tcW w:w="2666" w:type="pct"/>
            <w:tcBorders>
              <w:tl2br w:val="nil"/>
              <w:tr2bl w:val="nil"/>
            </w:tcBorders>
            <w:vAlign w:val="center"/>
          </w:tcPr>
          <w:p w14:paraId="27231D1A">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434</w:t>
            </w:r>
          </w:p>
        </w:tc>
      </w:tr>
      <w:tr w14:paraId="31923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333" w:type="pct"/>
            <w:gridSpan w:val="2"/>
            <w:tcBorders>
              <w:tl2br w:val="nil"/>
              <w:tr2bl w:val="nil"/>
            </w:tcBorders>
            <w:vAlign w:val="center"/>
          </w:tcPr>
          <w:p w14:paraId="5AEF89DB">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面源长度</w:t>
            </w:r>
            <w:r>
              <w:rPr>
                <w:rFonts w:ascii="Times New Roman" w:hAnsi="Times New Roman" w:eastAsia="宋体" w:cs="Times New Roman"/>
                <w:color w:val="auto"/>
                <w:spacing w:val="0"/>
                <w:position w:val="0"/>
                <w:sz w:val="21"/>
                <w:szCs w:val="21"/>
                <w:highlight w:val="none"/>
              </w:rPr>
              <w:t>/m</w:t>
            </w:r>
          </w:p>
        </w:tc>
        <w:tc>
          <w:tcPr>
            <w:tcW w:w="2666" w:type="pct"/>
            <w:tcBorders>
              <w:tl2br w:val="nil"/>
              <w:tr2bl w:val="nil"/>
            </w:tcBorders>
            <w:vAlign w:val="center"/>
          </w:tcPr>
          <w:p w14:paraId="3B00C569">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566</w:t>
            </w:r>
          </w:p>
        </w:tc>
      </w:tr>
      <w:tr w14:paraId="485D0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3" w:type="pct"/>
            <w:gridSpan w:val="2"/>
            <w:tcBorders>
              <w:tl2br w:val="nil"/>
              <w:tr2bl w:val="nil"/>
            </w:tcBorders>
            <w:vAlign w:val="center"/>
          </w:tcPr>
          <w:p w14:paraId="1D88CF63">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面源宽度</w:t>
            </w:r>
            <w:r>
              <w:rPr>
                <w:rFonts w:ascii="Times New Roman" w:hAnsi="Times New Roman" w:eastAsia="宋体" w:cs="Times New Roman"/>
                <w:color w:val="auto"/>
                <w:spacing w:val="0"/>
                <w:position w:val="0"/>
                <w:sz w:val="21"/>
                <w:szCs w:val="21"/>
                <w:highlight w:val="none"/>
              </w:rPr>
              <w:t>/m</w:t>
            </w:r>
          </w:p>
        </w:tc>
        <w:tc>
          <w:tcPr>
            <w:tcW w:w="2666" w:type="pct"/>
            <w:tcBorders>
              <w:tl2br w:val="nil"/>
              <w:tr2bl w:val="nil"/>
            </w:tcBorders>
            <w:vAlign w:val="center"/>
          </w:tcPr>
          <w:p w14:paraId="5E76903F">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134</w:t>
            </w:r>
          </w:p>
        </w:tc>
      </w:tr>
      <w:tr w14:paraId="2771D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3" w:type="pct"/>
            <w:gridSpan w:val="2"/>
            <w:tcBorders>
              <w:tl2br w:val="nil"/>
              <w:tr2bl w:val="nil"/>
            </w:tcBorders>
            <w:vAlign w:val="center"/>
          </w:tcPr>
          <w:p w14:paraId="2963A87B">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面源有效排放高度</w:t>
            </w:r>
            <w:r>
              <w:rPr>
                <w:rFonts w:ascii="Times New Roman" w:hAnsi="Times New Roman" w:eastAsia="宋体" w:cs="Times New Roman"/>
                <w:color w:val="auto"/>
                <w:spacing w:val="0"/>
                <w:position w:val="0"/>
                <w:sz w:val="21"/>
                <w:szCs w:val="21"/>
                <w:highlight w:val="none"/>
              </w:rPr>
              <w:t>/m</w:t>
            </w:r>
          </w:p>
        </w:tc>
        <w:tc>
          <w:tcPr>
            <w:tcW w:w="2666" w:type="pct"/>
            <w:tcBorders>
              <w:tl2br w:val="nil"/>
              <w:tr2bl w:val="nil"/>
            </w:tcBorders>
            <w:vAlign w:val="center"/>
          </w:tcPr>
          <w:p w14:paraId="57B3D91C">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15</w:t>
            </w:r>
          </w:p>
        </w:tc>
      </w:tr>
      <w:tr w14:paraId="391BC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333" w:type="pct"/>
            <w:gridSpan w:val="2"/>
            <w:tcBorders>
              <w:tl2br w:val="nil"/>
              <w:tr2bl w:val="nil"/>
            </w:tcBorders>
            <w:vAlign w:val="center"/>
          </w:tcPr>
          <w:p w14:paraId="397FC7D8">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与正北方向夹角</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p>
        </w:tc>
        <w:tc>
          <w:tcPr>
            <w:tcW w:w="2666" w:type="pct"/>
            <w:tcBorders>
              <w:tl2br w:val="nil"/>
              <w:tr2bl w:val="nil"/>
            </w:tcBorders>
            <w:vAlign w:val="center"/>
          </w:tcPr>
          <w:p w14:paraId="2AD41D05">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340</w:t>
            </w:r>
          </w:p>
        </w:tc>
      </w:tr>
      <w:tr w14:paraId="5EC14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2333" w:type="pct"/>
            <w:gridSpan w:val="2"/>
            <w:tcBorders>
              <w:tl2br w:val="nil"/>
              <w:tr2bl w:val="nil"/>
            </w:tcBorders>
            <w:vAlign w:val="center"/>
          </w:tcPr>
          <w:p w14:paraId="5B39038F">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年排放小时</w:t>
            </w:r>
            <w:r>
              <w:rPr>
                <w:rFonts w:ascii="Times New Roman" w:hAnsi="Times New Roman" w:eastAsia="宋体" w:cs="Times New Roman"/>
                <w:color w:val="auto"/>
                <w:spacing w:val="0"/>
                <w:position w:val="0"/>
                <w:sz w:val="21"/>
                <w:szCs w:val="21"/>
                <w:highlight w:val="none"/>
              </w:rPr>
              <w:t>/h</w:t>
            </w:r>
          </w:p>
        </w:tc>
        <w:tc>
          <w:tcPr>
            <w:tcW w:w="2666" w:type="pct"/>
            <w:tcBorders>
              <w:tl2br w:val="nil"/>
              <w:tr2bl w:val="nil"/>
            </w:tcBorders>
            <w:vAlign w:val="center"/>
          </w:tcPr>
          <w:p w14:paraId="5AFC5117">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8064</w:t>
            </w:r>
          </w:p>
        </w:tc>
      </w:tr>
      <w:tr w14:paraId="13E43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333" w:type="pct"/>
            <w:gridSpan w:val="2"/>
            <w:tcBorders>
              <w:tl2br w:val="nil"/>
              <w:tr2bl w:val="nil"/>
            </w:tcBorders>
            <w:vAlign w:val="center"/>
          </w:tcPr>
          <w:p w14:paraId="1FE0546E">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排放工况</w:t>
            </w:r>
          </w:p>
        </w:tc>
        <w:tc>
          <w:tcPr>
            <w:tcW w:w="2666" w:type="pct"/>
            <w:tcBorders>
              <w:tl2br w:val="nil"/>
              <w:tr2bl w:val="nil"/>
            </w:tcBorders>
            <w:vAlign w:val="center"/>
          </w:tcPr>
          <w:p w14:paraId="6398A643">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正常</w:t>
            </w:r>
          </w:p>
        </w:tc>
      </w:tr>
      <w:tr w14:paraId="36155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409" w:type="pct"/>
            <w:vMerge w:val="restart"/>
            <w:tcBorders>
              <w:tl2br w:val="nil"/>
              <w:tr2bl w:val="nil"/>
            </w:tcBorders>
            <w:vAlign w:val="center"/>
          </w:tcPr>
          <w:p w14:paraId="43EF3210">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污染物排放速率</w:t>
            </w:r>
          </w:p>
          <w:p w14:paraId="6959350D">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kg/h</w:t>
            </w:r>
            <w:r>
              <w:rPr>
                <w:rFonts w:hint="eastAsia" w:cs="宋体"/>
                <w:color w:val="auto"/>
                <w:spacing w:val="0"/>
                <w:position w:val="0"/>
                <w:sz w:val="21"/>
                <w:szCs w:val="21"/>
                <w:highlight w:val="none"/>
                <w:lang w:eastAsia="zh-CN"/>
              </w:rPr>
              <w:t>）</w:t>
            </w:r>
          </w:p>
        </w:tc>
        <w:tc>
          <w:tcPr>
            <w:tcW w:w="923" w:type="pct"/>
            <w:tcBorders>
              <w:tl2br w:val="nil"/>
              <w:tr2bl w:val="nil"/>
            </w:tcBorders>
            <w:vAlign w:val="center"/>
          </w:tcPr>
          <w:p w14:paraId="34068C3B">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p>
        </w:tc>
        <w:tc>
          <w:tcPr>
            <w:tcW w:w="2666" w:type="pct"/>
            <w:tcBorders>
              <w:tl2br w:val="nil"/>
              <w:tr2bl w:val="nil"/>
            </w:tcBorders>
            <w:vAlign w:val="center"/>
          </w:tcPr>
          <w:p w14:paraId="1EE780D5">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0.07</w:t>
            </w:r>
          </w:p>
        </w:tc>
      </w:tr>
      <w:tr w14:paraId="792A6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409" w:type="pct"/>
            <w:vMerge w:val="continue"/>
            <w:tcBorders>
              <w:tl2br w:val="nil"/>
              <w:tr2bl w:val="nil"/>
            </w:tcBorders>
            <w:vAlign w:val="center"/>
          </w:tcPr>
          <w:p w14:paraId="75B6F20F">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olor w:val="auto"/>
                <w:spacing w:val="0"/>
                <w:position w:val="0"/>
                <w:sz w:val="21"/>
                <w:highlight w:val="none"/>
              </w:rPr>
            </w:pPr>
          </w:p>
        </w:tc>
        <w:tc>
          <w:tcPr>
            <w:tcW w:w="923" w:type="pct"/>
            <w:tcBorders>
              <w:tl2br w:val="nil"/>
              <w:tr2bl w:val="nil"/>
            </w:tcBorders>
            <w:vAlign w:val="center"/>
          </w:tcPr>
          <w:p w14:paraId="29AAD243">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H</w:t>
            </w:r>
            <w:r>
              <w:rPr>
                <w:rFonts w:ascii="Times New Roman" w:hAnsi="Times New Roman" w:eastAsia="宋体" w:cs="Times New Roman"/>
                <w:color w:val="auto"/>
                <w:spacing w:val="0"/>
                <w:position w:val="0"/>
                <w:sz w:val="21"/>
                <w:szCs w:val="14"/>
                <w:highlight w:val="none"/>
                <w:vertAlign w:val="subscript"/>
              </w:rPr>
              <w:t>2</w:t>
            </w:r>
            <w:r>
              <w:rPr>
                <w:rFonts w:ascii="Times New Roman" w:hAnsi="Times New Roman" w:eastAsia="宋体" w:cs="Times New Roman"/>
                <w:color w:val="auto"/>
                <w:spacing w:val="0"/>
                <w:position w:val="0"/>
                <w:sz w:val="21"/>
                <w:szCs w:val="21"/>
                <w:highlight w:val="none"/>
              </w:rPr>
              <w:t>S</w:t>
            </w:r>
          </w:p>
        </w:tc>
        <w:tc>
          <w:tcPr>
            <w:tcW w:w="2666" w:type="pct"/>
            <w:tcBorders>
              <w:tl2br w:val="nil"/>
              <w:tr2bl w:val="nil"/>
            </w:tcBorders>
            <w:vAlign w:val="center"/>
          </w:tcPr>
          <w:p w14:paraId="28768636">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ascii="Times New Roman" w:hAnsi="Times New Roman" w:eastAsia="宋体" w:cs="Times New Roman"/>
                <w:color w:val="auto"/>
                <w:spacing w:val="0"/>
                <w:position w:val="0"/>
                <w:sz w:val="21"/>
                <w:szCs w:val="21"/>
                <w:highlight w:val="none"/>
              </w:rPr>
              <w:t>0.00</w:t>
            </w:r>
            <w:r>
              <w:rPr>
                <w:rFonts w:hint="eastAsia" w:cs="Times New Roman"/>
                <w:color w:val="auto"/>
                <w:spacing w:val="0"/>
                <w:position w:val="0"/>
                <w:sz w:val="21"/>
                <w:szCs w:val="21"/>
                <w:highlight w:val="none"/>
                <w:lang w:val="en-US" w:eastAsia="zh-CN"/>
              </w:rPr>
              <w:t>5</w:t>
            </w:r>
          </w:p>
        </w:tc>
      </w:tr>
    </w:tbl>
    <w:p w14:paraId="441D3375">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4</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估算模型参数</w:t>
      </w:r>
    </w:p>
    <w:p w14:paraId="0CD31EBE">
      <w:pPr>
        <w:keepNext w:val="0"/>
        <w:keepLines w:val="0"/>
        <w:pageBreakBefore w:val="0"/>
        <w:widowControl w:val="0"/>
        <w:kinsoku/>
        <w:wordWrap/>
        <w:overflowPunct/>
        <w:topLinePunct w:val="0"/>
        <w:autoSpaceDE/>
        <w:autoSpaceDN/>
        <w:bidi w:val="0"/>
        <w:adjustRightInd/>
        <w:snapToGrid/>
        <w:spacing w:line="360" w:lineRule="auto"/>
        <w:ind w:left="0" w:right="0" w:firstLine="488"/>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本次评价选用《环境影响评价技术导则大气环境》</w:t>
      </w:r>
      <w:r>
        <w:rPr>
          <w:rFonts w:hint="eastAsia" w:cs="宋体"/>
          <w:color w:val="auto"/>
          <w:spacing w:val="0"/>
          <w:sz w:val="24"/>
          <w:szCs w:val="24"/>
          <w:highlight w:val="none"/>
          <w:lang w:eastAsia="zh-CN"/>
        </w:rPr>
        <w:t>（</w:t>
      </w:r>
      <w:r>
        <w:rPr>
          <w:rFonts w:ascii="Times New Roman" w:hAnsi="Times New Roman" w:eastAsia="宋体" w:cs="Times New Roman"/>
          <w:color w:val="auto"/>
          <w:spacing w:val="0"/>
          <w:sz w:val="24"/>
          <w:szCs w:val="24"/>
          <w:highlight w:val="none"/>
        </w:rPr>
        <w:t>HJ2.2-2018</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推荐的</w:t>
      </w:r>
      <w:r>
        <w:rPr>
          <w:rFonts w:ascii="Times New Roman" w:hAnsi="Times New Roman" w:eastAsia="宋体" w:cs="Times New Roman"/>
          <w:color w:val="auto"/>
          <w:spacing w:val="0"/>
          <w:sz w:val="24"/>
          <w:szCs w:val="24"/>
          <w:highlight w:val="none"/>
        </w:rPr>
        <w:t>AERSCREEN</w:t>
      </w:r>
      <w:r>
        <w:rPr>
          <w:rFonts w:ascii="Times New Roman" w:hAnsi="Times New Roman" w:eastAsia="宋体" w:cs="宋体"/>
          <w:color w:val="auto"/>
          <w:spacing w:val="0"/>
          <w:sz w:val="24"/>
          <w:szCs w:val="24"/>
          <w:highlight w:val="none"/>
        </w:rPr>
        <w:t>模型，估算模型参数详见表</w:t>
      </w:r>
      <w:r>
        <w:rPr>
          <w:rFonts w:hint="eastAsia" w:ascii="Times New Roman" w:hAnsi="Times New Roman" w:eastAsia="宋体" w:cs="Times New Roman"/>
          <w:color w:val="auto"/>
          <w:spacing w:val="0"/>
          <w:sz w:val="24"/>
          <w:szCs w:val="24"/>
          <w:highlight w:val="none"/>
          <w:lang w:val="en-US" w:eastAsia="zh-CN"/>
        </w:rPr>
        <w:t>5</w:t>
      </w:r>
      <w:r>
        <w:rPr>
          <w:rFonts w:ascii="Times New Roman" w:hAnsi="Times New Roman" w:eastAsia="宋体" w:cs="Times New Roman"/>
          <w:color w:val="auto"/>
          <w:spacing w:val="0"/>
          <w:sz w:val="24"/>
          <w:szCs w:val="24"/>
          <w:highlight w:val="none"/>
        </w:rPr>
        <w:t>.2-4</w:t>
      </w:r>
      <w:r>
        <w:rPr>
          <w:rFonts w:ascii="Times New Roman" w:hAnsi="Times New Roman" w:eastAsia="宋体" w:cs="宋体"/>
          <w:color w:val="auto"/>
          <w:spacing w:val="0"/>
          <w:sz w:val="24"/>
          <w:szCs w:val="24"/>
          <w:highlight w:val="none"/>
        </w:rPr>
        <w:t>。</w:t>
      </w:r>
    </w:p>
    <w:p w14:paraId="5CDF139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color w:val="auto"/>
          <w:spacing w:val="0"/>
          <w:sz w:val="24"/>
          <w:szCs w:val="21"/>
          <w:highlight w:val="none"/>
        </w:rPr>
      </w:pPr>
      <w:r>
        <w:rPr>
          <w:rFonts w:ascii="Times New Roman" w:hAnsi="Times New Roman" w:eastAsia="宋体" w:cs="黑体"/>
          <w:b/>
          <w:bCs/>
          <w:color w:val="auto"/>
          <w:spacing w:val="0"/>
          <w:sz w:val="24"/>
          <w:szCs w:val="21"/>
          <w:highlight w:val="none"/>
        </w:rPr>
        <w:t>表</w:t>
      </w:r>
      <w:r>
        <w:rPr>
          <w:rFonts w:hint="eastAsia" w:ascii="Times New Roman" w:hAnsi="Times New Roman" w:eastAsia="宋体" w:cs="Times New Roman"/>
          <w:b/>
          <w:bCs/>
          <w:color w:val="auto"/>
          <w:spacing w:val="0"/>
          <w:sz w:val="24"/>
          <w:szCs w:val="21"/>
          <w:highlight w:val="none"/>
          <w:lang w:val="en-US" w:eastAsia="zh-CN"/>
        </w:rPr>
        <w:t>5</w:t>
      </w:r>
      <w:r>
        <w:rPr>
          <w:rFonts w:ascii="Times New Roman" w:hAnsi="Times New Roman" w:eastAsia="宋体" w:cs="Times New Roman"/>
          <w:b/>
          <w:bCs/>
          <w:color w:val="auto"/>
          <w:spacing w:val="0"/>
          <w:sz w:val="24"/>
          <w:szCs w:val="21"/>
          <w:highlight w:val="none"/>
        </w:rPr>
        <w:t>.2-4</w:t>
      </w:r>
      <w:r>
        <w:rPr>
          <w:rFonts w:ascii="Times New Roman" w:hAnsi="Times New Roman" w:eastAsia="宋体" w:cs="黑体"/>
          <w:b/>
          <w:bCs/>
          <w:color w:val="auto"/>
          <w:spacing w:val="0"/>
          <w:sz w:val="24"/>
          <w:szCs w:val="21"/>
          <w:highlight w:val="none"/>
        </w:rPr>
        <w:t>估算模型参数表</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072"/>
        <w:gridCol w:w="3840"/>
        <w:gridCol w:w="2614"/>
      </w:tblGrid>
      <w:tr w14:paraId="48921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3627" w:type="pct"/>
            <w:gridSpan w:val="2"/>
            <w:vAlign w:val="center"/>
          </w:tcPr>
          <w:p w14:paraId="0C600BD7">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参数</w:t>
            </w:r>
          </w:p>
        </w:tc>
        <w:tc>
          <w:tcPr>
            <w:tcW w:w="1372" w:type="pct"/>
            <w:vAlign w:val="center"/>
          </w:tcPr>
          <w:p w14:paraId="3C70AD47">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取值</w:t>
            </w:r>
          </w:p>
        </w:tc>
      </w:tr>
      <w:tr w14:paraId="42F38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2" w:type="pct"/>
            <w:vMerge w:val="restart"/>
            <w:tcBorders>
              <w:bottom w:val="nil"/>
            </w:tcBorders>
            <w:vAlign w:val="center"/>
          </w:tcPr>
          <w:p w14:paraId="6F96CDD7">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城市</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农村选项</w:t>
            </w:r>
          </w:p>
        </w:tc>
        <w:tc>
          <w:tcPr>
            <w:tcW w:w="2015" w:type="pct"/>
            <w:vAlign w:val="center"/>
          </w:tcPr>
          <w:p w14:paraId="74627633">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城市</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农村</w:t>
            </w:r>
          </w:p>
        </w:tc>
        <w:tc>
          <w:tcPr>
            <w:tcW w:w="1372" w:type="pct"/>
            <w:vAlign w:val="center"/>
          </w:tcPr>
          <w:p w14:paraId="66A070B0">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农村</w:t>
            </w:r>
          </w:p>
        </w:tc>
      </w:tr>
      <w:tr w14:paraId="03EC3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2" w:type="pct"/>
            <w:vMerge w:val="continue"/>
            <w:tcBorders>
              <w:top w:val="nil"/>
            </w:tcBorders>
            <w:vAlign w:val="center"/>
          </w:tcPr>
          <w:p w14:paraId="7287ECC0">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olor w:val="auto"/>
                <w:spacing w:val="0"/>
                <w:position w:val="0"/>
                <w:sz w:val="21"/>
                <w:highlight w:val="none"/>
              </w:rPr>
            </w:pPr>
          </w:p>
        </w:tc>
        <w:tc>
          <w:tcPr>
            <w:tcW w:w="2015" w:type="pct"/>
            <w:vAlign w:val="center"/>
          </w:tcPr>
          <w:p w14:paraId="408B1905">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人口数</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城市选项时</w:t>
            </w:r>
            <w:r>
              <w:rPr>
                <w:rFonts w:hint="eastAsia" w:cs="宋体"/>
                <w:color w:val="auto"/>
                <w:spacing w:val="0"/>
                <w:position w:val="0"/>
                <w:sz w:val="21"/>
                <w:szCs w:val="21"/>
                <w:highlight w:val="none"/>
                <w:lang w:eastAsia="zh-CN"/>
              </w:rPr>
              <w:t>）</w:t>
            </w:r>
          </w:p>
        </w:tc>
        <w:tc>
          <w:tcPr>
            <w:tcW w:w="1372" w:type="pct"/>
            <w:vAlign w:val="center"/>
          </w:tcPr>
          <w:p w14:paraId="1E1F740D">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olor w:val="auto"/>
                <w:spacing w:val="0"/>
                <w:position w:val="0"/>
                <w:sz w:val="21"/>
                <w:highlight w:val="none"/>
              </w:rPr>
            </w:pPr>
          </w:p>
        </w:tc>
      </w:tr>
      <w:tr w14:paraId="6E5C0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627" w:type="pct"/>
            <w:gridSpan w:val="2"/>
            <w:vAlign w:val="center"/>
          </w:tcPr>
          <w:p w14:paraId="001119B6">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最高环境温度</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p>
        </w:tc>
        <w:tc>
          <w:tcPr>
            <w:tcW w:w="1372" w:type="pct"/>
            <w:vAlign w:val="center"/>
          </w:tcPr>
          <w:p w14:paraId="744B6316">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42</w:t>
            </w:r>
          </w:p>
        </w:tc>
      </w:tr>
      <w:tr w14:paraId="31DD4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627" w:type="pct"/>
            <w:gridSpan w:val="2"/>
            <w:vAlign w:val="center"/>
          </w:tcPr>
          <w:p w14:paraId="2D5637CD">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最低环境温度</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p>
        </w:tc>
        <w:tc>
          <w:tcPr>
            <w:tcW w:w="1372" w:type="pct"/>
            <w:vAlign w:val="center"/>
          </w:tcPr>
          <w:p w14:paraId="7170B908">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-36.8</w:t>
            </w:r>
          </w:p>
        </w:tc>
      </w:tr>
      <w:tr w14:paraId="73A25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3627" w:type="pct"/>
            <w:gridSpan w:val="2"/>
            <w:vAlign w:val="center"/>
          </w:tcPr>
          <w:p w14:paraId="68CB423A">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土地利用类型</w:t>
            </w:r>
          </w:p>
        </w:tc>
        <w:tc>
          <w:tcPr>
            <w:tcW w:w="1372" w:type="pct"/>
            <w:vAlign w:val="center"/>
          </w:tcPr>
          <w:p w14:paraId="16FA2C47">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农作地</w:t>
            </w:r>
          </w:p>
        </w:tc>
      </w:tr>
      <w:tr w14:paraId="12284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3627" w:type="pct"/>
            <w:gridSpan w:val="2"/>
            <w:vAlign w:val="center"/>
          </w:tcPr>
          <w:p w14:paraId="2FC9DA05">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区域湿度条件</w:t>
            </w:r>
          </w:p>
        </w:tc>
        <w:tc>
          <w:tcPr>
            <w:tcW w:w="1372" w:type="pct"/>
            <w:vAlign w:val="center"/>
          </w:tcPr>
          <w:p w14:paraId="654BA8AF">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干燥</w:t>
            </w:r>
          </w:p>
        </w:tc>
      </w:tr>
      <w:tr w14:paraId="66449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2" w:type="pct"/>
            <w:vMerge w:val="restart"/>
            <w:tcBorders>
              <w:bottom w:val="nil"/>
            </w:tcBorders>
            <w:vAlign w:val="center"/>
          </w:tcPr>
          <w:p w14:paraId="45F85E84">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是否考虑地形</w:t>
            </w:r>
          </w:p>
        </w:tc>
        <w:tc>
          <w:tcPr>
            <w:tcW w:w="2015" w:type="pct"/>
            <w:vAlign w:val="center"/>
          </w:tcPr>
          <w:p w14:paraId="2BE04F08">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考虑地形</w:t>
            </w:r>
          </w:p>
        </w:tc>
        <w:tc>
          <w:tcPr>
            <w:tcW w:w="1372" w:type="pct"/>
            <w:vAlign w:val="center"/>
          </w:tcPr>
          <w:p w14:paraId="374D2F99">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drawing>
                <wp:inline distT="0" distB="0" distL="0" distR="0">
                  <wp:extent cx="114300" cy="1333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9"/>
                          <a:stretch>
                            <a:fillRect/>
                          </a:stretch>
                        </pic:blipFill>
                        <pic:spPr>
                          <a:xfrm>
                            <a:off x="0" y="0"/>
                            <a:ext cx="114547" cy="133350"/>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是□否</w:t>
            </w:r>
          </w:p>
        </w:tc>
      </w:tr>
      <w:tr w14:paraId="60FAA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612" w:type="pct"/>
            <w:vMerge w:val="continue"/>
            <w:tcBorders>
              <w:top w:val="nil"/>
            </w:tcBorders>
            <w:vAlign w:val="center"/>
          </w:tcPr>
          <w:p w14:paraId="021D8672">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olor w:val="auto"/>
                <w:spacing w:val="0"/>
                <w:position w:val="0"/>
                <w:sz w:val="21"/>
                <w:highlight w:val="none"/>
              </w:rPr>
            </w:pPr>
          </w:p>
        </w:tc>
        <w:tc>
          <w:tcPr>
            <w:tcW w:w="2015" w:type="pct"/>
            <w:vAlign w:val="center"/>
          </w:tcPr>
          <w:p w14:paraId="34668314">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地形数据分辨率</w:t>
            </w:r>
            <w:r>
              <w:rPr>
                <w:rFonts w:ascii="Times New Roman" w:hAnsi="Times New Roman" w:eastAsia="宋体" w:cs="Times New Roman"/>
                <w:color w:val="auto"/>
                <w:spacing w:val="0"/>
                <w:position w:val="0"/>
                <w:sz w:val="21"/>
                <w:szCs w:val="21"/>
                <w:highlight w:val="none"/>
              </w:rPr>
              <w:t>/m</w:t>
            </w:r>
          </w:p>
        </w:tc>
        <w:tc>
          <w:tcPr>
            <w:tcW w:w="1372" w:type="pct"/>
            <w:vAlign w:val="center"/>
          </w:tcPr>
          <w:p w14:paraId="3752983D">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90</w:t>
            </w:r>
          </w:p>
        </w:tc>
      </w:tr>
      <w:tr w14:paraId="7657A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1612" w:type="pct"/>
            <w:vMerge w:val="restart"/>
            <w:tcBorders>
              <w:bottom w:val="nil"/>
            </w:tcBorders>
            <w:vAlign w:val="center"/>
          </w:tcPr>
          <w:p w14:paraId="4151F7D4">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是否考虑岸线熏烟</w:t>
            </w:r>
          </w:p>
        </w:tc>
        <w:tc>
          <w:tcPr>
            <w:tcW w:w="2015" w:type="pct"/>
            <w:vAlign w:val="center"/>
          </w:tcPr>
          <w:p w14:paraId="04F06C52">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考虑岸线熏烟</w:t>
            </w:r>
          </w:p>
        </w:tc>
        <w:tc>
          <w:tcPr>
            <w:tcW w:w="1372" w:type="pct"/>
            <w:vAlign w:val="center"/>
          </w:tcPr>
          <w:p w14:paraId="1644FFAA">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□是</w:t>
            </w:r>
            <w:r>
              <w:rPr>
                <w:rFonts w:ascii="Times New Roman" w:hAnsi="Times New Roman" w:eastAsia="宋体"/>
                <w:color w:val="auto"/>
                <w:spacing w:val="0"/>
                <w:position w:val="0"/>
                <w:sz w:val="21"/>
                <w:szCs w:val="21"/>
                <w:highlight w:val="none"/>
              </w:rPr>
              <w:drawing>
                <wp:inline distT="0" distB="0" distL="0" distR="0">
                  <wp:extent cx="114300" cy="133350"/>
                  <wp:effectExtent l="0" t="0" r="0" b="0"/>
                  <wp:docPr id="50" name="IM 33"/>
                  <wp:cNvGraphicFramePr/>
                  <a:graphic xmlns:a="http://schemas.openxmlformats.org/drawingml/2006/main">
                    <a:graphicData uri="http://schemas.openxmlformats.org/drawingml/2006/picture">
                      <pic:pic xmlns:pic="http://schemas.openxmlformats.org/drawingml/2006/picture">
                        <pic:nvPicPr>
                          <pic:cNvPr id="50" name="IM 33"/>
                          <pic:cNvPicPr/>
                        </pic:nvPicPr>
                        <pic:blipFill>
                          <a:blip r:embed="rId49"/>
                          <a:stretch>
                            <a:fillRect/>
                          </a:stretch>
                        </pic:blipFill>
                        <pic:spPr>
                          <a:xfrm>
                            <a:off x="0" y="0"/>
                            <a:ext cx="114547" cy="133350"/>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否</w:t>
            </w:r>
          </w:p>
        </w:tc>
      </w:tr>
      <w:tr w14:paraId="2B1A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612" w:type="pct"/>
            <w:vMerge w:val="continue"/>
            <w:tcBorders>
              <w:top w:val="nil"/>
            </w:tcBorders>
            <w:vAlign w:val="center"/>
          </w:tcPr>
          <w:p w14:paraId="2496468A">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olor w:val="auto"/>
                <w:spacing w:val="0"/>
                <w:position w:val="0"/>
                <w:sz w:val="21"/>
                <w:highlight w:val="none"/>
              </w:rPr>
            </w:pPr>
          </w:p>
        </w:tc>
        <w:tc>
          <w:tcPr>
            <w:tcW w:w="2015" w:type="pct"/>
            <w:vAlign w:val="center"/>
          </w:tcPr>
          <w:p w14:paraId="5F7F3EBA">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岸线距离</w:t>
            </w:r>
            <w:r>
              <w:rPr>
                <w:rFonts w:ascii="Times New Roman" w:hAnsi="Times New Roman" w:eastAsia="宋体" w:cs="Times New Roman"/>
                <w:color w:val="auto"/>
                <w:spacing w:val="0"/>
                <w:position w:val="0"/>
                <w:sz w:val="21"/>
                <w:szCs w:val="21"/>
                <w:highlight w:val="none"/>
              </w:rPr>
              <w:t>/km</w:t>
            </w:r>
          </w:p>
        </w:tc>
        <w:tc>
          <w:tcPr>
            <w:tcW w:w="1372" w:type="pct"/>
            <w:vAlign w:val="center"/>
          </w:tcPr>
          <w:p w14:paraId="48872157">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bl>
    <w:p w14:paraId="3AD1CB2E">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Times New Roman" w:hAnsi="Times New Roman" w:eastAsia="宋体" w:cs="宋体"/>
          <w:color w:val="auto"/>
          <w:spacing w:val="0"/>
          <w:sz w:val="24"/>
          <w:szCs w:val="24"/>
          <w:highlight w:val="none"/>
        </w:rPr>
      </w:pP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5</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主要污染源估算模型计算结果</w:t>
      </w:r>
    </w:p>
    <w:p w14:paraId="099354B2">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主要污染源估算模型计算结果详见表</w:t>
      </w:r>
      <w:r>
        <w:rPr>
          <w:rFonts w:hint="eastAsia" w:ascii="Times New Roman" w:hAnsi="Times New Roman" w:eastAsia="宋体" w:cs="Times New Roman"/>
          <w:color w:val="auto"/>
          <w:spacing w:val="0"/>
          <w:sz w:val="24"/>
          <w:szCs w:val="24"/>
          <w:highlight w:val="none"/>
          <w:lang w:val="en-US" w:eastAsia="zh-CN"/>
        </w:rPr>
        <w:t>5</w:t>
      </w:r>
      <w:r>
        <w:rPr>
          <w:rFonts w:ascii="Times New Roman" w:hAnsi="Times New Roman" w:eastAsia="宋体" w:cs="Times New Roman"/>
          <w:color w:val="auto"/>
          <w:spacing w:val="0"/>
          <w:sz w:val="24"/>
          <w:szCs w:val="24"/>
          <w:highlight w:val="none"/>
        </w:rPr>
        <w:t>.2-5</w:t>
      </w:r>
      <w:r>
        <w:rPr>
          <w:rFonts w:ascii="Times New Roman" w:hAnsi="Times New Roman" w:eastAsia="宋体" w:cs="宋体"/>
          <w:color w:val="auto"/>
          <w:spacing w:val="0"/>
          <w:sz w:val="24"/>
          <w:szCs w:val="24"/>
          <w:highlight w:val="none"/>
        </w:rPr>
        <w:t>。</w:t>
      </w:r>
    </w:p>
    <w:p w14:paraId="2D864F47">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黑体"/>
          <w:b/>
          <w:bCs/>
          <w:color w:val="auto"/>
          <w:spacing w:val="0"/>
          <w:sz w:val="24"/>
          <w:szCs w:val="21"/>
          <w:highlight w:val="none"/>
        </w:rPr>
      </w:pPr>
      <w:r>
        <w:rPr>
          <w:rFonts w:ascii="Times New Roman" w:hAnsi="Times New Roman" w:eastAsia="宋体" w:cs="黑体"/>
          <w:b/>
          <w:bCs/>
          <w:color w:val="auto"/>
          <w:spacing w:val="0"/>
          <w:sz w:val="24"/>
          <w:szCs w:val="21"/>
          <w:highlight w:val="none"/>
        </w:rPr>
        <w:t>表</w:t>
      </w:r>
      <w:r>
        <w:rPr>
          <w:rFonts w:hint="eastAsia" w:ascii="Times New Roman" w:hAnsi="Times New Roman" w:eastAsia="宋体" w:cs="Times New Roman"/>
          <w:b/>
          <w:bCs/>
          <w:color w:val="auto"/>
          <w:spacing w:val="0"/>
          <w:sz w:val="24"/>
          <w:szCs w:val="21"/>
          <w:highlight w:val="none"/>
          <w:lang w:val="en-US" w:eastAsia="zh-CN"/>
        </w:rPr>
        <w:t>5</w:t>
      </w:r>
      <w:r>
        <w:rPr>
          <w:rFonts w:ascii="Times New Roman" w:hAnsi="Times New Roman" w:eastAsia="宋体" w:cs="Times New Roman"/>
          <w:b/>
          <w:bCs/>
          <w:color w:val="auto"/>
          <w:spacing w:val="0"/>
          <w:sz w:val="24"/>
          <w:szCs w:val="21"/>
          <w:highlight w:val="none"/>
        </w:rPr>
        <w:t>.2-5</w:t>
      </w:r>
      <w:r>
        <w:rPr>
          <w:rFonts w:ascii="Times New Roman" w:hAnsi="Times New Roman" w:eastAsia="宋体" w:cs="黑体"/>
          <w:b/>
          <w:bCs/>
          <w:color w:val="auto"/>
          <w:spacing w:val="0"/>
          <w:sz w:val="24"/>
          <w:szCs w:val="21"/>
          <w:highlight w:val="none"/>
        </w:rPr>
        <w:t>厂区硫化氢、氨气估算模式计算结果表</w:t>
      </w:r>
    </w:p>
    <w:tbl>
      <w:tblPr>
        <w:tblStyle w:val="176"/>
        <w:tblW w:w="500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10"/>
        <w:gridCol w:w="1453"/>
        <w:gridCol w:w="1935"/>
        <w:gridCol w:w="1775"/>
        <w:gridCol w:w="1937"/>
        <w:gridCol w:w="1620"/>
      </w:tblGrid>
      <w:tr w14:paraId="1148D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425" w:type="pct"/>
            <w:vMerge w:val="restart"/>
            <w:tcBorders>
              <w:bottom w:val="nil"/>
            </w:tcBorders>
            <w:vAlign w:val="center"/>
          </w:tcPr>
          <w:p w14:paraId="2FEB4BE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b w:val="0"/>
                <w:color w:val="auto"/>
                <w:spacing w:val="0"/>
                <w:position w:val="0"/>
                <w:sz w:val="21"/>
                <w:szCs w:val="21"/>
                <w:highlight w:val="none"/>
              </w:rPr>
            </w:pPr>
            <w:r>
              <w:rPr>
                <w:rFonts w:ascii="Times New Roman" w:hAnsi="Times New Roman" w:eastAsia="宋体" w:cs="宋体"/>
                <w:b w:val="0"/>
                <w:color w:val="auto"/>
                <w:spacing w:val="0"/>
                <w:position w:val="0"/>
                <w:sz w:val="21"/>
                <w:szCs w:val="21"/>
                <w:highlight w:val="none"/>
              </w:rPr>
              <w:t>序号</w:t>
            </w:r>
          </w:p>
        </w:tc>
        <w:tc>
          <w:tcPr>
            <w:tcW w:w="761" w:type="pct"/>
            <w:vMerge w:val="restart"/>
            <w:tcBorders>
              <w:bottom w:val="nil"/>
            </w:tcBorders>
            <w:vAlign w:val="center"/>
          </w:tcPr>
          <w:p w14:paraId="2F8C82A3">
            <w:pPr>
              <w:keepNext w:val="0"/>
              <w:keepLines w:val="0"/>
              <w:pageBreakBefore w:val="0"/>
              <w:widowControl w:val="0"/>
              <w:tabs>
                <w:tab w:val="left" w:pos="459"/>
              </w:tabs>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b w:val="0"/>
                <w:color w:val="auto"/>
                <w:spacing w:val="0"/>
                <w:position w:val="0"/>
                <w:sz w:val="21"/>
                <w:szCs w:val="21"/>
                <w:highlight w:val="none"/>
                <w:lang w:eastAsia="zh-CN"/>
              </w:rPr>
            </w:pPr>
            <w:r>
              <w:rPr>
                <w:rFonts w:ascii="Times New Roman" w:hAnsi="Times New Roman" w:eastAsia="宋体" w:cs="宋体"/>
                <w:b w:val="0"/>
                <w:color w:val="auto"/>
                <w:spacing w:val="0"/>
                <w:position w:val="0"/>
                <w:sz w:val="21"/>
                <w:szCs w:val="21"/>
                <w:highlight w:val="none"/>
              </w:rPr>
              <w:t>源距下风向距离</w:t>
            </w:r>
            <w:r>
              <w:rPr>
                <w:rFonts w:ascii="Times New Roman" w:hAnsi="Times New Roman" w:eastAsia="宋体" w:cs="Times New Roman"/>
                <w:b w:val="0"/>
                <w:color w:val="auto"/>
                <w:spacing w:val="0"/>
                <w:position w:val="0"/>
                <w:sz w:val="21"/>
                <w:szCs w:val="21"/>
                <w:highlight w:val="none"/>
              </w:rPr>
              <w:t>D</w:t>
            </w:r>
            <w:r>
              <w:rPr>
                <w:rFonts w:ascii="Times New Roman" w:hAnsi="Times New Roman" w:eastAsia="宋体" w:cs="宋体"/>
                <w:b w:val="0"/>
                <w:color w:val="auto"/>
                <w:spacing w:val="0"/>
                <w:position w:val="0"/>
                <w:sz w:val="21"/>
                <w:szCs w:val="21"/>
                <w:highlight w:val="none"/>
              </w:rPr>
              <w:tab/>
            </w:r>
            <w:r>
              <w:rPr>
                <w:rFonts w:hint="eastAsia" w:ascii="Times New Roman" w:hAnsi="Times New Roman" w:eastAsia="宋体" w:cs="宋体"/>
                <w:b w:val="0"/>
                <w:color w:val="auto"/>
                <w:spacing w:val="0"/>
                <w:position w:val="0"/>
                <w:sz w:val="21"/>
                <w:szCs w:val="21"/>
                <w:highlight w:val="none"/>
                <w:lang w:eastAsia="zh-CN"/>
              </w:rPr>
              <w:t>（</w:t>
            </w:r>
            <w:r>
              <w:rPr>
                <w:rFonts w:ascii="Times New Roman" w:hAnsi="Times New Roman" w:eastAsia="宋体" w:cs="Times New Roman"/>
                <w:b w:val="0"/>
                <w:color w:val="auto"/>
                <w:spacing w:val="0"/>
                <w:position w:val="0"/>
                <w:sz w:val="21"/>
                <w:szCs w:val="21"/>
                <w:highlight w:val="none"/>
              </w:rPr>
              <w:t>m</w:t>
            </w:r>
            <w:r>
              <w:rPr>
                <w:rFonts w:hint="eastAsia" w:ascii="Times New Roman" w:hAnsi="Times New Roman" w:eastAsia="宋体" w:cs="宋体"/>
                <w:b w:val="0"/>
                <w:color w:val="auto"/>
                <w:spacing w:val="0"/>
                <w:position w:val="0"/>
                <w:sz w:val="21"/>
                <w:szCs w:val="21"/>
                <w:highlight w:val="none"/>
                <w:lang w:eastAsia="zh-CN"/>
              </w:rPr>
              <w:t>）</w:t>
            </w:r>
          </w:p>
        </w:tc>
        <w:tc>
          <w:tcPr>
            <w:tcW w:w="1946" w:type="pct"/>
            <w:gridSpan w:val="2"/>
            <w:vAlign w:val="center"/>
          </w:tcPr>
          <w:p w14:paraId="3A406C5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b w:val="0"/>
                <w:color w:val="auto"/>
                <w:spacing w:val="0"/>
                <w:position w:val="0"/>
                <w:sz w:val="21"/>
                <w:szCs w:val="21"/>
                <w:highlight w:val="none"/>
              </w:rPr>
            </w:pPr>
            <w:r>
              <w:rPr>
                <w:rFonts w:ascii="Times New Roman" w:hAnsi="Times New Roman" w:eastAsia="宋体" w:cs="宋体"/>
                <w:b w:val="0"/>
                <w:color w:val="auto"/>
                <w:spacing w:val="0"/>
                <w:position w:val="0"/>
                <w:sz w:val="21"/>
                <w:szCs w:val="21"/>
                <w:highlight w:val="none"/>
              </w:rPr>
              <w:t>氨气</w:t>
            </w:r>
          </w:p>
        </w:tc>
        <w:tc>
          <w:tcPr>
            <w:tcW w:w="1866" w:type="pct"/>
            <w:gridSpan w:val="2"/>
            <w:vAlign w:val="center"/>
          </w:tcPr>
          <w:p w14:paraId="1A4DB34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b w:val="0"/>
                <w:color w:val="auto"/>
                <w:spacing w:val="0"/>
                <w:position w:val="0"/>
                <w:sz w:val="21"/>
                <w:szCs w:val="21"/>
                <w:highlight w:val="none"/>
              </w:rPr>
            </w:pPr>
            <w:r>
              <w:rPr>
                <w:rFonts w:ascii="Times New Roman" w:hAnsi="Times New Roman" w:eastAsia="宋体" w:cs="宋体"/>
                <w:b w:val="0"/>
                <w:color w:val="auto"/>
                <w:spacing w:val="0"/>
                <w:position w:val="0"/>
                <w:sz w:val="21"/>
                <w:szCs w:val="21"/>
                <w:highlight w:val="none"/>
              </w:rPr>
              <w:t>硫化氢</w:t>
            </w:r>
          </w:p>
        </w:tc>
      </w:tr>
      <w:tr w14:paraId="673F4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425" w:type="pct"/>
            <w:vMerge w:val="continue"/>
            <w:tcBorders>
              <w:top w:val="nil"/>
            </w:tcBorders>
            <w:vAlign w:val="center"/>
          </w:tcPr>
          <w:p w14:paraId="3E430E2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b w:val="0"/>
                <w:color w:val="auto"/>
                <w:spacing w:val="0"/>
                <w:position w:val="0"/>
                <w:sz w:val="21"/>
                <w:highlight w:val="none"/>
              </w:rPr>
            </w:pPr>
          </w:p>
        </w:tc>
        <w:tc>
          <w:tcPr>
            <w:tcW w:w="761" w:type="pct"/>
            <w:vMerge w:val="continue"/>
            <w:tcBorders>
              <w:top w:val="nil"/>
            </w:tcBorders>
            <w:vAlign w:val="center"/>
          </w:tcPr>
          <w:p w14:paraId="2CA624F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b w:val="0"/>
                <w:color w:val="auto"/>
                <w:spacing w:val="0"/>
                <w:position w:val="0"/>
                <w:sz w:val="21"/>
                <w:highlight w:val="none"/>
              </w:rPr>
            </w:pPr>
          </w:p>
        </w:tc>
        <w:tc>
          <w:tcPr>
            <w:tcW w:w="1015" w:type="pct"/>
            <w:vAlign w:val="center"/>
          </w:tcPr>
          <w:p w14:paraId="2D46AD5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b w:val="0"/>
                <w:color w:val="auto"/>
                <w:spacing w:val="0"/>
                <w:position w:val="0"/>
                <w:sz w:val="21"/>
                <w:szCs w:val="21"/>
                <w:highlight w:val="none"/>
                <w:lang w:eastAsia="zh-CN"/>
              </w:rPr>
            </w:pPr>
            <w:r>
              <w:rPr>
                <w:rFonts w:ascii="Times New Roman" w:hAnsi="Times New Roman" w:eastAsia="宋体" w:cs="宋体"/>
                <w:b w:val="0"/>
                <w:color w:val="auto"/>
                <w:spacing w:val="0"/>
                <w:position w:val="0"/>
                <w:sz w:val="21"/>
                <w:szCs w:val="21"/>
                <w:highlight w:val="none"/>
              </w:rPr>
              <w:t>下风向预测浓度</w:t>
            </w:r>
            <w:r>
              <w:rPr>
                <w:rFonts w:hint="eastAsia" w:ascii="Times New Roman" w:hAnsi="Times New Roman" w:eastAsia="宋体" w:cs="宋体"/>
                <w:b w:val="0"/>
                <w:color w:val="auto"/>
                <w:spacing w:val="0"/>
                <w:position w:val="0"/>
                <w:sz w:val="21"/>
                <w:szCs w:val="21"/>
                <w:highlight w:val="none"/>
                <w:lang w:eastAsia="zh-CN"/>
              </w:rPr>
              <w:t>（</w:t>
            </w:r>
            <w:r>
              <w:rPr>
                <w:rFonts w:hint="eastAsia" w:ascii="Times New Roman" w:hAnsi="Times New Roman" w:eastAsia="宋体" w:cs="Times New Roman"/>
                <w:b w:val="0"/>
                <w:color w:val="auto"/>
                <w:spacing w:val="0"/>
                <w:position w:val="0"/>
                <w:sz w:val="21"/>
                <w:szCs w:val="21"/>
                <w:highlight w:val="none"/>
                <w:lang w:val="en-US" w:eastAsia="zh-CN"/>
              </w:rPr>
              <w:t>u</w:t>
            </w:r>
            <w:r>
              <w:rPr>
                <w:rFonts w:ascii="Times New Roman" w:hAnsi="Times New Roman" w:eastAsia="宋体" w:cs="Times New Roman"/>
                <w:b w:val="0"/>
                <w:color w:val="auto"/>
                <w:spacing w:val="0"/>
                <w:position w:val="0"/>
                <w:sz w:val="21"/>
                <w:szCs w:val="21"/>
                <w:highlight w:val="none"/>
              </w:rPr>
              <w:t>g/m</w:t>
            </w:r>
            <w:r>
              <w:rPr>
                <w:rFonts w:hint="eastAsia" w:ascii="Times New Roman" w:hAnsi="Times New Roman" w:eastAsia="宋体" w:cs="Times New Roman"/>
                <w:b w:val="0"/>
                <w:color w:val="auto"/>
                <w:spacing w:val="0"/>
                <w:position w:val="0"/>
                <w:sz w:val="21"/>
                <w:szCs w:val="21"/>
                <w:highlight w:val="none"/>
                <w:vertAlign w:val="superscript"/>
                <w:lang w:val="en-US" w:eastAsia="zh-CN"/>
              </w:rPr>
              <w:t>3</w:t>
            </w:r>
            <w:r>
              <w:rPr>
                <w:rFonts w:hint="eastAsia" w:ascii="Times New Roman" w:hAnsi="Times New Roman" w:eastAsia="宋体" w:cs="宋体"/>
                <w:b w:val="0"/>
                <w:color w:val="auto"/>
                <w:spacing w:val="0"/>
                <w:position w:val="0"/>
                <w:sz w:val="21"/>
                <w:szCs w:val="21"/>
                <w:highlight w:val="none"/>
                <w:lang w:eastAsia="zh-CN"/>
              </w:rPr>
              <w:t>）</w:t>
            </w:r>
          </w:p>
        </w:tc>
        <w:tc>
          <w:tcPr>
            <w:tcW w:w="931" w:type="pct"/>
            <w:vAlign w:val="center"/>
          </w:tcPr>
          <w:p w14:paraId="2B69CF2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b w:val="0"/>
                <w:color w:val="auto"/>
                <w:spacing w:val="0"/>
                <w:position w:val="0"/>
                <w:sz w:val="21"/>
                <w:szCs w:val="21"/>
                <w:highlight w:val="none"/>
                <w:lang w:eastAsia="zh-CN"/>
              </w:rPr>
            </w:pPr>
            <w:r>
              <w:rPr>
                <w:rFonts w:ascii="Times New Roman" w:hAnsi="Times New Roman" w:eastAsia="宋体" w:cs="宋体"/>
                <w:b w:val="0"/>
                <w:color w:val="auto"/>
                <w:spacing w:val="0"/>
                <w:position w:val="0"/>
                <w:sz w:val="21"/>
                <w:szCs w:val="21"/>
                <w:highlight w:val="none"/>
              </w:rPr>
              <w:t>占标率</w:t>
            </w:r>
            <w:r>
              <w:rPr>
                <w:rFonts w:hint="eastAsia" w:ascii="Times New Roman" w:hAnsi="Times New Roman" w:eastAsia="宋体" w:cs="宋体"/>
                <w:b w:val="0"/>
                <w:color w:val="auto"/>
                <w:spacing w:val="0"/>
                <w:position w:val="0"/>
                <w:sz w:val="21"/>
                <w:szCs w:val="21"/>
                <w:highlight w:val="none"/>
                <w:lang w:eastAsia="zh-CN"/>
              </w:rPr>
              <w:t>（</w:t>
            </w:r>
            <w:r>
              <w:rPr>
                <w:rFonts w:ascii="Times New Roman" w:hAnsi="Times New Roman" w:eastAsia="宋体" w:cs="Times New Roman"/>
                <w:b w:val="0"/>
                <w:color w:val="auto"/>
                <w:spacing w:val="0"/>
                <w:position w:val="0"/>
                <w:sz w:val="21"/>
                <w:szCs w:val="21"/>
                <w:highlight w:val="none"/>
              </w:rPr>
              <w:t>%</w:t>
            </w:r>
            <w:r>
              <w:rPr>
                <w:rFonts w:hint="eastAsia" w:ascii="Times New Roman" w:hAnsi="Times New Roman" w:eastAsia="宋体" w:cs="宋体"/>
                <w:b w:val="0"/>
                <w:color w:val="auto"/>
                <w:spacing w:val="0"/>
                <w:position w:val="0"/>
                <w:sz w:val="21"/>
                <w:szCs w:val="21"/>
                <w:highlight w:val="none"/>
                <w:lang w:eastAsia="zh-CN"/>
              </w:rPr>
              <w:t>）</w:t>
            </w:r>
          </w:p>
        </w:tc>
        <w:tc>
          <w:tcPr>
            <w:tcW w:w="1016" w:type="pct"/>
            <w:vAlign w:val="center"/>
          </w:tcPr>
          <w:p w14:paraId="713436D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b w:val="0"/>
                <w:color w:val="auto"/>
                <w:spacing w:val="0"/>
                <w:position w:val="0"/>
                <w:sz w:val="21"/>
                <w:szCs w:val="21"/>
                <w:highlight w:val="none"/>
                <w:lang w:eastAsia="zh-CN"/>
              </w:rPr>
            </w:pPr>
            <w:r>
              <w:rPr>
                <w:rFonts w:ascii="Times New Roman" w:hAnsi="Times New Roman" w:eastAsia="宋体" w:cs="宋体"/>
                <w:b w:val="0"/>
                <w:color w:val="auto"/>
                <w:spacing w:val="0"/>
                <w:position w:val="0"/>
                <w:sz w:val="21"/>
                <w:szCs w:val="21"/>
                <w:highlight w:val="none"/>
              </w:rPr>
              <w:t>下风向预测浓度</w:t>
            </w:r>
            <w:r>
              <w:rPr>
                <w:rFonts w:hint="eastAsia" w:ascii="Times New Roman" w:hAnsi="Times New Roman" w:eastAsia="宋体" w:cs="宋体"/>
                <w:b w:val="0"/>
                <w:color w:val="auto"/>
                <w:spacing w:val="0"/>
                <w:position w:val="0"/>
                <w:sz w:val="21"/>
                <w:szCs w:val="21"/>
                <w:highlight w:val="none"/>
                <w:lang w:eastAsia="zh-CN"/>
              </w:rPr>
              <w:t>（</w:t>
            </w:r>
            <w:r>
              <w:rPr>
                <w:rFonts w:hint="eastAsia" w:ascii="Times New Roman" w:hAnsi="Times New Roman" w:eastAsia="宋体" w:cs="Times New Roman"/>
                <w:b w:val="0"/>
                <w:color w:val="auto"/>
                <w:spacing w:val="0"/>
                <w:position w:val="0"/>
                <w:sz w:val="21"/>
                <w:szCs w:val="21"/>
                <w:highlight w:val="none"/>
                <w:lang w:val="en-US" w:eastAsia="zh-CN"/>
              </w:rPr>
              <w:t>u</w:t>
            </w:r>
            <w:r>
              <w:rPr>
                <w:rFonts w:ascii="Times New Roman" w:hAnsi="Times New Roman" w:eastAsia="宋体" w:cs="Times New Roman"/>
                <w:b w:val="0"/>
                <w:color w:val="auto"/>
                <w:spacing w:val="0"/>
                <w:position w:val="0"/>
                <w:sz w:val="21"/>
                <w:szCs w:val="21"/>
                <w:highlight w:val="none"/>
              </w:rPr>
              <w:t>g/m</w:t>
            </w:r>
            <w:r>
              <w:rPr>
                <w:rFonts w:ascii="Times New Roman" w:hAnsi="Times New Roman" w:eastAsia="宋体" w:cs="Times New Roman"/>
                <w:b w:val="0"/>
                <w:color w:val="auto"/>
                <w:spacing w:val="0"/>
                <w:position w:val="0"/>
                <w:sz w:val="21"/>
                <w:szCs w:val="14"/>
                <w:highlight w:val="none"/>
                <w:vertAlign w:val="superscript"/>
              </w:rPr>
              <w:t>3</w:t>
            </w:r>
            <w:r>
              <w:rPr>
                <w:rFonts w:hint="eastAsia" w:ascii="Times New Roman" w:hAnsi="Times New Roman" w:eastAsia="宋体" w:cs="宋体"/>
                <w:b w:val="0"/>
                <w:color w:val="auto"/>
                <w:spacing w:val="0"/>
                <w:position w:val="0"/>
                <w:sz w:val="21"/>
                <w:szCs w:val="21"/>
                <w:highlight w:val="none"/>
                <w:lang w:eastAsia="zh-CN"/>
              </w:rPr>
              <w:t>）</w:t>
            </w:r>
          </w:p>
        </w:tc>
        <w:tc>
          <w:tcPr>
            <w:tcW w:w="849" w:type="pct"/>
            <w:vAlign w:val="center"/>
          </w:tcPr>
          <w:p w14:paraId="725E521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b w:val="0"/>
                <w:color w:val="auto"/>
                <w:spacing w:val="0"/>
                <w:position w:val="0"/>
                <w:sz w:val="21"/>
                <w:szCs w:val="21"/>
                <w:highlight w:val="none"/>
                <w:lang w:eastAsia="zh-CN"/>
              </w:rPr>
            </w:pPr>
            <w:r>
              <w:rPr>
                <w:rFonts w:ascii="Times New Roman" w:hAnsi="Times New Roman" w:eastAsia="宋体" w:cs="宋体"/>
                <w:b w:val="0"/>
                <w:color w:val="auto"/>
                <w:spacing w:val="0"/>
                <w:position w:val="0"/>
                <w:sz w:val="21"/>
                <w:szCs w:val="21"/>
                <w:highlight w:val="none"/>
              </w:rPr>
              <w:t>占标率</w:t>
            </w:r>
            <w:r>
              <w:rPr>
                <w:rFonts w:hint="eastAsia" w:ascii="Times New Roman" w:hAnsi="Times New Roman" w:eastAsia="宋体" w:cs="宋体"/>
                <w:b w:val="0"/>
                <w:color w:val="auto"/>
                <w:spacing w:val="0"/>
                <w:position w:val="0"/>
                <w:sz w:val="21"/>
                <w:szCs w:val="21"/>
                <w:highlight w:val="none"/>
                <w:lang w:eastAsia="zh-CN"/>
              </w:rPr>
              <w:t>（</w:t>
            </w:r>
            <w:r>
              <w:rPr>
                <w:rFonts w:ascii="Times New Roman" w:hAnsi="Times New Roman" w:eastAsia="宋体" w:cs="Times New Roman"/>
                <w:b w:val="0"/>
                <w:color w:val="auto"/>
                <w:spacing w:val="0"/>
                <w:position w:val="0"/>
                <w:sz w:val="21"/>
                <w:szCs w:val="21"/>
                <w:highlight w:val="none"/>
              </w:rPr>
              <w:t>%</w:t>
            </w:r>
            <w:r>
              <w:rPr>
                <w:rFonts w:hint="eastAsia" w:ascii="Times New Roman" w:hAnsi="Times New Roman" w:eastAsia="宋体" w:cs="宋体"/>
                <w:b w:val="0"/>
                <w:color w:val="auto"/>
                <w:spacing w:val="0"/>
                <w:position w:val="0"/>
                <w:sz w:val="21"/>
                <w:szCs w:val="21"/>
                <w:highlight w:val="none"/>
                <w:lang w:eastAsia="zh-CN"/>
              </w:rPr>
              <w:t>）</w:t>
            </w:r>
          </w:p>
        </w:tc>
      </w:tr>
      <w:tr w14:paraId="78F68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14:paraId="4B0BB5A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w:t>
            </w:r>
          </w:p>
        </w:tc>
        <w:tc>
          <w:tcPr>
            <w:tcW w:w="761" w:type="pct"/>
            <w:vAlign w:val="center"/>
          </w:tcPr>
          <w:p w14:paraId="77FFD817">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50</w:t>
            </w:r>
          </w:p>
        </w:tc>
        <w:tc>
          <w:tcPr>
            <w:tcW w:w="1934" w:type="dxa"/>
            <w:vAlign w:val="center"/>
          </w:tcPr>
          <w:p w14:paraId="60F82BF0">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6.556</w:t>
            </w:r>
          </w:p>
        </w:tc>
        <w:tc>
          <w:tcPr>
            <w:tcW w:w="1774" w:type="dxa"/>
            <w:vAlign w:val="center"/>
          </w:tcPr>
          <w:p w14:paraId="75E59A55">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3.278</w:t>
            </w:r>
          </w:p>
        </w:tc>
        <w:tc>
          <w:tcPr>
            <w:tcW w:w="1936" w:type="dxa"/>
            <w:vAlign w:val="center"/>
          </w:tcPr>
          <w:p w14:paraId="2F42B11B">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0.5567</w:t>
            </w:r>
          </w:p>
        </w:tc>
        <w:tc>
          <w:tcPr>
            <w:tcW w:w="1619" w:type="dxa"/>
            <w:vAlign w:val="center"/>
          </w:tcPr>
          <w:p w14:paraId="6D9548E6">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5.567</w:t>
            </w:r>
          </w:p>
        </w:tc>
      </w:tr>
      <w:tr w14:paraId="401EE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14:paraId="7592CF7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w:t>
            </w:r>
          </w:p>
        </w:tc>
        <w:tc>
          <w:tcPr>
            <w:tcW w:w="761" w:type="pct"/>
            <w:vAlign w:val="center"/>
          </w:tcPr>
          <w:p w14:paraId="564ADD21">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100</w:t>
            </w:r>
          </w:p>
        </w:tc>
        <w:tc>
          <w:tcPr>
            <w:tcW w:w="1934" w:type="dxa"/>
            <w:vAlign w:val="center"/>
          </w:tcPr>
          <w:p w14:paraId="23A612B0">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7.586</w:t>
            </w:r>
          </w:p>
        </w:tc>
        <w:tc>
          <w:tcPr>
            <w:tcW w:w="1774" w:type="dxa"/>
            <w:vAlign w:val="center"/>
          </w:tcPr>
          <w:p w14:paraId="5627F410">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3.793</w:t>
            </w:r>
          </w:p>
        </w:tc>
        <w:tc>
          <w:tcPr>
            <w:tcW w:w="1936" w:type="dxa"/>
            <w:vAlign w:val="center"/>
          </w:tcPr>
          <w:p w14:paraId="6BE87D38">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0.6255</w:t>
            </w:r>
          </w:p>
        </w:tc>
        <w:tc>
          <w:tcPr>
            <w:tcW w:w="1619" w:type="dxa"/>
            <w:vAlign w:val="center"/>
          </w:tcPr>
          <w:p w14:paraId="46BB3911">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6.255</w:t>
            </w:r>
          </w:p>
        </w:tc>
      </w:tr>
      <w:tr w14:paraId="14F73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14:paraId="7D51F2A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3</w:t>
            </w:r>
          </w:p>
        </w:tc>
        <w:tc>
          <w:tcPr>
            <w:tcW w:w="761" w:type="pct"/>
            <w:vAlign w:val="center"/>
          </w:tcPr>
          <w:p w14:paraId="707CB6FA">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200</w:t>
            </w:r>
          </w:p>
        </w:tc>
        <w:tc>
          <w:tcPr>
            <w:tcW w:w="1934" w:type="dxa"/>
            <w:vAlign w:val="center"/>
          </w:tcPr>
          <w:p w14:paraId="0145C315">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9.501</w:t>
            </w:r>
          </w:p>
        </w:tc>
        <w:tc>
          <w:tcPr>
            <w:tcW w:w="1774" w:type="dxa"/>
            <w:vAlign w:val="center"/>
          </w:tcPr>
          <w:p w14:paraId="3857B78F">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4.7505</w:t>
            </w:r>
          </w:p>
        </w:tc>
        <w:tc>
          <w:tcPr>
            <w:tcW w:w="1936" w:type="dxa"/>
            <w:vAlign w:val="center"/>
          </w:tcPr>
          <w:p w14:paraId="18722E81">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0.7666</w:t>
            </w:r>
          </w:p>
        </w:tc>
        <w:tc>
          <w:tcPr>
            <w:tcW w:w="1619" w:type="dxa"/>
            <w:vAlign w:val="center"/>
          </w:tcPr>
          <w:p w14:paraId="1DFCAF1F">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7.666</w:t>
            </w:r>
          </w:p>
        </w:tc>
      </w:tr>
      <w:tr w14:paraId="6FE85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14:paraId="110811A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4</w:t>
            </w:r>
          </w:p>
        </w:tc>
        <w:tc>
          <w:tcPr>
            <w:tcW w:w="761" w:type="pct"/>
            <w:vAlign w:val="center"/>
          </w:tcPr>
          <w:p w14:paraId="37B75737">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300</w:t>
            </w:r>
          </w:p>
        </w:tc>
        <w:tc>
          <w:tcPr>
            <w:tcW w:w="1934" w:type="dxa"/>
            <w:vAlign w:val="center"/>
          </w:tcPr>
          <w:p w14:paraId="79A3FFA4">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11.16</w:t>
            </w:r>
          </w:p>
        </w:tc>
        <w:tc>
          <w:tcPr>
            <w:tcW w:w="1774" w:type="dxa"/>
            <w:vAlign w:val="center"/>
          </w:tcPr>
          <w:p w14:paraId="504D4C1B">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5.58</w:t>
            </w:r>
          </w:p>
        </w:tc>
        <w:tc>
          <w:tcPr>
            <w:tcW w:w="1936" w:type="dxa"/>
            <w:vAlign w:val="center"/>
          </w:tcPr>
          <w:p w14:paraId="43E91DEA">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0.8956</w:t>
            </w:r>
          </w:p>
        </w:tc>
        <w:tc>
          <w:tcPr>
            <w:tcW w:w="1619" w:type="dxa"/>
            <w:vAlign w:val="center"/>
          </w:tcPr>
          <w:p w14:paraId="3BA4E9C1">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8.956</w:t>
            </w:r>
          </w:p>
        </w:tc>
      </w:tr>
      <w:tr w14:paraId="24B7A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14:paraId="3E2D4A8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5</w:t>
            </w:r>
          </w:p>
        </w:tc>
        <w:tc>
          <w:tcPr>
            <w:tcW w:w="761" w:type="pct"/>
            <w:vAlign w:val="center"/>
          </w:tcPr>
          <w:p w14:paraId="18114284">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400</w:t>
            </w:r>
          </w:p>
        </w:tc>
        <w:tc>
          <w:tcPr>
            <w:tcW w:w="1934" w:type="dxa"/>
            <w:vAlign w:val="center"/>
          </w:tcPr>
          <w:p w14:paraId="44D6DA22">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11.68</w:t>
            </w:r>
          </w:p>
        </w:tc>
        <w:tc>
          <w:tcPr>
            <w:tcW w:w="1774" w:type="dxa"/>
            <w:vAlign w:val="center"/>
          </w:tcPr>
          <w:p w14:paraId="1901C2D0">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5.84</w:t>
            </w:r>
          </w:p>
        </w:tc>
        <w:tc>
          <w:tcPr>
            <w:tcW w:w="1936" w:type="dxa"/>
            <w:vAlign w:val="center"/>
          </w:tcPr>
          <w:p w14:paraId="33430A8A">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0.93</w:t>
            </w:r>
          </w:p>
        </w:tc>
        <w:tc>
          <w:tcPr>
            <w:tcW w:w="1619" w:type="dxa"/>
            <w:vAlign w:val="center"/>
          </w:tcPr>
          <w:p w14:paraId="657D28BD">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9.3</w:t>
            </w:r>
          </w:p>
        </w:tc>
      </w:tr>
      <w:tr w14:paraId="1A33D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vAlign w:val="center"/>
          </w:tcPr>
          <w:p w14:paraId="40DA0ED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6</w:t>
            </w:r>
          </w:p>
        </w:tc>
        <w:tc>
          <w:tcPr>
            <w:tcW w:w="761" w:type="pct"/>
            <w:vAlign w:val="center"/>
          </w:tcPr>
          <w:p w14:paraId="3A4C6C49">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500</w:t>
            </w:r>
          </w:p>
        </w:tc>
        <w:tc>
          <w:tcPr>
            <w:tcW w:w="1934" w:type="dxa"/>
            <w:vAlign w:val="center"/>
          </w:tcPr>
          <w:p w14:paraId="5A9B04A9">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11.37</w:t>
            </w:r>
          </w:p>
        </w:tc>
        <w:tc>
          <w:tcPr>
            <w:tcW w:w="1774" w:type="dxa"/>
            <w:vAlign w:val="center"/>
          </w:tcPr>
          <w:p w14:paraId="347AE5B7">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5.685</w:t>
            </w:r>
          </w:p>
        </w:tc>
        <w:tc>
          <w:tcPr>
            <w:tcW w:w="1936" w:type="dxa"/>
            <w:vAlign w:val="center"/>
          </w:tcPr>
          <w:p w14:paraId="236A1450">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0.8921</w:t>
            </w:r>
          </w:p>
        </w:tc>
        <w:tc>
          <w:tcPr>
            <w:tcW w:w="1619" w:type="dxa"/>
            <w:vAlign w:val="center"/>
          </w:tcPr>
          <w:p w14:paraId="7DFB9B29">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8.921</w:t>
            </w:r>
          </w:p>
        </w:tc>
      </w:tr>
      <w:tr w14:paraId="73F41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14:paraId="34D292C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bCs/>
                <w:color w:val="auto"/>
                <w:spacing w:val="0"/>
                <w:position w:val="0"/>
                <w:sz w:val="21"/>
                <w:szCs w:val="21"/>
                <w:highlight w:val="none"/>
              </w:rPr>
              <w:t>7</w:t>
            </w:r>
          </w:p>
        </w:tc>
        <w:tc>
          <w:tcPr>
            <w:tcW w:w="761" w:type="pct"/>
            <w:vAlign w:val="center"/>
          </w:tcPr>
          <w:p w14:paraId="1137B283">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550</w:t>
            </w:r>
          </w:p>
        </w:tc>
        <w:tc>
          <w:tcPr>
            <w:tcW w:w="1934" w:type="dxa"/>
            <w:vAlign w:val="center"/>
          </w:tcPr>
          <w:p w14:paraId="6003CAAA">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10.32</w:t>
            </w:r>
          </w:p>
        </w:tc>
        <w:tc>
          <w:tcPr>
            <w:tcW w:w="1774" w:type="dxa"/>
            <w:vAlign w:val="center"/>
          </w:tcPr>
          <w:p w14:paraId="2F3428E0">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5.16</w:t>
            </w:r>
          </w:p>
        </w:tc>
        <w:tc>
          <w:tcPr>
            <w:tcW w:w="1936" w:type="dxa"/>
            <w:vAlign w:val="center"/>
          </w:tcPr>
          <w:p w14:paraId="137D34DF">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0.7886</w:t>
            </w:r>
          </w:p>
        </w:tc>
        <w:tc>
          <w:tcPr>
            <w:tcW w:w="1619" w:type="dxa"/>
            <w:vAlign w:val="center"/>
          </w:tcPr>
          <w:p w14:paraId="276F22A6">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7.886</w:t>
            </w:r>
          </w:p>
        </w:tc>
      </w:tr>
      <w:tr w14:paraId="4C899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14:paraId="11481FF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8</w:t>
            </w:r>
          </w:p>
        </w:tc>
        <w:tc>
          <w:tcPr>
            <w:tcW w:w="761" w:type="pct"/>
            <w:vAlign w:val="center"/>
          </w:tcPr>
          <w:p w14:paraId="58A29EB6">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600</w:t>
            </w:r>
          </w:p>
        </w:tc>
        <w:tc>
          <w:tcPr>
            <w:tcW w:w="1934" w:type="dxa"/>
            <w:vAlign w:val="center"/>
          </w:tcPr>
          <w:p w14:paraId="51093604">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9.389</w:t>
            </w:r>
          </w:p>
        </w:tc>
        <w:tc>
          <w:tcPr>
            <w:tcW w:w="1774" w:type="dxa"/>
            <w:vAlign w:val="center"/>
          </w:tcPr>
          <w:p w14:paraId="0196EA55">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4.6945</w:t>
            </w:r>
          </w:p>
        </w:tc>
        <w:tc>
          <w:tcPr>
            <w:tcW w:w="1936" w:type="dxa"/>
            <w:vAlign w:val="center"/>
          </w:tcPr>
          <w:p w14:paraId="3DCE1C37">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0.7057</w:t>
            </w:r>
          </w:p>
        </w:tc>
        <w:tc>
          <w:tcPr>
            <w:tcW w:w="1619" w:type="dxa"/>
            <w:vAlign w:val="center"/>
          </w:tcPr>
          <w:p w14:paraId="1D7BB443">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7.057</w:t>
            </w:r>
          </w:p>
        </w:tc>
      </w:tr>
      <w:tr w14:paraId="5B2A9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14:paraId="37A7AD7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9</w:t>
            </w:r>
          </w:p>
        </w:tc>
        <w:tc>
          <w:tcPr>
            <w:tcW w:w="761" w:type="pct"/>
            <w:vAlign w:val="center"/>
          </w:tcPr>
          <w:p w14:paraId="23B38F82">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700</w:t>
            </w:r>
          </w:p>
        </w:tc>
        <w:tc>
          <w:tcPr>
            <w:tcW w:w="1934" w:type="dxa"/>
            <w:vAlign w:val="center"/>
          </w:tcPr>
          <w:p w14:paraId="23DC100C">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8.611</w:t>
            </w:r>
          </w:p>
        </w:tc>
        <w:tc>
          <w:tcPr>
            <w:tcW w:w="1774" w:type="dxa"/>
            <w:vAlign w:val="center"/>
          </w:tcPr>
          <w:p w14:paraId="1D00ADFF">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4.3055</w:t>
            </w:r>
          </w:p>
        </w:tc>
        <w:tc>
          <w:tcPr>
            <w:tcW w:w="1936" w:type="dxa"/>
            <w:vAlign w:val="center"/>
          </w:tcPr>
          <w:p w14:paraId="297E6BA0">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0.6403</w:t>
            </w:r>
          </w:p>
        </w:tc>
        <w:tc>
          <w:tcPr>
            <w:tcW w:w="1619" w:type="dxa"/>
            <w:vAlign w:val="center"/>
          </w:tcPr>
          <w:p w14:paraId="53FD3A9B">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6.403</w:t>
            </w:r>
          </w:p>
        </w:tc>
      </w:tr>
      <w:tr w14:paraId="5E960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14:paraId="4B37763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10</w:t>
            </w:r>
          </w:p>
        </w:tc>
        <w:tc>
          <w:tcPr>
            <w:tcW w:w="761" w:type="pct"/>
            <w:vAlign w:val="center"/>
          </w:tcPr>
          <w:p w14:paraId="61925ED6">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800</w:t>
            </w:r>
          </w:p>
        </w:tc>
        <w:tc>
          <w:tcPr>
            <w:tcW w:w="1934" w:type="dxa"/>
            <w:vAlign w:val="center"/>
          </w:tcPr>
          <w:p w14:paraId="7BF2CFBF">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7.952</w:t>
            </w:r>
          </w:p>
        </w:tc>
        <w:tc>
          <w:tcPr>
            <w:tcW w:w="1774" w:type="dxa"/>
            <w:vAlign w:val="center"/>
          </w:tcPr>
          <w:p w14:paraId="37171FF0">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3.976</w:t>
            </w:r>
          </w:p>
        </w:tc>
        <w:tc>
          <w:tcPr>
            <w:tcW w:w="1936" w:type="dxa"/>
            <w:vAlign w:val="center"/>
          </w:tcPr>
          <w:p w14:paraId="28E6538C">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0.587</w:t>
            </w:r>
          </w:p>
        </w:tc>
        <w:tc>
          <w:tcPr>
            <w:tcW w:w="1619" w:type="dxa"/>
            <w:vAlign w:val="center"/>
          </w:tcPr>
          <w:p w14:paraId="66B13A43">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5.87</w:t>
            </w:r>
          </w:p>
        </w:tc>
      </w:tr>
      <w:tr w14:paraId="22FE6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14:paraId="7EC3524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11</w:t>
            </w:r>
          </w:p>
        </w:tc>
        <w:tc>
          <w:tcPr>
            <w:tcW w:w="761" w:type="pct"/>
            <w:vAlign w:val="center"/>
          </w:tcPr>
          <w:p w14:paraId="04891F80">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900</w:t>
            </w:r>
          </w:p>
        </w:tc>
        <w:tc>
          <w:tcPr>
            <w:tcW w:w="1934" w:type="dxa"/>
            <w:vAlign w:val="center"/>
          </w:tcPr>
          <w:p w14:paraId="24934E2D">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7.402</w:t>
            </w:r>
          </w:p>
        </w:tc>
        <w:tc>
          <w:tcPr>
            <w:tcW w:w="1774" w:type="dxa"/>
            <w:vAlign w:val="center"/>
          </w:tcPr>
          <w:p w14:paraId="4E7A19DD">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3.701</w:t>
            </w:r>
          </w:p>
        </w:tc>
        <w:tc>
          <w:tcPr>
            <w:tcW w:w="1936" w:type="dxa"/>
            <w:vAlign w:val="center"/>
          </w:tcPr>
          <w:p w14:paraId="510546FB">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0.5435</w:t>
            </w:r>
          </w:p>
        </w:tc>
        <w:tc>
          <w:tcPr>
            <w:tcW w:w="1619" w:type="dxa"/>
            <w:vAlign w:val="center"/>
          </w:tcPr>
          <w:p w14:paraId="65941749">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5.435</w:t>
            </w:r>
          </w:p>
        </w:tc>
      </w:tr>
      <w:tr w14:paraId="46B8E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14:paraId="05A7280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12</w:t>
            </w:r>
          </w:p>
        </w:tc>
        <w:tc>
          <w:tcPr>
            <w:tcW w:w="761" w:type="pct"/>
            <w:vAlign w:val="center"/>
          </w:tcPr>
          <w:p w14:paraId="3A0C2689">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1000</w:t>
            </w:r>
          </w:p>
        </w:tc>
        <w:tc>
          <w:tcPr>
            <w:tcW w:w="1934" w:type="dxa"/>
            <w:vAlign w:val="center"/>
          </w:tcPr>
          <w:p w14:paraId="726D4C8F">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6.927</w:t>
            </w:r>
          </w:p>
        </w:tc>
        <w:tc>
          <w:tcPr>
            <w:tcW w:w="1774" w:type="dxa"/>
            <w:vAlign w:val="center"/>
          </w:tcPr>
          <w:p w14:paraId="122DC4D8">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3.4635</w:t>
            </w:r>
          </w:p>
        </w:tc>
        <w:tc>
          <w:tcPr>
            <w:tcW w:w="1936" w:type="dxa"/>
            <w:vAlign w:val="center"/>
          </w:tcPr>
          <w:p w14:paraId="405D0E85">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0.5068</w:t>
            </w:r>
          </w:p>
        </w:tc>
        <w:tc>
          <w:tcPr>
            <w:tcW w:w="1619" w:type="dxa"/>
            <w:vAlign w:val="center"/>
          </w:tcPr>
          <w:p w14:paraId="5B5826F0">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5.068</w:t>
            </w:r>
          </w:p>
        </w:tc>
      </w:tr>
      <w:tr w14:paraId="7FB7F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14:paraId="5D8EA45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13</w:t>
            </w:r>
          </w:p>
        </w:tc>
        <w:tc>
          <w:tcPr>
            <w:tcW w:w="761" w:type="pct"/>
            <w:vAlign w:val="center"/>
          </w:tcPr>
          <w:p w14:paraId="3F0CFA41">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1100</w:t>
            </w:r>
          </w:p>
        </w:tc>
        <w:tc>
          <w:tcPr>
            <w:tcW w:w="1934" w:type="dxa"/>
            <w:vAlign w:val="center"/>
          </w:tcPr>
          <w:p w14:paraId="70A7275B">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6.519</w:t>
            </w:r>
          </w:p>
        </w:tc>
        <w:tc>
          <w:tcPr>
            <w:tcW w:w="1774" w:type="dxa"/>
            <w:vAlign w:val="center"/>
          </w:tcPr>
          <w:p w14:paraId="762312F4">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3.2595</w:t>
            </w:r>
          </w:p>
        </w:tc>
        <w:tc>
          <w:tcPr>
            <w:tcW w:w="1936" w:type="dxa"/>
            <w:vAlign w:val="center"/>
          </w:tcPr>
          <w:p w14:paraId="30B149EB">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0.4753</w:t>
            </w:r>
          </w:p>
        </w:tc>
        <w:tc>
          <w:tcPr>
            <w:tcW w:w="1619" w:type="dxa"/>
            <w:vAlign w:val="center"/>
          </w:tcPr>
          <w:p w14:paraId="2D0B60CB">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4.753</w:t>
            </w:r>
          </w:p>
        </w:tc>
      </w:tr>
      <w:tr w14:paraId="5FA79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vAlign w:val="center"/>
          </w:tcPr>
          <w:p w14:paraId="6ABB8C6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14</w:t>
            </w:r>
          </w:p>
        </w:tc>
        <w:tc>
          <w:tcPr>
            <w:tcW w:w="761" w:type="pct"/>
            <w:vAlign w:val="center"/>
          </w:tcPr>
          <w:p w14:paraId="3B53953F">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1200</w:t>
            </w:r>
          </w:p>
        </w:tc>
        <w:tc>
          <w:tcPr>
            <w:tcW w:w="1934" w:type="dxa"/>
            <w:vAlign w:val="center"/>
          </w:tcPr>
          <w:p w14:paraId="28F44876">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6.165</w:t>
            </w:r>
          </w:p>
        </w:tc>
        <w:tc>
          <w:tcPr>
            <w:tcW w:w="1774" w:type="dxa"/>
            <w:vAlign w:val="center"/>
          </w:tcPr>
          <w:p w14:paraId="0B760076">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3.0825</w:t>
            </w:r>
          </w:p>
        </w:tc>
        <w:tc>
          <w:tcPr>
            <w:tcW w:w="1936" w:type="dxa"/>
            <w:vAlign w:val="center"/>
          </w:tcPr>
          <w:p w14:paraId="219B3B55">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0.4486</w:t>
            </w:r>
          </w:p>
        </w:tc>
        <w:tc>
          <w:tcPr>
            <w:tcW w:w="1619" w:type="dxa"/>
            <w:vAlign w:val="center"/>
          </w:tcPr>
          <w:p w14:paraId="12E7238F">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4.486</w:t>
            </w:r>
          </w:p>
        </w:tc>
      </w:tr>
      <w:tr w14:paraId="2A030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14:paraId="7007BE0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15</w:t>
            </w:r>
          </w:p>
        </w:tc>
        <w:tc>
          <w:tcPr>
            <w:tcW w:w="761" w:type="pct"/>
            <w:vAlign w:val="center"/>
          </w:tcPr>
          <w:p w14:paraId="10302C48">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1300</w:t>
            </w:r>
          </w:p>
        </w:tc>
        <w:tc>
          <w:tcPr>
            <w:tcW w:w="1934" w:type="dxa"/>
            <w:vAlign w:val="center"/>
          </w:tcPr>
          <w:p w14:paraId="5302714C">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5.855</w:t>
            </w:r>
          </w:p>
        </w:tc>
        <w:tc>
          <w:tcPr>
            <w:tcW w:w="1774" w:type="dxa"/>
            <w:vAlign w:val="center"/>
          </w:tcPr>
          <w:p w14:paraId="7B3B95A0">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2.9275</w:t>
            </w:r>
          </w:p>
        </w:tc>
        <w:tc>
          <w:tcPr>
            <w:tcW w:w="1936" w:type="dxa"/>
            <w:vAlign w:val="center"/>
          </w:tcPr>
          <w:p w14:paraId="473DABE5">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0.4251</w:t>
            </w:r>
          </w:p>
        </w:tc>
        <w:tc>
          <w:tcPr>
            <w:tcW w:w="1619" w:type="dxa"/>
            <w:vAlign w:val="center"/>
          </w:tcPr>
          <w:p w14:paraId="61E8C4AD">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4.251</w:t>
            </w:r>
          </w:p>
        </w:tc>
      </w:tr>
      <w:tr w14:paraId="0DA40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14:paraId="5CE2CCD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16</w:t>
            </w:r>
          </w:p>
        </w:tc>
        <w:tc>
          <w:tcPr>
            <w:tcW w:w="761" w:type="pct"/>
            <w:vAlign w:val="center"/>
          </w:tcPr>
          <w:p w14:paraId="2302A64A">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1400</w:t>
            </w:r>
          </w:p>
        </w:tc>
        <w:tc>
          <w:tcPr>
            <w:tcW w:w="1934" w:type="dxa"/>
            <w:vAlign w:val="center"/>
          </w:tcPr>
          <w:p w14:paraId="356A6569">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5.574</w:t>
            </w:r>
          </w:p>
        </w:tc>
        <w:tc>
          <w:tcPr>
            <w:tcW w:w="1774" w:type="dxa"/>
            <w:vAlign w:val="center"/>
          </w:tcPr>
          <w:p w14:paraId="751FDE8A">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2.787</w:t>
            </w:r>
          </w:p>
        </w:tc>
        <w:tc>
          <w:tcPr>
            <w:tcW w:w="1936" w:type="dxa"/>
            <w:vAlign w:val="center"/>
          </w:tcPr>
          <w:p w14:paraId="105ACCEC">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0.4128</w:t>
            </w:r>
          </w:p>
        </w:tc>
        <w:tc>
          <w:tcPr>
            <w:tcW w:w="1619" w:type="dxa"/>
            <w:vAlign w:val="center"/>
          </w:tcPr>
          <w:p w14:paraId="512E6098">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4.128</w:t>
            </w:r>
          </w:p>
        </w:tc>
      </w:tr>
      <w:tr w14:paraId="694B1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vAlign w:val="center"/>
          </w:tcPr>
          <w:p w14:paraId="41680FC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17</w:t>
            </w:r>
          </w:p>
        </w:tc>
        <w:tc>
          <w:tcPr>
            <w:tcW w:w="761" w:type="pct"/>
            <w:vAlign w:val="center"/>
          </w:tcPr>
          <w:p w14:paraId="41030043">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1500</w:t>
            </w:r>
          </w:p>
        </w:tc>
        <w:tc>
          <w:tcPr>
            <w:tcW w:w="1934" w:type="dxa"/>
            <w:vAlign w:val="center"/>
          </w:tcPr>
          <w:p w14:paraId="5090A4E0">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5.505</w:t>
            </w:r>
          </w:p>
        </w:tc>
        <w:tc>
          <w:tcPr>
            <w:tcW w:w="1774" w:type="dxa"/>
            <w:vAlign w:val="center"/>
          </w:tcPr>
          <w:p w14:paraId="6761315F">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2.7525</w:t>
            </w:r>
          </w:p>
        </w:tc>
        <w:tc>
          <w:tcPr>
            <w:tcW w:w="1936" w:type="dxa"/>
            <w:vAlign w:val="center"/>
          </w:tcPr>
          <w:p w14:paraId="06781352">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0.3932</w:t>
            </w:r>
          </w:p>
        </w:tc>
        <w:tc>
          <w:tcPr>
            <w:tcW w:w="1619" w:type="dxa"/>
            <w:vAlign w:val="center"/>
          </w:tcPr>
          <w:p w14:paraId="5F26D9BE">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3.932</w:t>
            </w:r>
          </w:p>
        </w:tc>
      </w:tr>
      <w:tr w14:paraId="15C3F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14:paraId="452F4BA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18</w:t>
            </w:r>
          </w:p>
        </w:tc>
        <w:tc>
          <w:tcPr>
            <w:tcW w:w="761" w:type="pct"/>
            <w:vAlign w:val="center"/>
          </w:tcPr>
          <w:p w14:paraId="6CE82A85">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1600</w:t>
            </w:r>
          </w:p>
        </w:tc>
        <w:tc>
          <w:tcPr>
            <w:tcW w:w="1934" w:type="dxa"/>
            <w:vAlign w:val="center"/>
          </w:tcPr>
          <w:p w14:paraId="4982B4E6">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5.261</w:t>
            </w:r>
          </w:p>
        </w:tc>
        <w:tc>
          <w:tcPr>
            <w:tcW w:w="1774" w:type="dxa"/>
            <w:vAlign w:val="center"/>
          </w:tcPr>
          <w:p w14:paraId="1C28E3F1">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2.6305</w:t>
            </w:r>
          </w:p>
        </w:tc>
        <w:tc>
          <w:tcPr>
            <w:tcW w:w="1936" w:type="dxa"/>
            <w:vAlign w:val="center"/>
          </w:tcPr>
          <w:p w14:paraId="094BE412">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0.3758</w:t>
            </w:r>
          </w:p>
        </w:tc>
        <w:tc>
          <w:tcPr>
            <w:tcW w:w="1619" w:type="dxa"/>
            <w:vAlign w:val="center"/>
          </w:tcPr>
          <w:p w14:paraId="6DD9A8EF">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3.758</w:t>
            </w:r>
          </w:p>
        </w:tc>
      </w:tr>
      <w:tr w14:paraId="26AB2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14:paraId="1694394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19</w:t>
            </w:r>
          </w:p>
        </w:tc>
        <w:tc>
          <w:tcPr>
            <w:tcW w:w="761" w:type="pct"/>
            <w:vAlign w:val="center"/>
          </w:tcPr>
          <w:p w14:paraId="15DB2ABA">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1700</w:t>
            </w:r>
          </w:p>
        </w:tc>
        <w:tc>
          <w:tcPr>
            <w:tcW w:w="1934" w:type="dxa"/>
            <w:vAlign w:val="center"/>
          </w:tcPr>
          <w:p w14:paraId="270D270B">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5.041</w:t>
            </w:r>
          </w:p>
        </w:tc>
        <w:tc>
          <w:tcPr>
            <w:tcW w:w="1774" w:type="dxa"/>
            <w:vAlign w:val="center"/>
          </w:tcPr>
          <w:p w14:paraId="1292EE59">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2.5205</w:t>
            </w:r>
          </w:p>
        </w:tc>
        <w:tc>
          <w:tcPr>
            <w:tcW w:w="1936" w:type="dxa"/>
            <w:vAlign w:val="center"/>
          </w:tcPr>
          <w:p w14:paraId="37DD66CF">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0.3601</w:t>
            </w:r>
          </w:p>
        </w:tc>
        <w:tc>
          <w:tcPr>
            <w:tcW w:w="1619" w:type="dxa"/>
            <w:vAlign w:val="center"/>
          </w:tcPr>
          <w:p w14:paraId="52EC29D8">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3.601</w:t>
            </w:r>
          </w:p>
        </w:tc>
      </w:tr>
      <w:tr w14:paraId="30057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14:paraId="597737C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20</w:t>
            </w:r>
          </w:p>
        </w:tc>
        <w:tc>
          <w:tcPr>
            <w:tcW w:w="761" w:type="pct"/>
            <w:vAlign w:val="center"/>
          </w:tcPr>
          <w:p w14:paraId="507794C9">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1800</w:t>
            </w:r>
          </w:p>
        </w:tc>
        <w:tc>
          <w:tcPr>
            <w:tcW w:w="1934" w:type="dxa"/>
            <w:vAlign w:val="center"/>
          </w:tcPr>
          <w:p w14:paraId="178D4F38">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4.843</w:t>
            </w:r>
          </w:p>
        </w:tc>
        <w:tc>
          <w:tcPr>
            <w:tcW w:w="1774" w:type="dxa"/>
            <w:vAlign w:val="center"/>
          </w:tcPr>
          <w:p w14:paraId="1B9B48CA">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2.4215</w:t>
            </w:r>
          </w:p>
        </w:tc>
        <w:tc>
          <w:tcPr>
            <w:tcW w:w="1936" w:type="dxa"/>
            <w:vAlign w:val="center"/>
          </w:tcPr>
          <w:p w14:paraId="457D8A38">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0.3459</w:t>
            </w:r>
          </w:p>
        </w:tc>
        <w:tc>
          <w:tcPr>
            <w:tcW w:w="1619" w:type="dxa"/>
            <w:vAlign w:val="center"/>
          </w:tcPr>
          <w:p w14:paraId="2B20F824">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3.459</w:t>
            </w:r>
          </w:p>
        </w:tc>
      </w:tr>
      <w:tr w14:paraId="18164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14:paraId="77E5B38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21</w:t>
            </w:r>
          </w:p>
        </w:tc>
        <w:tc>
          <w:tcPr>
            <w:tcW w:w="761" w:type="pct"/>
            <w:vAlign w:val="center"/>
          </w:tcPr>
          <w:p w14:paraId="45CCAC43">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1900</w:t>
            </w:r>
          </w:p>
        </w:tc>
        <w:tc>
          <w:tcPr>
            <w:tcW w:w="1934" w:type="dxa"/>
            <w:vAlign w:val="center"/>
          </w:tcPr>
          <w:p w14:paraId="0F35331D">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4.662</w:t>
            </w:r>
          </w:p>
        </w:tc>
        <w:tc>
          <w:tcPr>
            <w:tcW w:w="1774" w:type="dxa"/>
            <w:vAlign w:val="center"/>
          </w:tcPr>
          <w:p w14:paraId="57BC5A02">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2.331</w:t>
            </w:r>
          </w:p>
        </w:tc>
        <w:tc>
          <w:tcPr>
            <w:tcW w:w="1936" w:type="dxa"/>
            <w:vAlign w:val="center"/>
          </w:tcPr>
          <w:p w14:paraId="0F98297A">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0.333</w:t>
            </w:r>
          </w:p>
        </w:tc>
        <w:tc>
          <w:tcPr>
            <w:tcW w:w="1619" w:type="dxa"/>
            <w:vAlign w:val="center"/>
          </w:tcPr>
          <w:p w14:paraId="78728DC7">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3.33</w:t>
            </w:r>
          </w:p>
        </w:tc>
      </w:tr>
      <w:tr w14:paraId="545D6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25" w:type="pct"/>
            <w:vAlign w:val="center"/>
          </w:tcPr>
          <w:p w14:paraId="1722F70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22</w:t>
            </w:r>
          </w:p>
        </w:tc>
        <w:tc>
          <w:tcPr>
            <w:tcW w:w="761" w:type="pct"/>
            <w:vAlign w:val="center"/>
          </w:tcPr>
          <w:p w14:paraId="35589394">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2000</w:t>
            </w:r>
          </w:p>
        </w:tc>
        <w:tc>
          <w:tcPr>
            <w:tcW w:w="1934" w:type="dxa"/>
            <w:vAlign w:val="center"/>
          </w:tcPr>
          <w:p w14:paraId="01925418">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4.497</w:t>
            </w:r>
          </w:p>
        </w:tc>
        <w:tc>
          <w:tcPr>
            <w:tcW w:w="1774" w:type="dxa"/>
            <w:vAlign w:val="center"/>
          </w:tcPr>
          <w:p w14:paraId="0580BE5B">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2.2485</w:t>
            </w:r>
          </w:p>
        </w:tc>
        <w:tc>
          <w:tcPr>
            <w:tcW w:w="1936" w:type="dxa"/>
            <w:vAlign w:val="center"/>
          </w:tcPr>
          <w:p w14:paraId="63231682">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0.3212</w:t>
            </w:r>
          </w:p>
        </w:tc>
        <w:tc>
          <w:tcPr>
            <w:tcW w:w="1619" w:type="dxa"/>
            <w:vAlign w:val="center"/>
          </w:tcPr>
          <w:p w14:paraId="15AFF439">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3.212</w:t>
            </w:r>
          </w:p>
        </w:tc>
      </w:tr>
      <w:tr w14:paraId="46533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425" w:type="pct"/>
            <w:vAlign w:val="center"/>
          </w:tcPr>
          <w:p w14:paraId="2F6FF17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23</w:t>
            </w:r>
          </w:p>
        </w:tc>
        <w:tc>
          <w:tcPr>
            <w:tcW w:w="761" w:type="pct"/>
            <w:vAlign w:val="center"/>
          </w:tcPr>
          <w:p w14:paraId="0BBB7D56">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2100</w:t>
            </w:r>
          </w:p>
        </w:tc>
        <w:tc>
          <w:tcPr>
            <w:tcW w:w="1934" w:type="dxa"/>
            <w:vAlign w:val="center"/>
          </w:tcPr>
          <w:p w14:paraId="68358CA6">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4.346</w:t>
            </w:r>
          </w:p>
        </w:tc>
        <w:tc>
          <w:tcPr>
            <w:tcW w:w="1774" w:type="dxa"/>
            <w:vAlign w:val="center"/>
          </w:tcPr>
          <w:p w14:paraId="54BDEC61">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2.173</w:t>
            </w:r>
          </w:p>
        </w:tc>
        <w:tc>
          <w:tcPr>
            <w:tcW w:w="1936" w:type="dxa"/>
            <w:vAlign w:val="center"/>
          </w:tcPr>
          <w:p w14:paraId="7002AF3A">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0.3104</w:t>
            </w:r>
          </w:p>
        </w:tc>
        <w:tc>
          <w:tcPr>
            <w:tcW w:w="1619" w:type="dxa"/>
            <w:vAlign w:val="center"/>
          </w:tcPr>
          <w:p w14:paraId="28AA19B7">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3.104</w:t>
            </w:r>
          </w:p>
        </w:tc>
      </w:tr>
      <w:tr w14:paraId="24DE7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425" w:type="pct"/>
            <w:vAlign w:val="center"/>
          </w:tcPr>
          <w:p w14:paraId="5EB4CF4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24</w:t>
            </w:r>
          </w:p>
        </w:tc>
        <w:tc>
          <w:tcPr>
            <w:tcW w:w="761" w:type="pct"/>
            <w:vAlign w:val="center"/>
          </w:tcPr>
          <w:p w14:paraId="70B34D72">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2200</w:t>
            </w:r>
          </w:p>
        </w:tc>
        <w:tc>
          <w:tcPr>
            <w:tcW w:w="1934" w:type="dxa"/>
            <w:vAlign w:val="center"/>
          </w:tcPr>
          <w:p w14:paraId="0D7D08E6">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4.206</w:t>
            </w:r>
          </w:p>
        </w:tc>
        <w:tc>
          <w:tcPr>
            <w:tcW w:w="1774" w:type="dxa"/>
            <w:vAlign w:val="center"/>
          </w:tcPr>
          <w:p w14:paraId="27936818">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2.103</w:t>
            </w:r>
          </w:p>
        </w:tc>
        <w:tc>
          <w:tcPr>
            <w:tcW w:w="1936" w:type="dxa"/>
            <w:vAlign w:val="center"/>
          </w:tcPr>
          <w:p w14:paraId="2CAF679D">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0.3004</w:t>
            </w:r>
          </w:p>
        </w:tc>
        <w:tc>
          <w:tcPr>
            <w:tcW w:w="1619" w:type="dxa"/>
            <w:vAlign w:val="center"/>
          </w:tcPr>
          <w:p w14:paraId="0DC23FDE">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3.004</w:t>
            </w:r>
          </w:p>
        </w:tc>
      </w:tr>
      <w:tr w14:paraId="42D26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14:paraId="3A8D832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25</w:t>
            </w:r>
          </w:p>
        </w:tc>
        <w:tc>
          <w:tcPr>
            <w:tcW w:w="761" w:type="pct"/>
            <w:vAlign w:val="center"/>
          </w:tcPr>
          <w:p w14:paraId="2544B551">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2300</w:t>
            </w:r>
          </w:p>
        </w:tc>
        <w:tc>
          <w:tcPr>
            <w:tcW w:w="1934" w:type="dxa"/>
            <w:vAlign w:val="center"/>
          </w:tcPr>
          <w:p w14:paraId="4F7A1FD8">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4.077</w:t>
            </w:r>
          </w:p>
        </w:tc>
        <w:tc>
          <w:tcPr>
            <w:tcW w:w="1774" w:type="dxa"/>
            <w:vAlign w:val="center"/>
          </w:tcPr>
          <w:p w14:paraId="5C2F694E">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2.0385</w:t>
            </w:r>
          </w:p>
        </w:tc>
        <w:tc>
          <w:tcPr>
            <w:tcW w:w="1936" w:type="dxa"/>
            <w:vAlign w:val="center"/>
          </w:tcPr>
          <w:p w14:paraId="2BE1F78A">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0.2912</w:t>
            </w:r>
          </w:p>
        </w:tc>
        <w:tc>
          <w:tcPr>
            <w:tcW w:w="1619" w:type="dxa"/>
            <w:vAlign w:val="center"/>
          </w:tcPr>
          <w:p w14:paraId="4E7A18C9">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2.912</w:t>
            </w:r>
          </w:p>
        </w:tc>
      </w:tr>
      <w:tr w14:paraId="54036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25" w:type="pct"/>
            <w:vAlign w:val="center"/>
          </w:tcPr>
          <w:p w14:paraId="434B8E2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26</w:t>
            </w:r>
          </w:p>
        </w:tc>
        <w:tc>
          <w:tcPr>
            <w:tcW w:w="761" w:type="pct"/>
            <w:vAlign w:val="center"/>
          </w:tcPr>
          <w:p w14:paraId="7DF8CCC6">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2400</w:t>
            </w:r>
          </w:p>
        </w:tc>
        <w:tc>
          <w:tcPr>
            <w:tcW w:w="1934" w:type="dxa"/>
            <w:vAlign w:val="center"/>
          </w:tcPr>
          <w:p w14:paraId="4AA4A538">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3.957</w:t>
            </w:r>
          </w:p>
        </w:tc>
        <w:tc>
          <w:tcPr>
            <w:tcW w:w="1774" w:type="dxa"/>
            <w:vAlign w:val="center"/>
          </w:tcPr>
          <w:p w14:paraId="6F81D0BE">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1.9785</w:t>
            </w:r>
          </w:p>
        </w:tc>
        <w:tc>
          <w:tcPr>
            <w:tcW w:w="1936" w:type="dxa"/>
            <w:vAlign w:val="center"/>
          </w:tcPr>
          <w:p w14:paraId="7ABF9B49">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0.2826</w:t>
            </w:r>
          </w:p>
        </w:tc>
        <w:tc>
          <w:tcPr>
            <w:tcW w:w="1619" w:type="dxa"/>
            <w:vAlign w:val="center"/>
          </w:tcPr>
          <w:p w14:paraId="174C501D">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2.826</w:t>
            </w:r>
          </w:p>
        </w:tc>
      </w:tr>
      <w:tr w14:paraId="61A2B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25" w:type="pct"/>
            <w:vAlign w:val="center"/>
          </w:tcPr>
          <w:p w14:paraId="6C9D36B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27</w:t>
            </w:r>
          </w:p>
        </w:tc>
        <w:tc>
          <w:tcPr>
            <w:tcW w:w="761" w:type="pct"/>
            <w:vAlign w:val="center"/>
          </w:tcPr>
          <w:p w14:paraId="42754C9D">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2500</w:t>
            </w:r>
          </w:p>
        </w:tc>
        <w:tc>
          <w:tcPr>
            <w:tcW w:w="1934" w:type="dxa"/>
            <w:vAlign w:val="center"/>
          </w:tcPr>
          <w:p w14:paraId="24A2A848">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3.845</w:t>
            </w:r>
          </w:p>
        </w:tc>
        <w:tc>
          <w:tcPr>
            <w:tcW w:w="1774" w:type="dxa"/>
            <w:vAlign w:val="center"/>
          </w:tcPr>
          <w:p w14:paraId="51BAD976">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1.9225</w:t>
            </w:r>
          </w:p>
        </w:tc>
        <w:tc>
          <w:tcPr>
            <w:tcW w:w="1936" w:type="dxa"/>
            <w:vAlign w:val="center"/>
          </w:tcPr>
          <w:p w14:paraId="5199684B">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0.2746</w:t>
            </w:r>
          </w:p>
        </w:tc>
        <w:tc>
          <w:tcPr>
            <w:tcW w:w="1619" w:type="dxa"/>
            <w:vAlign w:val="center"/>
          </w:tcPr>
          <w:p w14:paraId="5393DF83">
            <w:pPr>
              <w:keepNext w:val="0"/>
              <w:keepLines w:val="0"/>
              <w:pageBreakBefore w:val="0"/>
              <w:widowControl w:val="0"/>
              <w:suppressLineNumbers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hint="eastAsia" w:ascii="Times New Roman" w:hAnsi="Times New Roman" w:eastAsia="宋体" w:cs="宋体"/>
                <w:i w:val="0"/>
                <w:iCs w:val="0"/>
                <w:color w:val="auto"/>
                <w:kern w:val="0"/>
                <w:sz w:val="21"/>
                <w:szCs w:val="22"/>
                <w:highlight w:val="none"/>
                <w:u w:val="none"/>
                <w:lang w:val="en-US" w:eastAsia="zh-CN" w:bidi="ar"/>
              </w:rPr>
              <w:t>2.746</w:t>
            </w:r>
          </w:p>
        </w:tc>
      </w:tr>
      <w:tr w14:paraId="61ED7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1187" w:type="pct"/>
            <w:gridSpan w:val="2"/>
            <w:vAlign w:val="center"/>
          </w:tcPr>
          <w:p w14:paraId="503E73C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b w:val="0"/>
                <w:color w:val="auto"/>
                <w:spacing w:val="0"/>
                <w:position w:val="0"/>
                <w:sz w:val="21"/>
                <w:szCs w:val="21"/>
                <w:highlight w:val="none"/>
                <w:lang w:eastAsia="zh-CN"/>
              </w:rPr>
            </w:pPr>
            <w:r>
              <w:rPr>
                <w:rFonts w:ascii="Times New Roman" w:hAnsi="Times New Roman" w:eastAsia="宋体" w:cs="宋体"/>
                <w:b w:val="0"/>
                <w:color w:val="auto"/>
                <w:spacing w:val="0"/>
                <w:position w:val="0"/>
                <w:sz w:val="21"/>
                <w:szCs w:val="21"/>
                <w:highlight w:val="none"/>
              </w:rPr>
              <w:t>下风向最大质量浓度及占标率</w:t>
            </w:r>
            <w:r>
              <w:rPr>
                <w:rFonts w:hint="eastAsia" w:ascii="Times New Roman" w:hAnsi="Times New Roman" w:eastAsia="宋体" w:cs="宋体"/>
                <w:b w:val="0"/>
                <w:color w:val="auto"/>
                <w:spacing w:val="0"/>
                <w:position w:val="0"/>
                <w:sz w:val="21"/>
                <w:szCs w:val="21"/>
                <w:highlight w:val="none"/>
                <w:lang w:eastAsia="zh-CN"/>
              </w:rPr>
              <w:t>（</w:t>
            </w:r>
            <w:r>
              <w:rPr>
                <w:rFonts w:ascii="Times New Roman" w:hAnsi="Times New Roman" w:eastAsia="宋体" w:cs="Times New Roman"/>
                <w:b w:val="0"/>
                <w:color w:val="auto"/>
                <w:spacing w:val="0"/>
                <w:position w:val="0"/>
                <w:sz w:val="21"/>
                <w:szCs w:val="21"/>
                <w:highlight w:val="none"/>
              </w:rPr>
              <w:t>%</w:t>
            </w:r>
            <w:r>
              <w:rPr>
                <w:rFonts w:hint="eastAsia" w:ascii="Times New Roman" w:hAnsi="Times New Roman" w:eastAsia="宋体" w:cs="宋体"/>
                <w:b w:val="0"/>
                <w:color w:val="auto"/>
                <w:spacing w:val="0"/>
                <w:position w:val="0"/>
                <w:sz w:val="21"/>
                <w:szCs w:val="21"/>
                <w:highlight w:val="none"/>
                <w:lang w:eastAsia="zh-CN"/>
              </w:rPr>
              <w:t>）</w:t>
            </w:r>
          </w:p>
        </w:tc>
        <w:tc>
          <w:tcPr>
            <w:tcW w:w="1015" w:type="pct"/>
            <w:vAlign w:val="center"/>
          </w:tcPr>
          <w:p w14:paraId="19B9A05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val="0"/>
                <w:color w:val="auto"/>
                <w:spacing w:val="0"/>
                <w:position w:val="0"/>
                <w:sz w:val="21"/>
                <w:szCs w:val="21"/>
                <w:highlight w:val="none"/>
                <w:lang w:val="en-US" w:eastAsia="zh-CN"/>
              </w:rPr>
            </w:pPr>
            <w:r>
              <w:rPr>
                <w:rFonts w:hint="eastAsia" w:ascii="Times New Roman" w:hAnsi="Times New Roman" w:eastAsia="宋体" w:cs="Times New Roman"/>
                <w:b w:val="0"/>
                <w:color w:val="auto"/>
                <w:spacing w:val="0"/>
                <w:position w:val="0"/>
                <w:sz w:val="21"/>
                <w:szCs w:val="21"/>
                <w:highlight w:val="none"/>
                <w:lang w:val="en-US" w:eastAsia="zh-CN"/>
              </w:rPr>
              <w:t>11.68</w:t>
            </w:r>
          </w:p>
        </w:tc>
        <w:tc>
          <w:tcPr>
            <w:tcW w:w="931" w:type="pct"/>
            <w:vAlign w:val="center"/>
          </w:tcPr>
          <w:p w14:paraId="338C7DE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val="0"/>
                <w:color w:val="auto"/>
                <w:spacing w:val="0"/>
                <w:position w:val="0"/>
                <w:sz w:val="21"/>
                <w:szCs w:val="21"/>
                <w:highlight w:val="none"/>
                <w:lang w:val="en-US" w:eastAsia="zh-CN"/>
              </w:rPr>
            </w:pPr>
            <w:r>
              <w:rPr>
                <w:rFonts w:hint="eastAsia" w:ascii="Times New Roman" w:hAnsi="Times New Roman" w:eastAsia="宋体" w:cs="Times New Roman"/>
                <w:b w:val="0"/>
                <w:color w:val="auto"/>
                <w:spacing w:val="0"/>
                <w:position w:val="0"/>
                <w:sz w:val="21"/>
                <w:szCs w:val="21"/>
                <w:highlight w:val="none"/>
                <w:lang w:val="en-US" w:eastAsia="zh-CN"/>
              </w:rPr>
              <w:t>5.84</w:t>
            </w:r>
          </w:p>
        </w:tc>
        <w:tc>
          <w:tcPr>
            <w:tcW w:w="1016" w:type="pct"/>
            <w:vAlign w:val="center"/>
          </w:tcPr>
          <w:p w14:paraId="62E4520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val="0"/>
                <w:color w:val="auto"/>
                <w:spacing w:val="0"/>
                <w:position w:val="0"/>
                <w:sz w:val="21"/>
                <w:szCs w:val="21"/>
                <w:highlight w:val="none"/>
                <w:lang w:val="en-US" w:eastAsia="zh-CN"/>
              </w:rPr>
            </w:pPr>
            <w:r>
              <w:rPr>
                <w:rFonts w:hint="eastAsia" w:ascii="Times New Roman" w:hAnsi="Times New Roman" w:eastAsia="宋体" w:cs="Times New Roman"/>
                <w:b w:val="0"/>
                <w:color w:val="auto"/>
                <w:spacing w:val="0"/>
                <w:position w:val="0"/>
                <w:sz w:val="21"/>
                <w:szCs w:val="21"/>
                <w:highlight w:val="none"/>
                <w:lang w:val="en-US" w:eastAsia="zh-CN"/>
              </w:rPr>
              <w:t>0.93</w:t>
            </w:r>
          </w:p>
        </w:tc>
        <w:tc>
          <w:tcPr>
            <w:tcW w:w="849" w:type="pct"/>
            <w:vAlign w:val="center"/>
          </w:tcPr>
          <w:p w14:paraId="79EB66D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val="0"/>
                <w:color w:val="auto"/>
                <w:spacing w:val="0"/>
                <w:position w:val="0"/>
                <w:sz w:val="21"/>
                <w:szCs w:val="21"/>
                <w:highlight w:val="none"/>
                <w:lang w:val="en-US" w:eastAsia="zh-CN"/>
              </w:rPr>
            </w:pPr>
            <w:r>
              <w:rPr>
                <w:rFonts w:hint="eastAsia" w:ascii="Times New Roman" w:hAnsi="Times New Roman" w:eastAsia="宋体" w:cs="Times New Roman"/>
                <w:b w:val="0"/>
                <w:color w:val="auto"/>
                <w:spacing w:val="0"/>
                <w:position w:val="0"/>
                <w:sz w:val="21"/>
                <w:szCs w:val="21"/>
                <w:highlight w:val="none"/>
                <w:lang w:val="en-US" w:eastAsia="zh-CN"/>
              </w:rPr>
              <w:t>9.3</w:t>
            </w:r>
          </w:p>
        </w:tc>
      </w:tr>
      <w:tr w14:paraId="3FE60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1187" w:type="pct"/>
            <w:gridSpan w:val="2"/>
            <w:vAlign w:val="center"/>
          </w:tcPr>
          <w:p w14:paraId="6058A3B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b w:val="0"/>
                <w:color w:val="auto"/>
                <w:spacing w:val="0"/>
                <w:position w:val="0"/>
                <w:sz w:val="21"/>
                <w:szCs w:val="21"/>
                <w:highlight w:val="none"/>
              </w:rPr>
            </w:pPr>
            <w:r>
              <w:rPr>
                <w:rFonts w:ascii="Times New Roman" w:hAnsi="Times New Roman" w:eastAsia="宋体" w:cs="Times New Roman"/>
                <w:b w:val="0"/>
                <w:color w:val="auto"/>
                <w:spacing w:val="0"/>
                <w:position w:val="0"/>
                <w:sz w:val="21"/>
                <w:szCs w:val="21"/>
                <w:highlight w:val="none"/>
              </w:rPr>
              <w:t>D</w:t>
            </w:r>
            <w:r>
              <w:rPr>
                <w:rFonts w:ascii="Times New Roman" w:hAnsi="Times New Roman" w:eastAsia="宋体" w:cs="Times New Roman"/>
                <w:b w:val="0"/>
                <w:color w:val="auto"/>
                <w:spacing w:val="0"/>
                <w:position w:val="0"/>
                <w:sz w:val="21"/>
                <w:szCs w:val="14"/>
                <w:highlight w:val="none"/>
              </w:rPr>
              <w:t>10%</w:t>
            </w:r>
            <w:r>
              <w:rPr>
                <w:rFonts w:ascii="Times New Roman" w:hAnsi="Times New Roman" w:eastAsia="宋体" w:cs="宋体"/>
                <w:b w:val="0"/>
                <w:color w:val="auto"/>
                <w:spacing w:val="0"/>
                <w:position w:val="0"/>
                <w:sz w:val="21"/>
                <w:szCs w:val="21"/>
                <w:highlight w:val="none"/>
              </w:rPr>
              <w:t>最远距离</w:t>
            </w:r>
            <w:r>
              <w:rPr>
                <w:rFonts w:ascii="Times New Roman" w:hAnsi="Times New Roman" w:eastAsia="宋体" w:cs="Times New Roman"/>
                <w:b w:val="0"/>
                <w:color w:val="auto"/>
                <w:spacing w:val="0"/>
                <w:position w:val="0"/>
                <w:sz w:val="21"/>
                <w:szCs w:val="21"/>
                <w:highlight w:val="none"/>
              </w:rPr>
              <w:t>/m</w:t>
            </w:r>
          </w:p>
        </w:tc>
        <w:tc>
          <w:tcPr>
            <w:tcW w:w="3812" w:type="pct"/>
            <w:gridSpan w:val="4"/>
            <w:vAlign w:val="center"/>
          </w:tcPr>
          <w:p w14:paraId="57B0173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val="0"/>
                <w:color w:val="auto"/>
                <w:spacing w:val="0"/>
                <w:position w:val="0"/>
                <w:sz w:val="21"/>
                <w:szCs w:val="21"/>
                <w:highlight w:val="none"/>
                <w:lang w:val="en-US" w:eastAsia="zh-CN"/>
              </w:rPr>
            </w:pPr>
            <w:r>
              <w:rPr>
                <w:rFonts w:hint="eastAsia" w:ascii="Times New Roman" w:hAnsi="Times New Roman" w:eastAsia="宋体" w:cs="Times New Roman"/>
                <w:b w:val="0"/>
                <w:color w:val="auto"/>
                <w:spacing w:val="0"/>
                <w:position w:val="0"/>
                <w:sz w:val="21"/>
                <w:szCs w:val="21"/>
                <w:highlight w:val="none"/>
                <w:lang w:val="en-US" w:eastAsia="zh-CN"/>
              </w:rPr>
              <w:t>400</w:t>
            </w:r>
          </w:p>
        </w:tc>
      </w:tr>
    </w:tbl>
    <w:p w14:paraId="4D383C70">
      <w:pPr>
        <w:spacing w:before="25" w:line="224" w:lineRule="auto"/>
        <w:ind w:left="398"/>
        <w:rPr>
          <w:rFonts w:ascii="Times New Roman" w:hAnsi="Times New Roman" w:eastAsia="宋体" w:cs="宋体"/>
          <w:color w:val="auto"/>
          <w:sz w:val="18"/>
          <w:szCs w:val="18"/>
          <w:highlight w:val="none"/>
        </w:rPr>
      </w:pPr>
      <w:r>
        <w:rPr>
          <w:rFonts w:ascii="Times New Roman" w:hAnsi="Times New Roman" w:eastAsia="宋体" w:cs="宋体"/>
          <w:color w:val="auto"/>
          <w:spacing w:val="1"/>
          <w:sz w:val="18"/>
          <w:szCs w:val="18"/>
          <w:highlight w:val="none"/>
          <w14:textOutline w14:w="3265" w14:cap="flat" w14:cmpd="sng">
            <w14:solidFill>
              <w14:srgbClr w14:val="000000"/>
            </w14:solidFill>
            <w14:prstDash w14:val="solid"/>
            <w14:miter w14:val="0"/>
          </w14:textOutline>
        </w:rPr>
        <w:t>注</w:t>
      </w:r>
      <w:r>
        <w:rPr>
          <w:rFonts w:ascii="Times New Roman" w:hAnsi="Times New Roman" w:eastAsia="宋体" w:cs="宋体"/>
          <w:color w:val="auto"/>
          <w:sz w:val="18"/>
          <w:szCs w:val="18"/>
          <w:highlight w:val="none"/>
          <w14:textOutline w14:w="3265" w14:cap="flat" w14:cmpd="sng">
            <w14:solidFill>
              <w14:srgbClr w14:val="000000"/>
            </w14:solidFill>
            <w14:prstDash w14:val="solid"/>
            <w14:miter w14:val="0"/>
          </w14:textOutline>
        </w:rPr>
        <w:t>：表中黑体部分为最大落地浓度</w:t>
      </w:r>
    </w:p>
    <w:p w14:paraId="3FE34C2D">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宋体"/>
          <w:i w:val="0"/>
          <w:color w:val="auto"/>
          <w:spacing w:val="0"/>
          <w:position w:val="0"/>
          <w:sz w:val="24"/>
          <w:szCs w:val="24"/>
          <w:highlight w:val="none"/>
        </w:rPr>
        <w:t>根据估算结果表明，</w:t>
      </w:r>
      <w:r>
        <w:rPr>
          <w:rFonts w:ascii="Times New Roman" w:hAnsi="Times New Roman" w:eastAsia="宋体" w:cs="Times New Roman"/>
          <w:i w:val="0"/>
          <w:color w:val="auto"/>
          <w:spacing w:val="0"/>
          <w:position w:val="0"/>
          <w:sz w:val="24"/>
          <w:szCs w:val="24"/>
          <w:highlight w:val="none"/>
        </w:rPr>
        <w:t>NH</w:t>
      </w:r>
      <w:r>
        <w:rPr>
          <w:rFonts w:ascii="Times New Roman" w:hAnsi="Times New Roman" w:eastAsia="宋体" w:cs="Times New Roman"/>
          <w:i w:val="0"/>
          <w:color w:val="auto"/>
          <w:spacing w:val="0"/>
          <w:position w:val="0"/>
          <w:sz w:val="24"/>
          <w:szCs w:val="15"/>
          <w:highlight w:val="none"/>
          <w:vertAlign w:val="subscript"/>
        </w:rPr>
        <w:t>3</w:t>
      </w:r>
      <w:r>
        <w:rPr>
          <w:rFonts w:ascii="Times New Roman" w:hAnsi="Times New Roman" w:eastAsia="宋体" w:cs="宋体"/>
          <w:i w:val="0"/>
          <w:color w:val="auto"/>
          <w:spacing w:val="0"/>
          <w:position w:val="0"/>
          <w:sz w:val="24"/>
          <w:szCs w:val="24"/>
          <w:highlight w:val="none"/>
        </w:rPr>
        <w:t>和</w:t>
      </w:r>
      <w:r>
        <w:rPr>
          <w:rFonts w:ascii="Times New Roman" w:hAnsi="Times New Roman" w:eastAsia="宋体" w:cs="Times New Roman"/>
          <w:i w:val="0"/>
          <w:color w:val="auto"/>
          <w:spacing w:val="0"/>
          <w:position w:val="0"/>
          <w:sz w:val="24"/>
          <w:szCs w:val="24"/>
          <w:highlight w:val="none"/>
        </w:rPr>
        <w:t>H</w:t>
      </w:r>
      <w:r>
        <w:rPr>
          <w:rFonts w:ascii="Times New Roman" w:hAnsi="Times New Roman" w:eastAsia="宋体" w:cs="Times New Roman"/>
          <w:i w:val="0"/>
          <w:color w:val="auto"/>
          <w:spacing w:val="0"/>
          <w:position w:val="0"/>
          <w:sz w:val="24"/>
          <w:szCs w:val="15"/>
          <w:highlight w:val="none"/>
          <w:vertAlign w:val="subscript"/>
        </w:rPr>
        <w:t>2</w:t>
      </w:r>
      <w:r>
        <w:rPr>
          <w:rFonts w:ascii="Times New Roman" w:hAnsi="Times New Roman" w:eastAsia="宋体" w:cs="Times New Roman"/>
          <w:i w:val="0"/>
          <w:color w:val="auto"/>
          <w:spacing w:val="0"/>
          <w:position w:val="0"/>
          <w:sz w:val="24"/>
          <w:szCs w:val="24"/>
          <w:highlight w:val="none"/>
        </w:rPr>
        <w:t>S</w:t>
      </w:r>
      <w:r>
        <w:rPr>
          <w:rFonts w:ascii="Times New Roman" w:hAnsi="Times New Roman" w:eastAsia="宋体" w:cs="宋体"/>
          <w:i w:val="0"/>
          <w:color w:val="auto"/>
          <w:spacing w:val="0"/>
          <w:position w:val="0"/>
          <w:sz w:val="24"/>
          <w:szCs w:val="24"/>
          <w:highlight w:val="none"/>
        </w:rPr>
        <w:t>最大地面空气质量浓度出现在距离厂界</w:t>
      </w:r>
      <w:r>
        <w:rPr>
          <w:rFonts w:hint="eastAsia" w:cs="Times New Roman"/>
          <w:i w:val="0"/>
          <w:color w:val="auto"/>
          <w:spacing w:val="0"/>
          <w:position w:val="0"/>
          <w:sz w:val="24"/>
          <w:szCs w:val="24"/>
          <w:highlight w:val="none"/>
          <w:lang w:val="en-US" w:eastAsia="zh-CN"/>
        </w:rPr>
        <w:t>400</w:t>
      </w:r>
      <w:r>
        <w:rPr>
          <w:rFonts w:ascii="Times New Roman" w:hAnsi="Times New Roman" w:eastAsia="宋体" w:cs="Times New Roman"/>
          <w:i w:val="0"/>
          <w:color w:val="auto"/>
          <w:spacing w:val="0"/>
          <w:position w:val="0"/>
          <w:sz w:val="24"/>
          <w:szCs w:val="24"/>
          <w:highlight w:val="none"/>
        </w:rPr>
        <w:t>m</w:t>
      </w:r>
      <w:r>
        <w:rPr>
          <w:rFonts w:ascii="Times New Roman" w:hAnsi="Times New Roman" w:eastAsia="宋体" w:cs="宋体"/>
          <w:i w:val="0"/>
          <w:color w:val="auto"/>
          <w:spacing w:val="0"/>
          <w:position w:val="0"/>
          <w:sz w:val="24"/>
          <w:szCs w:val="24"/>
          <w:highlight w:val="none"/>
        </w:rPr>
        <w:t>处，最大地面空气质量浓度分别为</w:t>
      </w:r>
      <w:r>
        <w:rPr>
          <w:rFonts w:hint="eastAsia" w:cs="Times New Roman"/>
          <w:i w:val="0"/>
          <w:color w:val="auto"/>
          <w:spacing w:val="0"/>
          <w:position w:val="0"/>
          <w:sz w:val="24"/>
          <w:szCs w:val="24"/>
          <w:highlight w:val="none"/>
          <w:lang w:val="en-US" w:eastAsia="zh-CN"/>
        </w:rPr>
        <w:t>11.68u</w:t>
      </w:r>
      <w:r>
        <w:rPr>
          <w:rFonts w:ascii="Times New Roman" w:hAnsi="Times New Roman" w:eastAsia="宋体" w:cs="Times New Roman"/>
          <w:i w:val="0"/>
          <w:color w:val="auto"/>
          <w:spacing w:val="0"/>
          <w:position w:val="0"/>
          <w:sz w:val="24"/>
          <w:szCs w:val="24"/>
          <w:highlight w:val="none"/>
        </w:rPr>
        <w:t>g/m</w:t>
      </w:r>
      <w:r>
        <w:rPr>
          <w:rFonts w:ascii="Times New Roman" w:hAnsi="Times New Roman" w:eastAsia="宋体" w:cs="Times New Roman"/>
          <w:i w:val="0"/>
          <w:color w:val="auto"/>
          <w:spacing w:val="0"/>
          <w:position w:val="0"/>
          <w:sz w:val="24"/>
          <w:szCs w:val="15"/>
          <w:highlight w:val="none"/>
          <w:vertAlign w:val="superscript"/>
        </w:rPr>
        <w:t>3</w:t>
      </w:r>
      <w:r>
        <w:rPr>
          <w:rFonts w:ascii="Times New Roman" w:hAnsi="Times New Roman" w:eastAsia="宋体" w:cs="宋体"/>
          <w:i w:val="0"/>
          <w:color w:val="auto"/>
          <w:spacing w:val="0"/>
          <w:position w:val="0"/>
          <w:sz w:val="24"/>
          <w:szCs w:val="24"/>
          <w:highlight w:val="none"/>
        </w:rPr>
        <w:t>和</w:t>
      </w:r>
      <w:r>
        <w:rPr>
          <w:rFonts w:hint="eastAsia" w:cs="Times New Roman"/>
          <w:i w:val="0"/>
          <w:color w:val="auto"/>
          <w:spacing w:val="0"/>
          <w:position w:val="0"/>
          <w:sz w:val="24"/>
          <w:szCs w:val="24"/>
          <w:highlight w:val="none"/>
          <w:lang w:val="en-US" w:eastAsia="zh-CN"/>
        </w:rPr>
        <w:t>0.93u</w:t>
      </w:r>
      <w:r>
        <w:rPr>
          <w:rFonts w:ascii="Times New Roman" w:hAnsi="Times New Roman" w:eastAsia="宋体" w:cs="Times New Roman"/>
          <w:i w:val="0"/>
          <w:color w:val="auto"/>
          <w:spacing w:val="0"/>
          <w:position w:val="0"/>
          <w:sz w:val="24"/>
          <w:szCs w:val="24"/>
          <w:highlight w:val="none"/>
        </w:rPr>
        <w:t>g/m</w:t>
      </w:r>
      <w:r>
        <w:rPr>
          <w:rFonts w:ascii="Times New Roman" w:hAnsi="Times New Roman" w:eastAsia="宋体" w:cs="Times New Roman"/>
          <w:i w:val="0"/>
          <w:color w:val="auto"/>
          <w:spacing w:val="0"/>
          <w:position w:val="0"/>
          <w:sz w:val="24"/>
          <w:szCs w:val="15"/>
          <w:highlight w:val="none"/>
          <w:vertAlign w:val="superscript"/>
        </w:rPr>
        <w:t>3</w:t>
      </w:r>
      <w:r>
        <w:rPr>
          <w:rFonts w:ascii="Times New Roman" w:hAnsi="Times New Roman" w:eastAsia="宋体" w:cs="宋体"/>
          <w:i w:val="0"/>
          <w:color w:val="auto"/>
          <w:spacing w:val="0"/>
          <w:position w:val="0"/>
          <w:sz w:val="24"/>
          <w:szCs w:val="24"/>
          <w:highlight w:val="none"/>
        </w:rPr>
        <w:t>，占标率分别为</w:t>
      </w:r>
      <w:r>
        <w:rPr>
          <w:rFonts w:hint="eastAsia" w:cs="Times New Roman"/>
          <w:i w:val="0"/>
          <w:color w:val="auto"/>
          <w:spacing w:val="0"/>
          <w:position w:val="0"/>
          <w:sz w:val="24"/>
          <w:szCs w:val="24"/>
          <w:highlight w:val="none"/>
          <w:lang w:val="en-US" w:eastAsia="zh-CN"/>
        </w:rPr>
        <w:t>5.84</w:t>
      </w:r>
      <w:r>
        <w:rPr>
          <w:rFonts w:ascii="Times New Roman" w:hAnsi="Times New Roman" w:eastAsia="宋体" w:cs="Times New Roman"/>
          <w:i w:val="0"/>
          <w:color w:val="auto"/>
          <w:spacing w:val="0"/>
          <w:position w:val="0"/>
          <w:sz w:val="24"/>
          <w:szCs w:val="24"/>
          <w:highlight w:val="none"/>
        </w:rPr>
        <w:t>%</w:t>
      </w:r>
      <w:r>
        <w:rPr>
          <w:rFonts w:ascii="Times New Roman" w:hAnsi="Times New Roman" w:eastAsia="宋体" w:cs="宋体"/>
          <w:i w:val="0"/>
          <w:color w:val="auto"/>
          <w:spacing w:val="0"/>
          <w:position w:val="0"/>
          <w:sz w:val="24"/>
          <w:szCs w:val="24"/>
          <w:highlight w:val="none"/>
        </w:rPr>
        <w:t>和</w:t>
      </w:r>
      <w:r>
        <w:rPr>
          <w:rFonts w:hint="eastAsia" w:cs="Times New Roman"/>
          <w:i w:val="0"/>
          <w:color w:val="auto"/>
          <w:spacing w:val="0"/>
          <w:position w:val="0"/>
          <w:sz w:val="24"/>
          <w:szCs w:val="24"/>
          <w:highlight w:val="none"/>
          <w:lang w:val="en-US" w:eastAsia="zh-CN"/>
        </w:rPr>
        <w:t>9.3</w:t>
      </w:r>
      <w:r>
        <w:rPr>
          <w:rFonts w:ascii="Times New Roman" w:hAnsi="Times New Roman" w:eastAsia="宋体" w:cs="Times New Roman"/>
          <w:i w:val="0"/>
          <w:color w:val="auto"/>
          <w:spacing w:val="0"/>
          <w:position w:val="0"/>
          <w:sz w:val="24"/>
          <w:szCs w:val="24"/>
          <w:highlight w:val="none"/>
        </w:rPr>
        <w:t>%</w:t>
      </w:r>
      <w:r>
        <w:rPr>
          <w:rFonts w:ascii="Times New Roman" w:hAnsi="Times New Roman" w:eastAsia="宋体" w:cs="宋体"/>
          <w:i w:val="0"/>
          <w:color w:val="auto"/>
          <w:spacing w:val="0"/>
          <w:position w:val="0"/>
          <w:sz w:val="24"/>
          <w:szCs w:val="24"/>
          <w:highlight w:val="none"/>
        </w:rPr>
        <w:t>，均远小于《环境影响评价技术导则大气环境》</w:t>
      </w: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0HJ2.2-2018</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附录</w:t>
      </w:r>
      <w:r>
        <w:rPr>
          <w:rFonts w:ascii="Times New Roman" w:hAnsi="Times New Roman" w:eastAsia="宋体" w:cs="Times New Roman"/>
          <w:i w:val="0"/>
          <w:color w:val="auto"/>
          <w:spacing w:val="0"/>
          <w:position w:val="0"/>
          <w:sz w:val="24"/>
          <w:szCs w:val="24"/>
          <w:highlight w:val="none"/>
        </w:rPr>
        <w:t>D</w:t>
      </w:r>
      <w:r>
        <w:rPr>
          <w:rFonts w:ascii="Times New Roman" w:hAnsi="Times New Roman" w:eastAsia="宋体" w:cs="宋体"/>
          <w:i w:val="0"/>
          <w:color w:val="auto"/>
          <w:spacing w:val="0"/>
          <w:position w:val="0"/>
          <w:sz w:val="24"/>
          <w:szCs w:val="24"/>
          <w:highlight w:val="none"/>
        </w:rPr>
        <w:t>浓度限值要求。</w:t>
      </w:r>
    </w:p>
    <w:p w14:paraId="0B4C6173">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Times New Roman"/>
          <w:i w:val="0"/>
          <w:color w:val="auto"/>
          <w:spacing w:val="0"/>
          <w:position w:val="0"/>
          <w:sz w:val="24"/>
          <w:szCs w:val="24"/>
          <w:highlight w:val="none"/>
        </w:rPr>
        <w:t>3</w:t>
      </w:r>
      <w:r>
        <w:rPr>
          <w:rFonts w:ascii="Times New Roman" w:hAnsi="Times New Roman" w:eastAsia="宋体" w:cs="宋体"/>
          <w:i w:val="0"/>
          <w:color w:val="auto"/>
          <w:spacing w:val="0"/>
          <w:position w:val="0"/>
          <w:sz w:val="24"/>
          <w:szCs w:val="24"/>
          <w:highlight w:val="none"/>
        </w:rPr>
        <w:t>、污染物排放量核算</w:t>
      </w:r>
    </w:p>
    <w:p w14:paraId="4DB9F1B9">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宋体"/>
          <w:i w:val="0"/>
          <w:color w:val="auto"/>
          <w:spacing w:val="0"/>
          <w:position w:val="0"/>
          <w:sz w:val="24"/>
          <w:szCs w:val="24"/>
          <w:highlight w:val="none"/>
        </w:rPr>
        <w:t>项目大气污染物无组织排放量核算详见表</w:t>
      </w:r>
      <w:r>
        <w:rPr>
          <w:rFonts w:hint="eastAsia" w:ascii="Times New Roman" w:hAnsi="Times New Roman" w:eastAsia="宋体" w:cs="Times New Roman"/>
          <w:i w:val="0"/>
          <w:color w:val="auto"/>
          <w:spacing w:val="0"/>
          <w:position w:val="0"/>
          <w:sz w:val="24"/>
          <w:szCs w:val="24"/>
          <w:highlight w:val="none"/>
          <w:lang w:val="en-US" w:eastAsia="zh-CN"/>
        </w:rPr>
        <w:t>5</w:t>
      </w:r>
      <w:r>
        <w:rPr>
          <w:rFonts w:ascii="Times New Roman" w:hAnsi="Times New Roman" w:eastAsia="宋体" w:cs="Times New Roman"/>
          <w:i w:val="0"/>
          <w:color w:val="auto"/>
          <w:spacing w:val="0"/>
          <w:position w:val="0"/>
          <w:sz w:val="24"/>
          <w:szCs w:val="24"/>
          <w:highlight w:val="none"/>
        </w:rPr>
        <w:t>.2-6</w:t>
      </w:r>
      <w:r>
        <w:rPr>
          <w:rFonts w:ascii="Times New Roman" w:hAnsi="Times New Roman" w:eastAsia="宋体" w:cs="宋体"/>
          <w:i w:val="0"/>
          <w:color w:val="auto"/>
          <w:spacing w:val="0"/>
          <w:position w:val="0"/>
          <w:sz w:val="24"/>
          <w:szCs w:val="24"/>
          <w:highlight w:val="none"/>
        </w:rPr>
        <w:t>；项目大气污染物无组织排放量核算详见表</w:t>
      </w:r>
      <w:r>
        <w:rPr>
          <w:rFonts w:hint="eastAsia" w:ascii="Times New Roman" w:hAnsi="Times New Roman" w:eastAsia="宋体" w:cs="Times New Roman"/>
          <w:i w:val="0"/>
          <w:color w:val="auto"/>
          <w:spacing w:val="0"/>
          <w:position w:val="0"/>
          <w:sz w:val="24"/>
          <w:szCs w:val="24"/>
          <w:highlight w:val="none"/>
          <w:lang w:val="en-US" w:eastAsia="zh-CN"/>
        </w:rPr>
        <w:t>5</w:t>
      </w:r>
      <w:r>
        <w:rPr>
          <w:rFonts w:ascii="Times New Roman" w:hAnsi="Times New Roman" w:eastAsia="宋体" w:cs="Times New Roman"/>
          <w:i w:val="0"/>
          <w:color w:val="auto"/>
          <w:spacing w:val="0"/>
          <w:position w:val="0"/>
          <w:sz w:val="24"/>
          <w:szCs w:val="24"/>
          <w:highlight w:val="none"/>
        </w:rPr>
        <w:t>.2-7</w:t>
      </w:r>
      <w:r>
        <w:rPr>
          <w:rFonts w:ascii="Times New Roman" w:hAnsi="Times New Roman" w:eastAsia="宋体" w:cs="宋体"/>
          <w:i w:val="0"/>
          <w:color w:val="auto"/>
          <w:spacing w:val="0"/>
          <w:position w:val="0"/>
          <w:sz w:val="24"/>
          <w:szCs w:val="24"/>
          <w:highlight w:val="none"/>
        </w:rPr>
        <w:t>，大气污染物年排放量核算详见表</w:t>
      </w:r>
      <w:r>
        <w:rPr>
          <w:rFonts w:hint="eastAsia" w:ascii="Times New Roman" w:hAnsi="Times New Roman" w:eastAsia="宋体" w:cs="Times New Roman"/>
          <w:i w:val="0"/>
          <w:color w:val="auto"/>
          <w:spacing w:val="0"/>
          <w:position w:val="0"/>
          <w:sz w:val="24"/>
          <w:szCs w:val="24"/>
          <w:highlight w:val="none"/>
          <w:lang w:val="en-US" w:eastAsia="zh-CN"/>
        </w:rPr>
        <w:t>5</w:t>
      </w:r>
      <w:r>
        <w:rPr>
          <w:rFonts w:ascii="Times New Roman" w:hAnsi="Times New Roman" w:eastAsia="宋体" w:cs="Times New Roman"/>
          <w:i w:val="0"/>
          <w:color w:val="auto"/>
          <w:spacing w:val="0"/>
          <w:position w:val="0"/>
          <w:sz w:val="24"/>
          <w:szCs w:val="24"/>
          <w:highlight w:val="none"/>
        </w:rPr>
        <w:t>.2-8</w:t>
      </w:r>
      <w:r>
        <w:rPr>
          <w:rFonts w:ascii="Times New Roman" w:hAnsi="Times New Roman" w:eastAsia="宋体" w:cs="宋体"/>
          <w:i w:val="0"/>
          <w:color w:val="auto"/>
          <w:spacing w:val="0"/>
          <w:position w:val="0"/>
          <w:sz w:val="24"/>
          <w:szCs w:val="24"/>
          <w:highlight w:val="none"/>
        </w:rPr>
        <w:t>。</w:t>
      </w:r>
    </w:p>
    <w:p w14:paraId="12449E5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i w:val="0"/>
          <w:color w:val="auto"/>
          <w:spacing w:val="0"/>
          <w:position w:val="0"/>
          <w:sz w:val="24"/>
          <w:szCs w:val="21"/>
          <w:highlight w:val="none"/>
        </w:rPr>
      </w:pPr>
      <w:r>
        <w:rPr>
          <w:rFonts w:ascii="Times New Roman" w:hAnsi="Times New Roman" w:eastAsia="宋体" w:cs="黑体"/>
          <w:b/>
          <w:bCs/>
          <w:i w:val="0"/>
          <w:color w:val="auto"/>
          <w:spacing w:val="0"/>
          <w:position w:val="0"/>
          <w:sz w:val="24"/>
          <w:szCs w:val="21"/>
          <w:highlight w:val="none"/>
        </w:rPr>
        <w:t>表</w:t>
      </w:r>
      <w:r>
        <w:rPr>
          <w:rFonts w:hint="eastAsia" w:ascii="Times New Roman" w:hAnsi="Times New Roman" w:eastAsia="宋体" w:cs="Times New Roman"/>
          <w:b/>
          <w:bCs/>
          <w:i w:val="0"/>
          <w:color w:val="auto"/>
          <w:spacing w:val="0"/>
          <w:position w:val="0"/>
          <w:sz w:val="24"/>
          <w:szCs w:val="21"/>
          <w:highlight w:val="none"/>
          <w:lang w:val="en-US" w:eastAsia="zh-CN"/>
        </w:rPr>
        <w:t>5</w:t>
      </w:r>
      <w:r>
        <w:rPr>
          <w:rFonts w:ascii="Times New Roman" w:hAnsi="Times New Roman" w:eastAsia="宋体" w:cs="Times New Roman"/>
          <w:b/>
          <w:bCs/>
          <w:i w:val="0"/>
          <w:color w:val="auto"/>
          <w:spacing w:val="0"/>
          <w:position w:val="0"/>
          <w:sz w:val="24"/>
          <w:szCs w:val="21"/>
          <w:highlight w:val="none"/>
        </w:rPr>
        <w:t>.2-6</w:t>
      </w:r>
      <w:r>
        <w:rPr>
          <w:rFonts w:ascii="Times New Roman" w:hAnsi="Times New Roman" w:eastAsia="宋体" w:cs="黑体"/>
          <w:b/>
          <w:bCs/>
          <w:i w:val="0"/>
          <w:color w:val="auto"/>
          <w:spacing w:val="0"/>
          <w:position w:val="0"/>
          <w:sz w:val="24"/>
          <w:szCs w:val="21"/>
          <w:highlight w:val="none"/>
        </w:rPr>
        <w:t>大气污染物有组织排放量核算表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06"/>
        <w:gridCol w:w="1438"/>
        <w:gridCol w:w="1596"/>
        <w:gridCol w:w="2238"/>
        <w:gridCol w:w="1920"/>
        <w:gridCol w:w="1726"/>
      </w:tblGrid>
      <w:tr w14:paraId="553087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318" w:type="pct"/>
            <w:textDirection w:val="tbRlV"/>
            <w:vAlign w:val="center"/>
          </w:tcPr>
          <w:p w14:paraId="2A65134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序号</w:t>
            </w:r>
          </w:p>
        </w:tc>
        <w:tc>
          <w:tcPr>
            <w:tcW w:w="755" w:type="pct"/>
            <w:vAlign w:val="center"/>
          </w:tcPr>
          <w:p w14:paraId="144005C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排放口编号</w:t>
            </w:r>
          </w:p>
        </w:tc>
        <w:tc>
          <w:tcPr>
            <w:tcW w:w="838" w:type="pct"/>
            <w:vAlign w:val="center"/>
          </w:tcPr>
          <w:p w14:paraId="7A47B18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污染物</w:t>
            </w:r>
          </w:p>
        </w:tc>
        <w:tc>
          <w:tcPr>
            <w:tcW w:w="1175" w:type="pct"/>
            <w:vAlign w:val="center"/>
          </w:tcPr>
          <w:p w14:paraId="26942BD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核算排放浓度</w:t>
            </w:r>
          </w:p>
          <w:p w14:paraId="7E1B78A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mg/m</w:t>
            </w:r>
            <w:r>
              <w:rPr>
                <w:rFonts w:ascii="Times New Roman" w:hAnsi="Times New Roman" w:eastAsia="宋体" w:cs="Times New Roman"/>
                <w:i w:val="0"/>
                <w:color w:val="auto"/>
                <w:spacing w:val="0"/>
                <w:position w:val="0"/>
                <w:sz w:val="21"/>
                <w:szCs w:val="14"/>
                <w:highlight w:val="none"/>
                <w:vertAlign w:val="superscript"/>
              </w:rPr>
              <w:t>3</w:t>
            </w:r>
            <w:r>
              <w:rPr>
                <w:rFonts w:hint="eastAsia" w:cs="宋体"/>
                <w:i w:val="0"/>
                <w:color w:val="auto"/>
                <w:spacing w:val="0"/>
                <w:position w:val="0"/>
                <w:sz w:val="21"/>
                <w:szCs w:val="21"/>
                <w:highlight w:val="none"/>
                <w:lang w:eastAsia="zh-CN"/>
              </w:rPr>
              <w:t>）</w:t>
            </w:r>
          </w:p>
        </w:tc>
        <w:tc>
          <w:tcPr>
            <w:tcW w:w="1006" w:type="pct"/>
            <w:vAlign w:val="center"/>
          </w:tcPr>
          <w:p w14:paraId="3EE0BFD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核算排放速率</w:t>
            </w:r>
          </w:p>
          <w:p w14:paraId="4C82CB1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kg/h</w:t>
            </w:r>
            <w:r>
              <w:rPr>
                <w:rFonts w:hint="eastAsia" w:cs="宋体"/>
                <w:i w:val="0"/>
                <w:color w:val="auto"/>
                <w:spacing w:val="0"/>
                <w:position w:val="0"/>
                <w:sz w:val="21"/>
                <w:szCs w:val="21"/>
                <w:highlight w:val="none"/>
                <w:lang w:eastAsia="zh-CN"/>
              </w:rPr>
              <w:t>）</w:t>
            </w:r>
          </w:p>
        </w:tc>
        <w:tc>
          <w:tcPr>
            <w:tcW w:w="905" w:type="pct"/>
            <w:vAlign w:val="center"/>
          </w:tcPr>
          <w:p w14:paraId="0F76ED7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核算年排放量</w:t>
            </w:r>
          </w:p>
          <w:p w14:paraId="54C4608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r>
              <w:rPr>
                <w:rFonts w:hint="eastAsia" w:cs="宋体"/>
                <w:i w:val="0"/>
                <w:color w:val="auto"/>
                <w:spacing w:val="0"/>
                <w:position w:val="0"/>
                <w:sz w:val="21"/>
                <w:szCs w:val="21"/>
                <w:highlight w:val="none"/>
                <w:lang w:eastAsia="zh-CN"/>
              </w:rPr>
              <w:t>）</w:t>
            </w:r>
          </w:p>
        </w:tc>
      </w:tr>
      <w:tr w14:paraId="293C0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000" w:type="pct"/>
            <w:gridSpan w:val="6"/>
            <w:vAlign w:val="center"/>
          </w:tcPr>
          <w:p w14:paraId="3DC1C4D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主要排放口</w:t>
            </w:r>
          </w:p>
        </w:tc>
      </w:tr>
      <w:tr w14:paraId="42D68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8" w:type="pct"/>
            <w:vAlign w:val="center"/>
          </w:tcPr>
          <w:p w14:paraId="452F66B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755" w:type="pct"/>
            <w:vAlign w:val="center"/>
          </w:tcPr>
          <w:p w14:paraId="5E4107B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838" w:type="pct"/>
            <w:vAlign w:val="center"/>
          </w:tcPr>
          <w:p w14:paraId="2344F43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1175" w:type="pct"/>
            <w:vAlign w:val="center"/>
          </w:tcPr>
          <w:p w14:paraId="042D8DC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1006" w:type="pct"/>
            <w:vAlign w:val="center"/>
          </w:tcPr>
          <w:p w14:paraId="4C793D5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905" w:type="pct"/>
            <w:vAlign w:val="center"/>
          </w:tcPr>
          <w:p w14:paraId="6CF903E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r w14:paraId="340B3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073" w:type="pct"/>
            <w:gridSpan w:val="2"/>
            <w:vMerge w:val="restart"/>
            <w:tcBorders>
              <w:bottom w:val="nil"/>
            </w:tcBorders>
            <w:vAlign w:val="center"/>
          </w:tcPr>
          <w:p w14:paraId="5A1B890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p w14:paraId="0DC5870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p w14:paraId="06F6349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主要排放口合计</w:t>
            </w:r>
          </w:p>
        </w:tc>
        <w:tc>
          <w:tcPr>
            <w:tcW w:w="3021" w:type="pct"/>
            <w:gridSpan w:val="3"/>
            <w:vAlign w:val="center"/>
          </w:tcPr>
          <w:p w14:paraId="4EDAFEC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14"/>
                <w:highlight w:val="none"/>
              </w:rPr>
            </w:pPr>
            <w:r>
              <w:rPr>
                <w:rFonts w:ascii="Times New Roman" w:hAnsi="Times New Roman" w:eastAsia="宋体" w:cs="Times New Roman"/>
                <w:i w:val="0"/>
                <w:color w:val="auto"/>
                <w:spacing w:val="0"/>
                <w:position w:val="0"/>
                <w:sz w:val="21"/>
                <w:szCs w:val="21"/>
                <w:highlight w:val="none"/>
              </w:rPr>
              <w:t>SO</w:t>
            </w:r>
            <w:r>
              <w:rPr>
                <w:rFonts w:ascii="Times New Roman" w:hAnsi="Times New Roman" w:eastAsia="宋体" w:cs="Times New Roman"/>
                <w:i w:val="0"/>
                <w:color w:val="auto"/>
                <w:spacing w:val="0"/>
                <w:position w:val="0"/>
                <w:sz w:val="21"/>
                <w:szCs w:val="14"/>
                <w:highlight w:val="none"/>
                <w:vertAlign w:val="subscript"/>
              </w:rPr>
              <w:t>2</w:t>
            </w:r>
          </w:p>
        </w:tc>
        <w:tc>
          <w:tcPr>
            <w:tcW w:w="905" w:type="pct"/>
            <w:vAlign w:val="center"/>
          </w:tcPr>
          <w:p w14:paraId="4E4F010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r w14:paraId="0D119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073" w:type="pct"/>
            <w:gridSpan w:val="2"/>
            <w:vMerge w:val="continue"/>
            <w:tcBorders>
              <w:top w:val="nil"/>
              <w:bottom w:val="nil"/>
            </w:tcBorders>
            <w:vAlign w:val="center"/>
          </w:tcPr>
          <w:p w14:paraId="68FB2E5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3021" w:type="pct"/>
            <w:gridSpan w:val="3"/>
            <w:vAlign w:val="center"/>
          </w:tcPr>
          <w:p w14:paraId="4A45F1D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NOx</w:t>
            </w:r>
          </w:p>
        </w:tc>
        <w:tc>
          <w:tcPr>
            <w:tcW w:w="905" w:type="pct"/>
            <w:vAlign w:val="center"/>
          </w:tcPr>
          <w:p w14:paraId="3580BF1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r w14:paraId="51F13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073" w:type="pct"/>
            <w:gridSpan w:val="2"/>
            <w:vMerge w:val="continue"/>
            <w:tcBorders>
              <w:top w:val="nil"/>
              <w:bottom w:val="nil"/>
            </w:tcBorders>
            <w:vAlign w:val="center"/>
          </w:tcPr>
          <w:p w14:paraId="172AF8B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3021" w:type="pct"/>
            <w:gridSpan w:val="3"/>
            <w:vAlign w:val="center"/>
          </w:tcPr>
          <w:p w14:paraId="5F40424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颗粒物</w:t>
            </w:r>
          </w:p>
        </w:tc>
        <w:tc>
          <w:tcPr>
            <w:tcW w:w="905" w:type="pct"/>
            <w:vAlign w:val="center"/>
          </w:tcPr>
          <w:p w14:paraId="0FA5D9D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r w14:paraId="79B2B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073" w:type="pct"/>
            <w:gridSpan w:val="2"/>
            <w:vMerge w:val="continue"/>
            <w:tcBorders>
              <w:top w:val="nil"/>
            </w:tcBorders>
            <w:vAlign w:val="center"/>
          </w:tcPr>
          <w:p w14:paraId="16C6902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3021" w:type="pct"/>
            <w:gridSpan w:val="3"/>
            <w:vAlign w:val="center"/>
          </w:tcPr>
          <w:p w14:paraId="4634219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VOCs</w:t>
            </w:r>
          </w:p>
        </w:tc>
        <w:tc>
          <w:tcPr>
            <w:tcW w:w="905" w:type="pct"/>
            <w:vAlign w:val="center"/>
          </w:tcPr>
          <w:p w14:paraId="59E874E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r w14:paraId="41C0E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000" w:type="pct"/>
            <w:gridSpan w:val="6"/>
            <w:vAlign w:val="center"/>
          </w:tcPr>
          <w:p w14:paraId="472186C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一般排放口</w:t>
            </w:r>
          </w:p>
        </w:tc>
      </w:tr>
      <w:tr w14:paraId="0C68F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8" w:type="pct"/>
            <w:vAlign w:val="center"/>
          </w:tcPr>
          <w:p w14:paraId="138A2A6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755" w:type="pct"/>
            <w:vAlign w:val="center"/>
          </w:tcPr>
          <w:p w14:paraId="19AF498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838" w:type="pct"/>
            <w:vAlign w:val="center"/>
          </w:tcPr>
          <w:p w14:paraId="458276E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1175" w:type="pct"/>
            <w:vAlign w:val="center"/>
          </w:tcPr>
          <w:p w14:paraId="432E22B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1006" w:type="pct"/>
            <w:vAlign w:val="center"/>
          </w:tcPr>
          <w:p w14:paraId="27D7CA5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905" w:type="pct"/>
            <w:vAlign w:val="center"/>
          </w:tcPr>
          <w:p w14:paraId="4AFFCA0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r w14:paraId="25A2F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073" w:type="pct"/>
            <w:gridSpan w:val="2"/>
            <w:vAlign w:val="center"/>
          </w:tcPr>
          <w:p w14:paraId="2468B4B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一般排放口合计</w:t>
            </w:r>
          </w:p>
        </w:tc>
        <w:tc>
          <w:tcPr>
            <w:tcW w:w="3021" w:type="pct"/>
            <w:gridSpan w:val="3"/>
            <w:vAlign w:val="center"/>
          </w:tcPr>
          <w:p w14:paraId="010EFA5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颗粒物</w:t>
            </w:r>
          </w:p>
        </w:tc>
        <w:tc>
          <w:tcPr>
            <w:tcW w:w="905" w:type="pct"/>
            <w:vAlign w:val="center"/>
          </w:tcPr>
          <w:p w14:paraId="69AAF4A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r>
    </w:tbl>
    <w:p w14:paraId="49C7934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i w:val="0"/>
          <w:color w:val="auto"/>
          <w:spacing w:val="0"/>
          <w:position w:val="0"/>
          <w:sz w:val="24"/>
          <w:szCs w:val="21"/>
          <w:highlight w:val="none"/>
        </w:rPr>
      </w:pPr>
    </w:p>
    <w:p w14:paraId="5BC0A46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i w:val="0"/>
          <w:color w:val="auto"/>
          <w:spacing w:val="0"/>
          <w:position w:val="0"/>
          <w:sz w:val="24"/>
          <w:szCs w:val="21"/>
          <w:highlight w:val="none"/>
        </w:rPr>
      </w:pPr>
    </w:p>
    <w:p w14:paraId="6D0F2B3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i w:val="0"/>
          <w:color w:val="auto"/>
          <w:spacing w:val="0"/>
          <w:position w:val="0"/>
          <w:sz w:val="24"/>
          <w:szCs w:val="21"/>
          <w:highlight w:val="none"/>
        </w:rPr>
      </w:pPr>
      <w:r>
        <w:rPr>
          <w:rFonts w:ascii="Times New Roman" w:hAnsi="Times New Roman" w:eastAsia="宋体" w:cs="黑体"/>
          <w:b/>
          <w:bCs/>
          <w:i w:val="0"/>
          <w:color w:val="auto"/>
          <w:spacing w:val="0"/>
          <w:position w:val="0"/>
          <w:sz w:val="24"/>
          <w:szCs w:val="21"/>
          <w:highlight w:val="none"/>
        </w:rPr>
        <w:t>表</w:t>
      </w:r>
      <w:r>
        <w:rPr>
          <w:rFonts w:hint="eastAsia" w:ascii="Times New Roman" w:hAnsi="Times New Roman" w:eastAsia="宋体" w:cs="Times New Roman"/>
          <w:b/>
          <w:bCs/>
          <w:i w:val="0"/>
          <w:color w:val="auto"/>
          <w:spacing w:val="0"/>
          <w:position w:val="0"/>
          <w:sz w:val="24"/>
          <w:szCs w:val="21"/>
          <w:highlight w:val="none"/>
          <w:lang w:val="en-US" w:eastAsia="zh-CN"/>
        </w:rPr>
        <w:t>5</w:t>
      </w:r>
      <w:r>
        <w:rPr>
          <w:rFonts w:ascii="Times New Roman" w:hAnsi="Times New Roman" w:eastAsia="宋体" w:cs="Times New Roman"/>
          <w:b/>
          <w:bCs/>
          <w:i w:val="0"/>
          <w:color w:val="auto"/>
          <w:spacing w:val="0"/>
          <w:position w:val="0"/>
          <w:sz w:val="24"/>
          <w:szCs w:val="21"/>
          <w:highlight w:val="none"/>
        </w:rPr>
        <w:t>.2-7</w:t>
      </w:r>
      <w:r>
        <w:rPr>
          <w:rFonts w:ascii="Times New Roman" w:hAnsi="Times New Roman" w:eastAsia="宋体" w:cs="黑体"/>
          <w:b/>
          <w:bCs/>
          <w:i w:val="0"/>
          <w:color w:val="auto"/>
          <w:spacing w:val="0"/>
          <w:position w:val="0"/>
          <w:sz w:val="24"/>
          <w:szCs w:val="21"/>
          <w:highlight w:val="none"/>
        </w:rPr>
        <w:t>大气污染物无组织排放量核算表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02"/>
        <w:gridCol w:w="964"/>
        <w:gridCol w:w="796"/>
        <w:gridCol w:w="798"/>
        <w:gridCol w:w="318"/>
        <w:gridCol w:w="1120"/>
        <w:gridCol w:w="2560"/>
        <w:gridCol w:w="1278"/>
        <w:gridCol w:w="1088"/>
      </w:tblGrid>
      <w:tr w14:paraId="6556E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316" w:type="pct"/>
            <w:vMerge w:val="restart"/>
            <w:tcBorders>
              <w:tl2br w:val="nil"/>
              <w:tr2bl w:val="nil"/>
            </w:tcBorders>
            <w:textDirection w:val="tbRlV"/>
            <w:vAlign w:val="center"/>
          </w:tcPr>
          <w:p w14:paraId="2E8DBDD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序号</w:t>
            </w:r>
          </w:p>
        </w:tc>
        <w:tc>
          <w:tcPr>
            <w:tcW w:w="506" w:type="pct"/>
            <w:vMerge w:val="restart"/>
            <w:tcBorders>
              <w:tl2br w:val="nil"/>
              <w:tr2bl w:val="nil"/>
            </w:tcBorders>
            <w:vAlign w:val="center"/>
          </w:tcPr>
          <w:p w14:paraId="578EF22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排放口编号</w:t>
            </w:r>
          </w:p>
        </w:tc>
        <w:tc>
          <w:tcPr>
            <w:tcW w:w="418" w:type="pct"/>
            <w:vMerge w:val="restart"/>
            <w:tcBorders>
              <w:tl2br w:val="nil"/>
              <w:tr2bl w:val="nil"/>
            </w:tcBorders>
            <w:vAlign w:val="center"/>
          </w:tcPr>
          <w:p w14:paraId="087052B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产污</w:t>
            </w:r>
          </w:p>
          <w:p w14:paraId="566D016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环节</w:t>
            </w:r>
          </w:p>
        </w:tc>
        <w:tc>
          <w:tcPr>
            <w:tcW w:w="419" w:type="pct"/>
            <w:vMerge w:val="restart"/>
            <w:tcBorders>
              <w:tl2br w:val="nil"/>
              <w:tr2bl w:val="nil"/>
            </w:tcBorders>
            <w:vAlign w:val="center"/>
          </w:tcPr>
          <w:p w14:paraId="46F8AF6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污染</w:t>
            </w:r>
          </w:p>
          <w:p w14:paraId="7E656F9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物</w:t>
            </w:r>
          </w:p>
        </w:tc>
        <w:tc>
          <w:tcPr>
            <w:tcW w:w="755" w:type="pct"/>
            <w:gridSpan w:val="2"/>
            <w:vMerge w:val="restart"/>
            <w:tcBorders>
              <w:tl2br w:val="nil"/>
              <w:tr2bl w:val="nil"/>
            </w:tcBorders>
            <w:vAlign w:val="center"/>
          </w:tcPr>
          <w:p w14:paraId="7FFDD91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主要防治措施</w:t>
            </w:r>
          </w:p>
        </w:tc>
        <w:tc>
          <w:tcPr>
            <w:tcW w:w="2014" w:type="pct"/>
            <w:gridSpan w:val="2"/>
            <w:tcBorders>
              <w:tl2br w:val="nil"/>
              <w:tr2bl w:val="nil"/>
            </w:tcBorders>
            <w:vAlign w:val="center"/>
          </w:tcPr>
          <w:p w14:paraId="73D9C52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国家或地方污染物排放标准</w:t>
            </w:r>
          </w:p>
        </w:tc>
        <w:tc>
          <w:tcPr>
            <w:tcW w:w="569" w:type="pct"/>
            <w:vMerge w:val="restart"/>
            <w:tcBorders>
              <w:tl2br w:val="nil"/>
              <w:tr2bl w:val="nil"/>
            </w:tcBorders>
            <w:vAlign w:val="center"/>
          </w:tcPr>
          <w:p w14:paraId="1D76070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年排放量</w:t>
            </w:r>
          </w:p>
          <w:p w14:paraId="4397F0A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r>
              <w:rPr>
                <w:rFonts w:hint="eastAsia" w:cs="宋体"/>
                <w:i w:val="0"/>
                <w:color w:val="auto"/>
                <w:spacing w:val="0"/>
                <w:position w:val="0"/>
                <w:sz w:val="21"/>
                <w:szCs w:val="21"/>
                <w:highlight w:val="none"/>
                <w:lang w:eastAsia="zh-CN"/>
              </w:rPr>
              <w:t>）</w:t>
            </w:r>
          </w:p>
        </w:tc>
      </w:tr>
      <w:tr w14:paraId="56EDF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jc w:val="center"/>
        </w:trPr>
        <w:tc>
          <w:tcPr>
            <w:tcW w:w="316" w:type="pct"/>
            <w:vMerge w:val="continue"/>
            <w:tcBorders>
              <w:tl2br w:val="nil"/>
              <w:tr2bl w:val="nil"/>
            </w:tcBorders>
            <w:textDirection w:val="tbRlV"/>
            <w:vAlign w:val="center"/>
          </w:tcPr>
          <w:p w14:paraId="29119B5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506" w:type="pct"/>
            <w:vMerge w:val="continue"/>
            <w:tcBorders>
              <w:tl2br w:val="nil"/>
              <w:tr2bl w:val="nil"/>
            </w:tcBorders>
            <w:vAlign w:val="center"/>
          </w:tcPr>
          <w:p w14:paraId="5028659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418" w:type="pct"/>
            <w:vMerge w:val="continue"/>
            <w:tcBorders>
              <w:tl2br w:val="nil"/>
              <w:tr2bl w:val="nil"/>
            </w:tcBorders>
            <w:vAlign w:val="center"/>
          </w:tcPr>
          <w:p w14:paraId="6C04A47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419" w:type="pct"/>
            <w:vMerge w:val="continue"/>
            <w:tcBorders>
              <w:tl2br w:val="nil"/>
              <w:tr2bl w:val="nil"/>
            </w:tcBorders>
            <w:vAlign w:val="center"/>
          </w:tcPr>
          <w:p w14:paraId="551F8D6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55" w:type="pct"/>
            <w:gridSpan w:val="2"/>
            <w:vMerge w:val="continue"/>
            <w:tcBorders>
              <w:tl2br w:val="nil"/>
              <w:tr2bl w:val="nil"/>
            </w:tcBorders>
            <w:vAlign w:val="center"/>
          </w:tcPr>
          <w:p w14:paraId="12AD479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1343" w:type="pct"/>
            <w:tcBorders>
              <w:tl2br w:val="nil"/>
              <w:tr2bl w:val="nil"/>
            </w:tcBorders>
            <w:vAlign w:val="center"/>
          </w:tcPr>
          <w:p w14:paraId="1787B73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标准名称</w:t>
            </w:r>
          </w:p>
        </w:tc>
        <w:tc>
          <w:tcPr>
            <w:tcW w:w="671" w:type="pct"/>
            <w:tcBorders>
              <w:tl2br w:val="nil"/>
              <w:tr2bl w:val="nil"/>
            </w:tcBorders>
            <w:vAlign w:val="center"/>
          </w:tcPr>
          <w:p w14:paraId="4C48746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浓度限值</w:t>
            </w:r>
          </w:p>
          <w:p w14:paraId="2A4ECE9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mg/m</w:t>
            </w:r>
            <w:r>
              <w:rPr>
                <w:rFonts w:ascii="Times New Roman" w:hAnsi="Times New Roman" w:eastAsia="宋体" w:cs="Times New Roman"/>
                <w:i w:val="0"/>
                <w:color w:val="auto"/>
                <w:spacing w:val="0"/>
                <w:position w:val="0"/>
                <w:sz w:val="21"/>
                <w:szCs w:val="14"/>
                <w:highlight w:val="none"/>
                <w:vertAlign w:val="superscript"/>
              </w:rPr>
              <w:t>3</w:t>
            </w:r>
            <w:r>
              <w:rPr>
                <w:rFonts w:hint="eastAsia" w:cs="宋体"/>
                <w:i w:val="0"/>
                <w:color w:val="auto"/>
                <w:spacing w:val="0"/>
                <w:position w:val="0"/>
                <w:sz w:val="21"/>
                <w:szCs w:val="21"/>
                <w:highlight w:val="none"/>
                <w:lang w:eastAsia="zh-CN"/>
              </w:rPr>
              <w:t>）</w:t>
            </w:r>
          </w:p>
        </w:tc>
        <w:tc>
          <w:tcPr>
            <w:tcW w:w="569" w:type="pct"/>
            <w:vMerge w:val="continue"/>
            <w:tcBorders>
              <w:tl2br w:val="nil"/>
              <w:tr2bl w:val="nil"/>
            </w:tcBorders>
            <w:vAlign w:val="center"/>
          </w:tcPr>
          <w:p w14:paraId="3C1E04E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r>
      <w:tr w14:paraId="5C444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jc w:val="center"/>
        </w:trPr>
        <w:tc>
          <w:tcPr>
            <w:tcW w:w="316" w:type="pct"/>
            <w:vMerge w:val="restart"/>
            <w:tcBorders>
              <w:tl2br w:val="nil"/>
              <w:tr2bl w:val="nil"/>
            </w:tcBorders>
            <w:vAlign w:val="center"/>
          </w:tcPr>
          <w:p w14:paraId="27EF125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1</w:t>
            </w:r>
          </w:p>
        </w:tc>
        <w:tc>
          <w:tcPr>
            <w:tcW w:w="506" w:type="pct"/>
            <w:vMerge w:val="restart"/>
            <w:tcBorders>
              <w:tl2br w:val="nil"/>
              <w:tr2bl w:val="nil"/>
            </w:tcBorders>
            <w:vAlign w:val="center"/>
          </w:tcPr>
          <w:p w14:paraId="636F2C6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418" w:type="pct"/>
            <w:vMerge w:val="restart"/>
            <w:tcBorders>
              <w:tl2br w:val="nil"/>
              <w:tr2bl w:val="nil"/>
            </w:tcBorders>
            <w:vAlign w:val="center"/>
          </w:tcPr>
          <w:p w14:paraId="3604091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养殖</w:t>
            </w:r>
          </w:p>
          <w:p w14:paraId="1928AE8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区</w:t>
            </w:r>
          </w:p>
        </w:tc>
        <w:tc>
          <w:tcPr>
            <w:tcW w:w="419" w:type="pct"/>
            <w:tcBorders>
              <w:tl2br w:val="nil"/>
              <w:tr2bl w:val="nil"/>
            </w:tcBorders>
            <w:vAlign w:val="center"/>
          </w:tcPr>
          <w:p w14:paraId="14174E3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14"/>
                <w:highlight w:val="none"/>
              </w:rPr>
            </w:pPr>
            <w:r>
              <w:rPr>
                <w:rFonts w:ascii="Times New Roman" w:hAnsi="Times New Roman" w:eastAsia="宋体" w:cs="Times New Roman"/>
                <w:i w:val="0"/>
                <w:color w:val="auto"/>
                <w:spacing w:val="0"/>
                <w:position w:val="0"/>
                <w:sz w:val="21"/>
                <w:szCs w:val="21"/>
                <w:highlight w:val="none"/>
              </w:rPr>
              <w:t>NH</w:t>
            </w:r>
            <w:r>
              <w:rPr>
                <w:rFonts w:ascii="Times New Roman" w:hAnsi="Times New Roman" w:eastAsia="宋体" w:cs="Times New Roman"/>
                <w:i w:val="0"/>
                <w:color w:val="auto"/>
                <w:spacing w:val="0"/>
                <w:position w:val="0"/>
                <w:sz w:val="21"/>
                <w:szCs w:val="14"/>
                <w:highlight w:val="none"/>
                <w:vertAlign w:val="subscript"/>
              </w:rPr>
              <w:t>3</w:t>
            </w:r>
          </w:p>
        </w:tc>
        <w:tc>
          <w:tcPr>
            <w:tcW w:w="755" w:type="pct"/>
            <w:gridSpan w:val="2"/>
            <w:vMerge w:val="restart"/>
            <w:tcBorders>
              <w:tl2br w:val="nil"/>
              <w:tr2bl w:val="nil"/>
            </w:tcBorders>
            <w:vAlign w:val="center"/>
          </w:tcPr>
          <w:p w14:paraId="7BED870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圈舍定期喷洒除臭剂，加强通风；圈舍四周绿化</w:t>
            </w:r>
          </w:p>
        </w:tc>
        <w:tc>
          <w:tcPr>
            <w:tcW w:w="1343" w:type="pct"/>
            <w:vMerge w:val="restart"/>
            <w:tcBorders>
              <w:tl2br w:val="nil"/>
              <w:tr2bl w:val="nil"/>
            </w:tcBorders>
            <w:vAlign w:val="center"/>
          </w:tcPr>
          <w:p w14:paraId="294F15D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《恶臭污染物排放标准》</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GB14554-93</w:t>
            </w:r>
            <w:r>
              <w:rPr>
                <w:rFonts w:hint="eastAsia" w:cs="宋体"/>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表</w:t>
            </w:r>
            <w:r>
              <w:rPr>
                <w:rFonts w:ascii="Times New Roman" w:hAnsi="Times New Roman" w:eastAsia="宋体" w:cs="Times New Roman"/>
                <w:i w:val="0"/>
                <w:color w:val="auto"/>
                <w:spacing w:val="0"/>
                <w:position w:val="0"/>
                <w:sz w:val="21"/>
                <w:szCs w:val="21"/>
                <w:highlight w:val="none"/>
              </w:rPr>
              <w:t>1</w:t>
            </w:r>
            <w:r>
              <w:rPr>
                <w:rFonts w:ascii="Times New Roman" w:hAnsi="Times New Roman" w:eastAsia="宋体" w:cs="宋体"/>
                <w:i w:val="0"/>
                <w:color w:val="auto"/>
                <w:spacing w:val="0"/>
                <w:position w:val="0"/>
                <w:sz w:val="21"/>
                <w:szCs w:val="21"/>
                <w:highlight w:val="none"/>
              </w:rPr>
              <w:t>中二级新扩改建厂界标准限值</w:t>
            </w:r>
          </w:p>
        </w:tc>
        <w:tc>
          <w:tcPr>
            <w:tcW w:w="671" w:type="pct"/>
            <w:tcBorders>
              <w:tl2br w:val="nil"/>
              <w:tr2bl w:val="nil"/>
            </w:tcBorders>
            <w:vAlign w:val="center"/>
          </w:tcPr>
          <w:p w14:paraId="2FF5A4D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1.5</w:t>
            </w:r>
          </w:p>
        </w:tc>
        <w:tc>
          <w:tcPr>
            <w:tcW w:w="569" w:type="pct"/>
            <w:tcBorders>
              <w:tl2br w:val="nil"/>
              <w:tr2bl w:val="nil"/>
            </w:tcBorders>
            <w:vAlign w:val="center"/>
          </w:tcPr>
          <w:p w14:paraId="3905F10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hint="eastAsia" w:cs="Times New Roman"/>
                <w:i w:val="0"/>
                <w:color w:val="auto"/>
                <w:spacing w:val="0"/>
                <w:position w:val="0"/>
                <w:sz w:val="21"/>
                <w:szCs w:val="21"/>
                <w:highlight w:val="none"/>
                <w:lang w:eastAsia="zh-CN"/>
              </w:rPr>
              <w:t>0.6</w:t>
            </w:r>
          </w:p>
        </w:tc>
      </w:tr>
      <w:tr w14:paraId="684EB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316" w:type="pct"/>
            <w:vMerge w:val="continue"/>
            <w:tcBorders>
              <w:tl2br w:val="nil"/>
              <w:tr2bl w:val="nil"/>
            </w:tcBorders>
            <w:vAlign w:val="center"/>
          </w:tcPr>
          <w:p w14:paraId="17BED35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506" w:type="pct"/>
            <w:vMerge w:val="continue"/>
            <w:tcBorders>
              <w:tl2br w:val="nil"/>
              <w:tr2bl w:val="nil"/>
            </w:tcBorders>
            <w:vAlign w:val="center"/>
          </w:tcPr>
          <w:p w14:paraId="68C3E2E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418" w:type="pct"/>
            <w:vMerge w:val="continue"/>
            <w:tcBorders>
              <w:tl2br w:val="nil"/>
              <w:tr2bl w:val="nil"/>
            </w:tcBorders>
            <w:vAlign w:val="center"/>
          </w:tcPr>
          <w:p w14:paraId="7C6F620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419" w:type="pct"/>
            <w:tcBorders>
              <w:tl2br w:val="nil"/>
              <w:tr2bl w:val="nil"/>
            </w:tcBorders>
            <w:vAlign w:val="center"/>
          </w:tcPr>
          <w:p w14:paraId="18F036F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H</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Times New Roman"/>
                <w:i w:val="0"/>
                <w:color w:val="auto"/>
                <w:spacing w:val="0"/>
                <w:position w:val="0"/>
                <w:sz w:val="21"/>
                <w:szCs w:val="21"/>
                <w:highlight w:val="none"/>
              </w:rPr>
              <w:t>S</w:t>
            </w:r>
          </w:p>
        </w:tc>
        <w:tc>
          <w:tcPr>
            <w:tcW w:w="755" w:type="pct"/>
            <w:gridSpan w:val="2"/>
            <w:vMerge w:val="continue"/>
            <w:tcBorders>
              <w:tl2br w:val="nil"/>
              <w:tr2bl w:val="nil"/>
            </w:tcBorders>
            <w:vAlign w:val="center"/>
          </w:tcPr>
          <w:p w14:paraId="6FC1C90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1343" w:type="pct"/>
            <w:vMerge w:val="continue"/>
            <w:tcBorders>
              <w:tl2br w:val="nil"/>
              <w:tr2bl w:val="nil"/>
            </w:tcBorders>
            <w:vAlign w:val="center"/>
          </w:tcPr>
          <w:p w14:paraId="5B0D822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671" w:type="pct"/>
            <w:tcBorders>
              <w:tl2br w:val="nil"/>
              <w:tr2bl w:val="nil"/>
            </w:tcBorders>
            <w:vAlign w:val="center"/>
          </w:tcPr>
          <w:p w14:paraId="7D1529F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i w:val="0"/>
                <w:color w:val="auto"/>
                <w:spacing w:val="0"/>
                <w:position w:val="0"/>
                <w:sz w:val="21"/>
                <w:szCs w:val="21"/>
                <w:highlight w:val="none"/>
                <w:lang w:val="en-US" w:eastAsia="zh-CN"/>
              </w:rPr>
            </w:pPr>
            <w:r>
              <w:rPr>
                <w:rFonts w:hint="eastAsia" w:cs="Times New Roman"/>
                <w:i w:val="0"/>
                <w:color w:val="auto"/>
                <w:spacing w:val="0"/>
                <w:position w:val="0"/>
                <w:sz w:val="21"/>
                <w:szCs w:val="21"/>
                <w:highlight w:val="none"/>
                <w:lang w:val="en-US" w:eastAsia="zh-CN"/>
              </w:rPr>
              <w:t>0.06</w:t>
            </w:r>
          </w:p>
        </w:tc>
        <w:tc>
          <w:tcPr>
            <w:tcW w:w="569" w:type="pct"/>
            <w:tcBorders>
              <w:tl2br w:val="nil"/>
              <w:tr2bl w:val="nil"/>
            </w:tcBorders>
            <w:vAlign w:val="center"/>
          </w:tcPr>
          <w:p w14:paraId="05A5FF1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hint="eastAsia" w:cs="Times New Roman"/>
                <w:i w:val="0"/>
                <w:color w:val="auto"/>
                <w:spacing w:val="0"/>
                <w:position w:val="0"/>
                <w:sz w:val="21"/>
                <w:szCs w:val="21"/>
                <w:highlight w:val="none"/>
                <w:lang w:eastAsia="zh-CN"/>
              </w:rPr>
              <w:t>0.046</w:t>
            </w:r>
          </w:p>
        </w:tc>
      </w:tr>
      <w:tr w14:paraId="72700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5000" w:type="pct"/>
            <w:gridSpan w:val="9"/>
            <w:tcBorders>
              <w:tl2br w:val="nil"/>
              <w:tr2bl w:val="nil"/>
            </w:tcBorders>
            <w:vAlign w:val="center"/>
          </w:tcPr>
          <w:p w14:paraId="06043C9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无组织排放总计</w:t>
            </w:r>
          </w:p>
        </w:tc>
      </w:tr>
      <w:tr w14:paraId="62F9E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826" w:type="pct"/>
            <w:gridSpan w:val="5"/>
            <w:vMerge w:val="restart"/>
            <w:tcBorders>
              <w:tl2br w:val="nil"/>
              <w:tr2bl w:val="nil"/>
            </w:tcBorders>
            <w:vAlign w:val="center"/>
          </w:tcPr>
          <w:p w14:paraId="3132879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无组织排放总计</w:t>
            </w:r>
          </w:p>
        </w:tc>
        <w:tc>
          <w:tcPr>
            <w:tcW w:w="1932" w:type="pct"/>
            <w:gridSpan w:val="2"/>
            <w:tcBorders>
              <w:tl2br w:val="nil"/>
              <w:tr2bl w:val="nil"/>
            </w:tcBorders>
            <w:vAlign w:val="center"/>
          </w:tcPr>
          <w:p w14:paraId="3732502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14"/>
                <w:highlight w:val="none"/>
              </w:rPr>
            </w:pPr>
            <w:r>
              <w:rPr>
                <w:rFonts w:ascii="Times New Roman" w:hAnsi="Times New Roman" w:eastAsia="宋体" w:cs="Times New Roman"/>
                <w:i w:val="0"/>
                <w:color w:val="auto"/>
                <w:spacing w:val="0"/>
                <w:position w:val="0"/>
                <w:sz w:val="21"/>
                <w:szCs w:val="21"/>
                <w:highlight w:val="none"/>
              </w:rPr>
              <w:t>NH</w:t>
            </w:r>
            <w:r>
              <w:rPr>
                <w:rFonts w:ascii="Times New Roman" w:hAnsi="Times New Roman" w:eastAsia="宋体" w:cs="Times New Roman"/>
                <w:i w:val="0"/>
                <w:color w:val="auto"/>
                <w:spacing w:val="0"/>
                <w:position w:val="0"/>
                <w:sz w:val="21"/>
                <w:szCs w:val="14"/>
                <w:highlight w:val="none"/>
                <w:vertAlign w:val="subscript"/>
              </w:rPr>
              <w:t>3</w:t>
            </w:r>
          </w:p>
        </w:tc>
        <w:tc>
          <w:tcPr>
            <w:tcW w:w="1240" w:type="pct"/>
            <w:gridSpan w:val="2"/>
            <w:tcBorders>
              <w:tl2br w:val="nil"/>
              <w:tr2bl w:val="nil"/>
            </w:tcBorders>
            <w:vAlign w:val="center"/>
          </w:tcPr>
          <w:p w14:paraId="57B8124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hint="eastAsia" w:cs="Times New Roman"/>
                <w:i w:val="0"/>
                <w:color w:val="auto"/>
                <w:spacing w:val="0"/>
                <w:position w:val="0"/>
                <w:sz w:val="21"/>
                <w:szCs w:val="21"/>
                <w:highlight w:val="none"/>
                <w:lang w:eastAsia="zh-CN"/>
              </w:rPr>
              <w:t>0.6</w:t>
            </w:r>
          </w:p>
        </w:tc>
      </w:tr>
      <w:tr w14:paraId="138A1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826" w:type="pct"/>
            <w:gridSpan w:val="5"/>
            <w:vMerge w:val="continue"/>
            <w:tcBorders>
              <w:tl2br w:val="nil"/>
              <w:tr2bl w:val="nil"/>
            </w:tcBorders>
            <w:vAlign w:val="center"/>
          </w:tcPr>
          <w:p w14:paraId="7BF99F0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1932" w:type="pct"/>
            <w:gridSpan w:val="2"/>
            <w:tcBorders>
              <w:tl2br w:val="nil"/>
              <w:tr2bl w:val="nil"/>
            </w:tcBorders>
            <w:vAlign w:val="center"/>
          </w:tcPr>
          <w:p w14:paraId="1DA49A4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H</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Times New Roman"/>
                <w:i w:val="0"/>
                <w:color w:val="auto"/>
                <w:spacing w:val="0"/>
                <w:position w:val="0"/>
                <w:sz w:val="21"/>
                <w:szCs w:val="21"/>
                <w:highlight w:val="none"/>
              </w:rPr>
              <w:t>S</w:t>
            </w:r>
          </w:p>
        </w:tc>
        <w:tc>
          <w:tcPr>
            <w:tcW w:w="1240" w:type="pct"/>
            <w:gridSpan w:val="2"/>
            <w:tcBorders>
              <w:tl2br w:val="nil"/>
              <w:tr2bl w:val="nil"/>
            </w:tcBorders>
            <w:vAlign w:val="center"/>
          </w:tcPr>
          <w:p w14:paraId="2DF003B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hint="eastAsia" w:cs="Times New Roman"/>
                <w:i w:val="0"/>
                <w:color w:val="auto"/>
                <w:spacing w:val="0"/>
                <w:position w:val="0"/>
                <w:sz w:val="21"/>
                <w:szCs w:val="21"/>
                <w:highlight w:val="none"/>
                <w:lang w:eastAsia="zh-CN"/>
              </w:rPr>
              <w:t>0.046</w:t>
            </w:r>
          </w:p>
        </w:tc>
      </w:tr>
    </w:tbl>
    <w:p w14:paraId="300A0A5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i w:val="0"/>
          <w:color w:val="auto"/>
          <w:spacing w:val="0"/>
          <w:position w:val="0"/>
          <w:sz w:val="24"/>
          <w:szCs w:val="21"/>
          <w:highlight w:val="none"/>
        </w:rPr>
      </w:pPr>
      <w:r>
        <w:rPr>
          <w:rFonts w:ascii="Times New Roman" w:hAnsi="Times New Roman" w:eastAsia="宋体" w:cs="黑体"/>
          <w:b/>
          <w:bCs/>
          <w:i w:val="0"/>
          <w:color w:val="auto"/>
          <w:spacing w:val="0"/>
          <w:position w:val="0"/>
          <w:sz w:val="24"/>
          <w:szCs w:val="21"/>
          <w:highlight w:val="none"/>
        </w:rPr>
        <w:t>表</w:t>
      </w:r>
      <w:r>
        <w:rPr>
          <w:rFonts w:hint="eastAsia" w:ascii="Times New Roman" w:hAnsi="Times New Roman" w:eastAsia="宋体" w:cs="Times New Roman"/>
          <w:b/>
          <w:bCs/>
          <w:i w:val="0"/>
          <w:color w:val="auto"/>
          <w:spacing w:val="0"/>
          <w:position w:val="0"/>
          <w:sz w:val="24"/>
          <w:szCs w:val="21"/>
          <w:highlight w:val="none"/>
          <w:lang w:val="en-US" w:eastAsia="zh-CN"/>
        </w:rPr>
        <w:t>5</w:t>
      </w:r>
      <w:r>
        <w:rPr>
          <w:rFonts w:ascii="Times New Roman" w:hAnsi="Times New Roman" w:eastAsia="宋体" w:cs="Times New Roman"/>
          <w:b/>
          <w:bCs/>
          <w:i w:val="0"/>
          <w:color w:val="auto"/>
          <w:spacing w:val="0"/>
          <w:position w:val="0"/>
          <w:sz w:val="24"/>
          <w:szCs w:val="21"/>
          <w:highlight w:val="none"/>
        </w:rPr>
        <w:t>.2-8</w:t>
      </w:r>
      <w:r>
        <w:rPr>
          <w:rFonts w:ascii="Times New Roman" w:hAnsi="Times New Roman" w:eastAsia="宋体" w:cs="黑体"/>
          <w:b/>
          <w:bCs/>
          <w:i w:val="0"/>
          <w:color w:val="auto"/>
          <w:spacing w:val="0"/>
          <w:position w:val="0"/>
          <w:sz w:val="24"/>
          <w:szCs w:val="21"/>
          <w:highlight w:val="none"/>
        </w:rPr>
        <w:t>大气污染物年排放量核算表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206"/>
        <w:gridCol w:w="3357"/>
        <w:gridCol w:w="3961"/>
      </w:tblGrid>
      <w:tr w14:paraId="4C4C4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158" w:type="pct"/>
            <w:vAlign w:val="center"/>
          </w:tcPr>
          <w:p w14:paraId="291FBCD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序号</w:t>
            </w:r>
          </w:p>
        </w:tc>
        <w:tc>
          <w:tcPr>
            <w:tcW w:w="1762" w:type="pct"/>
            <w:vAlign w:val="center"/>
          </w:tcPr>
          <w:p w14:paraId="483BACE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污染物</w:t>
            </w:r>
          </w:p>
        </w:tc>
        <w:tc>
          <w:tcPr>
            <w:tcW w:w="2079" w:type="pct"/>
            <w:vAlign w:val="center"/>
          </w:tcPr>
          <w:p w14:paraId="1BC32DD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年排放量</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r>
              <w:rPr>
                <w:rFonts w:hint="eastAsia" w:cs="宋体"/>
                <w:i w:val="0"/>
                <w:color w:val="auto"/>
                <w:spacing w:val="0"/>
                <w:position w:val="0"/>
                <w:sz w:val="21"/>
                <w:szCs w:val="21"/>
                <w:highlight w:val="none"/>
                <w:lang w:eastAsia="zh-CN"/>
              </w:rPr>
              <w:t>）</w:t>
            </w:r>
          </w:p>
        </w:tc>
      </w:tr>
      <w:tr w14:paraId="3EF7C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1158" w:type="pct"/>
            <w:vAlign w:val="center"/>
          </w:tcPr>
          <w:p w14:paraId="7EAC769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1</w:t>
            </w:r>
          </w:p>
        </w:tc>
        <w:tc>
          <w:tcPr>
            <w:tcW w:w="1762" w:type="pct"/>
            <w:vAlign w:val="center"/>
          </w:tcPr>
          <w:p w14:paraId="72ED8BB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14"/>
                <w:highlight w:val="none"/>
              </w:rPr>
            </w:pPr>
            <w:r>
              <w:rPr>
                <w:rFonts w:ascii="Times New Roman" w:hAnsi="Times New Roman" w:eastAsia="宋体" w:cs="Times New Roman"/>
                <w:i w:val="0"/>
                <w:color w:val="auto"/>
                <w:spacing w:val="0"/>
                <w:position w:val="0"/>
                <w:sz w:val="21"/>
                <w:szCs w:val="21"/>
                <w:highlight w:val="none"/>
              </w:rPr>
              <w:t>NH</w:t>
            </w:r>
            <w:r>
              <w:rPr>
                <w:rFonts w:ascii="Times New Roman" w:hAnsi="Times New Roman" w:eastAsia="宋体" w:cs="Times New Roman"/>
                <w:i w:val="0"/>
                <w:color w:val="auto"/>
                <w:spacing w:val="0"/>
                <w:position w:val="0"/>
                <w:sz w:val="21"/>
                <w:szCs w:val="14"/>
                <w:highlight w:val="none"/>
                <w:vertAlign w:val="subscript"/>
              </w:rPr>
              <w:t>3</w:t>
            </w:r>
          </w:p>
        </w:tc>
        <w:tc>
          <w:tcPr>
            <w:tcW w:w="2079" w:type="pct"/>
            <w:vAlign w:val="center"/>
          </w:tcPr>
          <w:p w14:paraId="699EFFA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hint="eastAsia" w:cs="Times New Roman"/>
                <w:i w:val="0"/>
                <w:color w:val="auto"/>
                <w:spacing w:val="0"/>
                <w:position w:val="0"/>
                <w:sz w:val="21"/>
                <w:szCs w:val="21"/>
                <w:highlight w:val="none"/>
                <w:lang w:eastAsia="zh-CN"/>
              </w:rPr>
              <w:t>0.6</w:t>
            </w:r>
          </w:p>
        </w:tc>
      </w:tr>
      <w:tr w14:paraId="7D0F1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158" w:type="pct"/>
            <w:vAlign w:val="center"/>
          </w:tcPr>
          <w:p w14:paraId="0008860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2</w:t>
            </w:r>
          </w:p>
        </w:tc>
        <w:tc>
          <w:tcPr>
            <w:tcW w:w="1762" w:type="pct"/>
            <w:vAlign w:val="center"/>
          </w:tcPr>
          <w:p w14:paraId="18634AB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H</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Times New Roman"/>
                <w:i w:val="0"/>
                <w:color w:val="auto"/>
                <w:spacing w:val="0"/>
                <w:position w:val="0"/>
                <w:sz w:val="21"/>
                <w:szCs w:val="21"/>
                <w:highlight w:val="none"/>
              </w:rPr>
              <w:t>S</w:t>
            </w:r>
          </w:p>
        </w:tc>
        <w:tc>
          <w:tcPr>
            <w:tcW w:w="2079" w:type="pct"/>
            <w:vAlign w:val="center"/>
          </w:tcPr>
          <w:p w14:paraId="2D461D4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hint="eastAsia" w:cs="Times New Roman"/>
                <w:i w:val="0"/>
                <w:color w:val="auto"/>
                <w:spacing w:val="0"/>
                <w:position w:val="0"/>
                <w:sz w:val="21"/>
                <w:szCs w:val="21"/>
                <w:highlight w:val="none"/>
                <w:lang w:eastAsia="zh-CN"/>
              </w:rPr>
              <w:t>0.046</w:t>
            </w:r>
          </w:p>
        </w:tc>
      </w:tr>
    </w:tbl>
    <w:p w14:paraId="1189EA7B">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b/>
          <w:bCs/>
          <w:i w:val="0"/>
          <w:color w:val="auto"/>
          <w:spacing w:val="0"/>
          <w:position w:val="0"/>
          <w:sz w:val="24"/>
          <w:szCs w:val="24"/>
          <w:highlight w:val="none"/>
        </w:rPr>
      </w:pPr>
      <w:r>
        <w:rPr>
          <w:rFonts w:hint="eastAsia" w:ascii="Times New Roman" w:hAnsi="Times New Roman" w:eastAsia="宋体" w:cs="Times New Roman"/>
          <w:b/>
          <w:bCs/>
          <w:i w:val="0"/>
          <w:color w:val="auto"/>
          <w:spacing w:val="0"/>
          <w:position w:val="0"/>
          <w:sz w:val="24"/>
          <w:szCs w:val="24"/>
          <w:highlight w:val="none"/>
          <w:lang w:val="en-US" w:eastAsia="zh-CN"/>
        </w:rPr>
        <w:t>5</w:t>
      </w:r>
      <w:r>
        <w:rPr>
          <w:rFonts w:ascii="Times New Roman" w:hAnsi="Times New Roman" w:eastAsia="宋体" w:cs="Times New Roman"/>
          <w:b/>
          <w:bCs/>
          <w:i w:val="0"/>
          <w:color w:val="auto"/>
          <w:spacing w:val="0"/>
          <w:position w:val="0"/>
          <w:sz w:val="24"/>
          <w:szCs w:val="24"/>
          <w:highlight w:val="none"/>
        </w:rPr>
        <w:t>.2.1.2</w:t>
      </w:r>
      <w:r>
        <w:rPr>
          <w:rFonts w:ascii="Times New Roman" w:hAnsi="Times New Roman" w:eastAsia="宋体" w:cs="宋体"/>
          <w:b/>
          <w:bCs/>
          <w:i w:val="0"/>
          <w:color w:val="auto"/>
          <w:spacing w:val="0"/>
          <w:position w:val="0"/>
          <w:sz w:val="24"/>
          <w:szCs w:val="24"/>
          <w:highlight w:val="none"/>
        </w:rPr>
        <w:t>防护距离</w:t>
      </w:r>
    </w:p>
    <w:p w14:paraId="47FDEFF7">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i w:val="0"/>
          <w:color w:val="auto"/>
          <w:spacing w:val="0"/>
          <w:position w:val="0"/>
          <w:sz w:val="24"/>
          <w:szCs w:val="24"/>
          <w:highlight w:val="none"/>
        </w:rPr>
      </w:pP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1</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大气环境防护距离</w:t>
      </w:r>
    </w:p>
    <w:p w14:paraId="2B2984DF">
      <w:pPr>
        <w:keepNext w:val="0"/>
        <w:keepLines w:val="0"/>
        <w:pageBreakBefore w:val="0"/>
        <w:widowControl w:val="0"/>
        <w:kinsoku/>
        <w:wordWrap/>
        <w:overflowPunct/>
        <w:topLinePunct w:val="0"/>
        <w:autoSpaceDE/>
        <w:autoSpaceDN/>
        <w:bidi w:val="0"/>
        <w:adjustRightInd/>
        <w:snapToGrid/>
        <w:spacing w:line="360" w:lineRule="auto"/>
        <w:ind w:left="0" w:right="0" w:firstLine="506"/>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宋体"/>
          <w:i w:val="0"/>
          <w:color w:val="auto"/>
          <w:spacing w:val="0"/>
          <w:position w:val="0"/>
          <w:sz w:val="24"/>
          <w:szCs w:val="24"/>
          <w:highlight w:val="none"/>
        </w:rPr>
        <w:t>因为养殖场环境空气主要污染物是恶臭，也是居民在心理上最关心的。在《环境影响评价技术导则大气环境》</w:t>
      </w: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HJ2.2-2018</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附录</w:t>
      </w:r>
      <w:r>
        <w:rPr>
          <w:rFonts w:ascii="Times New Roman" w:hAnsi="Times New Roman" w:eastAsia="宋体" w:cs="Times New Roman"/>
          <w:i w:val="0"/>
          <w:color w:val="auto"/>
          <w:spacing w:val="0"/>
          <w:position w:val="0"/>
          <w:sz w:val="24"/>
          <w:szCs w:val="24"/>
          <w:highlight w:val="none"/>
        </w:rPr>
        <w:t>D</w:t>
      </w:r>
      <w:r>
        <w:rPr>
          <w:rFonts w:ascii="Times New Roman" w:hAnsi="Times New Roman" w:eastAsia="宋体" w:cs="宋体"/>
          <w:i w:val="0"/>
          <w:color w:val="auto"/>
          <w:spacing w:val="0"/>
          <w:position w:val="0"/>
          <w:sz w:val="24"/>
          <w:szCs w:val="24"/>
          <w:highlight w:val="none"/>
        </w:rPr>
        <w:t>其他污染物空气质量浓度参考限值中硫化氢的最高允许浓度为</w:t>
      </w:r>
      <w:r>
        <w:rPr>
          <w:rFonts w:ascii="Times New Roman" w:hAnsi="Times New Roman" w:eastAsia="宋体" w:cs="Times New Roman"/>
          <w:i w:val="0"/>
          <w:color w:val="auto"/>
          <w:spacing w:val="0"/>
          <w:position w:val="0"/>
          <w:sz w:val="24"/>
          <w:szCs w:val="24"/>
          <w:highlight w:val="none"/>
        </w:rPr>
        <w:t>0.01mg/m</w:t>
      </w:r>
      <w:r>
        <w:rPr>
          <w:rFonts w:ascii="Times New Roman" w:hAnsi="Times New Roman" w:eastAsia="宋体" w:cs="Times New Roman"/>
          <w:i w:val="0"/>
          <w:color w:val="auto"/>
          <w:spacing w:val="0"/>
          <w:position w:val="0"/>
          <w:sz w:val="24"/>
          <w:szCs w:val="15"/>
          <w:highlight w:val="none"/>
          <w:vertAlign w:val="superscript"/>
        </w:rPr>
        <w:t>3</w:t>
      </w:r>
      <w:r>
        <w:rPr>
          <w:rFonts w:ascii="Times New Roman" w:hAnsi="Times New Roman" w:eastAsia="宋体" w:cs="宋体"/>
          <w:i w:val="0"/>
          <w:color w:val="auto"/>
          <w:spacing w:val="0"/>
          <w:position w:val="0"/>
          <w:sz w:val="24"/>
          <w:szCs w:val="24"/>
          <w:highlight w:val="none"/>
        </w:rPr>
        <w:t>，氨气的最高允许浓度为</w:t>
      </w:r>
      <w:r>
        <w:rPr>
          <w:rFonts w:ascii="Times New Roman" w:hAnsi="Times New Roman" w:eastAsia="宋体" w:cs="Times New Roman"/>
          <w:i w:val="0"/>
          <w:color w:val="auto"/>
          <w:spacing w:val="0"/>
          <w:position w:val="0"/>
          <w:sz w:val="24"/>
          <w:szCs w:val="24"/>
          <w:highlight w:val="none"/>
        </w:rPr>
        <w:t>0.2mg/m</w:t>
      </w:r>
      <w:r>
        <w:rPr>
          <w:rFonts w:ascii="Times New Roman" w:hAnsi="Times New Roman" w:eastAsia="宋体" w:cs="Times New Roman"/>
          <w:i w:val="0"/>
          <w:color w:val="auto"/>
          <w:spacing w:val="0"/>
          <w:position w:val="0"/>
          <w:sz w:val="24"/>
          <w:szCs w:val="15"/>
          <w:highlight w:val="none"/>
          <w:vertAlign w:val="superscript"/>
        </w:rPr>
        <w:t>3</w:t>
      </w:r>
      <w:r>
        <w:rPr>
          <w:rFonts w:ascii="Times New Roman" w:hAnsi="Times New Roman" w:eastAsia="宋体" w:cs="宋体"/>
          <w:i w:val="0"/>
          <w:color w:val="auto"/>
          <w:spacing w:val="0"/>
          <w:position w:val="0"/>
          <w:sz w:val="24"/>
          <w:szCs w:val="24"/>
          <w:highlight w:val="none"/>
        </w:rPr>
        <w:t>。本次评价采用《环境影响评价技术导则大气环境》</w:t>
      </w: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HJ2.2-2018</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推荐的估算模型</w:t>
      </w:r>
      <w:r>
        <w:rPr>
          <w:rFonts w:ascii="Times New Roman" w:hAnsi="Times New Roman" w:eastAsia="宋体" w:cs="Times New Roman"/>
          <w:i w:val="0"/>
          <w:color w:val="auto"/>
          <w:spacing w:val="0"/>
          <w:position w:val="0"/>
          <w:sz w:val="24"/>
          <w:szCs w:val="24"/>
          <w:highlight w:val="none"/>
        </w:rPr>
        <w:t>AERSCREEN</w:t>
      </w:r>
      <w:r>
        <w:rPr>
          <w:rFonts w:ascii="Times New Roman" w:hAnsi="Times New Roman" w:eastAsia="宋体" w:cs="宋体"/>
          <w:i w:val="0"/>
          <w:color w:val="auto"/>
          <w:spacing w:val="0"/>
          <w:position w:val="0"/>
          <w:sz w:val="24"/>
          <w:szCs w:val="24"/>
          <w:highlight w:val="none"/>
        </w:rPr>
        <w:t>计算，本项目恶臭气体无组织排放未出现超标现象，因此项目不需设大气环境防护距离。</w:t>
      </w:r>
    </w:p>
    <w:p w14:paraId="492A96E6">
      <w:pPr>
        <w:keepNext w:val="0"/>
        <w:keepLines w:val="0"/>
        <w:pageBreakBefore w:val="0"/>
        <w:widowControl w:val="0"/>
        <w:kinsoku/>
        <w:wordWrap/>
        <w:overflowPunct/>
        <w:topLinePunct w:val="0"/>
        <w:autoSpaceDE/>
        <w:autoSpaceDN/>
        <w:bidi w:val="0"/>
        <w:adjustRightInd/>
        <w:snapToGrid/>
        <w:spacing w:line="360" w:lineRule="auto"/>
        <w:ind w:left="0" w:right="0" w:firstLine="490"/>
        <w:textAlignment w:val="auto"/>
        <w:rPr>
          <w:rFonts w:ascii="Times New Roman" w:hAnsi="Times New Roman" w:eastAsia="宋体" w:cs="宋体"/>
          <w:i w:val="0"/>
          <w:color w:val="auto"/>
          <w:spacing w:val="0"/>
          <w:position w:val="0"/>
          <w:sz w:val="24"/>
          <w:szCs w:val="24"/>
          <w:highlight w:val="none"/>
        </w:rPr>
      </w:pP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2</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本项目无相关卫生距离标准，根据《畜禽养殖业污染防治技术规范》</w:t>
      </w: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HJ/T81-2001</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中要求，新建、改建、扩建的畜禽养殖场场界与该标准中规定的禁建区域的最小距离不得小于</w:t>
      </w:r>
      <w:r>
        <w:rPr>
          <w:rFonts w:ascii="Times New Roman" w:hAnsi="Times New Roman" w:eastAsia="宋体" w:cs="Times New Roman"/>
          <w:i w:val="0"/>
          <w:color w:val="auto"/>
          <w:spacing w:val="0"/>
          <w:position w:val="0"/>
          <w:sz w:val="24"/>
          <w:szCs w:val="24"/>
          <w:highlight w:val="none"/>
        </w:rPr>
        <w:t>500m</w:t>
      </w:r>
      <w:r>
        <w:rPr>
          <w:rFonts w:ascii="Times New Roman" w:hAnsi="Times New Roman" w:eastAsia="宋体" w:cs="宋体"/>
          <w:i w:val="0"/>
          <w:color w:val="auto"/>
          <w:spacing w:val="0"/>
          <w:position w:val="0"/>
          <w:sz w:val="24"/>
          <w:szCs w:val="24"/>
          <w:highlight w:val="none"/>
        </w:rPr>
        <w:t>，禁建区域包括：生活饮用水水源保护区、风景名胜区、自然保护区的核心区及缓冲区；城市和城镇居民区，包括文教科研区、医疗区、商业区、工业区、游览区等人口集中地区；县级人民政府依法划定的禁养区域；国家或地方法律、法规规定需特殊保护的其它区域。因此确定本项目卫生防护距离为</w:t>
      </w:r>
      <w:r>
        <w:rPr>
          <w:rFonts w:ascii="Times New Roman" w:hAnsi="Times New Roman" w:eastAsia="宋体" w:cs="Times New Roman"/>
          <w:i w:val="0"/>
          <w:color w:val="auto"/>
          <w:spacing w:val="0"/>
          <w:position w:val="0"/>
          <w:sz w:val="24"/>
          <w:szCs w:val="24"/>
          <w:highlight w:val="none"/>
        </w:rPr>
        <w:t>500m</w:t>
      </w:r>
      <w:r>
        <w:rPr>
          <w:rFonts w:ascii="Times New Roman" w:hAnsi="Times New Roman" w:eastAsia="宋体" w:cs="宋体"/>
          <w:i w:val="0"/>
          <w:color w:val="auto"/>
          <w:spacing w:val="0"/>
          <w:position w:val="0"/>
          <w:sz w:val="24"/>
          <w:szCs w:val="24"/>
          <w:highlight w:val="none"/>
        </w:rPr>
        <w:t>。</w:t>
      </w:r>
    </w:p>
    <w:p w14:paraId="53125599">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i w:val="0"/>
          <w:color w:val="auto"/>
          <w:spacing w:val="0"/>
          <w:position w:val="0"/>
          <w:sz w:val="24"/>
          <w:szCs w:val="24"/>
          <w:highlight w:val="none"/>
        </w:rPr>
      </w:pPr>
      <w:r>
        <w:rPr>
          <w:rFonts w:hint="eastAsia" w:cs="宋体"/>
          <w:i w:val="0"/>
          <w:color w:val="auto"/>
          <w:spacing w:val="0"/>
          <w:position w:val="0"/>
          <w:sz w:val="24"/>
          <w:szCs w:val="24"/>
          <w:highlight w:val="none"/>
          <w:lang w:eastAsia="zh-CN"/>
        </w:rPr>
        <w:t>（</w:t>
      </w:r>
      <w:r>
        <w:rPr>
          <w:rFonts w:ascii="Times New Roman" w:hAnsi="Times New Roman" w:eastAsia="宋体" w:cs="Times New Roman"/>
          <w:i w:val="0"/>
          <w:color w:val="auto"/>
          <w:spacing w:val="0"/>
          <w:position w:val="0"/>
          <w:sz w:val="24"/>
          <w:szCs w:val="24"/>
          <w:highlight w:val="none"/>
        </w:rPr>
        <w:t>3</w:t>
      </w:r>
      <w:r>
        <w:rPr>
          <w:rFonts w:hint="eastAsia" w:cs="宋体"/>
          <w:i w:val="0"/>
          <w:color w:val="auto"/>
          <w:spacing w:val="0"/>
          <w:position w:val="0"/>
          <w:sz w:val="24"/>
          <w:szCs w:val="24"/>
          <w:highlight w:val="none"/>
          <w:lang w:eastAsia="zh-CN"/>
        </w:rPr>
        <w:t>）</w:t>
      </w:r>
      <w:r>
        <w:rPr>
          <w:rFonts w:ascii="Times New Roman" w:hAnsi="Times New Roman" w:eastAsia="宋体" w:cs="宋体"/>
          <w:i w:val="0"/>
          <w:color w:val="auto"/>
          <w:spacing w:val="0"/>
          <w:position w:val="0"/>
          <w:sz w:val="24"/>
          <w:szCs w:val="24"/>
          <w:highlight w:val="none"/>
        </w:rPr>
        <w:t>防护距离结论</w:t>
      </w:r>
    </w:p>
    <w:p w14:paraId="39BFCDD6">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宋体"/>
          <w:i w:val="0"/>
          <w:color w:val="auto"/>
          <w:spacing w:val="0"/>
          <w:position w:val="0"/>
          <w:sz w:val="24"/>
          <w:szCs w:val="24"/>
          <w:highlight w:val="none"/>
        </w:rPr>
        <w:t>综合上述分析，确定本项目的防护距离为</w:t>
      </w:r>
      <w:r>
        <w:rPr>
          <w:rFonts w:ascii="Times New Roman" w:hAnsi="Times New Roman" w:eastAsia="宋体" w:cs="Times New Roman"/>
          <w:i w:val="0"/>
          <w:color w:val="auto"/>
          <w:spacing w:val="0"/>
          <w:position w:val="0"/>
          <w:sz w:val="24"/>
          <w:szCs w:val="24"/>
          <w:highlight w:val="none"/>
        </w:rPr>
        <w:t>500m</w:t>
      </w:r>
      <w:r>
        <w:rPr>
          <w:rFonts w:ascii="Times New Roman" w:hAnsi="Times New Roman" w:eastAsia="宋体" w:cs="宋体"/>
          <w:i w:val="0"/>
          <w:color w:val="auto"/>
          <w:spacing w:val="0"/>
          <w:position w:val="0"/>
          <w:sz w:val="24"/>
          <w:szCs w:val="24"/>
          <w:highlight w:val="none"/>
        </w:rPr>
        <w:t>。</w:t>
      </w:r>
    </w:p>
    <w:p w14:paraId="3A96E9F0">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宋体"/>
          <w:i w:val="0"/>
          <w:color w:val="auto"/>
          <w:spacing w:val="0"/>
          <w:position w:val="0"/>
          <w:sz w:val="24"/>
          <w:szCs w:val="24"/>
          <w:highlight w:val="none"/>
        </w:rPr>
        <w:t>根据现场调查，以拟建养殖场场界为起点外扩</w:t>
      </w:r>
      <w:r>
        <w:rPr>
          <w:rFonts w:ascii="Times New Roman" w:hAnsi="Times New Roman" w:eastAsia="宋体" w:cs="Times New Roman"/>
          <w:i w:val="0"/>
          <w:color w:val="auto"/>
          <w:spacing w:val="0"/>
          <w:position w:val="0"/>
          <w:sz w:val="24"/>
          <w:szCs w:val="24"/>
          <w:highlight w:val="none"/>
        </w:rPr>
        <w:t>500m</w:t>
      </w:r>
      <w:r>
        <w:rPr>
          <w:rFonts w:ascii="Times New Roman" w:hAnsi="Times New Roman" w:eastAsia="宋体" w:cs="宋体"/>
          <w:i w:val="0"/>
          <w:color w:val="auto"/>
          <w:spacing w:val="0"/>
          <w:position w:val="0"/>
          <w:sz w:val="24"/>
          <w:szCs w:val="24"/>
          <w:highlight w:val="none"/>
        </w:rPr>
        <w:t>范围内无环境敏感点分布，满足项目环境防护距离要求。</w:t>
      </w:r>
    </w:p>
    <w:p w14:paraId="271903AE">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b/>
          <w:bCs/>
          <w:i w:val="0"/>
          <w:color w:val="auto"/>
          <w:spacing w:val="0"/>
          <w:position w:val="0"/>
          <w:sz w:val="24"/>
          <w:szCs w:val="24"/>
          <w:highlight w:val="none"/>
        </w:rPr>
      </w:pPr>
      <w:r>
        <w:rPr>
          <w:rFonts w:hint="eastAsia" w:ascii="Times New Roman" w:hAnsi="Times New Roman" w:eastAsia="宋体" w:cs="宋体"/>
          <w:b/>
          <w:bCs/>
          <w:i w:val="0"/>
          <w:color w:val="auto"/>
          <w:spacing w:val="0"/>
          <w:position w:val="0"/>
          <w:sz w:val="24"/>
          <w:szCs w:val="24"/>
          <w:highlight w:val="none"/>
          <w:lang w:val="en-US" w:eastAsia="zh-CN"/>
        </w:rPr>
        <w:t>5.2.1.3</w:t>
      </w:r>
      <w:r>
        <w:rPr>
          <w:rFonts w:ascii="Times New Roman" w:hAnsi="Times New Roman" w:eastAsia="宋体" w:cs="宋体"/>
          <w:b/>
          <w:bCs/>
          <w:i w:val="0"/>
          <w:color w:val="auto"/>
          <w:spacing w:val="0"/>
          <w:position w:val="0"/>
          <w:sz w:val="24"/>
          <w:szCs w:val="24"/>
          <w:highlight w:val="none"/>
        </w:rPr>
        <w:t>大气环境影响评价自查表</w:t>
      </w:r>
    </w:p>
    <w:p w14:paraId="55FD0062">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i w:val="0"/>
          <w:color w:val="auto"/>
          <w:spacing w:val="0"/>
          <w:position w:val="0"/>
          <w:sz w:val="24"/>
          <w:szCs w:val="24"/>
          <w:highlight w:val="none"/>
        </w:rPr>
      </w:pPr>
      <w:r>
        <w:rPr>
          <w:rFonts w:ascii="Times New Roman" w:hAnsi="Times New Roman" w:eastAsia="宋体" w:cs="宋体"/>
          <w:i w:val="0"/>
          <w:color w:val="auto"/>
          <w:spacing w:val="0"/>
          <w:position w:val="0"/>
          <w:sz w:val="24"/>
          <w:szCs w:val="24"/>
          <w:highlight w:val="none"/>
        </w:rPr>
        <w:t>建设项目大气环境影响评价自查表详见表</w:t>
      </w:r>
      <w:r>
        <w:rPr>
          <w:rFonts w:hint="eastAsia" w:ascii="Times New Roman" w:hAnsi="Times New Roman" w:eastAsia="宋体" w:cs="Times New Roman"/>
          <w:i w:val="0"/>
          <w:color w:val="auto"/>
          <w:spacing w:val="0"/>
          <w:position w:val="0"/>
          <w:sz w:val="24"/>
          <w:szCs w:val="24"/>
          <w:highlight w:val="none"/>
          <w:lang w:val="en-US" w:eastAsia="zh-CN"/>
        </w:rPr>
        <w:t>5</w:t>
      </w:r>
      <w:r>
        <w:rPr>
          <w:rFonts w:ascii="Times New Roman" w:hAnsi="Times New Roman" w:eastAsia="宋体" w:cs="Times New Roman"/>
          <w:i w:val="0"/>
          <w:color w:val="auto"/>
          <w:spacing w:val="0"/>
          <w:position w:val="0"/>
          <w:sz w:val="24"/>
          <w:szCs w:val="24"/>
          <w:highlight w:val="none"/>
        </w:rPr>
        <w:t>.2-9</w:t>
      </w:r>
      <w:r>
        <w:rPr>
          <w:rFonts w:ascii="Times New Roman" w:hAnsi="Times New Roman" w:eastAsia="宋体" w:cs="宋体"/>
          <w:i w:val="0"/>
          <w:color w:val="auto"/>
          <w:spacing w:val="0"/>
          <w:position w:val="0"/>
          <w:sz w:val="24"/>
          <w:szCs w:val="24"/>
          <w:highlight w:val="none"/>
        </w:rPr>
        <w:t>。</w:t>
      </w:r>
    </w:p>
    <w:p w14:paraId="4D83137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i w:val="0"/>
          <w:color w:val="auto"/>
          <w:spacing w:val="0"/>
          <w:position w:val="0"/>
          <w:sz w:val="24"/>
          <w:szCs w:val="21"/>
          <w:highlight w:val="none"/>
        </w:rPr>
      </w:pPr>
      <w:r>
        <w:rPr>
          <w:rFonts w:ascii="Times New Roman" w:hAnsi="Times New Roman" w:eastAsia="宋体" w:cs="黑体"/>
          <w:b/>
          <w:bCs/>
          <w:i w:val="0"/>
          <w:color w:val="auto"/>
          <w:spacing w:val="0"/>
          <w:position w:val="0"/>
          <w:sz w:val="24"/>
          <w:szCs w:val="21"/>
          <w:highlight w:val="none"/>
        </w:rPr>
        <w:t>表</w:t>
      </w:r>
      <w:r>
        <w:rPr>
          <w:rFonts w:hint="eastAsia" w:ascii="Times New Roman" w:hAnsi="Times New Roman" w:eastAsia="宋体" w:cs="Times New Roman"/>
          <w:b/>
          <w:bCs/>
          <w:i w:val="0"/>
          <w:color w:val="auto"/>
          <w:spacing w:val="0"/>
          <w:position w:val="0"/>
          <w:sz w:val="24"/>
          <w:szCs w:val="21"/>
          <w:highlight w:val="none"/>
          <w:lang w:val="en-US" w:eastAsia="zh-CN"/>
        </w:rPr>
        <w:t>5</w:t>
      </w:r>
      <w:r>
        <w:rPr>
          <w:rFonts w:ascii="Times New Roman" w:hAnsi="Times New Roman" w:eastAsia="宋体" w:cs="Times New Roman"/>
          <w:b/>
          <w:bCs/>
          <w:i w:val="0"/>
          <w:color w:val="auto"/>
          <w:spacing w:val="0"/>
          <w:position w:val="0"/>
          <w:sz w:val="24"/>
          <w:szCs w:val="21"/>
          <w:highlight w:val="none"/>
        </w:rPr>
        <w:t>.2-9</w:t>
      </w:r>
      <w:r>
        <w:rPr>
          <w:rFonts w:ascii="Times New Roman" w:hAnsi="Times New Roman" w:eastAsia="宋体" w:cs="黑体"/>
          <w:b/>
          <w:bCs/>
          <w:i w:val="0"/>
          <w:color w:val="auto"/>
          <w:spacing w:val="0"/>
          <w:position w:val="0"/>
          <w:sz w:val="24"/>
          <w:szCs w:val="21"/>
          <w:highlight w:val="none"/>
        </w:rPr>
        <w:t>建设项目大气环境影响评价自查表</w:t>
      </w:r>
    </w:p>
    <w:tbl>
      <w:tblPr>
        <w:tblStyle w:val="176"/>
        <w:tblW w:w="500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94"/>
        <w:gridCol w:w="1527"/>
        <w:gridCol w:w="1389"/>
        <w:gridCol w:w="187"/>
        <w:gridCol w:w="183"/>
        <w:gridCol w:w="185"/>
        <w:gridCol w:w="187"/>
        <w:gridCol w:w="1580"/>
        <w:gridCol w:w="1080"/>
        <w:gridCol w:w="502"/>
        <w:gridCol w:w="393"/>
        <w:gridCol w:w="296"/>
        <w:gridCol w:w="277"/>
        <w:gridCol w:w="1163"/>
      </w:tblGrid>
      <w:tr w14:paraId="3CAA6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111" w:type="pct"/>
            <w:gridSpan w:val="2"/>
            <w:tcBorders>
              <w:tl2br w:val="nil"/>
              <w:tr2bl w:val="nil"/>
            </w:tcBorders>
            <w:vAlign w:val="center"/>
          </w:tcPr>
          <w:p w14:paraId="771A4CC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工作内容</w:t>
            </w:r>
          </w:p>
        </w:tc>
        <w:tc>
          <w:tcPr>
            <w:tcW w:w="3888" w:type="pct"/>
            <w:gridSpan w:val="12"/>
            <w:tcBorders>
              <w:tl2br w:val="nil"/>
              <w:tr2bl w:val="nil"/>
            </w:tcBorders>
            <w:vAlign w:val="center"/>
          </w:tcPr>
          <w:p w14:paraId="798055B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自查项目</w:t>
            </w:r>
          </w:p>
        </w:tc>
      </w:tr>
      <w:tr w14:paraId="58EAF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restart"/>
            <w:tcBorders>
              <w:tl2br w:val="nil"/>
              <w:tr2bl w:val="nil"/>
            </w:tcBorders>
            <w:vAlign w:val="center"/>
          </w:tcPr>
          <w:p w14:paraId="7026298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评价等级与范围</w:t>
            </w:r>
          </w:p>
        </w:tc>
        <w:tc>
          <w:tcPr>
            <w:tcW w:w="799" w:type="pct"/>
            <w:tcBorders>
              <w:tl2br w:val="nil"/>
              <w:tr2bl w:val="nil"/>
            </w:tcBorders>
            <w:vAlign w:val="center"/>
          </w:tcPr>
          <w:p w14:paraId="0C2D9C2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评价等级</w:t>
            </w:r>
          </w:p>
        </w:tc>
        <w:tc>
          <w:tcPr>
            <w:tcW w:w="1117" w:type="pct"/>
            <w:gridSpan w:val="5"/>
            <w:tcBorders>
              <w:tl2br w:val="nil"/>
              <w:tr2bl w:val="nil"/>
            </w:tcBorders>
            <w:vAlign w:val="center"/>
          </w:tcPr>
          <w:p w14:paraId="3AA5805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一级</w:t>
            </w:r>
            <w:r>
              <w:rPr>
                <w:rFonts w:ascii="Times New Roman" w:hAnsi="Times New Roman" w:eastAsia="宋体" w:cs="Times New Roman"/>
                <w:i w:val="0"/>
                <w:color w:val="auto"/>
                <w:spacing w:val="0"/>
                <w:position w:val="0"/>
                <w:sz w:val="21"/>
                <w:szCs w:val="21"/>
                <w:highlight w:val="none"/>
              </w:rPr>
              <w:t>□</w:t>
            </w:r>
          </w:p>
        </w:tc>
        <w:tc>
          <w:tcPr>
            <w:tcW w:w="1863" w:type="pct"/>
            <w:gridSpan w:val="4"/>
            <w:tcBorders>
              <w:tl2br w:val="nil"/>
              <w:tr2bl w:val="nil"/>
            </w:tcBorders>
            <w:vAlign w:val="center"/>
          </w:tcPr>
          <w:p w14:paraId="260B9E7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二级</w:t>
            </w:r>
            <w:r>
              <w:rPr>
                <w:rFonts w:ascii="Times New Roman" w:hAnsi="Times New Roman" w:eastAsia="宋体" w:cs="MS Gothic"/>
                <w:i w:val="0"/>
                <w:color w:val="auto"/>
                <w:spacing w:val="0"/>
                <w:position w:val="0"/>
                <w:sz w:val="21"/>
                <w:szCs w:val="21"/>
                <w:highlight w:val="none"/>
              </w:rPr>
              <w:t>☑</w:t>
            </w:r>
          </w:p>
        </w:tc>
        <w:tc>
          <w:tcPr>
            <w:tcW w:w="908" w:type="pct"/>
            <w:gridSpan w:val="3"/>
            <w:tcBorders>
              <w:tl2br w:val="nil"/>
              <w:tr2bl w:val="nil"/>
            </w:tcBorders>
            <w:vAlign w:val="center"/>
          </w:tcPr>
          <w:p w14:paraId="33E139E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三级□</w:t>
            </w:r>
          </w:p>
        </w:tc>
      </w:tr>
      <w:tr w14:paraId="0029E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311" w:type="pct"/>
            <w:vMerge w:val="continue"/>
            <w:tcBorders>
              <w:tl2br w:val="nil"/>
              <w:tr2bl w:val="nil"/>
            </w:tcBorders>
            <w:vAlign w:val="center"/>
          </w:tcPr>
          <w:p w14:paraId="71C0694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14:paraId="174E0F9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评价范围</w:t>
            </w:r>
          </w:p>
        </w:tc>
        <w:tc>
          <w:tcPr>
            <w:tcW w:w="1117" w:type="pct"/>
            <w:gridSpan w:val="5"/>
            <w:tcBorders>
              <w:tl2br w:val="nil"/>
              <w:tr2bl w:val="nil"/>
            </w:tcBorders>
            <w:vAlign w:val="center"/>
          </w:tcPr>
          <w:p w14:paraId="7DD5017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边长</w:t>
            </w:r>
            <w:r>
              <w:rPr>
                <w:rFonts w:ascii="Times New Roman" w:hAnsi="Times New Roman" w:eastAsia="宋体" w:cs="Times New Roman"/>
                <w:i w:val="0"/>
                <w:color w:val="auto"/>
                <w:spacing w:val="0"/>
                <w:position w:val="0"/>
                <w:sz w:val="21"/>
                <w:szCs w:val="21"/>
                <w:highlight w:val="none"/>
              </w:rPr>
              <w:t>=50km□</w:t>
            </w:r>
          </w:p>
        </w:tc>
        <w:tc>
          <w:tcPr>
            <w:tcW w:w="1863" w:type="pct"/>
            <w:gridSpan w:val="4"/>
            <w:tcBorders>
              <w:tl2br w:val="nil"/>
              <w:tr2bl w:val="nil"/>
            </w:tcBorders>
            <w:vAlign w:val="center"/>
          </w:tcPr>
          <w:p w14:paraId="73160C2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边长</w:t>
            </w:r>
            <w:r>
              <w:rPr>
                <w:rFonts w:ascii="Times New Roman" w:hAnsi="Times New Roman" w:eastAsia="宋体" w:cs="Times New Roman"/>
                <w:i w:val="0"/>
                <w:color w:val="auto"/>
                <w:spacing w:val="0"/>
                <w:position w:val="0"/>
                <w:sz w:val="21"/>
                <w:szCs w:val="21"/>
                <w:highlight w:val="none"/>
              </w:rPr>
              <w:t>5</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50km□</w:t>
            </w:r>
          </w:p>
        </w:tc>
        <w:tc>
          <w:tcPr>
            <w:tcW w:w="908" w:type="pct"/>
            <w:gridSpan w:val="3"/>
            <w:tcBorders>
              <w:tl2br w:val="nil"/>
              <w:tr2bl w:val="nil"/>
            </w:tcBorders>
            <w:vAlign w:val="center"/>
          </w:tcPr>
          <w:p w14:paraId="41B88DF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边长</w:t>
            </w:r>
            <w:r>
              <w:rPr>
                <w:rFonts w:ascii="Times New Roman" w:hAnsi="Times New Roman" w:eastAsia="宋体" w:cs="Times New Roman"/>
                <w:i w:val="0"/>
                <w:color w:val="auto"/>
                <w:spacing w:val="0"/>
                <w:position w:val="0"/>
                <w:sz w:val="21"/>
                <w:szCs w:val="21"/>
                <w:highlight w:val="none"/>
              </w:rPr>
              <w:t>=5km</w:t>
            </w:r>
            <w:r>
              <w:rPr>
                <w:rFonts w:ascii="Times New Roman" w:hAnsi="Times New Roman" w:eastAsia="宋体" w:cs="MS Gothic"/>
                <w:i w:val="0"/>
                <w:color w:val="auto"/>
                <w:spacing w:val="0"/>
                <w:position w:val="0"/>
                <w:sz w:val="21"/>
                <w:szCs w:val="21"/>
                <w:highlight w:val="none"/>
              </w:rPr>
              <w:t>☑</w:t>
            </w:r>
          </w:p>
        </w:tc>
      </w:tr>
      <w:tr w14:paraId="0E58E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311" w:type="pct"/>
            <w:vMerge w:val="restart"/>
            <w:tcBorders>
              <w:tl2br w:val="nil"/>
              <w:tr2bl w:val="nil"/>
            </w:tcBorders>
            <w:vAlign w:val="center"/>
          </w:tcPr>
          <w:p w14:paraId="1DD2DEE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评价因子</w:t>
            </w:r>
          </w:p>
        </w:tc>
        <w:tc>
          <w:tcPr>
            <w:tcW w:w="799" w:type="pct"/>
            <w:tcBorders>
              <w:tl2br w:val="nil"/>
              <w:tr2bl w:val="nil"/>
            </w:tcBorders>
            <w:vAlign w:val="center"/>
          </w:tcPr>
          <w:p w14:paraId="6C0039F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SO</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Times New Roman"/>
                <w:i w:val="0"/>
                <w:color w:val="auto"/>
                <w:spacing w:val="0"/>
                <w:position w:val="0"/>
                <w:sz w:val="21"/>
                <w:szCs w:val="21"/>
                <w:highlight w:val="none"/>
              </w:rPr>
              <w:t>+NO</w:t>
            </w:r>
            <w:r>
              <w:rPr>
                <w:rFonts w:ascii="Times New Roman" w:hAnsi="Times New Roman" w:eastAsia="宋体" w:cs="Times New Roman"/>
                <w:i w:val="0"/>
                <w:iCs/>
                <w:color w:val="auto"/>
                <w:spacing w:val="0"/>
                <w:position w:val="0"/>
                <w:sz w:val="21"/>
                <w:szCs w:val="21"/>
                <w:highlight w:val="none"/>
              </w:rPr>
              <w:t>x</w:t>
            </w:r>
            <w:r>
              <w:rPr>
                <w:rFonts w:ascii="Times New Roman" w:hAnsi="Times New Roman" w:eastAsia="宋体" w:cs="宋体"/>
                <w:i w:val="0"/>
                <w:color w:val="auto"/>
                <w:spacing w:val="0"/>
                <w:position w:val="0"/>
                <w:sz w:val="21"/>
                <w:szCs w:val="21"/>
                <w:highlight w:val="none"/>
              </w:rPr>
              <w:t>排放量</w:t>
            </w:r>
          </w:p>
        </w:tc>
        <w:tc>
          <w:tcPr>
            <w:tcW w:w="826" w:type="pct"/>
            <w:gridSpan w:val="2"/>
            <w:tcBorders>
              <w:tl2br w:val="nil"/>
              <w:tr2bl w:val="nil"/>
            </w:tcBorders>
            <w:vAlign w:val="center"/>
          </w:tcPr>
          <w:p w14:paraId="56D73EB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2000t/a</w:t>
            </w:r>
            <w:r>
              <w:rPr>
                <w:rFonts w:ascii="Times New Roman" w:hAnsi="Times New Roman" w:eastAsia="宋体" w:cs="宋体"/>
                <w:i w:val="0"/>
                <w:color w:val="auto"/>
                <w:spacing w:val="0"/>
                <w:position w:val="0"/>
                <w:sz w:val="21"/>
                <w:szCs w:val="21"/>
                <w:highlight w:val="none"/>
              </w:rPr>
              <w:t>□</w:t>
            </w:r>
          </w:p>
        </w:tc>
        <w:tc>
          <w:tcPr>
            <w:tcW w:w="2154" w:type="pct"/>
            <w:gridSpan w:val="7"/>
            <w:tcBorders>
              <w:tl2br w:val="nil"/>
              <w:tr2bl w:val="nil"/>
            </w:tcBorders>
            <w:vAlign w:val="center"/>
          </w:tcPr>
          <w:p w14:paraId="77DA413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500~2000t/a□</w:t>
            </w:r>
          </w:p>
        </w:tc>
        <w:tc>
          <w:tcPr>
            <w:tcW w:w="908" w:type="pct"/>
            <w:gridSpan w:val="3"/>
            <w:tcBorders>
              <w:tl2br w:val="nil"/>
              <w:tr2bl w:val="nil"/>
            </w:tcBorders>
            <w:vAlign w:val="center"/>
          </w:tcPr>
          <w:p w14:paraId="019810A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500t/a</w:t>
            </w:r>
            <w:r>
              <w:rPr>
                <w:rFonts w:ascii="Times New Roman" w:hAnsi="Times New Roman" w:eastAsia="宋体" w:cs="MS Gothic"/>
                <w:i w:val="0"/>
                <w:color w:val="auto"/>
                <w:spacing w:val="0"/>
                <w:position w:val="0"/>
                <w:sz w:val="21"/>
                <w:szCs w:val="21"/>
                <w:highlight w:val="none"/>
              </w:rPr>
              <w:t>☑</w:t>
            </w:r>
          </w:p>
        </w:tc>
      </w:tr>
      <w:tr w14:paraId="4D549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311" w:type="pct"/>
            <w:vMerge w:val="continue"/>
            <w:tcBorders>
              <w:tl2br w:val="nil"/>
              <w:tr2bl w:val="nil"/>
            </w:tcBorders>
            <w:vAlign w:val="center"/>
          </w:tcPr>
          <w:p w14:paraId="2C1F202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vMerge w:val="restart"/>
            <w:tcBorders>
              <w:tl2br w:val="nil"/>
              <w:tr2bl w:val="nil"/>
            </w:tcBorders>
            <w:vAlign w:val="center"/>
          </w:tcPr>
          <w:p w14:paraId="03EA0C5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评价因子</w:t>
            </w:r>
          </w:p>
        </w:tc>
        <w:tc>
          <w:tcPr>
            <w:tcW w:w="1945" w:type="pct"/>
            <w:gridSpan w:val="6"/>
            <w:tcBorders>
              <w:tl2br w:val="nil"/>
              <w:tr2bl w:val="nil"/>
            </w:tcBorders>
            <w:vAlign w:val="center"/>
          </w:tcPr>
          <w:p w14:paraId="78BE2E3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基本污染物</w:t>
            </w:r>
            <w:r>
              <w:rPr>
                <w:rFonts w:hint="eastAsia" w:cs="Times New Roman"/>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PM</w:t>
            </w:r>
            <w:r>
              <w:rPr>
                <w:rFonts w:ascii="Times New Roman" w:hAnsi="Times New Roman" w:eastAsia="宋体" w:cs="Times New Roman"/>
                <w:i w:val="0"/>
                <w:color w:val="auto"/>
                <w:spacing w:val="0"/>
                <w:position w:val="0"/>
                <w:sz w:val="21"/>
                <w:szCs w:val="14"/>
                <w:highlight w:val="none"/>
                <w:vertAlign w:val="subscript"/>
              </w:rPr>
              <w:t>10</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PM</w:t>
            </w:r>
            <w:r>
              <w:rPr>
                <w:rFonts w:ascii="Times New Roman" w:hAnsi="Times New Roman" w:eastAsia="宋体" w:cs="Times New Roman"/>
                <w:i w:val="0"/>
                <w:color w:val="auto"/>
                <w:spacing w:val="0"/>
                <w:position w:val="0"/>
                <w:sz w:val="21"/>
                <w:szCs w:val="14"/>
                <w:highlight w:val="none"/>
                <w:vertAlign w:val="subscript"/>
              </w:rPr>
              <w:t>2.5</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SO</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NOx</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CO</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O</w:t>
            </w:r>
            <w:r>
              <w:rPr>
                <w:rFonts w:ascii="Times New Roman" w:hAnsi="Times New Roman" w:eastAsia="宋体" w:cs="Times New Roman"/>
                <w:i w:val="0"/>
                <w:color w:val="auto"/>
                <w:spacing w:val="0"/>
                <w:position w:val="0"/>
                <w:sz w:val="21"/>
                <w:szCs w:val="14"/>
                <w:highlight w:val="none"/>
                <w:vertAlign w:val="subscript"/>
              </w:rPr>
              <w:t>3</w:t>
            </w:r>
            <w:r>
              <w:rPr>
                <w:rFonts w:hint="eastAsia" w:cs="Times New Roman"/>
                <w:i w:val="0"/>
                <w:color w:val="auto"/>
                <w:spacing w:val="0"/>
                <w:position w:val="0"/>
                <w:sz w:val="21"/>
                <w:szCs w:val="21"/>
                <w:highlight w:val="none"/>
                <w:lang w:eastAsia="zh-CN"/>
              </w:rPr>
              <w:t>）</w:t>
            </w:r>
          </w:p>
        </w:tc>
        <w:tc>
          <w:tcPr>
            <w:tcW w:w="1942" w:type="pct"/>
            <w:gridSpan w:val="6"/>
            <w:vMerge w:val="restart"/>
            <w:tcBorders>
              <w:tl2br w:val="nil"/>
              <w:tr2bl w:val="nil"/>
            </w:tcBorders>
            <w:vAlign w:val="center"/>
          </w:tcPr>
          <w:p w14:paraId="50066A6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包括二次</w:t>
            </w:r>
            <w:r>
              <w:rPr>
                <w:rFonts w:ascii="Times New Roman" w:hAnsi="Times New Roman" w:eastAsia="宋体" w:cs="Times New Roman"/>
                <w:i w:val="0"/>
                <w:color w:val="auto"/>
                <w:spacing w:val="0"/>
                <w:position w:val="0"/>
                <w:sz w:val="21"/>
                <w:szCs w:val="21"/>
                <w:highlight w:val="none"/>
              </w:rPr>
              <w:t>PM</w:t>
            </w:r>
            <w:r>
              <w:rPr>
                <w:rFonts w:ascii="Times New Roman" w:hAnsi="Times New Roman" w:eastAsia="宋体" w:cs="Times New Roman"/>
                <w:i w:val="0"/>
                <w:color w:val="auto"/>
                <w:spacing w:val="0"/>
                <w:position w:val="0"/>
                <w:sz w:val="21"/>
                <w:szCs w:val="14"/>
                <w:highlight w:val="none"/>
                <w:vertAlign w:val="subscript"/>
              </w:rPr>
              <w:t>2.5</w:t>
            </w:r>
            <w:r>
              <w:rPr>
                <w:rFonts w:ascii="Times New Roman" w:hAnsi="Times New Roman" w:eastAsia="宋体" w:cs="Times New Roman"/>
                <w:i w:val="0"/>
                <w:color w:val="auto"/>
                <w:spacing w:val="0"/>
                <w:position w:val="0"/>
                <w:sz w:val="21"/>
                <w:szCs w:val="21"/>
                <w:highlight w:val="none"/>
              </w:rPr>
              <w:t>□</w:t>
            </w:r>
          </w:p>
          <w:p w14:paraId="0BDDEEE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不包括二次</w:t>
            </w:r>
            <w:r>
              <w:rPr>
                <w:rFonts w:ascii="Times New Roman" w:hAnsi="Times New Roman" w:eastAsia="宋体" w:cs="Times New Roman"/>
                <w:i w:val="0"/>
                <w:color w:val="auto"/>
                <w:spacing w:val="0"/>
                <w:position w:val="0"/>
                <w:sz w:val="21"/>
                <w:szCs w:val="21"/>
                <w:highlight w:val="none"/>
              </w:rPr>
              <w:t>PM</w:t>
            </w:r>
            <w:r>
              <w:rPr>
                <w:rFonts w:ascii="Times New Roman" w:hAnsi="Times New Roman" w:eastAsia="宋体" w:cs="Times New Roman"/>
                <w:i w:val="0"/>
                <w:color w:val="auto"/>
                <w:spacing w:val="0"/>
                <w:position w:val="0"/>
                <w:sz w:val="21"/>
                <w:szCs w:val="14"/>
                <w:highlight w:val="none"/>
                <w:vertAlign w:val="subscript"/>
              </w:rPr>
              <w:t>2.5</w:t>
            </w:r>
            <w:r>
              <w:rPr>
                <w:rFonts w:ascii="Times New Roman" w:hAnsi="Times New Roman" w:eastAsia="宋体" w:cs="MS Gothic"/>
                <w:i w:val="0"/>
                <w:color w:val="auto"/>
                <w:spacing w:val="0"/>
                <w:position w:val="0"/>
                <w:sz w:val="21"/>
                <w:szCs w:val="21"/>
                <w:highlight w:val="none"/>
              </w:rPr>
              <w:t>☑</w:t>
            </w:r>
          </w:p>
        </w:tc>
      </w:tr>
      <w:tr w14:paraId="6D08A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311" w:type="pct"/>
            <w:vMerge w:val="continue"/>
            <w:tcBorders>
              <w:tl2br w:val="nil"/>
              <w:tr2bl w:val="nil"/>
            </w:tcBorders>
            <w:vAlign w:val="center"/>
          </w:tcPr>
          <w:p w14:paraId="03A9C92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vMerge w:val="continue"/>
            <w:tcBorders>
              <w:tl2br w:val="nil"/>
              <w:tr2bl w:val="nil"/>
            </w:tcBorders>
            <w:vAlign w:val="center"/>
          </w:tcPr>
          <w:p w14:paraId="47F21D3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1945" w:type="pct"/>
            <w:gridSpan w:val="6"/>
            <w:tcBorders>
              <w:tl2br w:val="nil"/>
              <w:tr2bl w:val="nil"/>
            </w:tcBorders>
            <w:vAlign w:val="center"/>
          </w:tcPr>
          <w:p w14:paraId="094283E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其他污染物</w:t>
            </w:r>
            <w:r>
              <w:rPr>
                <w:rFonts w:hint="eastAsia" w:cs="Times New Roman"/>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NH</w:t>
            </w:r>
            <w:r>
              <w:rPr>
                <w:rFonts w:ascii="Times New Roman" w:hAnsi="Times New Roman" w:eastAsia="宋体" w:cs="Times New Roman"/>
                <w:i w:val="0"/>
                <w:color w:val="auto"/>
                <w:spacing w:val="0"/>
                <w:position w:val="0"/>
                <w:sz w:val="21"/>
                <w:szCs w:val="14"/>
                <w:highlight w:val="none"/>
                <w:vertAlign w:val="subscript"/>
              </w:rPr>
              <w:t>3</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H</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Times New Roman"/>
                <w:i w:val="0"/>
                <w:color w:val="auto"/>
                <w:spacing w:val="0"/>
                <w:position w:val="0"/>
                <w:sz w:val="21"/>
                <w:szCs w:val="21"/>
                <w:highlight w:val="none"/>
              </w:rPr>
              <w:t>S</w:t>
            </w:r>
            <w:r>
              <w:rPr>
                <w:rFonts w:hint="eastAsia" w:cs="Times New Roman"/>
                <w:i w:val="0"/>
                <w:color w:val="auto"/>
                <w:spacing w:val="0"/>
                <w:position w:val="0"/>
                <w:sz w:val="21"/>
                <w:szCs w:val="21"/>
                <w:highlight w:val="none"/>
                <w:lang w:eastAsia="zh-CN"/>
              </w:rPr>
              <w:t>）</w:t>
            </w:r>
          </w:p>
        </w:tc>
        <w:tc>
          <w:tcPr>
            <w:tcW w:w="1942" w:type="pct"/>
            <w:gridSpan w:val="6"/>
            <w:vMerge w:val="continue"/>
            <w:tcBorders>
              <w:tl2br w:val="nil"/>
              <w:tr2bl w:val="nil"/>
            </w:tcBorders>
            <w:vAlign w:val="center"/>
          </w:tcPr>
          <w:p w14:paraId="5A97660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r>
      <w:tr w14:paraId="4604A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tcBorders>
              <w:tl2br w:val="nil"/>
              <w:tr2bl w:val="nil"/>
            </w:tcBorders>
            <w:vAlign w:val="center"/>
          </w:tcPr>
          <w:p w14:paraId="34231AD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评价标准</w:t>
            </w:r>
          </w:p>
        </w:tc>
        <w:tc>
          <w:tcPr>
            <w:tcW w:w="799" w:type="pct"/>
            <w:tcBorders>
              <w:tl2br w:val="nil"/>
              <w:tr2bl w:val="nil"/>
            </w:tcBorders>
            <w:vAlign w:val="center"/>
          </w:tcPr>
          <w:p w14:paraId="536C92B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评价标准</w:t>
            </w:r>
          </w:p>
        </w:tc>
        <w:tc>
          <w:tcPr>
            <w:tcW w:w="1117" w:type="pct"/>
            <w:gridSpan w:val="5"/>
            <w:tcBorders>
              <w:tl2br w:val="nil"/>
              <w:tr2bl w:val="nil"/>
            </w:tcBorders>
            <w:vAlign w:val="center"/>
          </w:tcPr>
          <w:p w14:paraId="61224E2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国家标准</w:t>
            </w:r>
            <w:r>
              <w:rPr>
                <w:rFonts w:ascii="Times New Roman" w:hAnsi="Times New Roman" w:eastAsia="宋体" w:cs="MS Gothic"/>
                <w:i w:val="0"/>
                <w:color w:val="auto"/>
                <w:spacing w:val="0"/>
                <w:position w:val="0"/>
                <w:sz w:val="21"/>
                <w:szCs w:val="21"/>
                <w:highlight w:val="none"/>
              </w:rPr>
              <w:t>☑</w:t>
            </w:r>
          </w:p>
        </w:tc>
        <w:tc>
          <w:tcPr>
            <w:tcW w:w="828" w:type="pct"/>
            <w:tcBorders>
              <w:tl2br w:val="nil"/>
              <w:tr2bl w:val="nil"/>
            </w:tcBorders>
            <w:vAlign w:val="center"/>
          </w:tcPr>
          <w:p w14:paraId="2AC2CB8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地方标准□</w:t>
            </w:r>
          </w:p>
        </w:tc>
        <w:tc>
          <w:tcPr>
            <w:tcW w:w="1334" w:type="pct"/>
            <w:gridSpan w:val="5"/>
            <w:tcBorders>
              <w:tl2br w:val="nil"/>
              <w:tr2bl w:val="nil"/>
            </w:tcBorders>
            <w:vAlign w:val="center"/>
          </w:tcPr>
          <w:p w14:paraId="090A1D0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附录</w:t>
            </w:r>
            <w:r>
              <w:rPr>
                <w:rFonts w:ascii="Times New Roman" w:hAnsi="Times New Roman" w:eastAsia="宋体" w:cs="Times New Roman"/>
                <w:i w:val="0"/>
                <w:color w:val="auto"/>
                <w:spacing w:val="0"/>
                <w:position w:val="0"/>
                <w:sz w:val="21"/>
                <w:szCs w:val="21"/>
                <w:highlight w:val="none"/>
              </w:rPr>
              <w:t>D</w:t>
            </w:r>
            <w:r>
              <w:rPr>
                <w:rFonts w:ascii="Times New Roman" w:hAnsi="Times New Roman" w:eastAsia="宋体" w:cs="MS Gothic"/>
                <w:i w:val="0"/>
                <w:color w:val="auto"/>
                <w:spacing w:val="0"/>
                <w:position w:val="0"/>
                <w:sz w:val="21"/>
                <w:szCs w:val="21"/>
                <w:highlight w:val="none"/>
              </w:rPr>
              <w:t>☑</w:t>
            </w:r>
          </w:p>
        </w:tc>
        <w:tc>
          <w:tcPr>
            <w:tcW w:w="608" w:type="pct"/>
            <w:tcBorders>
              <w:tl2br w:val="nil"/>
              <w:tr2bl w:val="nil"/>
            </w:tcBorders>
            <w:vAlign w:val="center"/>
          </w:tcPr>
          <w:p w14:paraId="1724EDE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其他标准□</w:t>
            </w:r>
          </w:p>
        </w:tc>
      </w:tr>
      <w:tr w14:paraId="1685A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311" w:type="pct"/>
            <w:vMerge w:val="restart"/>
            <w:tcBorders>
              <w:tl2br w:val="nil"/>
              <w:tr2bl w:val="nil"/>
            </w:tcBorders>
            <w:vAlign w:val="center"/>
          </w:tcPr>
          <w:p w14:paraId="31AFC04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现状评价</w:t>
            </w:r>
          </w:p>
        </w:tc>
        <w:tc>
          <w:tcPr>
            <w:tcW w:w="799" w:type="pct"/>
            <w:tcBorders>
              <w:tl2br w:val="nil"/>
              <w:tr2bl w:val="nil"/>
            </w:tcBorders>
            <w:vAlign w:val="center"/>
          </w:tcPr>
          <w:p w14:paraId="31EBEA5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环境功能区</w:t>
            </w:r>
          </w:p>
        </w:tc>
        <w:tc>
          <w:tcPr>
            <w:tcW w:w="1117" w:type="pct"/>
            <w:gridSpan w:val="5"/>
            <w:tcBorders>
              <w:tl2br w:val="nil"/>
              <w:tr2bl w:val="nil"/>
            </w:tcBorders>
            <w:vAlign w:val="center"/>
          </w:tcPr>
          <w:p w14:paraId="2327413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一类区</w:t>
            </w:r>
            <w:r>
              <w:rPr>
                <w:rFonts w:ascii="Times New Roman" w:hAnsi="Times New Roman" w:eastAsia="宋体" w:cs="Times New Roman"/>
                <w:i w:val="0"/>
                <w:color w:val="auto"/>
                <w:spacing w:val="0"/>
                <w:position w:val="0"/>
                <w:sz w:val="21"/>
                <w:szCs w:val="21"/>
                <w:highlight w:val="none"/>
              </w:rPr>
              <w:t>□</w:t>
            </w:r>
          </w:p>
        </w:tc>
        <w:tc>
          <w:tcPr>
            <w:tcW w:w="1863" w:type="pct"/>
            <w:gridSpan w:val="4"/>
            <w:tcBorders>
              <w:tl2br w:val="nil"/>
              <w:tr2bl w:val="nil"/>
            </w:tcBorders>
            <w:vAlign w:val="center"/>
          </w:tcPr>
          <w:p w14:paraId="3EADA08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二类区</w:t>
            </w:r>
            <w:r>
              <w:rPr>
                <w:rFonts w:ascii="Times New Roman" w:hAnsi="Times New Roman" w:eastAsia="宋体" w:cs="MS Gothic"/>
                <w:i w:val="0"/>
                <w:color w:val="auto"/>
                <w:spacing w:val="0"/>
                <w:position w:val="0"/>
                <w:sz w:val="21"/>
                <w:szCs w:val="21"/>
                <w:highlight w:val="none"/>
              </w:rPr>
              <w:t>☑</w:t>
            </w:r>
          </w:p>
        </w:tc>
        <w:tc>
          <w:tcPr>
            <w:tcW w:w="908" w:type="pct"/>
            <w:gridSpan w:val="3"/>
            <w:tcBorders>
              <w:tl2br w:val="nil"/>
              <w:tr2bl w:val="nil"/>
            </w:tcBorders>
            <w:vAlign w:val="center"/>
          </w:tcPr>
          <w:p w14:paraId="7E3F4E8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一类区和二类区</w:t>
            </w:r>
            <w:r>
              <w:rPr>
                <w:rFonts w:ascii="Times New Roman" w:hAnsi="Times New Roman" w:eastAsia="宋体" w:cs="Times New Roman"/>
                <w:i w:val="0"/>
                <w:color w:val="auto"/>
                <w:spacing w:val="0"/>
                <w:position w:val="0"/>
                <w:sz w:val="21"/>
                <w:szCs w:val="21"/>
                <w:highlight w:val="none"/>
              </w:rPr>
              <w:t>□</w:t>
            </w:r>
          </w:p>
        </w:tc>
      </w:tr>
      <w:tr w14:paraId="2C40B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14:paraId="0C423C2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14:paraId="077401F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评价基准年</w:t>
            </w:r>
          </w:p>
        </w:tc>
        <w:tc>
          <w:tcPr>
            <w:tcW w:w="3888" w:type="pct"/>
            <w:gridSpan w:val="12"/>
            <w:tcBorders>
              <w:tl2br w:val="nil"/>
              <w:tr2bl w:val="nil"/>
            </w:tcBorders>
            <w:vAlign w:val="center"/>
          </w:tcPr>
          <w:p w14:paraId="6556482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202</w:t>
            </w:r>
            <w:r>
              <w:rPr>
                <w:rFonts w:hint="eastAsia" w:ascii="Times New Roman" w:hAnsi="Times New Roman" w:eastAsia="宋体" w:cs="Times New Roman"/>
                <w:i w:val="0"/>
                <w:color w:val="auto"/>
                <w:spacing w:val="0"/>
                <w:position w:val="0"/>
                <w:sz w:val="21"/>
                <w:szCs w:val="21"/>
                <w:highlight w:val="none"/>
                <w:lang w:val="en-US" w:eastAsia="zh-CN"/>
              </w:rPr>
              <w:t>1</w:t>
            </w:r>
            <w:r>
              <w:rPr>
                <w:rFonts w:hint="eastAsia" w:cs="宋体"/>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年</w:t>
            </w:r>
          </w:p>
        </w:tc>
      </w:tr>
      <w:tr w14:paraId="7C271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311" w:type="pct"/>
            <w:vMerge w:val="continue"/>
            <w:tcBorders>
              <w:tl2br w:val="nil"/>
              <w:tr2bl w:val="nil"/>
            </w:tcBorders>
            <w:vAlign w:val="center"/>
          </w:tcPr>
          <w:p w14:paraId="7576383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14:paraId="13E8A28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环境空气质量现状调查数据来源</w:t>
            </w:r>
          </w:p>
        </w:tc>
        <w:tc>
          <w:tcPr>
            <w:tcW w:w="1117" w:type="pct"/>
            <w:gridSpan w:val="5"/>
            <w:tcBorders>
              <w:tl2br w:val="nil"/>
              <w:tr2bl w:val="nil"/>
            </w:tcBorders>
            <w:vAlign w:val="center"/>
          </w:tcPr>
          <w:p w14:paraId="0EA5112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长期例行监测数据</w:t>
            </w:r>
            <w:r>
              <w:rPr>
                <w:rFonts w:ascii="Times New Roman" w:hAnsi="Times New Roman" w:eastAsia="宋体" w:cs="Times New Roman"/>
                <w:i w:val="0"/>
                <w:color w:val="auto"/>
                <w:spacing w:val="0"/>
                <w:position w:val="0"/>
                <w:sz w:val="21"/>
                <w:szCs w:val="21"/>
                <w:highlight w:val="none"/>
              </w:rPr>
              <w:t>□</w:t>
            </w:r>
          </w:p>
        </w:tc>
        <w:tc>
          <w:tcPr>
            <w:tcW w:w="1863" w:type="pct"/>
            <w:gridSpan w:val="4"/>
            <w:tcBorders>
              <w:tl2br w:val="nil"/>
              <w:tr2bl w:val="nil"/>
            </w:tcBorders>
            <w:vAlign w:val="center"/>
          </w:tcPr>
          <w:p w14:paraId="668498D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主管部门发布的数据</w:t>
            </w:r>
            <w:r>
              <w:rPr>
                <w:rFonts w:ascii="Times New Roman" w:hAnsi="Times New Roman" w:eastAsia="宋体" w:cs="MS Gothic"/>
                <w:i w:val="0"/>
                <w:color w:val="auto"/>
                <w:spacing w:val="0"/>
                <w:position w:val="0"/>
                <w:sz w:val="21"/>
                <w:szCs w:val="21"/>
                <w:highlight w:val="none"/>
              </w:rPr>
              <w:t>☑</w:t>
            </w:r>
          </w:p>
        </w:tc>
        <w:tc>
          <w:tcPr>
            <w:tcW w:w="908" w:type="pct"/>
            <w:gridSpan w:val="3"/>
            <w:tcBorders>
              <w:tl2br w:val="nil"/>
              <w:tr2bl w:val="nil"/>
            </w:tcBorders>
            <w:vAlign w:val="center"/>
          </w:tcPr>
          <w:p w14:paraId="7743A79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现状补充监测</w:t>
            </w:r>
            <w:r>
              <w:rPr>
                <w:rFonts w:ascii="Times New Roman" w:hAnsi="Times New Roman" w:eastAsia="宋体" w:cs="MS Gothic"/>
                <w:i w:val="0"/>
                <w:color w:val="auto"/>
                <w:spacing w:val="0"/>
                <w:position w:val="0"/>
                <w:sz w:val="21"/>
                <w:szCs w:val="21"/>
                <w:highlight w:val="none"/>
              </w:rPr>
              <w:t>☑</w:t>
            </w:r>
          </w:p>
        </w:tc>
      </w:tr>
      <w:tr w14:paraId="7E834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14:paraId="63A1508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14:paraId="5961E6E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现状评价</w:t>
            </w:r>
          </w:p>
        </w:tc>
        <w:tc>
          <w:tcPr>
            <w:tcW w:w="1945" w:type="pct"/>
            <w:gridSpan w:val="6"/>
            <w:tcBorders>
              <w:tl2br w:val="nil"/>
              <w:tr2bl w:val="nil"/>
            </w:tcBorders>
            <w:vAlign w:val="center"/>
          </w:tcPr>
          <w:p w14:paraId="7E757C0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达标区□</w:t>
            </w:r>
          </w:p>
        </w:tc>
        <w:tc>
          <w:tcPr>
            <w:tcW w:w="1942" w:type="pct"/>
            <w:gridSpan w:val="6"/>
            <w:tcBorders>
              <w:tl2br w:val="nil"/>
              <w:tr2bl w:val="nil"/>
            </w:tcBorders>
            <w:vAlign w:val="center"/>
          </w:tcPr>
          <w:p w14:paraId="0FDC7D1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不达标区</w:t>
            </w:r>
            <w:r>
              <w:rPr>
                <w:rFonts w:ascii="Times New Roman" w:hAnsi="Times New Roman" w:eastAsia="宋体" w:cs="MS Gothic"/>
                <w:i w:val="0"/>
                <w:color w:val="auto"/>
                <w:spacing w:val="0"/>
                <w:position w:val="0"/>
                <w:sz w:val="21"/>
                <w:szCs w:val="21"/>
                <w:highlight w:val="none"/>
              </w:rPr>
              <w:t>☑</w:t>
            </w:r>
          </w:p>
        </w:tc>
      </w:tr>
      <w:tr w14:paraId="682E3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jc w:val="center"/>
        </w:trPr>
        <w:tc>
          <w:tcPr>
            <w:tcW w:w="311" w:type="pct"/>
            <w:tcBorders>
              <w:tl2br w:val="nil"/>
              <w:tr2bl w:val="nil"/>
            </w:tcBorders>
            <w:vAlign w:val="center"/>
          </w:tcPr>
          <w:p w14:paraId="2AF8DBF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污染源调查</w:t>
            </w:r>
          </w:p>
        </w:tc>
        <w:tc>
          <w:tcPr>
            <w:tcW w:w="799" w:type="pct"/>
            <w:tcBorders>
              <w:tl2br w:val="nil"/>
              <w:tr2bl w:val="nil"/>
            </w:tcBorders>
            <w:vAlign w:val="center"/>
          </w:tcPr>
          <w:p w14:paraId="361C443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调查内容</w:t>
            </w:r>
          </w:p>
        </w:tc>
        <w:tc>
          <w:tcPr>
            <w:tcW w:w="1117" w:type="pct"/>
            <w:gridSpan w:val="5"/>
            <w:tcBorders>
              <w:tl2br w:val="nil"/>
              <w:tr2bl w:val="nil"/>
            </w:tcBorders>
            <w:vAlign w:val="center"/>
          </w:tcPr>
          <w:p w14:paraId="4592F64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本项目正常排放源</w:t>
            </w:r>
          </w:p>
          <w:p w14:paraId="21B4C22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MS Gothic"/>
                <w:i w:val="0"/>
                <w:color w:val="auto"/>
                <w:spacing w:val="0"/>
                <w:position w:val="0"/>
                <w:sz w:val="21"/>
                <w:szCs w:val="21"/>
                <w:highlight w:val="none"/>
              </w:rPr>
              <w:t>☑</w:t>
            </w:r>
          </w:p>
          <w:p w14:paraId="5CA4A8D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本项目非正常排放源</w:t>
            </w:r>
          </w:p>
          <w:p w14:paraId="007F759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w:t>
            </w:r>
          </w:p>
          <w:p w14:paraId="704B213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现有污染源□</w:t>
            </w:r>
          </w:p>
        </w:tc>
        <w:tc>
          <w:tcPr>
            <w:tcW w:w="828" w:type="pct"/>
            <w:tcBorders>
              <w:tl2br w:val="nil"/>
              <w:tr2bl w:val="nil"/>
            </w:tcBorders>
            <w:vAlign w:val="center"/>
          </w:tcPr>
          <w:p w14:paraId="73DF4FA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拟替代的污染源□</w:t>
            </w:r>
          </w:p>
        </w:tc>
        <w:tc>
          <w:tcPr>
            <w:tcW w:w="1334" w:type="pct"/>
            <w:gridSpan w:val="5"/>
            <w:tcBorders>
              <w:tl2br w:val="nil"/>
              <w:tr2bl w:val="nil"/>
            </w:tcBorders>
            <w:vAlign w:val="center"/>
          </w:tcPr>
          <w:p w14:paraId="42C022A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其他在建、拟建项目污染源</w:t>
            </w:r>
            <w:r>
              <w:rPr>
                <w:rFonts w:ascii="Times New Roman" w:hAnsi="Times New Roman" w:eastAsia="宋体" w:cs="Times New Roman"/>
                <w:i w:val="0"/>
                <w:color w:val="auto"/>
                <w:spacing w:val="0"/>
                <w:position w:val="0"/>
                <w:sz w:val="21"/>
                <w:szCs w:val="21"/>
                <w:highlight w:val="none"/>
              </w:rPr>
              <w:t>□</w:t>
            </w:r>
          </w:p>
        </w:tc>
        <w:tc>
          <w:tcPr>
            <w:tcW w:w="608" w:type="pct"/>
            <w:tcBorders>
              <w:tl2br w:val="nil"/>
              <w:tr2bl w:val="nil"/>
            </w:tcBorders>
            <w:vAlign w:val="center"/>
          </w:tcPr>
          <w:p w14:paraId="0C011CE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区域污染源</w:t>
            </w:r>
            <w:r>
              <w:rPr>
                <w:rFonts w:ascii="Times New Roman" w:hAnsi="Times New Roman" w:eastAsia="宋体" w:cs="Times New Roman"/>
                <w:i w:val="0"/>
                <w:color w:val="auto"/>
                <w:spacing w:val="0"/>
                <w:position w:val="0"/>
                <w:sz w:val="21"/>
                <w:szCs w:val="21"/>
                <w:highlight w:val="none"/>
              </w:rPr>
              <w:t>□</w:t>
            </w:r>
          </w:p>
        </w:tc>
      </w:tr>
      <w:tr w14:paraId="2DA71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jc w:val="center"/>
        </w:trPr>
        <w:tc>
          <w:tcPr>
            <w:tcW w:w="311" w:type="pct"/>
            <w:vMerge w:val="restart"/>
            <w:tcBorders>
              <w:tl2br w:val="nil"/>
              <w:tr2bl w:val="nil"/>
            </w:tcBorders>
            <w:vAlign w:val="center"/>
          </w:tcPr>
          <w:p w14:paraId="66A0D3C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大气环境</w:t>
            </w:r>
          </w:p>
          <w:p w14:paraId="4E9A6E1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影响预测</w:t>
            </w:r>
          </w:p>
          <w:p w14:paraId="769501C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与</w:t>
            </w:r>
          </w:p>
          <w:p w14:paraId="2DD150D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w:t>
            </w:r>
          </w:p>
        </w:tc>
        <w:tc>
          <w:tcPr>
            <w:tcW w:w="799" w:type="pct"/>
            <w:tcBorders>
              <w:tl2br w:val="nil"/>
              <w:tr2bl w:val="nil"/>
            </w:tcBorders>
            <w:vAlign w:val="center"/>
          </w:tcPr>
          <w:p w14:paraId="086A471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预测模型</w:t>
            </w:r>
          </w:p>
        </w:tc>
        <w:tc>
          <w:tcPr>
            <w:tcW w:w="728" w:type="pct"/>
            <w:tcBorders>
              <w:tl2br w:val="nil"/>
              <w:tr2bl w:val="nil"/>
            </w:tcBorders>
            <w:vAlign w:val="center"/>
          </w:tcPr>
          <w:p w14:paraId="58FB203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AERMOD□</w:t>
            </w:r>
          </w:p>
        </w:tc>
        <w:tc>
          <w:tcPr>
            <w:tcW w:w="388" w:type="pct"/>
            <w:gridSpan w:val="4"/>
            <w:tcBorders>
              <w:tl2br w:val="nil"/>
              <w:tr2bl w:val="nil"/>
            </w:tcBorders>
            <w:vAlign w:val="center"/>
          </w:tcPr>
          <w:p w14:paraId="19CBC07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ADMS□</w:t>
            </w:r>
          </w:p>
        </w:tc>
        <w:tc>
          <w:tcPr>
            <w:tcW w:w="828" w:type="pct"/>
            <w:tcBorders>
              <w:tl2br w:val="nil"/>
              <w:tr2bl w:val="nil"/>
            </w:tcBorders>
            <w:vAlign w:val="center"/>
          </w:tcPr>
          <w:p w14:paraId="263C74B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AUSTAL20</w:t>
            </w:r>
          </w:p>
          <w:p w14:paraId="4AAF3BB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00</w:t>
            </w:r>
          </w:p>
          <w:p w14:paraId="21CBB19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566" w:type="pct"/>
            <w:tcBorders>
              <w:tl2br w:val="nil"/>
              <w:tr2bl w:val="nil"/>
            </w:tcBorders>
            <w:vAlign w:val="center"/>
          </w:tcPr>
          <w:p w14:paraId="7DE73D6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EDMS/AED</w:t>
            </w:r>
          </w:p>
          <w:p w14:paraId="3BFFBB9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T</w:t>
            </w:r>
          </w:p>
          <w:p w14:paraId="458D0D1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468" w:type="pct"/>
            <w:gridSpan w:val="2"/>
            <w:tcBorders>
              <w:tl2br w:val="nil"/>
              <w:tr2bl w:val="nil"/>
            </w:tcBorders>
            <w:vAlign w:val="center"/>
          </w:tcPr>
          <w:p w14:paraId="598606C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CALPUF</w:t>
            </w:r>
          </w:p>
          <w:p w14:paraId="5C8093C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F</w:t>
            </w:r>
          </w:p>
          <w:p w14:paraId="577B22D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w:t>
            </w:r>
          </w:p>
        </w:tc>
        <w:tc>
          <w:tcPr>
            <w:tcW w:w="300" w:type="pct"/>
            <w:gridSpan w:val="2"/>
            <w:tcBorders>
              <w:tl2br w:val="nil"/>
              <w:tr2bl w:val="nil"/>
            </w:tcBorders>
            <w:vAlign w:val="center"/>
          </w:tcPr>
          <w:p w14:paraId="36B4FFC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网格模型</w:t>
            </w:r>
            <w:r>
              <w:rPr>
                <w:rFonts w:ascii="Times New Roman" w:hAnsi="Times New Roman" w:eastAsia="宋体" w:cs="Times New Roman"/>
                <w:i w:val="0"/>
                <w:color w:val="auto"/>
                <w:spacing w:val="0"/>
                <w:position w:val="0"/>
                <w:sz w:val="21"/>
                <w:szCs w:val="21"/>
                <w:highlight w:val="none"/>
              </w:rPr>
              <w:t>□</w:t>
            </w:r>
          </w:p>
        </w:tc>
        <w:tc>
          <w:tcPr>
            <w:tcW w:w="608" w:type="pct"/>
            <w:tcBorders>
              <w:tl2br w:val="nil"/>
              <w:tr2bl w:val="nil"/>
            </w:tcBorders>
            <w:vAlign w:val="center"/>
          </w:tcPr>
          <w:p w14:paraId="58BED46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其他</w:t>
            </w:r>
          </w:p>
          <w:p w14:paraId="5E2DF6E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w:t>
            </w:r>
          </w:p>
        </w:tc>
      </w:tr>
      <w:tr w14:paraId="22B9D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14:paraId="15C89B7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14:paraId="133E355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预测范围</w:t>
            </w:r>
          </w:p>
        </w:tc>
        <w:tc>
          <w:tcPr>
            <w:tcW w:w="1117" w:type="pct"/>
            <w:gridSpan w:val="5"/>
            <w:tcBorders>
              <w:tl2br w:val="nil"/>
              <w:tr2bl w:val="nil"/>
            </w:tcBorders>
            <w:vAlign w:val="center"/>
          </w:tcPr>
          <w:p w14:paraId="0697D3C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边长≥</w:t>
            </w:r>
            <w:r>
              <w:rPr>
                <w:rFonts w:ascii="Times New Roman" w:hAnsi="Times New Roman" w:eastAsia="宋体" w:cs="Times New Roman"/>
                <w:i w:val="0"/>
                <w:color w:val="auto"/>
                <w:spacing w:val="0"/>
                <w:position w:val="0"/>
                <w:sz w:val="21"/>
                <w:szCs w:val="21"/>
                <w:highlight w:val="none"/>
              </w:rPr>
              <w:t>50km□</w:t>
            </w:r>
          </w:p>
        </w:tc>
        <w:tc>
          <w:tcPr>
            <w:tcW w:w="1863" w:type="pct"/>
            <w:gridSpan w:val="4"/>
            <w:tcBorders>
              <w:tl2br w:val="nil"/>
              <w:tr2bl w:val="nil"/>
            </w:tcBorders>
            <w:vAlign w:val="center"/>
          </w:tcPr>
          <w:p w14:paraId="124CA2C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边长</w:t>
            </w:r>
            <w:r>
              <w:rPr>
                <w:rFonts w:ascii="Times New Roman" w:hAnsi="Times New Roman" w:eastAsia="宋体" w:cs="Times New Roman"/>
                <w:i w:val="0"/>
                <w:color w:val="auto"/>
                <w:spacing w:val="0"/>
                <w:position w:val="0"/>
                <w:sz w:val="21"/>
                <w:szCs w:val="21"/>
                <w:highlight w:val="none"/>
              </w:rPr>
              <w:t>5</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50km□</w:t>
            </w:r>
          </w:p>
        </w:tc>
        <w:tc>
          <w:tcPr>
            <w:tcW w:w="908" w:type="pct"/>
            <w:gridSpan w:val="3"/>
            <w:tcBorders>
              <w:tl2br w:val="nil"/>
              <w:tr2bl w:val="nil"/>
            </w:tcBorders>
            <w:vAlign w:val="center"/>
          </w:tcPr>
          <w:p w14:paraId="3C7C3FD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边长</w:t>
            </w:r>
            <w:r>
              <w:rPr>
                <w:rFonts w:ascii="Times New Roman" w:hAnsi="Times New Roman" w:eastAsia="宋体" w:cs="Times New Roman"/>
                <w:i w:val="0"/>
                <w:color w:val="auto"/>
                <w:spacing w:val="0"/>
                <w:position w:val="0"/>
                <w:sz w:val="21"/>
                <w:szCs w:val="21"/>
                <w:highlight w:val="none"/>
              </w:rPr>
              <w:t>=5km□</w:t>
            </w:r>
          </w:p>
        </w:tc>
      </w:tr>
      <w:tr w14:paraId="4276C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11" w:type="pct"/>
            <w:vMerge w:val="continue"/>
            <w:tcBorders>
              <w:tl2br w:val="nil"/>
              <w:tr2bl w:val="nil"/>
            </w:tcBorders>
            <w:vAlign w:val="center"/>
          </w:tcPr>
          <w:p w14:paraId="62EF57B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14:paraId="104286D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预测因子</w:t>
            </w:r>
          </w:p>
        </w:tc>
        <w:tc>
          <w:tcPr>
            <w:tcW w:w="1945" w:type="pct"/>
            <w:gridSpan w:val="6"/>
            <w:tcBorders>
              <w:tl2br w:val="nil"/>
              <w:tr2bl w:val="nil"/>
            </w:tcBorders>
            <w:vAlign w:val="center"/>
          </w:tcPr>
          <w:p w14:paraId="64801D6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预测因子</w:t>
            </w:r>
            <w:r>
              <w:rPr>
                <w:rFonts w:hint="eastAsia" w:cs="Times New Roman"/>
                <w:i w:val="0"/>
                <w:color w:val="auto"/>
                <w:spacing w:val="0"/>
                <w:position w:val="0"/>
                <w:sz w:val="21"/>
                <w:szCs w:val="21"/>
                <w:highlight w:val="none"/>
                <w:lang w:eastAsia="zh-CN"/>
              </w:rPr>
              <w:t>（）</w:t>
            </w:r>
          </w:p>
        </w:tc>
        <w:tc>
          <w:tcPr>
            <w:tcW w:w="1942" w:type="pct"/>
            <w:gridSpan w:val="6"/>
            <w:tcBorders>
              <w:tl2br w:val="nil"/>
              <w:tr2bl w:val="nil"/>
            </w:tcBorders>
            <w:vAlign w:val="center"/>
          </w:tcPr>
          <w:p w14:paraId="1737980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包括二次</w:t>
            </w:r>
            <w:r>
              <w:rPr>
                <w:rFonts w:ascii="Times New Roman" w:hAnsi="Times New Roman" w:eastAsia="宋体" w:cs="Times New Roman"/>
                <w:i w:val="0"/>
                <w:color w:val="auto"/>
                <w:spacing w:val="0"/>
                <w:position w:val="0"/>
                <w:sz w:val="21"/>
                <w:szCs w:val="21"/>
                <w:highlight w:val="none"/>
              </w:rPr>
              <w:t>PM</w:t>
            </w:r>
            <w:r>
              <w:rPr>
                <w:rFonts w:ascii="Times New Roman" w:hAnsi="Times New Roman" w:eastAsia="宋体" w:cs="Times New Roman"/>
                <w:i w:val="0"/>
                <w:color w:val="auto"/>
                <w:spacing w:val="0"/>
                <w:position w:val="0"/>
                <w:sz w:val="21"/>
                <w:szCs w:val="21"/>
                <w:highlight w:val="none"/>
                <w:vertAlign w:val="subscript"/>
              </w:rPr>
              <w:t>2.5</w:t>
            </w:r>
            <w:r>
              <w:rPr>
                <w:rFonts w:ascii="Times New Roman" w:hAnsi="Times New Roman" w:eastAsia="宋体" w:cs="Times New Roman"/>
                <w:i w:val="0"/>
                <w:color w:val="auto"/>
                <w:spacing w:val="0"/>
                <w:position w:val="0"/>
                <w:sz w:val="21"/>
                <w:szCs w:val="21"/>
                <w:highlight w:val="none"/>
              </w:rPr>
              <w:t>□</w:t>
            </w:r>
            <w:r>
              <w:rPr>
                <w:rFonts w:ascii="Times New Roman" w:hAnsi="Times New Roman" w:eastAsia="宋体" w:cs="宋体"/>
                <w:i w:val="0"/>
                <w:color w:val="auto"/>
                <w:spacing w:val="0"/>
                <w:position w:val="0"/>
                <w:sz w:val="21"/>
                <w:szCs w:val="21"/>
                <w:highlight w:val="none"/>
              </w:rPr>
              <w:t>不包括二次</w:t>
            </w:r>
            <w:r>
              <w:rPr>
                <w:rFonts w:ascii="Times New Roman" w:hAnsi="Times New Roman" w:eastAsia="宋体" w:cs="Times New Roman"/>
                <w:i w:val="0"/>
                <w:color w:val="auto"/>
                <w:spacing w:val="0"/>
                <w:position w:val="0"/>
                <w:sz w:val="21"/>
                <w:szCs w:val="21"/>
                <w:highlight w:val="none"/>
              </w:rPr>
              <w:t>PM</w:t>
            </w:r>
            <w:r>
              <w:rPr>
                <w:rFonts w:ascii="Times New Roman" w:hAnsi="Times New Roman" w:eastAsia="宋体" w:cs="Times New Roman"/>
                <w:i w:val="0"/>
                <w:color w:val="auto"/>
                <w:spacing w:val="0"/>
                <w:position w:val="0"/>
                <w:sz w:val="21"/>
                <w:szCs w:val="21"/>
                <w:highlight w:val="none"/>
                <w:vertAlign w:val="subscript"/>
              </w:rPr>
              <w:t>2.5</w:t>
            </w:r>
            <w:r>
              <w:rPr>
                <w:rFonts w:ascii="Times New Roman" w:hAnsi="Times New Roman" w:eastAsia="宋体" w:cs="Times New Roman"/>
                <w:i w:val="0"/>
                <w:color w:val="auto"/>
                <w:spacing w:val="0"/>
                <w:position w:val="0"/>
                <w:sz w:val="21"/>
                <w:szCs w:val="21"/>
                <w:highlight w:val="none"/>
              </w:rPr>
              <w:t>□</w:t>
            </w:r>
          </w:p>
        </w:tc>
      </w:tr>
      <w:tr w14:paraId="15891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311" w:type="pct"/>
            <w:vMerge w:val="continue"/>
            <w:tcBorders>
              <w:tl2br w:val="nil"/>
              <w:tr2bl w:val="nil"/>
            </w:tcBorders>
            <w:vAlign w:val="center"/>
          </w:tcPr>
          <w:p w14:paraId="1F6E98C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14:paraId="0DEA2F1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正常排放短期浓度贡献值</w:t>
            </w:r>
          </w:p>
        </w:tc>
        <w:tc>
          <w:tcPr>
            <w:tcW w:w="1945" w:type="pct"/>
            <w:gridSpan w:val="6"/>
            <w:tcBorders>
              <w:tl2br w:val="nil"/>
              <w:tr2bl w:val="nil"/>
            </w:tcBorders>
            <w:vAlign w:val="center"/>
          </w:tcPr>
          <w:p w14:paraId="504F6D7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本项目最大占标率</w:t>
            </w:r>
            <w:r>
              <w:rPr>
                <w:rFonts w:ascii="Times New Roman" w:hAnsi="Times New Roman" w:eastAsia="宋体" w:cs="Arial"/>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100%□</w:t>
            </w:r>
          </w:p>
        </w:tc>
        <w:tc>
          <w:tcPr>
            <w:tcW w:w="1942" w:type="pct"/>
            <w:gridSpan w:val="6"/>
            <w:tcBorders>
              <w:tl2br w:val="nil"/>
              <w:tr2bl w:val="nil"/>
            </w:tcBorders>
            <w:vAlign w:val="center"/>
          </w:tcPr>
          <w:p w14:paraId="0C33638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本项目最大占标率＞</w:t>
            </w:r>
            <w:r>
              <w:rPr>
                <w:rFonts w:ascii="Times New Roman" w:hAnsi="Times New Roman" w:eastAsia="宋体" w:cs="Times New Roman"/>
                <w:i w:val="0"/>
                <w:color w:val="auto"/>
                <w:spacing w:val="0"/>
                <w:position w:val="0"/>
                <w:sz w:val="21"/>
                <w:szCs w:val="21"/>
                <w:highlight w:val="none"/>
              </w:rPr>
              <w:t>100%□</w:t>
            </w:r>
          </w:p>
        </w:tc>
      </w:tr>
      <w:tr w14:paraId="635D4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jc w:val="center"/>
        </w:trPr>
        <w:tc>
          <w:tcPr>
            <w:tcW w:w="311" w:type="pct"/>
            <w:vMerge w:val="continue"/>
            <w:tcBorders>
              <w:tl2br w:val="nil"/>
              <w:tr2bl w:val="nil"/>
            </w:tcBorders>
            <w:vAlign w:val="center"/>
          </w:tcPr>
          <w:p w14:paraId="1A084CB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vMerge w:val="restart"/>
            <w:tcBorders>
              <w:tl2br w:val="nil"/>
              <w:tr2bl w:val="nil"/>
            </w:tcBorders>
            <w:vAlign w:val="center"/>
          </w:tcPr>
          <w:p w14:paraId="49A9ECB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正常排放年均浓度贡献值</w:t>
            </w:r>
          </w:p>
        </w:tc>
        <w:tc>
          <w:tcPr>
            <w:tcW w:w="728" w:type="pct"/>
            <w:tcBorders>
              <w:tl2br w:val="nil"/>
              <w:tr2bl w:val="nil"/>
            </w:tcBorders>
            <w:vAlign w:val="center"/>
          </w:tcPr>
          <w:p w14:paraId="3ACCBC4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一类区</w:t>
            </w:r>
          </w:p>
        </w:tc>
        <w:tc>
          <w:tcPr>
            <w:tcW w:w="1217" w:type="pct"/>
            <w:gridSpan w:val="5"/>
            <w:tcBorders>
              <w:tl2br w:val="nil"/>
              <w:tr2bl w:val="nil"/>
            </w:tcBorders>
            <w:vAlign w:val="center"/>
          </w:tcPr>
          <w:p w14:paraId="5D96689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本项目最大占标率</w:t>
            </w:r>
            <w:r>
              <w:rPr>
                <w:rFonts w:ascii="Times New Roman" w:hAnsi="Times New Roman" w:eastAsia="宋体" w:cs="Arial"/>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10%□</w:t>
            </w:r>
          </w:p>
        </w:tc>
        <w:tc>
          <w:tcPr>
            <w:tcW w:w="1942" w:type="pct"/>
            <w:gridSpan w:val="6"/>
            <w:tcBorders>
              <w:tl2br w:val="nil"/>
              <w:tr2bl w:val="nil"/>
            </w:tcBorders>
            <w:vAlign w:val="center"/>
          </w:tcPr>
          <w:p w14:paraId="26114FA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本项目最大标率＞</w:t>
            </w:r>
            <w:r>
              <w:rPr>
                <w:rFonts w:ascii="Times New Roman" w:hAnsi="Times New Roman" w:eastAsia="宋体" w:cs="Times New Roman"/>
                <w:i w:val="0"/>
                <w:color w:val="auto"/>
                <w:spacing w:val="0"/>
                <w:position w:val="0"/>
                <w:sz w:val="21"/>
                <w:szCs w:val="21"/>
                <w:highlight w:val="none"/>
              </w:rPr>
              <w:t>10%□</w:t>
            </w:r>
          </w:p>
        </w:tc>
      </w:tr>
      <w:tr w14:paraId="353F6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jc w:val="center"/>
        </w:trPr>
        <w:tc>
          <w:tcPr>
            <w:tcW w:w="311" w:type="pct"/>
            <w:vMerge w:val="continue"/>
            <w:tcBorders>
              <w:tl2br w:val="nil"/>
              <w:tr2bl w:val="nil"/>
            </w:tcBorders>
            <w:vAlign w:val="center"/>
          </w:tcPr>
          <w:p w14:paraId="6381743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vMerge w:val="continue"/>
            <w:tcBorders>
              <w:tl2br w:val="nil"/>
              <w:tr2bl w:val="nil"/>
            </w:tcBorders>
            <w:vAlign w:val="center"/>
          </w:tcPr>
          <w:p w14:paraId="41B375F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28" w:type="pct"/>
            <w:tcBorders>
              <w:tl2br w:val="nil"/>
              <w:tr2bl w:val="nil"/>
            </w:tcBorders>
            <w:vAlign w:val="center"/>
          </w:tcPr>
          <w:p w14:paraId="57DB744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二类区</w:t>
            </w:r>
          </w:p>
        </w:tc>
        <w:tc>
          <w:tcPr>
            <w:tcW w:w="1217" w:type="pct"/>
            <w:gridSpan w:val="5"/>
            <w:tcBorders>
              <w:tl2br w:val="nil"/>
              <w:tr2bl w:val="nil"/>
            </w:tcBorders>
            <w:vAlign w:val="center"/>
          </w:tcPr>
          <w:p w14:paraId="192FD71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本项目最大占标率</w:t>
            </w:r>
            <w:r>
              <w:rPr>
                <w:rFonts w:ascii="Times New Roman" w:hAnsi="Times New Roman" w:eastAsia="宋体" w:cs="Arial"/>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30%□</w:t>
            </w:r>
          </w:p>
        </w:tc>
        <w:tc>
          <w:tcPr>
            <w:tcW w:w="1942" w:type="pct"/>
            <w:gridSpan w:val="6"/>
            <w:tcBorders>
              <w:tl2br w:val="nil"/>
              <w:tr2bl w:val="nil"/>
            </w:tcBorders>
            <w:vAlign w:val="center"/>
          </w:tcPr>
          <w:p w14:paraId="1EAE542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本项目最大标率＞</w:t>
            </w:r>
            <w:r>
              <w:rPr>
                <w:rFonts w:ascii="Times New Roman" w:hAnsi="Times New Roman" w:eastAsia="宋体" w:cs="Times New Roman"/>
                <w:i w:val="0"/>
                <w:color w:val="auto"/>
                <w:spacing w:val="0"/>
                <w:position w:val="0"/>
                <w:sz w:val="21"/>
                <w:szCs w:val="21"/>
                <w:highlight w:val="none"/>
              </w:rPr>
              <w:t>30%□</w:t>
            </w:r>
          </w:p>
        </w:tc>
      </w:tr>
      <w:tr w14:paraId="68EB8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jc w:val="center"/>
        </w:trPr>
        <w:tc>
          <w:tcPr>
            <w:tcW w:w="311" w:type="pct"/>
            <w:vMerge w:val="continue"/>
            <w:tcBorders>
              <w:tl2br w:val="nil"/>
              <w:tr2bl w:val="nil"/>
            </w:tcBorders>
            <w:vAlign w:val="center"/>
          </w:tcPr>
          <w:p w14:paraId="1D81874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14:paraId="0643AB1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非正常排放</w:t>
            </w:r>
            <w:r>
              <w:rPr>
                <w:rFonts w:ascii="Times New Roman" w:hAnsi="Times New Roman" w:eastAsia="宋体" w:cs="Times New Roman"/>
                <w:i w:val="0"/>
                <w:color w:val="auto"/>
                <w:spacing w:val="0"/>
                <w:position w:val="0"/>
                <w:sz w:val="21"/>
                <w:szCs w:val="21"/>
                <w:highlight w:val="none"/>
              </w:rPr>
              <w:t>1h</w:t>
            </w:r>
            <w:r>
              <w:rPr>
                <w:rFonts w:ascii="Times New Roman" w:hAnsi="Times New Roman" w:eastAsia="宋体" w:cs="宋体"/>
                <w:i w:val="0"/>
                <w:color w:val="auto"/>
                <w:spacing w:val="0"/>
                <w:position w:val="0"/>
                <w:sz w:val="21"/>
                <w:szCs w:val="21"/>
                <w:highlight w:val="none"/>
              </w:rPr>
              <w:t>浓</w:t>
            </w:r>
          </w:p>
          <w:p w14:paraId="6ECBD1B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度贡献值</w:t>
            </w:r>
          </w:p>
        </w:tc>
        <w:tc>
          <w:tcPr>
            <w:tcW w:w="922" w:type="pct"/>
            <w:gridSpan w:val="3"/>
            <w:tcBorders>
              <w:tl2br w:val="nil"/>
              <w:tr2bl w:val="nil"/>
            </w:tcBorders>
            <w:vAlign w:val="center"/>
          </w:tcPr>
          <w:p w14:paraId="32C0F7B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非正常持续时长</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h</w:t>
            </w:r>
          </w:p>
        </w:tc>
        <w:tc>
          <w:tcPr>
            <w:tcW w:w="1852" w:type="pct"/>
            <w:gridSpan w:val="5"/>
            <w:tcBorders>
              <w:tl2br w:val="nil"/>
              <w:tr2bl w:val="nil"/>
            </w:tcBorders>
            <w:vAlign w:val="center"/>
          </w:tcPr>
          <w:p w14:paraId="563FB3E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非正常占标率</w:t>
            </w:r>
            <w:r>
              <w:rPr>
                <w:rFonts w:ascii="Times New Roman" w:hAnsi="Times New Roman" w:eastAsia="宋体" w:cs="Arial"/>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100%□</w:t>
            </w:r>
          </w:p>
        </w:tc>
        <w:tc>
          <w:tcPr>
            <w:tcW w:w="1114" w:type="pct"/>
            <w:gridSpan w:val="4"/>
            <w:tcBorders>
              <w:tl2br w:val="nil"/>
              <w:tr2bl w:val="nil"/>
            </w:tcBorders>
            <w:vAlign w:val="center"/>
          </w:tcPr>
          <w:p w14:paraId="5C06EFE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非正常占标率＞</w:t>
            </w:r>
            <w:r>
              <w:rPr>
                <w:rFonts w:ascii="Times New Roman" w:hAnsi="Times New Roman" w:eastAsia="宋体" w:cs="Times New Roman"/>
                <w:i w:val="0"/>
                <w:color w:val="auto"/>
                <w:spacing w:val="0"/>
                <w:position w:val="0"/>
                <w:sz w:val="21"/>
                <w:szCs w:val="21"/>
                <w:highlight w:val="none"/>
              </w:rPr>
              <w:t>100%□</w:t>
            </w:r>
          </w:p>
        </w:tc>
      </w:tr>
      <w:tr w14:paraId="1F4DE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311" w:type="pct"/>
            <w:vMerge w:val="continue"/>
            <w:tcBorders>
              <w:tl2br w:val="nil"/>
              <w:tr2bl w:val="nil"/>
            </w:tcBorders>
            <w:vAlign w:val="center"/>
          </w:tcPr>
          <w:p w14:paraId="00347A5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14:paraId="5474089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保证率日平均浓度和年平均浓度叠加值</w:t>
            </w:r>
          </w:p>
        </w:tc>
        <w:tc>
          <w:tcPr>
            <w:tcW w:w="1945" w:type="pct"/>
            <w:gridSpan w:val="6"/>
            <w:tcBorders>
              <w:tl2br w:val="nil"/>
              <w:tr2bl w:val="nil"/>
            </w:tcBorders>
            <w:vAlign w:val="center"/>
          </w:tcPr>
          <w:p w14:paraId="0E0339F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叠加达标</w:t>
            </w:r>
            <w:r>
              <w:rPr>
                <w:rFonts w:ascii="Times New Roman" w:hAnsi="Times New Roman" w:eastAsia="宋体" w:cs="Times New Roman"/>
                <w:i w:val="0"/>
                <w:color w:val="auto"/>
                <w:spacing w:val="0"/>
                <w:position w:val="0"/>
                <w:sz w:val="21"/>
                <w:szCs w:val="21"/>
                <w:highlight w:val="none"/>
              </w:rPr>
              <w:t>□</w:t>
            </w:r>
          </w:p>
        </w:tc>
        <w:tc>
          <w:tcPr>
            <w:tcW w:w="1942" w:type="pct"/>
            <w:gridSpan w:val="6"/>
            <w:tcBorders>
              <w:tl2br w:val="nil"/>
              <w:tr2bl w:val="nil"/>
            </w:tcBorders>
            <w:vAlign w:val="center"/>
          </w:tcPr>
          <w:p w14:paraId="778A7F4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C</w:t>
            </w:r>
            <w:r>
              <w:rPr>
                <w:rFonts w:ascii="Times New Roman" w:hAnsi="Times New Roman" w:eastAsia="宋体" w:cs="宋体"/>
                <w:i w:val="0"/>
                <w:color w:val="auto"/>
                <w:spacing w:val="0"/>
                <w:position w:val="0"/>
                <w:sz w:val="21"/>
                <w:szCs w:val="21"/>
                <w:highlight w:val="none"/>
              </w:rPr>
              <w:t>叠加不达标</w:t>
            </w:r>
            <w:r>
              <w:rPr>
                <w:rFonts w:ascii="Times New Roman" w:hAnsi="Times New Roman" w:eastAsia="宋体" w:cs="Times New Roman"/>
                <w:i w:val="0"/>
                <w:color w:val="auto"/>
                <w:spacing w:val="0"/>
                <w:position w:val="0"/>
                <w:sz w:val="21"/>
                <w:szCs w:val="21"/>
                <w:highlight w:val="none"/>
              </w:rPr>
              <w:t>□</w:t>
            </w:r>
          </w:p>
        </w:tc>
      </w:tr>
      <w:tr w14:paraId="70B00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jc w:val="center"/>
        </w:trPr>
        <w:tc>
          <w:tcPr>
            <w:tcW w:w="311" w:type="pct"/>
            <w:vMerge w:val="continue"/>
            <w:tcBorders>
              <w:tl2br w:val="nil"/>
              <w:tr2bl w:val="nil"/>
            </w:tcBorders>
            <w:vAlign w:val="center"/>
          </w:tcPr>
          <w:p w14:paraId="1A5C9A7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14:paraId="172A3CB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区域环境质量的整体变化情况</w:t>
            </w:r>
          </w:p>
        </w:tc>
        <w:tc>
          <w:tcPr>
            <w:tcW w:w="1945" w:type="pct"/>
            <w:gridSpan w:val="6"/>
            <w:tcBorders>
              <w:tl2br w:val="nil"/>
              <w:tr2bl w:val="nil"/>
            </w:tcBorders>
            <w:vAlign w:val="center"/>
          </w:tcPr>
          <w:p w14:paraId="06AE19A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iCs/>
                <w:color w:val="auto"/>
                <w:spacing w:val="0"/>
                <w:position w:val="0"/>
                <w:sz w:val="21"/>
                <w:szCs w:val="21"/>
                <w:highlight w:val="none"/>
              </w:rPr>
              <w:t>k</w:t>
            </w:r>
            <w:r>
              <w:rPr>
                <w:rFonts w:ascii="Times New Roman" w:hAnsi="Times New Roman" w:eastAsia="宋体" w:cs="Arial"/>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-20%□</w:t>
            </w:r>
          </w:p>
        </w:tc>
        <w:tc>
          <w:tcPr>
            <w:tcW w:w="1942" w:type="pct"/>
            <w:gridSpan w:val="6"/>
            <w:tcBorders>
              <w:tl2br w:val="nil"/>
              <w:tr2bl w:val="nil"/>
            </w:tcBorders>
            <w:vAlign w:val="center"/>
          </w:tcPr>
          <w:p w14:paraId="58321F1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iCs/>
                <w:color w:val="auto"/>
                <w:spacing w:val="0"/>
                <w:position w:val="0"/>
                <w:sz w:val="21"/>
                <w:szCs w:val="21"/>
                <w:highlight w:val="none"/>
              </w:rPr>
              <w:t>k</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-20%□</w:t>
            </w:r>
          </w:p>
        </w:tc>
      </w:tr>
      <w:tr w14:paraId="22AEB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11" w:type="pct"/>
            <w:vMerge w:val="restart"/>
            <w:tcBorders>
              <w:tl2br w:val="nil"/>
              <w:tr2bl w:val="nil"/>
            </w:tcBorders>
            <w:vAlign w:val="center"/>
          </w:tcPr>
          <w:p w14:paraId="3A70B65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环境监测计划</w:t>
            </w:r>
          </w:p>
        </w:tc>
        <w:tc>
          <w:tcPr>
            <w:tcW w:w="799" w:type="pct"/>
            <w:tcBorders>
              <w:tl2br w:val="nil"/>
              <w:tr2bl w:val="nil"/>
            </w:tcBorders>
            <w:vAlign w:val="center"/>
          </w:tcPr>
          <w:p w14:paraId="796E0D0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污染源监测</w:t>
            </w:r>
          </w:p>
        </w:tc>
        <w:tc>
          <w:tcPr>
            <w:tcW w:w="1945" w:type="pct"/>
            <w:gridSpan w:val="6"/>
            <w:tcBorders>
              <w:tl2br w:val="nil"/>
              <w:tr2bl w:val="nil"/>
            </w:tcBorders>
            <w:vAlign w:val="center"/>
          </w:tcPr>
          <w:p w14:paraId="42D2E7A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监测因子：</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NH</w:t>
            </w:r>
            <w:r>
              <w:rPr>
                <w:rFonts w:ascii="Times New Roman" w:hAnsi="Times New Roman" w:eastAsia="宋体" w:cs="Times New Roman"/>
                <w:i w:val="0"/>
                <w:color w:val="auto"/>
                <w:spacing w:val="0"/>
                <w:position w:val="0"/>
                <w:sz w:val="21"/>
                <w:szCs w:val="14"/>
                <w:highlight w:val="none"/>
                <w:vertAlign w:val="subscript"/>
              </w:rPr>
              <w:t>3</w:t>
            </w:r>
            <w:r>
              <w:rPr>
                <w:rFonts w:ascii="Times New Roman" w:hAnsi="Times New Roman" w:eastAsia="宋体" w:cs="宋体"/>
                <w:i w:val="0"/>
                <w:color w:val="auto"/>
                <w:spacing w:val="0"/>
                <w:position w:val="0"/>
                <w:sz w:val="21"/>
                <w:szCs w:val="21"/>
                <w:highlight w:val="none"/>
              </w:rPr>
              <w:t>、</w:t>
            </w:r>
            <w:r>
              <w:rPr>
                <w:rFonts w:ascii="Times New Roman" w:hAnsi="Times New Roman" w:eastAsia="宋体" w:cs="Times New Roman"/>
                <w:i w:val="0"/>
                <w:color w:val="auto"/>
                <w:spacing w:val="0"/>
                <w:position w:val="0"/>
                <w:sz w:val="21"/>
                <w:szCs w:val="21"/>
                <w:highlight w:val="none"/>
              </w:rPr>
              <w:t>H</w:t>
            </w:r>
            <w:r>
              <w:rPr>
                <w:rFonts w:ascii="Times New Roman" w:hAnsi="Times New Roman" w:eastAsia="宋体" w:cs="Times New Roman"/>
                <w:i w:val="0"/>
                <w:color w:val="auto"/>
                <w:spacing w:val="0"/>
                <w:position w:val="0"/>
                <w:sz w:val="21"/>
                <w:szCs w:val="14"/>
                <w:highlight w:val="none"/>
                <w:vertAlign w:val="subscript"/>
              </w:rPr>
              <w:t>2</w:t>
            </w:r>
            <w:r>
              <w:rPr>
                <w:rFonts w:ascii="Times New Roman" w:hAnsi="Times New Roman" w:eastAsia="宋体" w:cs="Times New Roman"/>
                <w:i w:val="0"/>
                <w:color w:val="auto"/>
                <w:spacing w:val="0"/>
                <w:position w:val="0"/>
                <w:sz w:val="21"/>
                <w:szCs w:val="21"/>
                <w:highlight w:val="none"/>
              </w:rPr>
              <w:t>S</w:t>
            </w:r>
            <w:r>
              <w:rPr>
                <w:rFonts w:hint="eastAsia" w:cs="宋体"/>
                <w:i w:val="0"/>
                <w:color w:val="auto"/>
                <w:spacing w:val="0"/>
                <w:position w:val="0"/>
                <w:sz w:val="21"/>
                <w:szCs w:val="21"/>
                <w:highlight w:val="none"/>
                <w:lang w:eastAsia="zh-CN"/>
              </w:rPr>
              <w:t>）</w:t>
            </w:r>
          </w:p>
        </w:tc>
        <w:tc>
          <w:tcPr>
            <w:tcW w:w="1334" w:type="pct"/>
            <w:gridSpan w:val="5"/>
            <w:tcBorders>
              <w:tl2br w:val="nil"/>
              <w:tr2bl w:val="nil"/>
            </w:tcBorders>
            <w:vAlign w:val="center"/>
          </w:tcPr>
          <w:p w14:paraId="74E3E19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有组织废气监测</w:t>
            </w:r>
            <w:r>
              <w:rPr>
                <w:rFonts w:ascii="Times New Roman" w:hAnsi="Times New Roman" w:eastAsia="宋体" w:cs="MS Gothic"/>
                <w:i w:val="0"/>
                <w:color w:val="auto"/>
                <w:spacing w:val="0"/>
                <w:position w:val="0"/>
                <w:sz w:val="21"/>
                <w:szCs w:val="21"/>
                <w:highlight w:val="none"/>
              </w:rPr>
              <w:t>□</w:t>
            </w:r>
          </w:p>
          <w:p w14:paraId="362F873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无组织废气监测</w:t>
            </w:r>
            <w:r>
              <w:rPr>
                <w:rFonts w:ascii="Times New Roman" w:hAnsi="Times New Roman" w:eastAsia="宋体" w:cs="MS Gothic"/>
                <w:i w:val="0"/>
                <w:color w:val="auto"/>
                <w:spacing w:val="0"/>
                <w:position w:val="0"/>
                <w:sz w:val="21"/>
                <w:szCs w:val="21"/>
                <w:highlight w:val="none"/>
              </w:rPr>
              <w:t>☑</w:t>
            </w:r>
          </w:p>
        </w:tc>
        <w:tc>
          <w:tcPr>
            <w:tcW w:w="608" w:type="pct"/>
            <w:tcBorders>
              <w:tl2br w:val="nil"/>
              <w:tr2bl w:val="nil"/>
            </w:tcBorders>
            <w:vAlign w:val="center"/>
          </w:tcPr>
          <w:p w14:paraId="4EDF75D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无监测</w:t>
            </w:r>
            <w:r>
              <w:rPr>
                <w:rFonts w:ascii="Times New Roman" w:hAnsi="Times New Roman" w:eastAsia="宋体" w:cs="Times New Roman"/>
                <w:i w:val="0"/>
                <w:color w:val="auto"/>
                <w:spacing w:val="0"/>
                <w:position w:val="0"/>
                <w:sz w:val="21"/>
                <w:szCs w:val="21"/>
                <w:highlight w:val="none"/>
              </w:rPr>
              <w:t>□</w:t>
            </w:r>
          </w:p>
        </w:tc>
      </w:tr>
      <w:tr w14:paraId="1A2E3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14:paraId="3B6F411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14:paraId="220E6F4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环境质量监测</w:t>
            </w:r>
          </w:p>
        </w:tc>
        <w:tc>
          <w:tcPr>
            <w:tcW w:w="1945" w:type="pct"/>
            <w:gridSpan w:val="6"/>
            <w:tcBorders>
              <w:tl2br w:val="nil"/>
              <w:tr2bl w:val="nil"/>
            </w:tcBorders>
            <w:vAlign w:val="center"/>
          </w:tcPr>
          <w:p w14:paraId="6592135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监测因子：</w:t>
            </w:r>
            <w:r>
              <w:rPr>
                <w:rFonts w:hint="eastAsia" w:cs="宋体"/>
                <w:i w:val="0"/>
                <w:color w:val="auto"/>
                <w:spacing w:val="0"/>
                <w:position w:val="0"/>
                <w:sz w:val="21"/>
                <w:szCs w:val="21"/>
                <w:highlight w:val="none"/>
                <w:lang w:eastAsia="zh-CN"/>
              </w:rPr>
              <w:t>（）</w:t>
            </w:r>
          </w:p>
        </w:tc>
        <w:tc>
          <w:tcPr>
            <w:tcW w:w="1334" w:type="pct"/>
            <w:gridSpan w:val="5"/>
            <w:tcBorders>
              <w:tl2br w:val="nil"/>
              <w:tr2bl w:val="nil"/>
            </w:tcBorders>
            <w:vAlign w:val="center"/>
          </w:tcPr>
          <w:p w14:paraId="0F67E25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i w:val="0"/>
                <w:color w:val="auto"/>
                <w:spacing w:val="0"/>
                <w:position w:val="0"/>
                <w:sz w:val="21"/>
                <w:szCs w:val="21"/>
                <w:highlight w:val="none"/>
                <w:lang w:eastAsia="zh-CN"/>
              </w:rPr>
            </w:pPr>
            <w:r>
              <w:rPr>
                <w:rFonts w:ascii="Times New Roman" w:hAnsi="Times New Roman" w:eastAsia="宋体" w:cs="宋体"/>
                <w:i w:val="0"/>
                <w:color w:val="auto"/>
                <w:spacing w:val="0"/>
                <w:position w:val="0"/>
                <w:sz w:val="21"/>
                <w:szCs w:val="21"/>
                <w:highlight w:val="none"/>
              </w:rPr>
              <w:t>监测点位数</w:t>
            </w:r>
            <w:r>
              <w:rPr>
                <w:rFonts w:hint="eastAsia" w:cs="宋体"/>
                <w:i w:val="0"/>
                <w:color w:val="auto"/>
                <w:spacing w:val="0"/>
                <w:position w:val="0"/>
                <w:sz w:val="21"/>
                <w:szCs w:val="21"/>
                <w:highlight w:val="none"/>
                <w:lang w:eastAsia="zh-CN"/>
              </w:rPr>
              <w:t>（）</w:t>
            </w:r>
          </w:p>
        </w:tc>
        <w:tc>
          <w:tcPr>
            <w:tcW w:w="608" w:type="pct"/>
            <w:tcBorders>
              <w:tl2br w:val="nil"/>
              <w:tr2bl w:val="nil"/>
            </w:tcBorders>
            <w:vAlign w:val="center"/>
          </w:tcPr>
          <w:p w14:paraId="0F5BBC9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无监测</w:t>
            </w:r>
            <w:r>
              <w:rPr>
                <w:rFonts w:ascii="Times New Roman" w:hAnsi="Times New Roman" w:eastAsia="宋体" w:cs="MS Gothic"/>
                <w:i w:val="0"/>
                <w:color w:val="auto"/>
                <w:spacing w:val="0"/>
                <w:position w:val="0"/>
                <w:sz w:val="21"/>
                <w:szCs w:val="21"/>
                <w:highlight w:val="none"/>
              </w:rPr>
              <w:t>☑</w:t>
            </w:r>
          </w:p>
        </w:tc>
      </w:tr>
      <w:tr w14:paraId="0DD1B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restart"/>
            <w:tcBorders>
              <w:tl2br w:val="nil"/>
              <w:tr2bl w:val="nil"/>
            </w:tcBorders>
            <w:vAlign w:val="center"/>
          </w:tcPr>
          <w:p w14:paraId="037DE7C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p w14:paraId="6F4D44E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评价结论</w:t>
            </w:r>
          </w:p>
        </w:tc>
        <w:tc>
          <w:tcPr>
            <w:tcW w:w="799" w:type="pct"/>
            <w:tcBorders>
              <w:tl2br w:val="nil"/>
              <w:tr2bl w:val="nil"/>
            </w:tcBorders>
            <w:vAlign w:val="center"/>
          </w:tcPr>
          <w:p w14:paraId="5F81C5B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环境影响</w:t>
            </w:r>
          </w:p>
        </w:tc>
        <w:tc>
          <w:tcPr>
            <w:tcW w:w="1117" w:type="pct"/>
            <w:gridSpan w:val="5"/>
            <w:tcBorders>
              <w:tl2br w:val="nil"/>
              <w:tr2bl w:val="nil"/>
            </w:tcBorders>
            <w:vAlign w:val="center"/>
          </w:tcPr>
          <w:p w14:paraId="6510886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可以接受</w:t>
            </w:r>
            <w:r>
              <w:rPr>
                <w:rFonts w:ascii="Times New Roman" w:hAnsi="Times New Roman" w:eastAsia="宋体" w:cs="MS Gothic"/>
                <w:i w:val="0"/>
                <w:color w:val="auto"/>
                <w:spacing w:val="0"/>
                <w:position w:val="0"/>
                <w:sz w:val="21"/>
                <w:szCs w:val="21"/>
                <w:highlight w:val="none"/>
              </w:rPr>
              <w:t>☑</w:t>
            </w:r>
          </w:p>
        </w:tc>
        <w:tc>
          <w:tcPr>
            <w:tcW w:w="2771" w:type="pct"/>
            <w:gridSpan w:val="7"/>
            <w:tcBorders>
              <w:tl2br w:val="nil"/>
              <w:tr2bl w:val="nil"/>
            </w:tcBorders>
            <w:vAlign w:val="center"/>
          </w:tcPr>
          <w:p w14:paraId="524A681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不可以接受</w:t>
            </w:r>
            <w:r>
              <w:rPr>
                <w:rFonts w:ascii="Times New Roman" w:hAnsi="Times New Roman" w:eastAsia="宋体" w:cs="Times New Roman"/>
                <w:i w:val="0"/>
                <w:color w:val="auto"/>
                <w:spacing w:val="0"/>
                <w:position w:val="0"/>
                <w:sz w:val="21"/>
                <w:szCs w:val="21"/>
                <w:highlight w:val="none"/>
              </w:rPr>
              <w:t>□</w:t>
            </w:r>
          </w:p>
        </w:tc>
      </w:tr>
      <w:tr w14:paraId="64FED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311" w:type="pct"/>
            <w:vMerge w:val="continue"/>
            <w:tcBorders>
              <w:tl2br w:val="nil"/>
              <w:tr2bl w:val="nil"/>
            </w:tcBorders>
            <w:vAlign w:val="center"/>
          </w:tcPr>
          <w:p w14:paraId="1591965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14:paraId="6417CEC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大气环境防护距离</w:t>
            </w:r>
          </w:p>
        </w:tc>
        <w:tc>
          <w:tcPr>
            <w:tcW w:w="3888" w:type="pct"/>
            <w:gridSpan w:val="12"/>
            <w:tcBorders>
              <w:tl2br w:val="nil"/>
              <w:tr2bl w:val="nil"/>
            </w:tcBorders>
            <w:vAlign w:val="center"/>
          </w:tcPr>
          <w:p w14:paraId="4276BFC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距</w:t>
            </w:r>
            <w:r>
              <w:rPr>
                <w:rFonts w:hint="eastAsia" w:cs="宋体"/>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厂界最远</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m</w:t>
            </w:r>
          </w:p>
        </w:tc>
      </w:tr>
      <w:tr w14:paraId="0773A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1" w:type="pct"/>
            <w:vMerge w:val="continue"/>
            <w:tcBorders>
              <w:tl2br w:val="nil"/>
              <w:tr2bl w:val="nil"/>
            </w:tcBorders>
            <w:vAlign w:val="center"/>
          </w:tcPr>
          <w:p w14:paraId="737D195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i w:val="0"/>
                <w:color w:val="auto"/>
                <w:spacing w:val="0"/>
                <w:position w:val="0"/>
                <w:sz w:val="21"/>
                <w:highlight w:val="none"/>
              </w:rPr>
            </w:pPr>
          </w:p>
        </w:tc>
        <w:tc>
          <w:tcPr>
            <w:tcW w:w="799" w:type="pct"/>
            <w:tcBorders>
              <w:tl2br w:val="nil"/>
              <w:tr2bl w:val="nil"/>
            </w:tcBorders>
            <w:vAlign w:val="center"/>
          </w:tcPr>
          <w:p w14:paraId="07610B2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污染源年排放量</w:t>
            </w:r>
          </w:p>
        </w:tc>
        <w:tc>
          <w:tcPr>
            <w:tcW w:w="1019" w:type="pct"/>
            <w:gridSpan w:val="4"/>
            <w:tcBorders>
              <w:tl2br w:val="nil"/>
              <w:tr2bl w:val="nil"/>
            </w:tcBorders>
            <w:vAlign w:val="center"/>
          </w:tcPr>
          <w:p w14:paraId="791E8B5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SO</w:t>
            </w:r>
            <w:r>
              <w:rPr>
                <w:rFonts w:ascii="Times New Roman" w:hAnsi="Times New Roman" w:eastAsia="宋体" w:cs="Times New Roman"/>
                <w:i w:val="0"/>
                <w:color w:val="auto"/>
                <w:spacing w:val="0"/>
                <w:position w:val="0"/>
                <w:sz w:val="21"/>
                <w:szCs w:val="14"/>
                <w:highlight w:val="none"/>
              </w:rPr>
              <w:t>2</w:t>
            </w:r>
            <w:r>
              <w:rPr>
                <w:rFonts w:ascii="Times New Roman" w:hAnsi="Times New Roman" w:eastAsia="宋体" w:cs="Times New Roman"/>
                <w:i w:val="0"/>
                <w:color w:val="auto"/>
                <w:spacing w:val="0"/>
                <w:position w:val="0"/>
                <w:sz w:val="21"/>
                <w:szCs w:val="21"/>
                <w:highlight w:val="none"/>
              </w:rPr>
              <w:t>:</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p>
        </w:tc>
        <w:tc>
          <w:tcPr>
            <w:tcW w:w="926" w:type="pct"/>
            <w:gridSpan w:val="2"/>
            <w:tcBorders>
              <w:tl2br w:val="nil"/>
              <w:tr2bl w:val="nil"/>
            </w:tcBorders>
            <w:vAlign w:val="center"/>
          </w:tcPr>
          <w:p w14:paraId="248078E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NOx:</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p>
        </w:tc>
        <w:tc>
          <w:tcPr>
            <w:tcW w:w="1190" w:type="pct"/>
            <w:gridSpan w:val="4"/>
            <w:tcBorders>
              <w:tl2br w:val="nil"/>
              <w:tr2bl w:val="nil"/>
            </w:tcBorders>
            <w:vAlign w:val="center"/>
          </w:tcPr>
          <w:p w14:paraId="2147143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颗粒物</w:t>
            </w:r>
            <w:r>
              <w:rPr>
                <w:rFonts w:ascii="Times New Roman" w:hAnsi="Times New Roman" w:eastAsia="宋体" w:cs="Times New Roman"/>
                <w:i w:val="0"/>
                <w:color w:val="auto"/>
                <w:spacing w:val="0"/>
                <w:position w:val="0"/>
                <w:sz w:val="21"/>
                <w:szCs w:val="21"/>
                <w:highlight w:val="none"/>
              </w:rPr>
              <w:t>:</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p>
        </w:tc>
        <w:tc>
          <w:tcPr>
            <w:tcW w:w="752" w:type="pct"/>
            <w:gridSpan w:val="2"/>
            <w:tcBorders>
              <w:tl2br w:val="nil"/>
              <w:tr2bl w:val="nil"/>
            </w:tcBorders>
            <w:vAlign w:val="center"/>
          </w:tcPr>
          <w:p w14:paraId="7AA131A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i w:val="0"/>
                <w:color w:val="auto"/>
                <w:spacing w:val="0"/>
                <w:position w:val="0"/>
                <w:sz w:val="21"/>
                <w:szCs w:val="21"/>
                <w:highlight w:val="none"/>
              </w:rPr>
            </w:pPr>
            <w:r>
              <w:rPr>
                <w:rFonts w:ascii="Times New Roman" w:hAnsi="Times New Roman" w:eastAsia="宋体" w:cs="Times New Roman"/>
                <w:i w:val="0"/>
                <w:color w:val="auto"/>
                <w:spacing w:val="0"/>
                <w:position w:val="0"/>
                <w:sz w:val="21"/>
                <w:szCs w:val="21"/>
                <w:highlight w:val="none"/>
              </w:rPr>
              <w:t>VOCs:</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w:t>
            </w:r>
            <w:r>
              <w:rPr>
                <w:rFonts w:hint="eastAsia" w:cs="宋体"/>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t/a</w:t>
            </w:r>
          </w:p>
        </w:tc>
      </w:tr>
      <w:tr w14:paraId="5A5BF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5000" w:type="pct"/>
            <w:gridSpan w:val="14"/>
            <w:tcBorders>
              <w:tl2br w:val="nil"/>
              <w:tr2bl w:val="nil"/>
            </w:tcBorders>
            <w:vAlign w:val="center"/>
          </w:tcPr>
          <w:p w14:paraId="57F2A93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i w:val="0"/>
                <w:color w:val="auto"/>
                <w:spacing w:val="0"/>
                <w:position w:val="0"/>
                <w:sz w:val="21"/>
                <w:szCs w:val="21"/>
                <w:highlight w:val="none"/>
              </w:rPr>
            </w:pPr>
            <w:r>
              <w:rPr>
                <w:rFonts w:ascii="Times New Roman" w:hAnsi="Times New Roman" w:eastAsia="宋体" w:cs="宋体"/>
                <w:i w:val="0"/>
                <w:color w:val="auto"/>
                <w:spacing w:val="0"/>
                <w:position w:val="0"/>
                <w:sz w:val="21"/>
                <w:szCs w:val="21"/>
                <w:highlight w:val="none"/>
              </w:rPr>
              <w:t>注：</w:t>
            </w:r>
            <w:r>
              <w:rPr>
                <w:rFonts w:hint="eastAsia" w:cs="Times New Roman"/>
                <w:i w:val="0"/>
                <w:color w:val="auto"/>
                <w:spacing w:val="0"/>
                <w:position w:val="0"/>
                <w:sz w:val="21"/>
                <w:szCs w:val="21"/>
                <w:highlight w:val="none"/>
                <w:lang w:eastAsia="zh-CN"/>
              </w:rPr>
              <w:t>”</w:t>
            </w:r>
            <w:r>
              <w:rPr>
                <w:rFonts w:ascii="Times New Roman" w:hAnsi="Times New Roman" w:eastAsia="宋体" w:cs="Times New Roman"/>
                <w:i w:val="0"/>
                <w:color w:val="auto"/>
                <w:spacing w:val="0"/>
                <w:position w:val="0"/>
                <w:sz w:val="21"/>
                <w:szCs w:val="21"/>
                <w:highlight w:val="none"/>
              </w:rPr>
              <w:t>□</w:t>
            </w:r>
            <w:r>
              <w:rPr>
                <w:rFonts w:hint="eastAsia" w:cs="Times New Roman"/>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为勾选项，填</w:t>
            </w:r>
            <w:r>
              <w:rPr>
                <w:rFonts w:hint="eastAsia" w:cs="Times New Roman"/>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w:t>
            </w:r>
            <w:r>
              <w:rPr>
                <w:rFonts w:hint="eastAsia" w:cs="Times New Roman"/>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w:t>
            </w:r>
            <w:r>
              <w:rPr>
                <w:rFonts w:hint="eastAsia" w:cs="Times New Roman"/>
                <w:i w:val="0"/>
                <w:color w:val="auto"/>
                <w:spacing w:val="0"/>
                <w:position w:val="0"/>
                <w:sz w:val="21"/>
                <w:szCs w:val="21"/>
                <w:highlight w:val="none"/>
                <w:lang w:eastAsia="zh-CN"/>
              </w:rPr>
              <w:t>”</w:t>
            </w:r>
            <w:r>
              <w:rPr>
                <w:rFonts w:hint="eastAsia" w:cs="宋体"/>
                <w:i w:val="0"/>
                <w:color w:val="auto"/>
                <w:spacing w:val="0"/>
                <w:position w:val="0"/>
                <w:sz w:val="21"/>
                <w:szCs w:val="21"/>
                <w:highlight w:val="none"/>
                <w:lang w:eastAsia="zh-CN"/>
              </w:rPr>
              <w:t>（）</w:t>
            </w:r>
            <w:r>
              <w:rPr>
                <w:rFonts w:hint="eastAsia" w:cs="Times New Roman"/>
                <w:i w:val="0"/>
                <w:color w:val="auto"/>
                <w:spacing w:val="0"/>
                <w:position w:val="0"/>
                <w:sz w:val="21"/>
                <w:szCs w:val="21"/>
                <w:highlight w:val="none"/>
                <w:lang w:eastAsia="zh-CN"/>
              </w:rPr>
              <w:t>”</w:t>
            </w:r>
            <w:r>
              <w:rPr>
                <w:rFonts w:ascii="Times New Roman" w:hAnsi="Times New Roman" w:eastAsia="宋体" w:cs="宋体"/>
                <w:i w:val="0"/>
                <w:color w:val="auto"/>
                <w:spacing w:val="0"/>
                <w:position w:val="0"/>
                <w:sz w:val="21"/>
                <w:szCs w:val="21"/>
                <w:highlight w:val="none"/>
              </w:rPr>
              <w:t>为内容填写项</w:t>
            </w:r>
          </w:p>
        </w:tc>
      </w:tr>
    </w:tbl>
    <w:p w14:paraId="07797253">
      <w:pPr>
        <w:rPr>
          <w:rFonts w:ascii="Times New Roman" w:hAnsi="Times New Roman" w:eastAsia="宋体"/>
          <w:color w:val="auto"/>
          <w:sz w:val="21"/>
          <w:highlight w:val="none"/>
        </w:rPr>
      </w:pPr>
    </w:p>
    <w:p w14:paraId="2FFC409B">
      <w:pPr>
        <w:rPr>
          <w:rFonts w:ascii="Times New Roman" w:hAnsi="Times New Roman" w:eastAsia="宋体"/>
          <w:color w:val="auto"/>
          <w:highlight w:val="none"/>
        </w:rPr>
        <w:sectPr>
          <w:headerReference r:id="rId23" w:type="default"/>
          <w:footerReference r:id="rId24" w:type="default"/>
          <w:pgSz w:w="11907" w:h="16839"/>
          <w:pgMar w:top="1119" w:right="1108" w:bottom="1208" w:left="1277" w:header="877" w:footer="980" w:gutter="0"/>
          <w:pgBorders>
            <w:top w:val="none" w:sz="0" w:space="0"/>
            <w:left w:val="none" w:sz="0" w:space="0"/>
            <w:bottom w:val="none" w:sz="0" w:space="0"/>
            <w:right w:val="none" w:sz="0" w:space="0"/>
          </w:pgBorders>
          <w:pgNumType w:fmt="decimal"/>
          <w:cols w:space="720" w:num="1"/>
        </w:sectPr>
      </w:pPr>
    </w:p>
    <w:p w14:paraId="02C55DD6">
      <w:pPr>
        <w:pStyle w:val="5"/>
        <w:rPr>
          <w:rFonts w:ascii="Times New Roman" w:hAnsi="Times New Roman" w:eastAsia="宋体"/>
          <w:color w:val="auto"/>
          <w:highlight w:val="none"/>
        </w:rPr>
      </w:pPr>
      <w:bookmarkStart w:id="185" w:name="_Toc106663501"/>
      <w:r>
        <w:rPr>
          <w:rFonts w:hint="eastAsia" w:ascii="Times New Roman" w:hAnsi="Times New Roman" w:eastAsia="宋体"/>
          <w:color w:val="auto"/>
          <w:highlight w:val="none"/>
        </w:rPr>
        <w:t>5.2.2水环境影响预测与评价</w:t>
      </w:r>
      <w:bookmarkEnd w:id="185"/>
    </w:p>
    <w:p w14:paraId="7118B7F1">
      <w:pPr>
        <w:ind w:firstLine="480"/>
        <w:rPr>
          <w:rFonts w:ascii="Times New Roman" w:hAnsi="Times New Roman" w:eastAsia="宋体"/>
          <w:color w:val="auto"/>
          <w:highlight w:val="none"/>
        </w:rPr>
      </w:pPr>
      <w:r>
        <w:rPr>
          <w:rFonts w:ascii="Times New Roman" w:hAnsi="Times New Roman" w:eastAsia="宋体"/>
          <w:color w:val="auto"/>
          <w:highlight w:val="none"/>
        </w:rPr>
        <w:t>根据工程分析，本项目废水包括养殖废水、生活污水</w:t>
      </w:r>
      <w:r>
        <w:rPr>
          <w:rFonts w:hint="eastAsia" w:ascii="Times New Roman" w:hAnsi="Times New Roman" w:eastAsia="宋体"/>
          <w:color w:val="auto"/>
          <w:highlight w:val="none"/>
        </w:rPr>
        <w:t>。</w:t>
      </w:r>
    </w:p>
    <w:p w14:paraId="33AB9F67">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5.2.2.1地表水环境影响分析</w:t>
      </w:r>
    </w:p>
    <w:p w14:paraId="3EF5732E">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本项目运营期废水主要为鸡舍冲洗废水和生活污水。</w:t>
      </w:r>
    </w:p>
    <w:p w14:paraId="12EE7E00">
      <w:pPr>
        <w:keepNext w:val="0"/>
        <w:keepLines w:val="0"/>
        <w:pageBreakBefore w:val="0"/>
        <w:widowControl w:val="0"/>
        <w:kinsoku/>
        <w:wordWrap/>
        <w:overflowPunct/>
        <w:topLinePunct w:val="0"/>
        <w:autoSpaceDE/>
        <w:autoSpaceDN/>
        <w:bidi w:val="0"/>
        <w:adjustRightInd/>
        <w:snapToGrid/>
        <w:spacing w:line="360" w:lineRule="auto"/>
        <w:ind w:left="0" w:right="0" w:firstLine="473"/>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本项目采用干清粪工艺，圈舍粪便日产日清，鸡舍在一个饲养周期结束，全部转出后进行冲洗。鸡舍冲洗废水的产生浓度为</w:t>
      </w:r>
      <w:r>
        <w:rPr>
          <w:rFonts w:ascii="Times New Roman" w:hAnsi="Times New Roman" w:eastAsia="宋体" w:cs="Times New Roman"/>
          <w:color w:val="auto"/>
          <w:spacing w:val="0"/>
          <w:position w:val="0"/>
          <w:sz w:val="24"/>
          <w:szCs w:val="24"/>
          <w:highlight w:val="none"/>
        </w:rPr>
        <w:t>COD</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3040mg/L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BOD</w:t>
      </w:r>
      <w:r>
        <w:rPr>
          <w:rFonts w:ascii="Times New Roman" w:hAnsi="Times New Roman" w:eastAsia="宋体" w:cs="Times New Roman"/>
          <w:color w:val="auto"/>
          <w:spacing w:val="0"/>
          <w:position w:val="0"/>
          <w:sz w:val="24"/>
          <w:szCs w:val="15"/>
          <w:highlight w:val="none"/>
          <w:vertAlign w:val="subscript"/>
        </w:rPr>
        <w:t>5</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800mg/L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SS</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1200mg/L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NH</w:t>
      </w:r>
      <w:r>
        <w:rPr>
          <w:rFonts w:ascii="Times New Roman" w:hAnsi="Times New Roman" w:eastAsia="宋体" w:cs="Times New Roman"/>
          <w:color w:val="auto"/>
          <w:spacing w:val="0"/>
          <w:position w:val="0"/>
          <w:sz w:val="24"/>
          <w:szCs w:val="15"/>
          <w:highlight w:val="none"/>
          <w:vertAlign w:val="subscript"/>
        </w:rPr>
        <w:t>3</w:t>
      </w:r>
      <w:r>
        <w:rPr>
          <w:rFonts w:ascii="Times New Roman" w:hAnsi="Times New Roman" w:eastAsia="宋体" w:cs="Times New Roman"/>
          <w:color w:val="auto"/>
          <w:spacing w:val="0"/>
          <w:position w:val="0"/>
          <w:sz w:val="24"/>
          <w:szCs w:val="24"/>
          <w:highlight w:val="none"/>
        </w:rPr>
        <w:t>-N</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200mg/L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TP</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20mg/L</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TN</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150mg/L</w:t>
      </w:r>
      <w:r>
        <w:rPr>
          <w:rFonts w:ascii="Times New Roman" w:hAnsi="Times New Roman" w:eastAsia="宋体" w:cs="宋体"/>
          <w:color w:val="auto"/>
          <w:spacing w:val="0"/>
          <w:position w:val="0"/>
          <w:sz w:val="24"/>
          <w:szCs w:val="24"/>
          <w:highlight w:val="none"/>
        </w:rPr>
        <w:t>。鸡舍冲洗废水排入</w:t>
      </w:r>
      <w:r>
        <w:rPr>
          <w:rFonts w:hint="eastAsia" w:cs="宋体"/>
          <w:color w:val="auto"/>
          <w:spacing w:val="0"/>
          <w:position w:val="0"/>
          <w:sz w:val="24"/>
          <w:szCs w:val="24"/>
          <w:highlight w:val="none"/>
          <w:lang w:eastAsia="zh-CN"/>
        </w:rPr>
        <w:t>废水收集池经预处理后用作农肥。</w:t>
      </w:r>
    </w:p>
    <w:p w14:paraId="0532B5E5">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生活污水直接排入下水管网，最终进入玛纳斯县城污水处理厂；项目区所产生的废水均得到有效处理，无外排废水。项目对场区进行分区硬化防渗处置，项目产生的各类废水均得到合理处置，均不外排。本项目废水不会进入天然地表水体，与地表水也不发生水力联系，对地表水环境影响不大。</w:t>
      </w:r>
    </w:p>
    <w:p w14:paraId="7EB6C76F">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地表水环境影响评价自查表见表</w:t>
      </w:r>
      <w:r>
        <w:rPr>
          <w:rFonts w:hint="eastAsia" w:ascii="Times New Roman" w:hAnsi="Times New Roman" w:eastAsia="宋体" w:cs="Times New Roman"/>
          <w:color w:val="auto"/>
          <w:spacing w:val="0"/>
          <w:position w:val="0"/>
          <w:sz w:val="24"/>
          <w:szCs w:val="24"/>
          <w:highlight w:val="none"/>
          <w:lang w:val="en-US" w:eastAsia="zh-CN"/>
        </w:rPr>
        <w:t>5</w:t>
      </w:r>
      <w:r>
        <w:rPr>
          <w:rFonts w:ascii="Times New Roman" w:hAnsi="Times New Roman" w:eastAsia="宋体" w:cs="Times New Roman"/>
          <w:color w:val="auto"/>
          <w:spacing w:val="0"/>
          <w:position w:val="0"/>
          <w:sz w:val="24"/>
          <w:szCs w:val="24"/>
          <w:highlight w:val="none"/>
        </w:rPr>
        <w:t>.2-10</w:t>
      </w:r>
      <w:r>
        <w:rPr>
          <w:rFonts w:ascii="Times New Roman" w:hAnsi="Times New Roman" w:eastAsia="宋体" w:cs="宋体"/>
          <w:color w:val="auto"/>
          <w:spacing w:val="0"/>
          <w:position w:val="0"/>
          <w:sz w:val="24"/>
          <w:szCs w:val="24"/>
          <w:highlight w:val="none"/>
        </w:rPr>
        <w:t>。</w:t>
      </w:r>
    </w:p>
    <w:p w14:paraId="3F7D92D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color w:val="auto"/>
          <w:spacing w:val="0"/>
          <w:position w:val="0"/>
          <w:sz w:val="24"/>
          <w:szCs w:val="21"/>
          <w:highlight w:val="none"/>
        </w:rPr>
      </w:pPr>
      <w:r>
        <w:rPr>
          <w:rFonts w:ascii="Times New Roman" w:hAnsi="Times New Roman" w:eastAsia="宋体" w:cs="黑体"/>
          <w:b/>
          <w:bCs/>
          <w:color w:val="auto"/>
          <w:spacing w:val="0"/>
          <w:position w:val="0"/>
          <w:sz w:val="24"/>
          <w:szCs w:val="21"/>
          <w:highlight w:val="none"/>
        </w:rPr>
        <w:t>表</w:t>
      </w:r>
      <w:r>
        <w:rPr>
          <w:rFonts w:hint="eastAsia" w:ascii="Times New Roman" w:hAnsi="Times New Roman" w:eastAsia="宋体" w:cs="黑体"/>
          <w:b/>
          <w:bCs/>
          <w:color w:val="auto"/>
          <w:spacing w:val="0"/>
          <w:position w:val="0"/>
          <w:sz w:val="24"/>
          <w:szCs w:val="21"/>
          <w:highlight w:val="none"/>
          <w:lang w:val="en-US" w:eastAsia="zh-CN"/>
        </w:rPr>
        <w:t>5</w:t>
      </w:r>
      <w:r>
        <w:rPr>
          <w:rFonts w:ascii="Times New Roman" w:hAnsi="Times New Roman" w:eastAsia="宋体" w:cs="Times New Roman"/>
          <w:b/>
          <w:bCs/>
          <w:color w:val="auto"/>
          <w:spacing w:val="0"/>
          <w:position w:val="0"/>
          <w:sz w:val="24"/>
          <w:szCs w:val="21"/>
          <w:highlight w:val="none"/>
        </w:rPr>
        <w:t>.2-10</w:t>
      </w:r>
      <w:r>
        <w:rPr>
          <w:rFonts w:ascii="Times New Roman" w:hAnsi="Times New Roman" w:eastAsia="宋体" w:cs="黑体"/>
          <w:b/>
          <w:bCs/>
          <w:color w:val="auto"/>
          <w:spacing w:val="0"/>
          <w:position w:val="0"/>
          <w:sz w:val="24"/>
          <w:szCs w:val="21"/>
          <w:highlight w:val="none"/>
        </w:rPr>
        <w:t>地表水环境影响评价自查表</w:t>
      </w:r>
    </w:p>
    <w:tbl>
      <w:tblPr>
        <w:tblStyle w:val="176"/>
        <w:tblW w:w="500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95"/>
        <w:gridCol w:w="1377"/>
        <w:gridCol w:w="1054"/>
        <w:gridCol w:w="484"/>
        <w:gridCol w:w="22"/>
        <w:gridCol w:w="20"/>
        <w:gridCol w:w="654"/>
        <w:gridCol w:w="989"/>
        <w:gridCol w:w="263"/>
        <w:gridCol w:w="126"/>
        <w:gridCol w:w="123"/>
        <w:gridCol w:w="926"/>
        <w:gridCol w:w="289"/>
        <w:gridCol w:w="330"/>
        <w:gridCol w:w="1163"/>
      </w:tblGrid>
      <w:tr w14:paraId="189E5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089" w:type="pct"/>
            <w:gridSpan w:val="2"/>
            <w:tcBorders>
              <w:tl2br w:val="nil"/>
              <w:tr2bl w:val="nil"/>
            </w:tcBorders>
            <w:vAlign w:val="center"/>
          </w:tcPr>
          <w:p w14:paraId="7BF8F54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工作内容</w:t>
            </w:r>
          </w:p>
        </w:tc>
        <w:tc>
          <w:tcPr>
            <w:tcW w:w="3910" w:type="pct"/>
            <w:gridSpan w:val="13"/>
            <w:tcBorders>
              <w:tl2br w:val="nil"/>
              <w:tr2bl w:val="nil"/>
            </w:tcBorders>
            <w:vAlign w:val="center"/>
          </w:tcPr>
          <w:p w14:paraId="2FB3E31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自查项目</w:t>
            </w:r>
          </w:p>
        </w:tc>
      </w:tr>
      <w:tr w14:paraId="04638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8" w:type="pct"/>
            <w:vMerge w:val="restart"/>
            <w:tcBorders>
              <w:tl2br w:val="nil"/>
              <w:tr2bl w:val="nil"/>
            </w:tcBorders>
            <w:textDirection w:val="tbRlV"/>
            <w:vAlign w:val="center"/>
          </w:tcPr>
          <w:p w14:paraId="46A7517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影响识别</w:t>
            </w:r>
          </w:p>
        </w:tc>
        <w:tc>
          <w:tcPr>
            <w:tcW w:w="831" w:type="pct"/>
            <w:tcBorders>
              <w:tl2br w:val="nil"/>
              <w:tr2bl w:val="nil"/>
            </w:tcBorders>
            <w:vAlign w:val="center"/>
          </w:tcPr>
          <w:p w14:paraId="14ACAA1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影响类型</w:t>
            </w:r>
          </w:p>
        </w:tc>
        <w:tc>
          <w:tcPr>
            <w:tcW w:w="3910" w:type="pct"/>
            <w:gridSpan w:val="13"/>
            <w:tcBorders>
              <w:tl2br w:val="nil"/>
              <w:tr2bl w:val="nil"/>
            </w:tcBorders>
            <w:vAlign w:val="center"/>
          </w:tcPr>
          <w:p w14:paraId="0EBFF3E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水污染影响型</w:t>
            </w:r>
            <w:r>
              <w:rPr>
                <w:rFonts w:ascii="Times New Roman" w:hAnsi="Times New Roman" w:eastAsia="宋体" w:cs="微软雅黑"/>
                <w:color w:val="auto"/>
                <w:spacing w:val="0"/>
                <w:position w:val="0"/>
                <w:sz w:val="21"/>
                <w:szCs w:val="21"/>
                <w:highlight w:val="none"/>
              </w:rPr>
              <w:t>团</w:t>
            </w:r>
            <w:r>
              <w:rPr>
                <w:rFonts w:ascii="Times New Roman" w:hAnsi="Times New Roman" w:eastAsia="宋体" w:cs="宋体"/>
                <w:color w:val="auto"/>
                <w:spacing w:val="0"/>
                <w:position w:val="0"/>
                <w:sz w:val="21"/>
                <w:szCs w:val="21"/>
                <w:highlight w:val="none"/>
              </w:rPr>
              <w:t>；水文要素影响型</w:t>
            </w:r>
            <w:r>
              <w:rPr>
                <w:rFonts w:ascii="Times New Roman" w:hAnsi="Times New Roman" w:eastAsia="宋体"/>
                <w:color w:val="auto"/>
                <w:spacing w:val="0"/>
                <w:position w:val="0"/>
                <w:sz w:val="21"/>
                <w:szCs w:val="21"/>
                <w:highlight w:val="none"/>
              </w:rPr>
              <w:drawing>
                <wp:inline distT="0" distB="0" distL="0" distR="0">
                  <wp:extent cx="116205" cy="97790"/>
                  <wp:effectExtent l="0" t="0" r="17145" b="16510"/>
                  <wp:docPr id="109" name="IM 34"/>
                  <wp:cNvGraphicFramePr/>
                  <a:graphic xmlns:a="http://schemas.openxmlformats.org/drawingml/2006/main">
                    <a:graphicData uri="http://schemas.openxmlformats.org/drawingml/2006/picture">
                      <pic:pic xmlns:pic="http://schemas.openxmlformats.org/drawingml/2006/picture">
                        <pic:nvPicPr>
                          <pic:cNvPr id="109" name="IM 34"/>
                          <pic:cNvPicPr/>
                        </pic:nvPicPr>
                        <pic:blipFill>
                          <a:blip r:embed="rId50"/>
                          <a:stretch>
                            <a:fillRect/>
                          </a:stretch>
                        </pic:blipFill>
                        <pic:spPr>
                          <a:xfrm>
                            <a:off x="0" y="0"/>
                            <a:ext cx="116668" cy="97878"/>
                          </a:xfrm>
                          <a:prstGeom prst="rect">
                            <a:avLst/>
                          </a:prstGeom>
                        </pic:spPr>
                      </pic:pic>
                    </a:graphicData>
                  </a:graphic>
                </wp:inline>
              </w:drawing>
            </w:r>
          </w:p>
        </w:tc>
      </w:tr>
      <w:tr w14:paraId="1B8A4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58" w:type="pct"/>
            <w:vMerge w:val="continue"/>
            <w:tcBorders>
              <w:tl2br w:val="nil"/>
              <w:tr2bl w:val="nil"/>
            </w:tcBorders>
            <w:textDirection w:val="tbRlV"/>
            <w:vAlign w:val="center"/>
          </w:tcPr>
          <w:p w14:paraId="58401F9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03A85E7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水环境保护目标</w:t>
            </w:r>
          </w:p>
        </w:tc>
        <w:tc>
          <w:tcPr>
            <w:tcW w:w="3910" w:type="pct"/>
            <w:gridSpan w:val="13"/>
            <w:tcBorders>
              <w:tl2br w:val="nil"/>
              <w:tr2bl w:val="nil"/>
            </w:tcBorders>
            <w:vAlign w:val="center"/>
          </w:tcPr>
          <w:p w14:paraId="0217FC7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饮用水水源保护区</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11" name="IM 35"/>
                  <wp:cNvGraphicFramePr/>
                  <a:graphic xmlns:a="http://schemas.openxmlformats.org/drawingml/2006/main">
                    <a:graphicData uri="http://schemas.openxmlformats.org/drawingml/2006/picture">
                      <pic:pic xmlns:pic="http://schemas.openxmlformats.org/drawingml/2006/picture">
                        <pic:nvPicPr>
                          <pic:cNvPr id="111" name="IM 35"/>
                          <pic:cNvPicPr/>
                        </pic:nvPicPr>
                        <pic:blipFill>
                          <a:blip r:embed="rId50"/>
                          <a:stretch>
                            <a:fillRect/>
                          </a:stretch>
                        </pic:blipFill>
                        <pic:spPr>
                          <a:xfrm>
                            <a:off x="0" y="0"/>
                            <a:ext cx="11347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；饮用水取水口；涉水的自然保护区</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0"/>
                          <a:stretch>
                            <a:fillRect/>
                          </a:stretch>
                        </pic:blipFill>
                        <pic:spPr>
                          <a:xfrm>
                            <a:off x="0" y="0"/>
                            <a:ext cx="11347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；重要湿地；重点保护与珍惜水生生物的栖息地</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12" name="IM 37"/>
                  <wp:cNvGraphicFramePr/>
                  <a:graphic xmlns:a="http://schemas.openxmlformats.org/drawingml/2006/main">
                    <a:graphicData uri="http://schemas.openxmlformats.org/drawingml/2006/picture">
                      <pic:pic xmlns:pic="http://schemas.openxmlformats.org/drawingml/2006/picture">
                        <pic:nvPicPr>
                          <pic:cNvPr id="112" name="IM 37"/>
                          <pic:cNvPicPr/>
                        </pic:nvPicPr>
                        <pic:blipFill>
                          <a:blip r:embed="rId50"/>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；重要水生生物的自然产卵场及索饵场、越冬场和洄游通道、天然渔场等渔业水体</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20" name="IM 38"/>
                  <wp:cNvGraphicFramePr/>
                  <a:graphic xmlns:a="http://schemas.openxmlformats.org/drawingml/2006/main">
                    <a:graphicData uri="http://schemas.openxmlformats.org/drawingml/2006/picture">
                      <pic:pic xmlns:pic="http://schemas.openxmlformats.org/drawingml/2006/picture">
                        <pic:nvPicPr>
                          <pic:cNvPr id="120" name="IM 38"/>
                          <pic:cNvPicPr/>
                        </pic:nvPicPr>
                        <pic:blipFill>
                          <a:blip r:embed="rId51"/>
                          <a:stretch>
                            <a:fillRect/>
                          </a:stretch>
                        </pic:blipFill>
                        <pic:spPr>
                          <a:xfrm>
                            <a:off x="0" y="0"/>
                            <a:ext cx="11325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；涉水的风景名胜区</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21" name="IM 39"/>
                  <wp:cNvGraphicFramePr/>
                  <a:graphic xmlns:a="http://schemas.openxmlformats.org/drawingml/2006/main">
                    <a:graphicData uri="http://schemas.openxmlformats.org/drawingml/2006/picture">
                      <pic:pic xmlns:pic="http://schemas.openxmlformats.org/drawingml/2006/picture">
                        <pic:nvPicPr>
                          <pic:cNvPr id="121" name="IM 39"/>
                          <pic:cNvPicPr/>
                        </pic:nvPicPr>
                        <pic:blipFill>
                          <a:blip r:embed="rId50"/>
                          <a:stretch>
                            <a:fillRect/>
                          </a:stretch>
                        </pic:blipFill>
                        <pic:spPr>
                          <a:xfrm>
                            <a:off x="0" y="0"/>
                            <a:ext cx="11325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22" name="IM 40"/>
                  <wp:cNvGraphicFramePr/>
                  <a:graphic xmlns:a="http://schemas.openxmlformats.org/drawingml/2006/main">
                    <a:graphicData uri="http://schemas.openxmlformats.org/drawingml/2006/picture">
                      <pic:pic xmlns:pic="http://schemas.openxmlformats.org/drawingml/2006/picture">
                        <pic:nvPicPr>
                          <pic:cNvPr id="122" name="IM 40"/>
                          <pic:cNvPicPr/>
                        </pic:nvPicPr>
                        <pic:blipFill>
                          <a:blip r:embed="rId51"/>
                          <a:stretch>
                            <a:fillRect/>
                          </a:stretch>
                        </pic:blipFill>
                        <pic:spPr>
                          <a:xfrm>
                            <a:off x="0" y="0"/>
                            <a:ext cx="113254" cy="97878"/>
                          </a:xfrm>
                          <a:prstGeom prst="rect">
                            <a:avLst/>
                          </a:prstGeom>
                        </pic:spPr>
                      </pic:pic>
                    </a:graphicData>
                  </a:graphic>
                </wp:inline>
              </w:drawing>
            </w:r>
          </w:p>
        </w:tc>
      </w:tr>
      <w:tr w14:paraId="42769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8" w:type="pct"/>
            <w:vMerge w:val="continue"/>
            <w:tcBorders>
              <w:tl2br w:val="nil"/>
              <w:tr2bl w:val="nil"/>
            </w:tcBorders>
            <w:textDirection w:val="tbRlV"/>
            <w:vAlign w:val="center"/>
          </w:tcPr>
          <w:p w14:paraId="0535F6A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restart"/>
            <w:tcBorders>
              <w:tl2br w:val="nil"/>
              <w:tr2bl w:val="nil"/>
            </w:tcBorders>
            <w:vAlign w:val="center"/>
          </w:tcPr>
          <w:p w14:paraId="35C7E1B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影响途径</w:t>
            </w:r>
          </w:p>
        </w:tc>
        <w:tc>
          <w:tcPr>
            <w:tcW w:w="1956" w:type="pct"/>
            <w:gridSpan w:val="6"/>
            <w:tcBorders>
              <w:tl2br w:val="nil"/>
              <w:tr2bl w:val="nil"/>
            </w:tcBorders>
            <w:vAlign w:val="center"/>
          </w:tcPr>
          <w:p w14:paraId="56B5234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水污染影响型</w:t>
            </w:r>
          </w:p>
        </w:tc>
        <w:tc>
          <w:tcPr>
            <w:tcW w:w="1953" w:type="pct"/>
            <w:gridSpan w:val="7"/>
            <w:tcBorders>
              <w:tl2br w:val="nil"/>
              <w:tr2bl w:val="nil"/>
            </w:tcBorders>
            <w:vAlign w:val="center"/>
          </w:tcPr>
          <w:p w14:paraId="378A139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水文要素影响型</w:t>
            </w:r>
          </w:p>
        </w:tc>
      </w:tr>
      <w:tr w14:paraId="6917D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14:paraId="101EF7C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14:paraId="484353E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956" w:type="pct"/>
            <w:gridSpan w:val="6"/>
            <w:tcBorders>
              <w:tl2br w:val="nil"/>
              <w:tr2bl w:val="nil"/>
            </w:tcBorders>
            <w:vAlign w:val="center"/>
          </w:tcPr>
          <w:p w14:paraId="67CE72E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微软雅黑"/>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直接排放</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52"/>
                          <a:stretch>
                            <a:fillRect/>
                          </a:stretch>
                        </pic:blipFill>
                        <pic:spPr>
                          <a:xfrm>
                            <a:off x="0" y="0"/>
                            <a:ext cx="1102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；间接排放</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24" name="IM 42"/>
                  <wp:cNvGraphicFramePr/>
                  <a:graphic xmlns:a="http://schemas.openxmlformats.org/drawingml/2006/main">
                    <a:graphicData uri="http://schemas.openxmlformats.org/drawingml/2006/picture">
                      <pic:pic xmlns:pic="http://schemas.openxmlformats.org/drawingml/2006/picture">
                        <pic:nvPicPr>
                          <pic:cNvPr id="124" name="IM 42"/>
                          <pic:cNvPicPr/>
                        </pic:nvPicPr>
                        <pic:blipFill>
                          <a:blip r:embed="rId53"/>
                          <a:stretch>
                            <a:fillRect/>
                          </a:stretch>
                        </pic:blipFill>
                        <pic:spPr>
                          <a:xfrm>
                            <a:off x="0" y="0"/>
                            <a:ext cx="11021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s="微软雅黑"/>
                <w:color w:val="auto"/>
                <w:spacing w:val="0"/>
                <w:position w:val="0"/>
                <w:sz w:val="21"/>
                <w:szCs w:val="21"/>
                <w:highlight w:val="none"/>
              </w:rPr>
              <w:t>团</w:t>
            </w:r>
          </w:p>
        </w:tc>
        <w:tc>
          <w:tcPr>
            <w:tcW w:w="1953" w:type="pct"/>
            <w:gridSpan w:val="7"/>
            <w:tcBorders>
              <w:tl2br w:val="nil"/>
              <w:tr2bl w:val="nil"/>
            </w:tcBorders>
            <w:vAlign w:val="center"/>
          </w:tcPr>
          <w:p w14:paraId="28576C3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水温</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25" name="IM 43"/>
                  <wp:cNvGraphicFramePr/>
                  <a:graphic xmlns:a="http://schemas.openxmlformats.org/drawingml/2006/main">
                    <a:graphicData uri="http://schemas.openxmlformats.org/drawingml/2006/picture">
                      <pic:pic xmlns:pic="http://schemas.openxmlformats.org/drawingml/2006/picture">
                        <pic:nvPicPr>
                          <pic:cNvPr id="125" name="IM 43"/>
                          <pic:cNvPicPr/>
                        </pic:nvPicPr>
                        <pic:blipFill>
                          <a:blip r:embed="rId52"/>
                          <a:stretch>
                            <a:fillRect/>
                          </a:stretch>
                        </pic:blipFill>
                        <pic:spPr>
                          <a:xfrm>
                            <a:off x="0" y="0"/>
                            <a:ext cx="111969"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；径流</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26" name="IM 44"/>
                  <wp:cNvGraphicFramePr/>
                  <a:graphic xmlns:a="http://schemas.openxmlformats.org/drawingml/2006/main">
                    <a:graphicData uri="http://schemas.openxmlformats.org/drawingml/2006/picture">
                      <pic:pic xmlns:pic="http://schemas.openxmlformats.org/drawingml/2006/picture">
                        <pic:nvPicPr>
                          <pic:cNvPr id="126" name="IM 44"/>
                          <pic:cNvPicPr/>
                        </pic:nvPicPr>
                        <pic:blipFill>
                          <a:blip r:embed="rId54"/>
                          <a:stretch>
                            <a:fillRect/>
                          </a:stretch>
                        </pic:blipFill>
                        <pic:spPr>
                          <a:xfrm>
                            <a:off x="0" y="0"/>
                            <a:ext cx="111969"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；水域面积</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27" name="IM 45"/>
                  <wp:cNvGraphicFramePr/>
                  <a:graphic xmlns:a="http://schemas.openxmlformats.org/drawingml/2006/main">
                    <a:graphicData uri="http://schemas.openxmlformats.org/drawingml/2006/picture">
                      <pic:pic xmlns:pic="http://schemas.openxmlformats.org/drawingml/2006/picture">
                        <pic:nvPicPr>
                          <pic:cNvPr id="127" name="IM 45"/>
                          <pic:cNvPicPr/>
                        </pic:nvPicPr>
                        <pic:blipFill>
                          <a:blip r:embed="rId52"/>
                          <a:stretch>
                            <a:fillRect/>
                          </a:stretch>
                        </pic:blipFill>
                        <pic:spPr>
                          <a:xfrm>
                            <a:off x="0" y="0"/>
                            <a:ext cx="111969" cy="97878"/>
                          </a:xfrm>
                          <a:prstGeom prst="rect">
                            <a:avLst/>
                          </a:prstGeom>
                        </pic:spPr>
                      </pic:pic>
                    </a:graphicData>
                  </a:graphic>
                </wp:inline>
              </w:drawing>
            </w:r>
          </w:p>
        </w:tc>
      </w:tr>
      <w:tr w14:paraId="6F9DC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58" w:type="pct"/>
            <w:vMerge w:val="continue"/>
            <w:tcBorders>
              <w:tl2br w:val="nil"/>
              <w:tr2bl w:val="nil"/>
            </w:tcBorders>
            <w:textDirection w:val="tbRlV"/>
            <w:vAlign w:val="center"/>
          </w:tcPr>
          <w:p w14:paraId="5165840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33A721F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影响因子</w:t>
            </w:r>
          </w:p>
        </w:tc>
        <w:tc>
          <w:tcPr>
            <w:tcW w:w="1956" w:type="pct"/>
            <w:gridSpan w:val="6"/>
            <w:tcBorders>
              <w:tl2br w:val="nil"/>
              <w:tr2bl w:val="nil"/>
            </w:tcBorders>
            <w:vAlign w:val="center"/>
          </w:tcPr>
          <w:p w14:paraId="73449FA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微软雅黑"/>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持久性污染物</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2"/>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；有毒有害污染物</w:t>
            </w:r>
            <w:r>
              <w:rPr>
                <w:rFonts w:ascii="Times New Roman" w:hAnsi="Times New Roman" w:eastAsia="宋体" w:cs="宋体"/>
                <w:color w:val="auto"/>
                <w:spacing w:val="0"/>
                <w:position w:val="0"/>
                <w:sz w:val="21"/>
                <w:szCs w:val="21"/>
                <w:highlight w:val="none"/>
              </w:rPr>
              <w:drawing>
                <wp:inline distT="0" distB="0" distL="0" distR="0">
                  <wp:extent cx="106045" cy="97790"/>
                  <wp:effectExtent l="0" t="0" r="8255" b="1651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53"/>
                          <a:stretch>
                            <a:fillRect/>
                          </a:stretch>
                        </pic:blipFill>
                        <pic:spPr>
                          <a:xfrm>
                            <a:off x="0" y="0"/>
                            <a:ext cx="10614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；非持久性污染物</w:t>
            </w:r>
            <w:r>
              <w:rPr>
                <w:rFonts w:ascii="Times New Roman" w:hAnsi="Times New Roman" w:eastAsia="宋体"/>
                <w:color w:val="auto"/>
                <w:spacing w:val="0"/>
                <w:position w:val="0"/>
                <w:sz w:val="21"/>
                <w:szCs w:val="21"/>
                <w:highlight w:val="none"/>
              </w:rPr>
              <w:drawing>
                <wp:inline distT="0" distB="0" distL="0" distR="0">
                  <wp:extent cx="106045" cy="97790"/>
                  <wp:effectExtent l="0" t="0" r="8255" b="1651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2"/>
                          <a:stretch>
                            <a:fillRect/>
                          </a:stretch>
                        </pic:blipFill>
                        <pic:spPr>
                          <a:xfrm>
                            <a:off x="0" y="0"/>
                            <a:ext cx="10614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pH</w:t>
            </w:r>
            <w:r>
              <w:rPr>
                <w:rFonts w:ascii="Times New Roman" w:hAnsi="Times New Roman" w:eastAsia="宋体" w:cs="宋体"/>
                <w:color w:val="auto"/>
                <w:spacing w:val="0"/>
                <w:position w:val="0"/>
                <w:sz w:val="21"/>
                <w:szCs w:val="21"/>
                <w:highlight w:val="none"/>
              </w:rPr>
              <w:t>值</w:t>
            </w:r>
            <w:r>
              <w:rPr>
                <w:rFonts w:ascii="Times New Roman" w:hAnsi="Times New Roman" w:eastAsia="宋体"/>
                <w:color w:val="auto"/>
                <w:spacing w:val="0"/>
                <w:position w:val="0"/>
                <w:sz w:val="21"/>
                <w:szCs w:val="21"/>
                <w:highlight w:val="none"/>
              </w:rPr>
              <w:drawing>
                <wp:inline distT="0" distB="0" distL="0" distR="0">
                  <wp:extent cx="106045" cy="97790"/>
                  <wp:effectExtent l="0" t="0" r="8255" b="1651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52"/>
                          <a:stretch>
                            <a:fillRect/>
                          </a:stretch>
                        </pic:blipFill>
                        <pic:spPr>
                          <a:xfrm>
                            <a:off x="0" y="0"/>
                            <a:ext cx="10614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；热污染</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28" name="IM 50"/>
                  <wp:cNvGraphicFramePr/>
                  <a:graphic xmlns:a="http://schemas.openxmlformats.org/drawingml/2006/main">
                    <a:graphicData uri="http://schemas.openxmlformats.org/drawingml/2006/picture">
                      <pic:pic xmlns:pic="http://schemas.openxmlformats.org/drawingml/2006/picture">
                        <pic:nvPicPr>
                          <pic:cNvPr id="128" name="IM 50"/>
                          <pic:cNvPicPr/>
                        </pic:nvPicPr>
                        <pic:blipFill>
                          <a:blip r:embed="rId52"/>
                          <a:stretch>
                            <a:fillRect/>
                          </a:stretch>
                        </pic:blipFill>
                        <pic:spPr>
                          <a:xfrm>
                            <a:off x="0" y="0"/>
                            <a:ext cx="1104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；富营养化</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53"/>
                          <a:stretch>
                            <a:fillRect/>
                          </a:stretch>
                        </pic:blipFill>
                        <pic:spPr>
                          <a:xfrm>
                            <a:off x="0" y="0"/>
                            <a:ext cx="1104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s="微软雅黑"/>
                <w:color w:val="auto"/>
                <w:spacing w:val="0"/>
                <w:position w:val="0"/>
                <w:sz w:val="21"/>
                <w:szCs w:val="21"/>
                <w:highlight w:val="none"/>
              </w:rPr>
              <w:t>团</w:t>
            </w:r>
          </w:p>
        </w:tc>
        <w:tc>
          <w:tcPr>
            <w:tcW w:w="1953" w:type="pct"/>
            <w:gridSpan w:val="7"/>
            <w:tcBorders>
              <w:tl2br w:val="nil"/>
              <w:tr2bl w:val="nil"/>
            </w:tcBorders>
            <w:vAlign w:val="center"/>
          </w:tcPr>
          <w:p w14:paraId="40FC0B6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水温</w:t>
            </w:r>
            <w:r>
              <w:rPr>
                <w:rFonts w:ascii="Times New Roman" w:hAnsi="Times New Roman" w:eastAsia="宋体"/>
                <w:color w:val="auto"/>
                <w:spacing w:val="0"/>
                <w:position w:val="0"/>
                <w:sz w:val="21"/>
                <w:szCs w:val="21"/>
                <w:highlight w:val="none"/>
              </w:rPr>
              <w:drawing>
                <wp:inline distT="0" distB="0" distL="0" distR="0">
                  <wp:extent cx="105410" cy="97790"/>
                  <wp:effectExtent l="0" t="0" r="8890" b="16510"/>
                  <wp:docPr id="129" name="IM 52"/>
                  <wp:cNvGraphicFramePr/>
                  <a:graphic xmlns:a="http://schemas.openxmlformats.org/drawingml/2006/main">
                    <a:graphicData uri="http://schemas.openxmlformats.org/drawingml/2006/picture">
                      <pic:pic xmlns:pic="http://schemas.openxmlformats.org/drawingml/2006/picture">
                        <pic:nvPicPr>
                          <pic:cNvPr id="129" name="IM 52"/>
                          <pic:cNvPicPr/>
                        </pic:nvPicPr>
                        <pic:blipFill>
                          <a:blip r:embed="rId52"/>
                          <a:stretch>
                            <a:fillRect/>
                          </a:stretch>
                        </pic:blipFill>
                        <pic:spPr>
                          <a:xfrm>
                            <a:off x="0" y="0"/>
                            <a:ext cx="105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；水位</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水深</w:t>
            </w:r>
            <w:r>
              <w:rPr>
                <w:rFonts w:hint="eastAsia" w:cs="宋体"/>
                <w:color w:val="auto"/>
                <w:spacing w:val="0"/>
                <w:position w:val="0"/>
                <w:sz w:val="21"/>
                <w:szCs w:val="21"/>
                <w:highlight w:val="none"/>
                <w:lang w:eastAsia="zh-CN"/>
              </w:rPr>
              <w:t>）</w:t>
            </w:r>
            <w:r>
              <w:rPr>
                <w:rFonts w:ascii="Times New Roman" w:hAnsi="Times New Roman" w:eastAsia="宋体"/>
                <w:color w:val="auto"/>
                <w:spacing w:val="0"/>
                <w:position w:val="0"/>
                <w:sz w:val="21"/>
                <w:szCs w:val="21"/>
                <w:highlight w:val="none"/>
              </w:rPr>
              <w:drawing>
                <wp:inline distT="0" distB="0" distL="0" distR="0">
                  <wp:extent cx="105410" cy="97790"/>
                  <wp:effectExtent l="0" t="0" r="8890" b="16510"/>
                  <wp:docPr id="130" name="IM 53"/>
                  <wp:cNvGraphicFramePr/>
                  <a:graphic xmlns:a="http://schemas.openxmlformats.org/drawingml/2006/main">
                    <a:graphicData uri="http://schemas.openxmlformats.org/drawingml/2006/picture">
                      <pic:pic xmlns:pic="http://schemas.openxmlformats.org/drawingml/2006/picture">
                        <pic:nvPicPr>
                          <pic:cNvPr id="130" name="IM 53"/>
                          <pic:cNvPicPr/>
                        </pic:nvPicPr>
                        <pic:blipFill>
                          <a:blip r:embed="rId52"/>
                          <a:stretch>
                            <a:fillRect/>
                          </a:stretch>
                        </pic:blipFill>
                        <pic:spPr>
                          <a:xfrm>
                            <a:off x="0" y="0"/>
                            <a:ext cx="105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；流速</w:t>
            </w:r>
            <w:r>
              <w:rPr>
                <w:rFonts w:ascii="Times New Roman" w:hAnsi="Times New Roman" w:eastAsia="宋体"/>
                <w:color w:val="auto"/>
                <w:spacing w:val="0"/>
                <w:position w:val="0"/>
                <w:sz w:val="21"/>
                <w:szCs w:val="21"/>
                <w:highlight w:val="none"/>
              </w:rPr>
              <w:drawing>
                <wp:inline distT="0" distB="0" distL="0" distR="0">
                  <wp:extent cx="105410" cy="97790"/>
                  <wp:effectExtent l="0" t="0" r="8890" b="16510"/>
                  <wp:docPr id="131" name="IM 54"/>
                  <wp:cNvGraphicFramePr/>
                  <a:graphic xmlns:a="http://schemas.openxmlformats.org/drawingml/2006/main">
                    <a:graphicData uri="http://schemas.openxmlformats.org/drawingml/2006/picture">
                      <pic:pic xmlns:pic="http://schemas.openxmlformats.org/drawingml/2006/picture">
                        <pic:nvPicPr>
                          <pic:cNvPr id="131" name="IM 54"/>
                          <pic:cNvPicPr/>
                        </pic:nvPicPr>
                        <pic:blipFill>
                          <a:blip r:embed="rId52"/>
                          <a:stretch>
                            <a:fillRect/>
                          </a:stretch>
                        </pic:blipFill>
                        <pic:spPr>
                          <a:xfrm>
                            <a:off x="0" y="0"/>
                            <a:ext cx="105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；流量</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32" name="IM 55"/>
                  <wp:cNvGraphicFramePr/>
                  <a:graphic xmlns:a="http://schemas.openxmlformats.org/drawingml/2006/main">
                    <a:graphicData uri="http://schemas.openxmlformats.org/drawingml/2006/picture">
                      <pic:pic xmlns:pic="http://schemas.openxmlformats.org/drawingml/2006/picture">
                        <pic:nvPicPr>
                          <pic:cNvPr id="132" name="IM 55"/>
                          <pic:cNvPicPr/>
                        </pic:nvPicPr>
                        <pic:blipFill>
                          <a:blip r:embed="rId53"/>
                          <a:stretch>
                            <a:fillRect/>
                          </a:stretch>
                        </pic:blipFill>
                        <pic:spPr>
                          <a:xfrm>
                            <a:off x="0" y="0"/>
                            <a:ext cx="1102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33" name="IM 56"/>
                  <wp:cNvGraphicFramePr/>
                  <a:graphic xmlns:a="http://schemas.openxmlformats.org/drawingml/2006/main">
                    <a:graphicData uri="http://schemas.openxmlformats.org/drawingml/2006/picture">
                      <pic:pic xmlns:pic="http://schemas.openxmlformats.org/drawingml/2006/picture">
                        <pic:nvPicPr>
                          <pic:cNvPr id="133" name="IM 56"/>
                          <pic:cNvPicPr/>
                        </pic:nvPicPr>
                        <pic:blipFill>
                          <a:blip r:embed="rId52"/>
                          <a:stretch>
                            <a:fillRect/>
                          </a:stretch>
                        </pic:blipFill>
                        <pic:spPr>
                          <a:xfrm>
                            <a:off x="0" y="0"/>
                            <a:ext cx="110213" cy="97878"/>
                          </a:xfrm>
                          <a:prstGeom prst="rect">
                            <a:avLst/>
                          </a:prstGeom>
                        </pic:spPr>
                      </pic:pic>
                    </a:graphicData>
                  </a:graphic>
                </wp:inline>
              </w:drawing>
            </w:r>
          </w:p>
        </w:tc>
      </w:tr>
      <w:tr w14:paraId="5B918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089" w:type="pct"/>
            <w:gridSpan w:val="2"/>
            <w:vMerge w:val="restart"/>
            <w:tcBorders>
              <w:tl2br w:val="nil"/>
              <w:tr2bl w:val="nil"/>
            </w:tcBorders>
            <w:vAlign w:val="center"/>
          </w:tcPr>
          <w:p w14:paraId="14A93CA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评价等级</w:t>
            </w:r>
          </w:p>
        </w:tc>
        <w:tc>
          <w:tcPr>
            <w:tcW w:w="1956" w:type="pct"/>
            <w:gridSpan w:val="6"/>
            <w:tcBorders>
              <w:tl2br w:val="nil"/>
              <w:tr2bl w:val="nil"/>
            </w:tcBorders>
            <w:vAlign w:val="center"/>
          </w:tcPr>
          <w:p w14:paraId="63D2156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水污染影响型</w:t>
            </w:r>
          </w:p>
        </w:tc>
        <w:tc>
          <w:tcPr>
            <w:tcW w:w="1953" w:type="pct"/>
            <w:gridSpan w:val="7"/>
            <w:tcBorders>
              <w:tl2br w:val="nil"/>
              <w:tr2bl w:val="nil"/>
            </w:tcBorders>
            <w:vAlign w:val="center"/>
          </w:tcPr>
          <w:p w14:paraId="11B145B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水文要素影响型</w:t>
            </w:r>
          </w:p>
        </w:tc>
      </w:tr>
      <w:tr w14:paraId="534BF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089" w:type="pct"/>
            <w:gridSpan w:val="2"/>
            <w:vMerge w:val="continue"/>
            <w:tcBorders>
              <w:tl2br w:val="nil"/>
              <w:tr2bl w:val="nil"/>
            </w:tcBorders>
            <w:vAlign w:val="center"/>
          </w:tcPr>
          <w:p w14:paraId="3C4695E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956" w:type="pct"/>
            <w:gridSpan w:val="6"/>
            <w:tcBorders>
              <w:tl2br w:val="nil"/>
              <w:tr2bl w:val="nil"/>
            </w:tcBorders>
            <w:vAlign w:val="center"/>
          </w:tcPr>
          <w:p w14:paraId="1790C14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微软雅黑"/>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一级</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34" name="IM 57"/>
                  <wp:cNvGraphicFramePr/>
                  <a:graphic xmlns:a="http://schemas.openxmlformats.org/drawingml/2006/main">
                    <a:graphicData uri="http://schemas.openxmlformats.org/drawingml/2006/picture">
                      <pic:pic xmlns:pic="http://schemas.openxmlformats.org/drawingml/2006/picture">
                        <pic:nvPicPr>
                          <pic:cNvPr id="134" name="IM 57"/>
                          <pic:cNvPicPr/>
                        </pic:nvPicPr>
                        <pic:blipFill>
                          <a:blip r:embed="rId55"/>
                          <a:stretch>
                            <a:fillRect/>
                          </a:stretch>
                        </pic:blipFill>
                        <pic:spPr>
                          <a:xfrm>
                            <a:off x="0" y="0"/>
                            <a:ext cx="1102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；二级</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35" name="IM 58"/>
                  <wp:cNvGraphicFramePr/>
                  <a:graphic xmlns:a="http://schemas.openxmlformats.org/drawingml/2006/main">
                    <a:graphicData uri="http://schemas.openxmlformats.org/drawingml/2006/picture">
                      <pic:pic xmlns:pic="http://schemas.openxmlformats.org/drawingml/2006/picture">
                        <pic:nvPicPr>
                          <pic:cNvPr id="135" name="IM 58"/>
                          <pic:cNvPicPr/>
                        </pic:nvPicPr>
                        <pic:blipFill>
                          <a:blip r:embed="rId55"/>
                          <a:stretch>
                            <a:fillRect/>
                          </a:stretch>
                        </pic:blipFill>
                        <pic:spPr>
                          <a:xfrm>
                            <a:off x="0" y="0"/>
                            <a:ext cx="1102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；三级</w:t>
            </w:r>
            <w:r>
              <w:rPr>
                <w:rFonts w:ascii="Times New Roman" w:hAnsi="Times New Roman" w:eastAsia="宋体" w:cs="Times New Roman"/>
                <w:color w:val="auto"/>
                <w:spacing w:val="0"/>
                <w:position w:val="0"/>
                <w:sz w:val="21"/>
                <w:szCs w:val="21"/>
                <w:highlight w:val="none"/>
              </w:rPr>
              <w:t>A</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36" name="IM 59"/>
                  <wp:cNvGraphicFramePr/>
                  <a:graphic xmlns:a="http://schemas.openxmlformats.org/drawingml/2006/main">
                    <a:graphicData uri="http://schemas.openxmlformats.org/drawingml/2006/picture">
                      <pic:pic xmlns:pic="http://schemas.openxmlformats.org/drawingml/2006/picture">
                        <pic:nvPicPr>
                          <pic:cNvPr id="136" name="IM 59"/>
                          <pic:cNvPicPr/>
                        </pic:nvPicPr>
                        <pic:blipFill>
                          <a:blip r:embed="rId55"/>
                          <a:stretch>
                            <a:fillRect/>
                          </a:stretch>
                        </pic:blipFill>
                        <pic:spPr>
                          <a:xfrm>
                            <a:off x="0" y="0"/>
                            <a:ext cx="1102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；三级</w:t>
            </w:r>
            <w:r>
              <w:rPr>
                <w:rFonts w:ascii="Times New Roman" w:hAnsi="Times New Roman" w:eastAsia="宋体" w:cs="Times New Roman"/>
                <w:color w:val="auto"/>
                <w:spacing w:val="0"/>
                <w:position w:val="0"/>
                <w:sz w:val="21"/>
                <w:szCs w:val="21"/>
                <w:highlight w:val="none"/>
              </w:rPr>
              <w:t>B</w:t>
            </w:r>
          </w:p>
        </w:tc>
        <w:tc>
          <w:tcPr>
            <w:tcW w:w="1953" w:type="pct"/>
            <w:gridSpan w:val="7"/>
            <w:tcBorders>
              <w:tl2br w:val="nil"/>
              <w:tr2bl w:val="nil"/>
            </w:tcBorders>
            <w:vAlign w:val="center"/>
          </w:tcPr>
          <w:p w14:paraId="059C0BE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一级</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37" name="IM 60"/>
                  <wp:cNvGraphicFramePr/>
                  <a:graphic xmlns:a="http://schemas.openxmlformats.org/drawingml/2006/main">
                    <a:graphicData uri="http://schemas.openxmlformats.org/drawingml/2006/picture">
                      <pic:pic xmlns:pic="http://schemas.openxmlformats.org/drawingml/2006/picture">
                        <pic:nvPicPr>
                          <pic:cNvPr id="137" name="IM 60"/>
                          <pic:cNvPicPr/>
                        </pic:nvPicPr>
                        <pic:blipFill>
                          <a:blip r:embed="rId55"/>
                          <a:stretch>
                            <a:fillRect/>
                          </a:stretch>
                        </pic:blipFill>
                        <pic:spPr>
                          <a:xfrm>
                            <a:off x="0" y="0"/>
                            <a:ext cx="11312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；二级</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38" name="IM 61"/>
                  <wp:cNvGraphicFramePr/>
                  <a:graphic xmlns:a="http://schemas.openxmlformats.org/drawingml/2006/main">
                    <a:graphicData uri="http://schemas.openxmlformats.org/drawingml/2006/picture">
                      <pic:pic xmlns:pic="http://schemas.openxmlformats.org/drawingml/2006/picture">
                        <pic:nvPicPr>
                          <pic:cNvPr id="138" name="IM 61"/>
                          <pic:cNvPicPr/>
                        </pic:nvPicPr>
                        <pic:blipFill>
                          <a:blip r:embed="rId56"/>
                          <a:stretch>
                            <a:fillRect/>
                          </a:stretch>
                        </pic:blipFill>
                        <pic:spPr>
                          <a:xfrm>
                            <a:off x="0" y="0"/>
                            <a:ext cx="11312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；三级</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39" name="IM 62"/>
                  <wp:cNvGraphicFramePr/>
                  <a:graphic xmlns:a="http://schemas.openxmlformats.org/drawingml/2006/main">
                    <a:graphicData uri="http://schemas.openxmlformats.org/drawingml/2006/picture">
                      <pic:pic xmlns:pic="http://schemas.openxmlformats.org/drawingml/2006/picture">
                        <pic:nvPicPr>
                          <pic:cNvPr id="139" name="IM 62"/>
                          <pic:cNvPicPr/>
                        </pic:nvPicPr>
                        <pic:blipFill>
                          <a:blip r:embed="rId55"/>
                          <a:stretch>
                            <a:fillRect/>
                          </a:stretch>
                        </pic:blipFill>
                        <pic:spPr>
                          <a:xfrm>
                            <a:off x="0" y="0"/>
                            <a:ext cx="113125" cy="97878"/>
                          </a:xfrm>
                          <a:prstGeom prst="rect">
                            <a:avLst/>
                          </a:prstGeom>
                        </pic:spPr>
                      </pic:pic>
                    </a:graphicData>
                  </a:graphic>
                </wp:inline>
              </w:drawing>
            </w:r>
          </w:p>
        </w:tc>
      </w:tr>
      <w:tr w14:paraId="1EC9B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8" w:type="pct"/>
            <w:vMerge w:val="restart"/>
            <w:tcBorders>
              <w:tl2br w:val="nil"/>
              <w:tr2bl w:val="nil"/>
            </w:tcBorders>
            <w:textDirection w:val="tbRlV"/>
            <w:vAlign w:val="center"/>
          </w:tcPr>
          <w:p w14:paraId="36483C0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现状调查</w:t>
            </w:r>
          </w:p>
        </w:tc>
        <w:tc>
          <w:tcPr>
            <w:tcW w:w="831" w:type="pct"/>
            <w:vMerge w:val="restart"/>
            <w:tcBorders>
              <w:tl2br w:val="nil"/>
              <w:tr2bl w:val="nil"/>
            </w:tcBorders>
            <w:vAlign w:val="center"/>
          </w:tcPr>
          <w:p w14:paraId="611D0BD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区域污染源</w:t>
            </w:r>
          </w:p>
        </w:tc>
        <w:tc>
          <w:tcPr>
            <w:tcW w:w="1956" w:type="pct"/>
            <w:gridSpan w:val="6"/>
            <w:tcBorders>
              <w:tl2br w:val="nil"/>
              <w:tr2bl w:val="nil"/>
            </w:tcBorders>
            <w:vAlign w:val="center"/>
          </w:tcPr>
          <w:p w14:paraId="2EE4C44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调查项目</w:t>
            </w:r>
          </w:p>
        </w:tc>
        <w:tc>
          <w:tcPr>
            <w:tcW w:w="1953" w:type="pct"/>
            <w:gridSpan w:val="7"/>
            <w:tcBorders>
              <w:tl2br w:val="nil"/>
              <w:tr2bl w:val="nil"/>
            </w:tcBorders>
            <w:vAlign w:val="center"/>
          </w:tcPr>
          <w:p w14:paraId="586E39B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数据来源</w:t>
            </w:r>
          </w:p>
        </w:tc>
      </w:tr>
      <w:tr w14:paraId="4CB3B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58" w:type="pct"/>
            <w:vMerge w:val="continue"/>
            <w:tcBorders>
              <w:tl2br w:val="nil"/>
              <w:tr2bl w:val="nil"/>
            </w:tcBorders>
            <w:textDirection w:val="tbRlV"/>
            <w:vAlign w:val="center"/>
          </w:tcPr>
          <w:p w14:paraId="0D86B38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14:paraId="49B3FF9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947" w:type="pct"/>
            <w:gridSpan w:val="3"/>
            <w:tcBorders>
              <w:tl2br w:val="nil"/>
              <w:tr2bl w:val="nil"/>
            </w:tcBorders>
            <w:vAlign w:val="center"/>
          </w:tcPr>
          <w:p w14:paraId="7D876D9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已建</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40" name="IM 63"/>
                  <wp:cNvGraphicFramePr/>
                  <a:graphic xmlns:a="http://schemas.openxmlformats.org/drawingml/2006/main">
                    <a:graphicData uri="http://schemas.openxmlformats.org/drawingml/2006/picture">
                      <pic:pic xmlns:pic="http://schemas.openxmlformats.org/drawingml/2006/picture">
                        <pic:nvPicPr>
                          <pic:cNvPr id="140" name="IM 63"/>
                          <pic:cNvPicPr/>
                        </pic:nvPicPr>
                        <pic:blipFill>
                          <a:blip r:embed="rId50"/>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；在建</w:t>
            </w:r>
            <w:r>
              <w:rPr>
                <w:rFonts w:ascii="Times New Roman" w:hAnsi="Times New Roman" w:eastAsia="宋体" w:cs="宋体"/>
                <w:color w:val="auto"/>
                <w:spacing w:val="0"/>
                <w:position w:val="0"/>
                <w:sz w:val="21"/>
                <w:szCs w:val="21"/>
                <w:highlight w:val="none"/>
              </w:rPr>
              <w:drawing>
                <wp:inline distT="0" distB="0" distL="0" distR="0">
                  <wp:extent cx="104775" cy="97790"/>
                  <wp:effectExtent l="0" t="0" r="9525" b="16510"/>
                  <wp:docPr id="141" name="IM 64"/>
                  <wp:cNvGraphicFramePr/>
                  <a:graphic xmlns:a="http://schemas.openxmlformats.org/drawingml/2006/main">
                    <a:graphicData uri="http://schemas.openxmlformats.org/drawingml/2006/picture">
                      <pic:pic xmlns:pic="http://schemas.openxmlformats.org/drawingml/2006/picture">
                        <pic:nvPicPr>
                          <pic:cNvPr id="141" name="IM 64"/>
                          <pic:cNvPicPr/>
                        </pic:nvPicPr>
                        <pic:blipFill>
                          <a:blip r:embed="rId50"/>
                          <a:stretch>
                            <a:fillRect/>
                          </a:stretch>
                        </pic:blipFill>
                        <pic:spPr>
                          <a:xfrm>
                            <a:off x="0" y="0"/>
                            <a:ext cx="104879"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；拟建</w:t>
            </w:r>
            <w:r>
              <w:rPr>
                <w:rFonts w:ascii="Times New Roman" w:hAnsi="Times New Roman" w:eastAsia="宋体"/>
                <w:color w:val="auto"/>
                <w:spacing w:val="0"/>
                <w:position w:val="0"/>
                <w:sz w:val="21"/>
                <w:szCs w:val="21"/>
                <w:highlight w:val="none"/>
              </w:rPr>
              <w:drawing>
                <wp:inline distT="0" distB="0" distL="0" distR="0">
                  <wp:extent cx="104775" cy="97790"/>
                  <wp:effectExtent l="0" t="0" r="9525" b="16510"/>
                  <wp:docPr id="142" name="IM 65"/>
                  <wp:cNvGraphicFramePr/>
                  <a:graphic xmlns:a="http://schemas.openxmlformats.org/drawingml/2006/main">
                    <a:graphicData uri="http://schemas.openxmlformats.org/drawingml/2006/picture">
                      <pic:pic xmlns:pic="http://schemas.openxmlformats.org/drawingml/2006/picture">
                        <pic:nvPicPr>
                          <pic:cNvPr id="142" name="IM 65"/>
                          <pic:cNvPicPr/>
                        </pic:nvPicPr>
                        <pic:blipFill>
                          <a:blip r:embed="rId50"/>
                          <a:stretch>
                            <a:fillRect/>
                          </a:stretch>
                        </pic:blipFill>
                        <pic:spPr>
                          <a:xfrm>
                            <a:off x="0" y="0"/>
                            <a:ext cx="104879"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43" name="IM 66"/>
                  <wp:cNvGraphicFramePr/>
                  <a:graphic xmlns:a="http://schemas.openxmlformats.org/drawingml/2006/main">
                    <a:graphicData uri="http://schemas.openxmlformats.org/drawingml/2006/picture">
                      <pic:pic xmlns:pic="http://schemas.openxmlformats.org/drawingml/2006/picture">
                        <pic:nvPicPr>
                          <pic:cNvPr id="143" name="IM 66"/>
                          <pic:cNvPicPr/>
                        </pic:nvPicPr>
                        <pic:blipFill>
                          <a:blip r:embed="rId50"/>
                          <a:stretch>
                            <a:fillRect/>
                          </a:stretch>
                        </pic:blipFill>
                        <pic:spPr>
                          <a:xfrm>
                            <a:off x="0" y="0"/>
                            <a:ext cx="107613" cy="97878"/>
                          </a:xfrm>
                          <a:prstGeom prst="rect">
                            <a:avLst/>
                          </a:prstGeom>
                        </pic:spPr>
                      </pic:pic>
                    </a:graphicData>
                  </a:graphic>
                </wp:inline>
              </w:drawing>
            </w:r>
          </w:p>
        </w:tc>
        <w:tc>
          <w:tcPr>
            <w:tcW w:w="1009" w:type="pct"/>
            <w:gridSpan w:val="3"/>
            <w:tcBorders>
              <w:tl2br w:val="nil"/>
              <w:tr2bl w:val="nil"/>
            </w:tcBorders>
            <w:vAlign w:val="center"/>
          </w:tcPr>
          <w:p w14:paraId="002EFD9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拟替代的污染源</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44" name="IM 67"/>
                  <wp:cNvGraphicFramePr/>
                  <a:graphic xmlns:a="http://schemas.openxmlformats.org/drawingml/2006/main">
                    <a:graphicData uri="http://schemas.openxmlformats.org/drawingml/2006/picture">
                      <pic:pic xmlns:pic="http://schemas.openxmlformats.org/drawingml/2006/picture">
                        <pic:nvPicPr>
                          <pic:cNvPr id="144" name="IM 67"/>
                          <pic:cNvPicPr/>
                        </pic:nvPicPr>
                        <pic:blipFill>
                          <a:blip r:embed="rId51"/>
                          <a:stretch>
                            <a:fillRect/>
                          </a:stretch>
                        </pic:blipFill>
                        <pic:spPr>
                          <a:xfrm>
                            <a:off x="0" y="0"/>
                            <a:ext cx="107613" cy="97878"/>
                          </a:xfrm>
                          <a:prstGeom prst="rect">
                            <a:avLst/>
                          </a:prstGeom>
                        </pic:spPr>
                      </pic:pic>
                    </a:graphicData>
                  </a:graphic>
                </wp:inline>
              </w:drawing>
            </w:r>
          </w:p>
        </w:tc>
        <w:tc>
          <w:tcPr>
            <w:tcW w:w="1953" w:type="pct"/>
            <w:gridSpan w:val="7"/>
            <w:tcBorders>
              <w:tl2br w:val="nil"/>
              <w:tr2bl w:val="nil"/>
            </w:tcBorders>
            <w:vAlign w:val="center"/>
          </w:tcPr>
          <w:p w14:paraId="2B96E7F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排污许可证</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45" name="IM 68"/>
                  <wp:cNvGraphicFramePr/>
                  <a:graphic xmlns:a="http://schemas.openxmlformats.org/drawingml/2006/main">
                    <a:graphicData uri="http://schemas.openxmlformats.org/drawingml/2006/picture">
                      <pic:pic xmlns:pic="http://schemas.openxmlformats.org/drawingml/2006/picture">
                        <pic:nvPicPr>
                          <pic:cNvPr id="145" name="IM 68"/>
                          <pic:cNvPicPr/>
                        </pic:nvPicPr>
                        <pic:blipFill>
                          <a:blip r:embed="rId57"/>
                          <a:stretch>
                            <a:fillRect/>
                          </a:stretch>
                        </pic:blipFill>
                        <pic:spPr>
                          <a:xfrm>
                            <a:off x="0" y="0"/>
                            <a:ext cx="1102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；环评</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46" name="IM 69"/>
                  <wp:cNvGraphicFramePr/>
                  <a:graphic xmlns:a="http://schemas.openxmlformats.org/drawingml/2006/main">
                    <a:graphicData uri="http://schemas.openxmlformats.org/drawingml/2006/picture">
                      <pic:pic xmlns:pic="http://schemas.openxmlformats.org/drawingml/2006/picture">
                        <pic:nvPicPr>
                          <pic:cNvPr id="146" name="IM 69"/>
                          <pic:cNvPicPr/>
                        </pic:nvPicPr>
                        <pic:blipFill>
                          <a:blip r:embed="rId50"/>
                          <a:stretch>
                            <a:fillRect/>
                          </a:stretch>
                        </pic:blipFill>
                        <pic:spPr>
                          <a:xfrm>
                            <a:off x="0" y="0"/>
                            <a:ext cx="1102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；环保验收</w:t>
            </w:r>
            <w:r>
              <w:rPr>
                <w:rFonts w:ascii="Times New Roman" w:hAnsi="Times New Roman" w:eastAsia="宋体" w:cs="宋体"/>
                <w:color w:val="auto"/>
                <w:spacing w:val="0"/>
                <w:position w:val="0"/>
                <w:sz w:val="21"/>
                <w:szCs w:val="21"/>
                <w:highlight w:val="none"/>
              </w:rPr>
              <w:drawing>
                <wp:inline distT="0" distB="0" distL="0" distR="0">
                  <wp:extent cx="109220" cy="97790"/>
                  <wp:effectExtent l="0" t="0" r="5080" b="16510"/>
                  <wp:docPr id="147" name="IM 70"/>
                  <wp:cNvGraphicFramePr/>
                  <a:graphic xmlns:a="http://schemas.openxmlformats.org/drawingml/2006/main">
                    <a:graphicData uri="http://schemas.openxmlformats.org/drawingml/2006/picture">
                      <pic:pic xmlns:pic="http://schemas.openxmlformats.org/drawingml/2006/picture">
                        <pic:nvPicPr>
                          <pic:cNvPr id="147" name="IM 70"/>
                          <pic:cNvPicPr/>
                        </pic:nvPicPr>
                        <pic:blipFill>
                          <a:blip r:embed="rId50"/>
                          <a:stretch>
                            <a:fillRect/>
                          </a:stretch>
                        </pic:blipFill>
                        <pic:spPr>
                          <a:xfrm>
                            <a:off x="0" y="0"/>
                            <a:ext cx="109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；即有实施</w:t>
            </w:r>
            <w:r>
              <w:rPr>
                <w:rFonts w:ascii="Times New Roman" w:hAnsi="Times New Roman" w:eastAsia="宋体"/>
                <w:color w:val="auto"/>
                <w:spacing w:val="0"/>
                <w:position w:val="0"/>
                <w:sz w:val="21"/>
                <w:szCs w:val="21"/>
                <w:highlight w:val="none"/>
              </w:rPr>
              <w:drawing>
                <wp:inline distT="0" distB="0" distL="0" distR="0">
                  <wp:extent cx="109220" cy="97790"/>
                  <wp:effectExtent l="0" t="0" r="5080" b="16510"/>
                  <wp:docPr id="148" name="IM 71"/>
                  <wp:cNvGraphicFramePr/>
                  <a:graphic xmlns:a="http://schemas.openxmlformats.org/drawingml/2006/main">
                    <a:graphicData uri="http://schemas.openxmlformats.org/drawingml/2006/picture">
                      <pic:pic xmlns:pic="http://schemas.openxmlformats.org/drawingml/2006/picture">
                        <pic:nvPicPr>
                          <pic:cNvPr id="148" name="IM 71"/>
                          <pic:cNvPicPr/>
                        </pic:nvPicPr>
                        <pic:blipFill>
                          <a:blip r:embed="rId50"/>
                          <a:stretch>
                            <a:fillRect/>
                          </a:stretch>
                        </pic:blipFill>
                        <pic:spPr>
                          <a:xfrm>
                            <a:off x="0" y="0"/>
                            <a:ext cx="109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；现场监测</w:t>
            </w:r>
            <w:r>
              <w:rPr>
                <w:rFonts w:ascii="Times New Roman" w:hAnsi="Times New Roman" w:eastAsia="宋体"/>
                <w:color w:val="auto"/>
                <w:spacing w:val="0"/>
                <w:position w:val="0"/>
                <w:sz w:val="21"/>
                <w:szCs w:val="21"/>
                <w:highlight w:val="none"/>
              </w:rPr>
              <w:drawing>
                <wp:inline distT="0" distB="0" distL="0" distR="0">
                  <wp:extent cx="109220" cy="97790"/>
                  <wp:effectExtent l="0" t="0" r="5080" b="16510"/>
                  <wp:docPr id="149" name="IM 72"/>
                  <wp:cNvGraphicFramePr/>
                  <a:graphic xmlns:a="http://schemas.openxmlformats.org/drawingml/2006/main">
                    <a:graphicData uri="http://schemas.openxmlformats.org/drawingml/2006/picture">
                      <pic:pic xmlns:pic="http://schemas.openxmlformats.org/drawingml/2006/picture">
                        <pic:nvPicPr>
                          <pic:cNvPr id="149" name="IM 72"/>
                          <pic:cNvPicPr/>
                        </pic:nvPicPr>
                        <pic:blipFill>
                          <a:blip r:embed="rId50"/>
                          <a:stretch>
                            <a:fillRect/>
                          </a:stretch>
                        </pic:blipFill>
                        <pic:spPr>
                          <a:xfrm>
                            <a:off x="0" y="0"/>
                            <a:ext cx="109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；入河排放口数据</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50" name="IM 73"/>
                  <wp:cNvGraphicFramePr/>
                  <a:graphic xmlns:a="http://schemas.openxmlformats.org/drawingml/2006/main">
                    <a:graphicData uri="http://schemas.openxmlformats.org/drawingml/2006/picture">
                      <pic:pic xmlns:pic="http://schemas.openxmlformats.org/drawingml/2006/picture">
                        <pic:nvPicPr>
                          <pic:cNvPr id="150" name="IM 73"/>
                          <pic:cNvPicPr/>
                        </pic:nvPicPr>
                        <pic:blipFill>
                          <a:blip r:embed="rId57"/>
                          <a:stretch>
                            <a:fillRect/>
                          </a:stretch>
                        </pic:blipFill>
                        <pic:spPr>
                          <a:xfrm>
                            <a:off x="0" y="0"/>
                            <a:ext cx="11021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09855" cy="97790"/>
                  <wp:effectExtent l="0" t="0" r="4445" b="16510"/>
                  <wp:docPr id="151" name="IM 74"/>
                  <wp:cNvGraphicFramePr/>
                  <a:graphic xmlns:a="http://schemas.openxmlformats.org/drawingml/2006/main">
                    <a:graphicData uri="http://schemas.openxmlformats.org/drawingml/2006/picture">
                      <pic:pic xmlns:pic="http://schemas.openxmlformats.org/drawingml/2006/picture">
                        <pic:nvPicPr>
                          <pic:cNvPr id="151" name="IM 74"/>
                          <pic:cNvPicPr/>
                        </pic:nvPicPr>
                        <pic:blipFill>
                          <a:blip r:embed="rId50"/>
                          <a:stretch>
                            <a:fillRect/>
                          </a:stretch>
                        </pic:blipFill>
                        <pic:spPr>
                          <a:xfrm>
                            <a:off x="0" y="0"/>
                            <a:ext cx="110214" cy="97878"/>
                          </a:xfrm>
                          <a:prstGeom prst="rect">
                            <a:avLst/>
                          </a:prstGeom>
                        </pic:spPr>
                      </pic:pic>
                    </a:graphicData>
                  </a:graphic>
                </wp:inline>
              </w:drawing>
            </w:r>
          </w:p>
        </w:tc>
      </w:tr>
      <w:tr w14:paraId="0A6E2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8" w:type="pct"/>
            <w:vMerge w:val="continue"/>
            <w:tcBorders>
              <w:tl2br w:val="nil"/>
              <w:tr2bl w:val="nil"/>
            </w:tcBorders>
            <w:textDirection w:val="tbRlV"/>
            <w:vAlign w:val="center"/>
          </w:tcPr>
          <w:p w14:paraId="2D737AF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restart"/>
            <w:tcBorders>
              <w:tl2br w:val="nil"/>
              <w:tr2bl w:val="nil"/>
            </w:tcBorders>
            <w:vAlign w:val="center"/>
          </w:tcPr>
          <w:p w14:paraId="64F227E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受影响水体水环境质量</w:t>
            </w:r>
          </w:p>
        </w:tc>
        <w:tc>
          <w:tcPr>
            <w:tcW w:w="1956" w:type="pct"/>
            <w:gridSpan w:val="6"/>
            <w:tcBorders>
              <w:tl2br w:val="nil"/>
              <w:tr2bl w:val="nil"/>
            </w:tcBorders>
            <w:vAlign w:val="center"/>
          </w:tcPr>
          <w:p w14:paraId="0DD33B6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调查时期</w:t>
            </w:r>
          </w:p>
        </w:tc>
        <w:tc>
          <w:tcPr>
            <w:tcW w:w="1953" w:type="pct"/>
            <w:gridSpan w:val="7"/>
            <w:tcBorders>
              <w:tl2br w:val="nil"/>
              <w:tr2bl w:val="nil"/>
            </w:tcBorders>
            <w:vAlign w:val="center"/>
          </w:tcPr>
          <w:p w14:paraId="1889CC0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数据来源</w:t>
            </w:r>
          </w:p>
        </w:tc>
      </w:tr>
      <w:tr w14:paraId="21EA8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58" w:type="pct"/>
            <w:vMerge w:val="continue"/>
            <w:tcBorders>
              <w:tl2br w:val="nil"/>
              <w:tr2bl w:val="nil"/>
            </w:tcBorders>
            <w:textDirection w:val="tbRlV"/>
            <w:vAlign w:val="center"/>
          </w:tcPr>
          <w:p w14:paraId="3C05F19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14:paraId="03179D4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956" w:type="pct"/>
            <w:gridSpan w:val="6"/>
            <w:tcBorders>
              <w:tl2br w:val="nil"/>
              <w:tr2bl w:val="nil"/>
            </w:tcBorders>
            <w:vAlign w:val="center"/>
          </w:tcPr>
          <w:p w14:paraId="6E9B3A8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丰水期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53" name="IM 75"/>
                  <wp:cNvGraphicFramePr/>
                  <a:graphic xmlns:a="http://schemas.openxmlformats.org/drawingml/2006/main">
                    <a:graphicData uri="http://schemas.openxmlformats.org/drawingml/2006/picture">
                      <pic:pic xmlns:pic="http://schemas.openxmlformats.org/drawingml/2006/picture">
                        <pic:nvPicPr>
                          <pic:cNvPr id="153" name="IM 75"/>
                          <pic:cNvPicPr/>
                        </pic:nvPicPr>
                        <pic:blipFill>
                          <a:blip r:embed="rId50"/>
                          <a:stretch>
                            <a:fillRect/>
                          </a:stretch>
                        </pic:blipFill>
                        <pic:spPr>
                          <a:xfrm>
                            <a:off x="0" y="0"/>
                            <a:ext cx="1134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；平水期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54" name="IM 76"/>
                  <wp:cNvGraphicFramePr/>
                  <a:graphic xmlns:a="http://schemas.openxmlformats.org/drawingml/2006/main">
                    <a:graphicData uri="http://schemas.openxmlformats.org/drawingml/2006/picture">
                      <pic:pic xmlns:pic="http://schemas.openxmlformats.org/drawingml/2006/picture">
                        <pic:nvPicPr>
                          <pic:cNvPr id="154" name="IM 76"/>
                          <pic:cNvPicPr/>
                        </pic:nvPicPr>
                        <pic:blipFill>
                          <a:blip r:embed="rId50"/>
                          <a:stretch>
                            <a:fillRect/>
                          </a:stretch>
                        </pic:blipFill>
                        <pic:spPr>
                          <a:xfrm>
                            <a:off x="0" y="0"/>
                            <a:ext cx="11348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；枯水期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55" name="IM 77"/>
                  <wp:cNvGraphicFramePr/>
                  <a:graphic xmlns:a="http://schemas.openxmlformats.org/drawingml/2006/main">
                    <a:graphicData uri="http://schemas.openxmlformats.org/drawingml/2006/picture">
                      <pic:pic xmlns:pic="http://schemas.openxmlformats.org/drawingml/2006/picture">
                        <pic:nvPicPr>
                          <pic:cNvPr id="155" name="IM 77"/>
                          <pic:cNvPicPr/>
                        </pic:nvPicPr>
                        <pic:blipFill>
                          <a:blip r:embed="rId50"/>
                          <a:stretch>
                            <a:fillRect/>
                          </a:stretch>
                        </pic:blipFill>
                        <pic:spPr>
                          <a:xfrm>
                            <a:off x="0" y="0"/>
                            <a:ext cx="11348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；冰封期</w:t>
            </w:r>
            <w:r>
              <w:rPr>
                <w:rFonts w:ascii="Times New Roman" w:hAnsi="Times New Roman" w:eastAsia="宋体"/>
                <w:color w:val="auto"/>
                <w:spacing w:val="0"/>
                <w:position w:val="0"/>
                <w:sz w:val="21"/>
                <w:szCs w:val="21"/>
                <w:highlight w:val="none"/>
              </w:rPr>
              <w:drawing>
                <wp:inline distT="0" distB="0" distL="0" distR="0">
                  <wp:extent cx="110490" cy="97790"/>
                  <wp:effectExtent l="0" t="0" r="3810" b="16510"/>
                  <wp:docPr id="156" name="IM 78"/>
                  <wp:cNvGraphicFramePr/>
                  <a:graphic xmlns:a="http://schemas.openxmlformats.org/drawingml/2006/main">
                    <a:graphicData uri="http://schemas.openxmlformats.org/drawingml/2006/picture">
                      <pic:pic xmlns:pic="http://schemas.openxmlformats.org/drawingml/2006/picture">
                        <pic:nvPicPr>
                          <pic:cNvPr id="156" name="IM 78"/>
                          <pic:cNvPicPr/>
                        </pic:nvPicPr>
                        <pic:blipFill>
                          <a:blip r:embed="rId50"/>
                          <a:stretch>
                            <a:fillRect/>
                          </a:stretch>
                        </pic:blipFill>
                        <pic:spPr>
                          <a:xfrm>
                            <a:off x="0" y="0"/>
                            <a:ext cx="1110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；春季</w:t>
            </w:r>
            <w:r>
              <w:rPr>
                <w:rFonts w:ascii="Times New Roman" w:hAnsi="Times New Roman" w:eastAsia="宋体"/>
                <w:color w:val="auto"/>
                <w:spacing w:val="0"/>
                <w:position w:val="0"/>
                <w:sz w:val="21"/>
                <w:szCs w:val="21"/>
                <w:highlight w:val="none"/>
              </w:rPr>
              <w:drawing>
                <wp:inline distT="0" distB="0" distL="0" distR="0">
                  <wp:extent cx="110490" cy="97790"/>
                  <wp:effectExtent l="0" t="0" r="3810" b="16510"/>
                  <wp:docPr id="157" name="IM 79"/>
                  <wp:cNvGraphicFramePr/>
                  <a:graphic xmlns:a="http://schemas.openxmlformats.org/drawingml/2006/main">
                    <a:graphicData uri="http://schemas.openxmlformats.org/drawingml/2006/picture">
                      <pic:pic xmlns:pic="http://schemas.openxmlformats.org/drawingml/2006/picture">
                        <pic:nvPicPr>
                          <pic:cNvPr id="157" name="IM 79"/>
                          <pic:cNvPicPr/>
                        </pic:nvPicPr>
                        <pic:blipFill>
                          <a:blip r:embed="rId50"/>
                          <a:stretch>
                            <a:fillRect/>
                          </a:stretch>
                        </pic:blipFill>
                        <pic:spPr>
                          <a:xfrm>
                            <a:off x="0" y="0"/>
                            <a:ext cx="1110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；夏季</w:t>
            </w:r>
            <w:r>
              <w:rPr>
                <w:rFonts w:ascii="Times New Roman" w:hAnsi="Times New Roman" w:eastAsia="宋体" w:cs="微软雅黑"/>
                <w:color w:val="auto"/>
                <w:spacing w:val="0"/>
                <w:position w:val="0"/>
                <w:sz w:val="21"/>
                <w:szCs w:val="21"/>
                <w:highlight w:val="none"/>
              </w:rPr>
              <w:t>团</w:t>
            </w:r>
            <w:r>
              <w:rPr>
                <w:rFonts w:ascii="Times New Roman" w:hAnsi="Times New Roman" w:eastAsia="宋体" w:cs="宋体"/>
                <w:color w:val="auto"/>
                <w:spacing w:val="0"/>
                <w:position w:val="0"/>
                <w:sz w:val="21"/>
                <w:szCs w:val="21"/>
                <w:highlight w:val="none"/>
              </w:rPr>
              <w:t>；秋季</w:t>
            </w:r>
            <w:r>
              <w:rPr>
                <w:rFonts w:ascii="Times New Roman" w:hAnsi="Times New Roman" w:eastAsia="宋体"/>
                <w:color w:val="auto"/>
                <w:spacing w:val="0"/>
                <w:position w:val="0"/>
                <w:sz w:val="21"/>
                <w:szCs w:val="21"/>
                <w:highlight w:val="none"/>
              </w:rPr>
              <w:drawing>
                <wp:inline distT="0" distB="0" distL="0" distR="0">
                  <wp:extent cx="110490" cy="97790"/>
                  <wp:effectExtent l="0" t="0" r="3810" b="16510"/>
                  <wp:docPr id="158" name="IM 80"/>
                  <wp:cNvGraphicFramePr/>
                  <a:graphic xmlns:a="http://schemas.openxmlformats.org/drawingml/2006/main">
                    <a:graphicData uri="http://schemas.openxmlformats.org/drawingml/2006/picture">
                      <pic:pic xmlns:pic="http://schemas.openxmlformats.org/drawingml/2006/picture">
                        <pic:nvPicPr>
                          <pic:cNvPr id="158" name="IM 80"/>
                          <pic:cNvPicPr/>
                        </pic:nvPicPr>
                        <pic:blipFill>
                          <a:blip r:embed="rId50"/>
                          <a:stretch>
                            <a:fillRect/>
                          </a:stretch>
                        </pic:blipFill>
                        <pic:spPr>
                          <a:xfrm>
                            <a:off x="0" y="0"/>
                            <a:ext cx="1110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；冬季</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59" name="IM 81"/>
                  <wp:cNvGraphicFramePr/>
                  <a:graphic xmlns:a="http://schemas.openxmlformats.org/drawingml/2006/main">
                    <a:graphicData uri="http://schemas.openxmlformats.org/drawingml/2006/picture">
                      <pic:pic xmlns:pic="http://schemas.openxmlformats.org/drawingml/2006/picture">
                        <pic:nvPicPr>
                          <pic:cNvPr id="159" name="IM 81"/>
                          <pic:cNvPicPr/>
                        </pic:nvPicPr>
                        <pic:blipFill>
                          <a:blip r:embed="rId50"/>
                          <a:stretch>
                            <a:fillRect/>
                          </a:stretch>
                        </pic:blipFill>
                        <pic:spPr>
                          <a:xfrm>
                            <a:off x="0" y="0"/>
                            <a:ext cx="107613" cy="97878"/>
                          </a:xfrm>
                          <a:prstGeom prst="rect">
                            <a:avLst/>
                          </a:prstGeom>
                        </pic:spPr>
                      </pic:pic>
                    </a:graphicData>
                  </a:graphic>
                </wp:inline>
              </w:drawing>
            </w:r>
          </w:p>
        </w:tc>
        <w:tc>
          <w:tcPr>
            <w:tcW w:w="1953" w:type="pct"/>
            <w:gridSpan w:val="7"/>
            <w:tcBorders>
              <w:tl2br w:val="nil"/>
              <w:tr2bl w:val="nil"/>
            </w:tcBorders>
            <w:vAlign w:val="center"/>
          </w:tcPr>
          <w:p w14:paraId="7D1CB81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生态环境保护主管部门</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60" name="IM 82"/>
                  <wp:cNvGraphicFramePr/>
                  <a:graphic xmlns:a="http://schemas.openxmlformats.org/drawingml/2006/main">
                    <a:graphicData uri="http://schemas.openxmlformats.org/drawingml/2006/picture">
                      <pic:pic xmlns:pic="http://schemas.openxmlformats.org/drawingml/2006/picture">
                        <pic:nvPicPr>
                          <pic:cNvPr id="160" name="IM 82"/>
                          <pic:cNvPicPr/>
                        </pic:nvPicPr>
                        <pic:blipFill>
                          <a:blip r:embed="rId50"/>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；补充监测</w:t>
            </w:r>
            <w:r>
              <w:rPr>
                <w:rFonts w:ascii="Times New Roman" w:hAnsi="Times New Roman" w:eastAsia="宋体" w:cs="宋体"/>
                <w:color w:val="auto"/>
                <w:spacing w:val="0"/>
                <w:position w:val="0"/>
                <w:sz w:val="21"/>
                <w:szCs w:val="21"/>
                <w:highlight w:val="none"/>
              </w:rPr>
              <w:drawing>
                <wp:inline distT="0" distB="0" distL="0" distR="0">
                  <wp:extent cx="104140" cy="97790"/>
                  <wp:effectExtent l="0" t="0" r="10160" b="16510"/>
                  <wp:docPr id="161" name="IM 83"/>
                  <wp:cNvGraphicFramePr/>
                  <a:graphic xmlns:a="http://schemas.openxmlformats.org/drawingml/2006/main">
                    <a:graphicData uri="http://schemas.openxmlformats.org/drawingml/2006/picture">
                      <pic:pic xmlns:pic="http://schemas.openxmlformats.org/drawingml/2006/picture">
                        <pic:nvPicPr>
                          <pic:cNvPr id="161" name="IM 83"/>
                          <pic:cNvPicPr/>
                        </pic:nvPicPr>
                        <pic:blipFill>
                          <a:blip r:embed="rId57"/>
                          <a:stretch>
                            <a:fillRect/>
                          </a:stretch>
                        </pic:blipFill>
                        <pic:spPr>
                          <a:xfrm>
                            <a:off x="0" y="0"/>
                            <a:ext cx="104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04140" cy="97790"/>
                  <wp:effectExtent l="0" t="0" r="10160" b="16510"/>
                  <wp:docPr id="162" name="IM 84"/>
                  <wp:cNvGraphicFramePr/>
                  <a:graphic xmlns:a="http://schemas.openxmlformats.org/drawingml/2006/main">
                    <a:graphicData uri="http://schemas.openxmlformats.org/drawingml/2006/picture">
                      <pic:pic xmlns:pic="http://schemas.openxmlformats.org/drawingml/2006/picture">
                        <pic:nvPicPr>
                          <pic:cNvPr id="162" name="IM 84"/>
                          <pic:cNvPicPr/>
                        </pic:nvPicPr>
                        <pic:blipFill>
                          <a:blip r:embed="rId50"/>
                          <a:stretch>
                            <a:fillRect/>
                          </a:stretch>
                        </pic:blipFill>
                        <pic:spPr>
                          <a:xfrm>
                            <a:off x="0" y="0"/>
                            <a:ext cx="104613" cy="97878"/>
                          </a:xfrm>
                          <a:prstGeom prst="rect">
                            <a:avLst/>
                          </a:prstGeom>
                        </pic:spPr>
                      </pic:pic>
                    </a:graphicData>
                  </a:graphic>
                </wp:inline>
              </w:drawing>
            </w:r>
          </w:p>
        </w:tc>
      </w:tr>
      <w:tr w14:paraId="2581B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8" w:type="pct"/>
            <w:vMerge w:val="continue"/>
            <w:tcBorders>
              <w:tl2br w:val="nil"/>
              <w:tr2bl w:val="nil"/>
            </w:tcBorders>
            <w:textDirection w:val="tbRlV"/>
            <w:vAlign w:val="center"/>
          </w:tcPr>
          <w:p w14:paraId="4B22ED4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35D1E1E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区域水资源开发利用状况</w:t>
            </w:r>
          </w:p>
        </w:tc>
        <w:tc>
          <w:tcPr>
            <w:tcW w:w="3910" w:type="pct"/>
            <w:gridSpan w:val="13"/>
            <w:tcBorders>
              <w:tl2br w:val="nil"/>
              <w:tr2bl w:val="nil"/>
            </w:tcBorders>
            <w:vAlign w:val="center"/>
          </w:tcPr>
          <w:p w14:paraId="4EF024E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未开发</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63" name="IM 85"/>
                  <wp:cNvGraphicFramePr/>
                  <a:graphic xmlns:a="http://schemas.openxmlformats.org/drawingml/2006/main">
                    <a:graphicData uri="http://schemas.openxmlformats.org/drawingml/2006/picture">
                      <pic:pic xmlns:pic="http://schemas.openxmlformats.org/drawingml/2006/picture">
                        <pic:nvPicPr>
                          <pic:cNvPr id="163" name="IM 85"/>
                          <pic:cNvPicPr/>
                        </pic:nvPicPr>
                        <pic:blipFill>
                          <a:blip r:embed="rId56"/>
                          <a:stretch>
                            <a:fillRect/>
                          </a:stretch>
                        </pic:blipFill>
                        <pic:spPr>
                          <a:xfrm>
                            <a:off x="0" y="0"/>
                            <a:ext cx="107698"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；开发量</w:t>
            </w:r>
            <w:r>
              <w:rPr>
                <w:rFonts w:ascii="Times New Roman" w:hAnsi="Times New Roman" w:eastAsia="宋体" w:cs="Times New Roman"/>
                <w:color w:val="auto"/>
                <w:spacing w:val="0"/>
                <w:position w:val="0"/>
                <w:sz w:val="21"/>
                <w:szCs w:val="21"/>
                <w:highlight w:val="none"/>
              </w:rPr>
              <w:t>40%</w:t>
            </w:r>
            <w:r>
              <w:rPr>
                <w:rFonts w:ascii="Times New Roman" w:hAnsi="Times New Roman" w:eastAsia="宋体" w:cs="宋体"/>
                <w:color w:val="auto"/>
                <w:spacing w:val="0"/>
                <w:position w:val="0"/>
                <w:sz w:val="21"/>
                <w:szCs w:val="21"/>
                <w:highlight w:val="none"/>
              </w:rPr>
              <w:t>以下</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64" name="IM 86"/>
                  <wp:cNvGraphicFramePr/>
                  <a:graphic xmlns:a="http://schemas.openxmlformats.org/drawingml/2006/main">
                    <a:graphicData uri="http://schemas.openxmlformats.org/drawingml/2006/picture">
                      <pic:pic xmlns:pic="http://schemas.openxmlformats.org/drawingml/2006/picture">
                        <pic:nvPicPr>
                          <pic:cNvPr id="164" name="IM 86"/>
                          <pic:cNvPicPr/>
                        </pic:nvPicPr>
                        <pic:blipFill>
                          <a:blip r:embed="rId55"/>
                          <a:stretch>
                            <a:fillRect/>
                          </a:stretch>
                        </pic:blipFill>
                        <pic:spPr>
                          <a:xfrm>
                            <a:off x="0" y="0"/>
                            <a:ext cx="107698"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；开发量</w:t>
            </w:r>
            <w:r>
              <w:rPr>
                <w:rFonts w:ascii="Times New Roman" w:hAnsi="Times New Roman" w:eastAsia="宋体" w:cs="Times New Roman"/>
                <w:color w:val="auto"/>
                <w:spacing w:val="0"/>
                <w:position w:val="0"/>
                <w:sz w:val="21"/>
                <w:szCs w:val="21"/>
                <w:highlight w:val="none"/>
              </w:rPr>
              <w:t>40%</w:t>
            </w:r>
            <w:r>
              <w:rPr>
                <w:rFonts w:ascii="Times New Roman" w:hAnsi="Times New Roman" w:eastAsia="宋体" w:cs="宋体"/>
                <w:color w:val="auto"/>
                <w:spacing w:val="0"/>
                <w:position w:val="0"/>
                <w:sz w:val="21"/>
                <w:szCs w:val="21"/>
                <w:highlight w:val="none"/>
              </w:rPr>
              <w:t>以上</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65" name="IM 87"/>
                  <wp:cNvGraphicFramePr/>
                  <a:graphic xmlns:a="http://schemas.openxmlformats.org/drawingml/2006/main">
                    <a:graphicData uri="http://schemas.openxmlformats.org/drawingml/2006/picture">
                      <pic:pic xmlns:pic="http://schemas.openxmlformats.org/drawingml/2006/picture">
                        <pic:nvPicPr>
                          <pic:cNvPr id="165" name="IM 87"/>
                          <pic:cNvPicPr/>
                        </pic:nvPicPr>
                        <pic:blipFill>
                          <a:blip r:embed="rId55"/>
                          <a:stretch>
                            <a:fillRect/>
                          </a:stretch>
                        </pic:blipFill>
                        <pic:spPr>
                          <a:xfrm>
                            <a:off x="0" y="0"/>
                            <a:ext cx="107698" cy="97878"/>
                          </a:xfrm>
                          <a:prstGeom prst="rect">
                            <a:avLst/>
                          </a:prstGeom>
                        </pic:spPr>
                      </pic:pic>
                    </a:graphicData>
                  </a:graphic>
                </wp:inline>
              </w:drawing>
            </w:r>
          </w:p>
        </w:tc>
      </w:tr>
      <w:tr w14:paraId="07309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258" w:type="pct"/>
            <w:vMerge w:val="continue"/>
            <w:tcBorders>
              <w:tl2br w:val="nil"/>
              <w:tr2bl w:val="nil"/>
            </w:tcBorders>
            <w:textDirection w:val="tbRlV"/>
            <w:vAlign w:val="center"/>
          </w:tcPr>
          <w:p w14:paraId="0C0C301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01273DE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水文情势调查</w:t>
            </w:r>
          </w:p>
        </w:tc>
        <w:tc>
          <w:tcPr>
            <w:tcW w:w="1956" w:type="pct"/>
            <w:gridSpan w:val="6"/>
            <w:tcBorders>
              <w:tl2br w:val="nil"/>
              <w:tr2bl w:val="nil"/>
            </w:tcBorders>
            <w:vAlign w:val="center"/>
          </w:tcPr>
          <w:p w14:paraId="69995FD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调查时期</w:t>
            </w:r>
          </w:p>
        </w:tc>
        <w:tc>
          <w:tcPr>
            <w:tcW w:w="1953" w:type="pct"/>
            <w:gridSpan w:val="7"/>
            <w:tcBorders>
              <w:tl2br w:val="nil"/>
              <w:tr2bl w:val="nil"/>
            </w:tcBorders>
            <w:vAlign w:val="center"/>
          </w:tcPr>
          <w:p w14:paraId="2A5468E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数据来源</w:t>
            </w:r>
          </w:p>
        </w:tc>
      </w:tr>
      <w:tr w14:paraId="0D5C2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jc w:val="center"/>
        </w:trPr>
        <w:tc>
          <w:tcPr>
            <w:tcW w:w="258" w:type="pct"/>
            <w:vMerge w:val="continue"/>
            <w:tcBorders>
              <w:tl2br w:val="nil"/>
              <w:tr2bl w:val="nil"/>
            </w:tcBorders>
            <w:vAlign w:val="center"/>
          </w:tcPr>
          <w:p w14:paraId="71ABB49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restart"/>
            <w:tcBorders>
              <w:tl2br w:val="nil"/>
              <w:tr2bl w:val="nil"/>
            </w:tcBorders>
            <w:vAlign w:val="center"/>
          </w:tcPr>
          <w:p w14:paraId="1DB30EF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补充监测</w:t>
            </w:r>
          </w:p>
        </w:tc>
        <w:tc>
          <w:tcPr>
            <w:tcW w:w="1956" w:type="pct"/>
            <w:gridSpan w:val="6"/>
            <w:tcBorders>
              <w:tl2br w:val="nil"/>
              <w:tr2bl w:val="nil"/>
            </w:tcBorders>
            <w:vAlign w:val="center"/>
          </w:tcPr>
          <w:p w14:paraId="4BDCC3A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r>
              <w:rPr>
                <w:rFonts w:ascii="Times New Roman" w:hAnsi="Times New Roman" w:eastAsia="宋体" w:cs="宋体"/>
                <w:color w:val="auto"/>
                <w:spacing w:val="0"/>
                <w:position w:val="0"/>
                <w:sz w:val="21"/>
                <w:szCs w:val="21"/>
                <w:highlight w:val="none"/>
              </w:rPr>
              <w:t>丰水期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66" name="IM 88"/>
                  <wp:cNvGraphicFramePr/>
                  <a:graphic xmlns:a="http://schemas.openxmlformats.org/drawingml/2006/main">
                    <a:graphicData uri="http://schemas.openxmlformats.org/drawingml/2006/picture">
                      <pic:pic xmlns:pic="http://schemas.openxmlformats.org/drawingml/2006/picture">
                        <pic:nvPicPr>
                          <pic:cNvPr id="166" name="IM 88"/>
                          <pic:cNvPicPr/>
                        </pic:nvPicPr>
                        <pic:blipFill>
                          <a:blip r:embed="rId52"/>
                          <a:stretch>
                            <a:fillRect/>
                          </a:stretch>
                        </pic:blipFill>
                        <pic:spPr>
                          <a:xfrm>
                            <a:off x="0" y="0"/>
                            <a:ext cx="1134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；平水期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67" name="IM 89"/>
                  <wp:cNvGraphicFramePr/>
                  <a:graphic xmlns:a="http://schemas.openxmlformats.org/drawingml/2006/main">
                    <a:graphicData uri="http://schemas.openxmlformats.org/drawingml/2006/picture">
                      <pic:pic xmlns:pic="http://schemas.openxmlformats.org/drawingml/2006/picture">
                        <pic:nvPicPr>
                          <pic:cNvPr id="167" name="IM 89"/>
                          <pic:cNvPicPr/>
                        </pic:nvPicPr>
                        <pic:blipFill>
                          <a:blip r:embed="rId52"/>
                          <a:stretch>
                            <a:fillRect/>
                          </a:stretch>
                        </pic:blipFill>
                        <pic:spPr>
                          <a:xfrm>
                            <a:off x="0" y="0"/>
                            <a:ext cx="11348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；枯水期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68" name="IM 90"/>
                  <wp:cNvGraphicFramePr/>
                  <a:graphic xmlns:a="http://schemas.openxmlformats.org/drawingml/2006/main">
                    <a:graphicData uri="http://schemas.openxmlformats.org/drawingml/2006/picture">
                      <pic:pic xmlns:pic="http://schemas.openxmlformats.org/drawingml/2006/picture">
                        <pic:nvPicPr>
                          <pic:cNvPr id="168" name="IM 90"/>
                          <pic:cNvPicPr/>
                        </pic:nvPicPr>
                        <pic:blipFill>
                          <a:blip r:embed="rId52"/>
                          <a:stretch>
                            <a:fillRect/>
                          </a:stretch>
                        </pic:blipFill>
                        <pic:spPr>
                          <a:xfrm>
                            <a:off x="0" y="0"/>
                            <a:ext cx="11348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；冰封期</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69" name="IM 91"/>
                  <wp:cNvGraphicFramePr/>
                  <a:graphic xmlns:a="http://schemas.openxmlformats.org/drawingml/2006/main">
                    <a:graphicData uri="http://schemas.openxmlformats.org/drawingml/2006/picture">
                      <pic:pic xmlns:pic="http://schemas.openxmlformats.org/drawingml/2006/picture">
                        <pic:nvPicPr>
                          <pic:cNvPr id="169" name="IM 91"/>
                          <pic:cNvPicPr/>
                        </pic:nvPicPr>
                        <pic:blipFill>
                          <a:blip r:embed="rId53"/>
                          <a:stretch>
                            <a:fillRect/>
                          </a:stretch>
                        </pic:blipFill>
                        <pic:spPr>
                          <a:xfrm>
                            <a:off x="0" y="0"/>
                            <a:ext cx="1115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；春季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70" name="IM 92"/>
                  <wp:cNvGraphicFramePr/>
                  <a:graphic xmlns:a="http://schemas.openxmlformats.org/drawingml/2006/main">
                    <a:graphicData uri="http://schemas.openxmlformats.org/drawingml/2006/picture">
                      <pic:pic xmlns:pic="http://schemas.openxmlformats.org/drawingml/2006/picture">
                        <pic:nvPicPr>
                          <pic:cNvPr id="170" name="IM 92"/>
                          <pic:cNvPicPr/>
                        </pic:nvPicPr>
                        <pic:blipFill>
                          <a:blip r:embed="rId52"/>
                          <a:stretch>
                            <a:fillRect/>
                          </a:stretch>
                        </pic:blipFill>
                        <pic:spPr>
                          <a:xfrm>
                            <a:off x="0" y="0"/>
                            <a:ext cx="1115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；夏季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71" name="IM 93"/>
                  <wp:cNvGraphicFramePr/>
                  <a:graphic xmlns:a="http://schemas.openxmlformats.org/drawingml/2006/main">
                    <a:graphicData uri="http://schemas.openxmlformats.org/drawingml/2006/picture">
                      <pic:pic xmlns:pic="http://schemas.openxmlformats.org/drawingml/2006/picture">
                        <pic:nvPicPr>
                          <pic:cNvPr id="171" name="IM 93"/>
                          <pic:cNvPicPr/>
                        </pic:nvPicPr>
                        <pic:blipFill>
                          <a:blip r:embed="rId53"/>
                          <a:stretch>
                            <a:fillRect/>
                          </a:stretch>
                        </pic:blipFill>
                        <pic:spPr>
                          <a:xfrm>
                            <a:off x="0" y="0"/>
                            <a:ext cx="11151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；秋季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72" name="IM 94"/>
                  <wp:cNvGraphicFramePr/>
                  <a:graphic xmlns:a="http://schemas.openxmlformats.org/drawingml/2006/main">
                    <a:graphicData uri="http://schemas.openxmlformats.org/drawingml/2006/picture">
                      <pic:pic xmlns:pic="http://schemas.openxmlformats.org/drawingml/2006/picture">
                        <pic:nvPicPr>
                          <pic:cNvPr id="172" name="IM 94"/>
                          <pic:cNvPicPr/>
                        </pic:nvPicPr>
                        <pic:blipFill>
                          <a:blip r:embed="rId52"/>
                          <a:stretch>
                            <a:fillRect/>
                          </a:stretch>
                        </pic:blipFill>
                        <pic:spPr>
                          <a:xfrm>
                            <a:off x="0" y="0"/>
                            <a:ext cx="11151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；冬季</w:t>
            </w:r>
            <w:r>
              <w:rPr>
                <w:rFonts w:ascii="Times New Roman" w:hAnsi="Times New Roman" w:eastAsia="宋体"/>
                <w:color w:val="auto"/>
                <w:spacing w:val="0"/>
                <w:position w:val="0"/>
                <w:sz w:val="21"/>
                <w:highlight w:val="none"/>
              </w:rPr>
              <w:drawing>
                <wp:inline distT="0" distB="0" distL="0" distR="0">
                  <wp:extent cx="95885" cy="97790"/>
                  <wp:effectExtent l="0" t="0" r="18415" b="16510"/>
                  <wp:docPr id="173" name="IM 95"/>
                  <wp:cNvGraphicFramePr/>
                  <a:graphic xmlns:a="http://schemas.openxmlformats.org/drawingml/2006/main">
                    <a:graphicData uri="http://schemas.openxmlformats.org/drawingml/2006/picture">
                      <pic:pic xmlns:pic="http://schemas.openxmlformats.org/drawingml/2006/picture">
                        <pic:nvPicPr>
                          <pic:cNvPr id="173" name="IM 95"/>
                          <pic:cNvPicPr/>
                        </pic:nvPicPr>
                        <pic:blipFill>
                          <a:blip r:embed="rId52"/>
                          <a:stretch>
                            <a:fillRect/>
                          </a:stretch>
                        </pic:blipFill>
                        <pic:spPr>
                          <a:xfrm>
                            <a:off x="0" y="0"/>
                            <a:ext cx="96412" cy="97878"/>
                          </a:xfrm>
                          <a:prstGeom prst="rect">
                            <a:avLst/>
                          </a:prstGeom>
                        </pic:spPr>
                      </pic:pic>
                    </a:graphicData>
                  </a:graphic>
                </wp:inline>
              </w:drawing>
            </w:r>
          </w:p>
        </w:tc>
        <w:tc>
          <w:tcPr>
            <w:tcW w:w="1953" w:type="pct"/>
            <w:gridSpan w:val="7"/>
            <w:tcBorders>
              <w:tl2br w:val="nil"/>
              <w:tr2bl w:val="nil"/>
            </w:tcBorders>
            <w:vAlign w:val="center"/>
          </w:tcPr>
          <w:p w14:paraId="4640299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p>
          <w:p w14:paraId="547DDF4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水行政主管部门</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74" name="IM 96"/>
                  <wp:cNvGraphicFramePr/>
                  <a:graphic xmlns:a="http://schemas.openxmlformats.org/drawingml/2006/main">
                    <a:graphicData uri="http://schemas.openxmlformats.org/drawingml/2006/picture">
                      <pic:pic xmlns:pic="http://schemas.openxmlformats.org/drawingml/2006/picture">
                        <pic:nvPicPr>
                          <pic:cNvPr id="174" name="IM 96"/>
                          <pic:cNvPicPr/>
                        </pic:nvPicPr>
                        <pic:blipFill>
                          <a:blip r:embed="rId53"/>
                          <a:stretch>
                            <a:fillRect/>
                          </a:stretch>
                        </pic:blipFill>
                        <pic:spPr>
                          <a:xfrm>
                            <a:off x="0" y="0"/>
                            <a:ext cx="1130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；补充监测</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75" name="IM 97"/>
                  <wp:cNvGraphicFramePr/>
                  <a:graphic xmlns:a="http://schemas.openxmlformats.org/drawingml/2006/main">
                    <a:graphicData uri="http://schemas.openxmlformats.org/drawingml/2006/picture">
                      <pic:pic xmlns:pic="http://schemas.openxmlformats.org/drawingml/2006/picture">
                        <pic:nvPicPr>
                          <pic:cNvPr id="175" name="IM 97"/>
                          <pic:cNvPicPr/>
                        </pic:nvPicPr>
                        <pic:blipFill>
                          <a:blip r:embed="rId52"/>
                          <a:stretch>
                            <a:fillRect/>
                          </a:stretch>
                        </pic:blipFill>
                        <pic:spPr>
                          <a:xfrm>
                            <a:off x="0" y="0"/>
                            <a:ext cx="1130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176" name="IM 98"/>
                  <wp:cNvGraphicFramePr/>
                  <a:graphic xmlns:a="http://schemas.openxmlformats.org/drawingml/2006/main">
                    <a:graphicData uri="http://schemas.openxmlformats.org/drawingml/2006/picture">
                      <pic:pic xmlns:pic="http://schemas.openxmlformats.org/drawingml/2006/picture">
                        <pic:nvPicPr>
                          <pic:cNvPr id="176" name="IM 98"/>
                          <pic:cNvPicPr/>
                        </pic:nvPicPr>
                        <pic:blipFill>
                          <a:blip r:embed="rId52"/>
                          <a:stretch>
                            <a:fillRect/>
                          </a:stretch>
                        </pic:blipFill>
                        <pic:spPr>
                          <a:xfrm>
                            <a:off x="0" y="0"/>
                            <a:ext cx="107613" cy="97878"/>
                          </a:xfrm>
                          <a:prstGeom prst="rect">
                            <a:avLst/>
                          </a:prstGeom>
                        </pic:spPr>
                      </pic:pic>
                    </a:graphicData>
                  </a:graphic>
                </wp:inline>
              </w:drawing>
            </w:r>
          </w:p>
        </w:tc>
      </w:tr>
      <w:tr w14:paraId="07D77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258" w:type="pct"/>
            <w:vMerge w:val="continue"/>
            <w:tcBorders>
              <w:tl2br w:val="nil"/>
              <w:tr2bl w:val="nil"/>
            </w:tcBorders>
            <w:vAlign w:val="center"/>
          </w:tcPr>
          <w:p w14:paraId="34F6EE8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14:paraId="76B11E2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p>
        </w:tc>
        <w:tc>
          <w:tcPr>
            <w:tcW w:w="1956" w:type="pct"/>
            <w:gridSpan w:val="6"/>
            <w:tcBorders>
              <w:tl2br w:val="nil"/>
              <w:tr2bl w:val="nil"/>
            </w:tcBorders>
            <w:vAlign w:val="center"/>
          </w:tcPr>
          <w:p w14:paraId="3004603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监测时间</w:t>
            </w:r>
          </w:p>
        </w:tc>
        <w:tc>
          <w:tcPr>
            <w:tcW w:w="1253" w:type="pct"/>
            <w:gridSpan w:val="6"/>
            <w:tcBorders>
              <w:tl2br w:val="nil"/>
              <w:tr2bl w:val="nil"/>
            </w:tcBorders>
            <w:vAlign w:val="center"/>
          </w:tcPr>
          <w:p w14:paraId="1B8A7F3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监测因子</w:t>
            </w:r>
          </w:p>
        </w:tc>
        <w:tc>
          <w:tcPr>
            <w:tcW w:w="699" w:type="pct"/>
            <w:tcBorders>
              <w:tl2br w:val="nil"/>
              <w:tr2bl w:val="nil"/>
            </w:tcBorders>
            <w:vAlign w:val="center"/>
          </w:tcPr>
          <w:p w14:paraId="5D0A230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监测断面或点位</w:t>
            </w:r>
          </w:p>
        </w:tc>
      </w:tr>
      <w:tr w14:paraId="6EBFA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jc w:val="center"/>
        </w:trPr>
        <w:tc>
          <w:tcPr>
            <w:tcW w:w="258" w:type="pct"/>
            <w:vMerge w:val="continue"/>
            <w:tcBorders>
              <w:tl2br w:val="nil"/>
              <w:tr2bl w:val="nil"/>
            </w:tcBorders>
            <w:vAlign w:val="center"/>
          </w:tcPr>
          <w:p w14:paraId="67D9106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14:paraId="63B54D0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956" w:type="pct"/>
            <w:gridSpan w:val="6"/>
            <w:tcBorders>
              <w:tl2br w:val="nil"/>
              <w:tr2bl w:val="nil"/>
            </w:tcBorders>
            <w:vAlign w:val="center"/>
          </w:tcPr>
          <w:p w14:paraId="5C92D1D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r>
              <w:rPr>
                <w:rFonts w:ascii="Times New Roman" w:hAnsi="Times New Roman" w:eastAsia="宋体" w:cs="宋体"/>
                <w:color w:val="auto"/>
                <w:spacing w:val="0"/>
                <w:position w:val="0"/>
                <w:sz w:val="21"/>
                <w:szCs w:val="21"/>
                <w:highlight w:val="none"/>
              </w:rPr>
              <w:t>丰水期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77" name="IM 99"/>
                  <wp:cNvGraphicFramePr/>
                  <a:graphic xmlns:a="http://schemas.openxmlformats.org/drawingml/2006/main">
                    <a:graphicData uri="http://schemas.openxmlformats.org/drawingml/2006/picture">
                      <pic:pic xmlns:pic="http://schemas.openxmlformats.org/drawingml/2006/picture">
                        <pic:nvPicPr>
                          <pic:cNvPr id="177" name="IM 99"/>
                          <pic:cNvPicPr/>
                        </pic:nvPicPr>
                        <pic:blipFill>
                          <a:blip r:embed="rId50"/>
                          <a:stretch>
                            <a:fillRect/>
                          </a:stretch>
                        </pic:blipFill>
                        <pic:spPr>
                          <a:xfrm>
                            <a:off x="0" y="0"/>
                            <a:ext cx="1134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；平水期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78" name="IM 100"/>
                  <wp:cNvGraphicFramePr/>
                  <a:graphic xmlns:a="http://schemas.openxmlformats.org/drawingml/2006/main">
                    <a:graphicData uri="http://schemas.openxmlformats.org/drawingml/2006/picture">
                      <pic:pic xmlns:pic="http://schemas.openxmlformats.org/drawingml/2006/picture">
                        <pic:nvPicPr>
                          <pic:cNvPr id="178" name="IM 100"/>
                          <pic:cNvPicPr/>
                        </pic:nvPicPr>
                        <pic:blipFill>
                          <a:blip r:embed="rId50"/>
                          <a:stretch>
                            <a:fillRect/>
                          </a:stretch>
                        </pic:blipFill>
                        <pic:spPr>
                          <a:xfrm>
                            <a:off x="0" y="0"/>
                            <a:ext cx="11348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；枯水期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179" name="IM 101"/>
                  <wp:cNvGraphicFramePr/>
                  <a:graphic xmlns:a="http://schemas.openxmlformats.org/drawingml/2006/main">
                    <a:graphicData uri="http://schemas.openxmlformats.org/drawingml/2006/picture">
                      <pic:pic xmlns:pic="http://schemas.openxmlformats.org/drawingml/2006/picture">
                        <pic:nvPicPr>
                          <pic:cNvPr id="179" name="IM 101"/>
                          <pic:cNvPicPr/>
                        </pic:nvPicPr>
                        <pic:blipFill>
                          <a:blip r:embed="rId50"/>
                          <a:stretch>
                            <a:fillRect/>
                          </a:stretch>
                        </pic:blipFill>
                        <pic:spPr>
                          <a:xfrm>
                            <a:off x="0" y="0"/>
                            <a:ext cx="11348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；冰封期</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80" name="IM 102"/>
                  <wp:cNvGraphicFramePr/>
                  <a:graphic xmlns:a="http://schemas.openxmlformats.org/drawingml/2006/main">
                    <a:graphicData uri="http://schemas.openxmlformats.org/drawingml/2006/picture">
                      <pic:pic xmlns:pic="http://schemas.openxmlformats.org/drawingml/2006/picture">
                        <pic:nvPicPr>
                          <pic:cNvPr id="180" name="IM 102"/>
                          <pic:cNvPicPr/>
                        </pic:nvPicPr>
                        <pic:blipFill>
                          <a:blip r:embed="rId57"/>
                          <a:stretch>
                            <a:fillRect/>
                          </a:stretch>
                        </pic:blipFill>
                        <pic:spPr>
                          <a:xfrm>
                            <a:off x="0" y="0"/>
                            <a:ext cx="1115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；春季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81" name="IM 103"/>
                  <wp:cNvGraphicFramePr/>
                  <a:graphic xmlns:a="http://schemas.openxmlformats.org/drawingml/2006/main">
                    <a:graphicData uri="http://schemas.openxmlformats.org/drawingml/2006/picture">
                      <pic:pic xmlns:pic="http://schemas.openxmlformats.org/drawingml/2006/picture">
                        <pic:nvPicPr>
                          <pic:cNvPr id="181" name="IM 103"/>
                          <pic:cNvPicPr/>
                        </pic:nvPicPr>
                        <pic:blipFill>
                          <a:blip r:embed="rId50"/>
                          <a:stretch>
                            <a:fillRect/>
                          </a:stretch>
                        </pic:blipFill>
                        <pic:spPr>
                          <a:xfrm>
                            <a:off x="0" y="0"/>
                            <a:ext cx="1115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；夏季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82" name="IM 104"/>
                  <wp:cNvGraphicFramePr/>
                  <a:graphic xmlns:a="http://schemas.openxmlformats.org/drawingml/2006/main">
                    <a:graphicData uri="http://schemas.openxmlformats.org/drawingml/2006/picture">
                      <pic:pic xmlns:pic="http://schemas.openxmlformats.org/drawingml/2006/picture">
                        <pic:nvPicPr>
                          <pic:cNvPr id="182" name="IM 104"/>
                          <pic:cNvPicPr/>
                        </pic:nvPicPr>
                        <pic:blipFill>
                          <a:blip r:embed="rId57"/>
                          <a:stretch>
                            <a:fillRect/>
                          </a:stretch>
                        </pic:blipFill>
                        <pic:spPr>
                          <a:xfrm>
                            <a:off x="0" y="0"/>
                            <a:ext cx="11151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；秋季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183" name="IM 105"/>
                  <wp:cNvGraphicFramePr/>
                  <a:graphic xmlns:a="http://schemas.openxmlformats.org/drawingml/2006/main">
                    <a:graphicData uri="http://schemas.openxmlformats.org/drawingml/2006/picture">
                      <pic:pic xmlns:pic="http://schemas.openxmlformats.org/drawingml/2006/picture">
                        <pic:nvPicPr>
                          <pic:cNvPr id="183" name="IM 105"/>
                          <pic:cNvPicPr/>
                        </pic:nvPicPr>
                        <pic:blipFill>
                          <a:blip r:embed="rId50"/>
                          <a:stretch>
                            <a:fillRect/>
                          </a:stretch>
                        </pic:blipFill>
                        <pic:spPr>
                          <a:xfrm>
                            <a:off x="0" y="0"/>
                            <a:ext cx="111514"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；冬季</w:t>
            </w:r>
            <w:r>
              <w:rPr>
                <w:rFonts w:ascii="Times New Roman" w:hAnsi="Times New Roman" w:eastAsia="宋体"/>
                <w:color w:val="auto"/>
                <w:spacing w:val="0"/>
                <w:position w:val="0"/>
                <w:sz w:val="21"/>
                <w:highlight w:val="none"/>
              </w:rPr>
              <w:drawing>
                <wp:inline distT="0" distB="0" distL="0" distR="0">
                  <wp:extent cx="95885" cy="97790"/>
                  <wp:effectExtent l="0" t="0" r="18415" b="16510"/>
                  <wp:docPr id="184" name="IM 106"/>
                  <wp:cNvGraphicFramePr/>
                  <a:graphic xmlns:a="http://schemas.openxmlformats.org/drawingml/2006/main">
                    <a:graphicData uri="http://schemas.openxmlformats.org/drawingml/2006/picture">
                      <pic:pic xmlns:pic="http://schemas.openxmlformats.org/drawingml/2006/picture">
                        <pic:nvPicPr>
                          <pic:cNvPr id="184" name="IM 106"/>
                          <pic:cNvPicPr/>
                        </pic:nvPicPr>
                        <pic:blipFill>
                          <a:blip r:embed="rId50"/>
                          <a:stretch>
                            <a:fillRect/>
                          </a:stretch>
                        </pic:blipFill>
                        <pic:spPr>
                          <a:xfrm>
                            <a:off x="0" y="0"/>
                            <a:ext cx="96412" cy="97878"/>
                          </a:xfrm>
                          <a:prstGeom prst="rect">
                            <a:avLst/>
                          </a:prstGeom>
                        </pic:spPr>
                      </pic:pic>
                    </a:graphicData>
                  </a:graphic>
                </wp:inline>
              </w:drawing>
            </w:r>
          </w:p>
        </w:tc>
        <w:tc>
          <w:tcPr>
            <w:tcW w:w="1253" w:type="pct"/>
            <w:gridSpan w:val="6"/>
            <w:tcBorders>
              <w:tl2br w:val="nil"/>
              <w:tr2bl w:val="nil"/>
            </w:tcBorders>
            <w:vAlign w:val="center"/>
          </w:tcPr>
          <w:p w14:paraId="79929F1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p w14:paraId="6104553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c>
          <w:tcPr>
            <w:tcW w:w="699" w:type="pct"/>
            <w:tcBorders>
              <w:tl2br w:val="nil"/>
              <w:tr2bl w:val="nil"/>
            </w:tcBorders>
            <w:vAlign w:val="center"/>
          </w:tcPr>
          <w:p w14:paraId="0012AE9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监测断面或点位个数</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个</w:t>
            </w:r>
          </w:p>
        </w:tc>
      </w:tr>
      <w:tr w14:paraId="74119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restart"/>
            <w:tcBorders>
              <w:tl2br w:val="nil"/>
              <w:tr2bl w:val="nil"/>
            </w:tcBorders>
            <w:textDirection w:val="tbRlV"/>
            <w:vAlign w:val="center"/>
          </w:tcPr>
          <w:p w14:paraId="71DE6E5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现状评价</w:t>
            </w:r>
          </w:p>
        </w:tc>
        <w:tc>
          <w:tcPr>
            <w:tcW w:w="831" w:type="pct"/>
            <w:tcBorders>
              <w:tl2br w:val="nil"/>
              <w:tr2bl w:val="nil"/>
            </w:tcBorders>
            <w:vAlign w:val="center"/>
          </w:tcPr>
          <w:p w14:paraId="35E7951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评价范围</w:t>
            </w:r>
          </w:p>
        </w:tc>
        <w:tc>
          <w:tcPr>
            <w:tcW w:w="3910" w:type="pct"/>
            <w:gridSpan w:val="13"/>
            <w:tcBorders>
              <w:tl2br w:val="nil"/>
              <w:tr2bl w:val="nil"/>
            </w:tcBorders>
            <w:vAlign w:val="center"/>
          </w:tcPr>
          <w:p w14:paraId="4843973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河流：长度</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km</w:t>
            </w:r>
            <w:r>
              <w:rPr>
                <w:rFonts w:ascii="Times New Roman" w:hAnsi="Times New Roman" w:eastAsia="宋体" w:cs="宋体"/>
                <w:color w:val="auto"/>
                <w:spacing w:val="0"/>
                <w:position w:val="0"/>
                <w:sz w:val="21"/>
                <w:szCs w:val="21"/>
                <w:highlight w:val="none"/>
              </w:rPr>
              <w:t>；湖库、河口及近岸海域：面积</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km</w:t>
            </w:r>
            <w:r>
              <w:rPr>
                <w:rFonts w:ascii="Times New Roman" w:hAnsi="Times New Roman" w:eastAsia="宋体" w:cs="Times New Roman"/>
                <w:color w:val="auto"/>
                <w:spacing w:val="0"/>
                <w:position w:val="0"/>
                <w:sz w:val="21"/>
                <w:szCs w:val="14"/>
                <w:highlight w:val="none"/>
                <w:vertAlign w:val="superscript"/>
              </w:rPr>
              <w:t>2</w:t>
            </w:r>
          </w:p>
        </w:tc>
      </w:tr>
      <w:tr w14:paraId="155B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14:paraId="0304F34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171C15F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评价因子</w:t>
            </w:r>
          </w:p>
        </w:tc>
        <w:tc>
          <w:tcPr>
            <w:tcW w:w="3910" w:type="pct"/>
            <w:gridSpan w:val="13"/>
            <w:tcBorders>
              <w:tl2br w:val="nil"/>
              <w:tr2bl w:val="nil"/>
            </w:tcBorders>
            <w:vAlign w:val="center"/>
          </w:tcPr>
          <w:p w14:paraId="2DA06C5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r>
      <w:tr w14:paraId="2E9DF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jc w:val="center"/>
        </w:trPr>
        <w:tc>
          <w:tcPr>
            <w:tcW w:w="258" w:type="pct"/>
            <w:vMerge w:val="continue"/>
            <w:tcBorders>
              <w:tl2br w:val="nil"/>
              <w:tr2bl w:val="nil"/>
            </w:tcBorders>
            <w:textDirection w:val="tbRlV"/>
            <w:vAlign w:val="center"/>
          </w:tcPr>
          <w:p w14:paraId="301C134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05F25C6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评价标准</w:t>
            </w:r>
          </w:p>
        </w:tc>
        <w:tc>
          <w:tcPr>
            <w:tcW w:w="3910" w:type="pct"/>
            <w:gridSpan w:val="13"/>
            <w:tcBorders>
              <w:tl2br w:val="nil"/>
              <w:tr2bl w:val="nil"/>
            </w:tcBorders>
            <w:vAlign w:val="center"/>
          </w:tcPr>
          <w:p w14:paraId="1DF9752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河流、湖库、河口：Ⅰ类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85" name="IM 107"/>
                  <wp:cNvGraphicFramePr/>
                  <a:graphic xmlns:a="http://schemas.openxmlformats.org/drawingml/2006/main">
                    <a:graphicData uri="http://schemas.openxmlformats.org/drawingml/2006/picture">
                      <pic:pic xmlns:pic="http://schemas.openxmlformats.org/drawingml/2006/picture">
                        <pic:nvPicPr>
                          <pic:cNvPr id="185" name="IM 107"/>
                          <pic:cNvPicPr/>
                        </pic:nvPicPr>
                        <pic:blipFill>
                          <a:blip r:embed="rId52"/>
                          <a:stretch>
                            <a:fillRect/>
                          </a:stretch>
                        </pic:blipFill>
                        <pic:spPr>
                          <a:xfrm>
                            <a:off x="0" y="0"/>
                            <a:ext cx="11225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；Ⅱ类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86" name="IM 108"/>
                  <wp:cNvGraphicFramePr/>
                  <a:graphic xmlns:a="http://schemas.openxmlformats.org/drawingml/2006/main">
                    <a:graphicData uri="http://schemas.openxmlformats.org/drawingml/2006/picture">
                      <pic:pic xmlns:pic="http://schemas.openxmlformats.org/drawingml/2006/picture">
                        <pic:nvPicPr>
                          <pic:cNvPr id="186" name="IM 108"/>
                          <pic:cNvPicPr/>
                        </pic:nvPicPr>
                        <pic:blipFill>
                          <a:blip r:embed="rId54"/>
                          <a:stretch>
                            <a:fillRect/>
                          </a:stretch>
                        </pic:blipFill>
                        <pic:spPr>
                          <a:xfrm>
                            <a:off x="0" y="0"/>
                            <a:ext cx="11225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；Ⅲ类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87" name="IM 109"/>
                  <wp:cNvGraphicFramePr/>
                  <a:graphic xmlns:a="http://schemas.openxmlformats.org/drawingml/2006/main">
                    <a:graphicData uri="http://schemas.openxmlformats.org/drawingml/2006/picture">
                      <pic:pic xmlns:pic="http://schemas.openxmlformats.org/drawingml/2006/picture">
                        <pic:nvPicPr>
                          <pic:cNvPr id="187" name="IM 109"/>
                          <pic:cNvPicPr/>
                        </pic:nvPicPr>
                        <pic:blipFill>
                          <a:blip r:embed="rId52"/>
                          <a:stretch>
                            <a:fillRect/>
                          </a:stretch>
                        </pic:blipFill>
                        <pic:spPr>
                          <a:xfrm>
                            <a:off x="0" y="0"/>
                            <a:ext cx="11225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；Ⅳ类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88" name="IM 110"/>
                  <wp:cNvGraphicFramePr/>
                  <a:graphic xmlns:a="http://schemas.openxmlformats.org/drawingml/2006/main">
                    <a:graphicData uri="http://schemas.openxmlformats.org/drawingml/2006/picture">
                      <pic:pic xmlns:pic="http://schemas.openxmlformats.org/drawingml/2006/picture">
                        <pic:nvPicPr>
                          <pic:cNvPr id="188" name="IM 110"/>
                          <pic:cNvPicPr/>
                        </pic:nvPicPr>
                        <pic:blipFill>
                          <a:blip r:embed="rId54"/>
                          <a:stretch>
                            <a:fillRect/>
                          </a:stretch>
                        </pic:blipFill>
                        <pic:spPr>
                          <a:xfrm>
                            <a:off x="0" y="0"/>
                            <a:ext cx="11225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；Ⅴ类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89" name="IM 111"/>
                  <wp:cNvGraphicFramePr/>
                  <a:graphic xmlns:a="http://schemas.openxmlformats.org/drawingml/2006/main">
                    <a:graphicData uri="http://schemas.openxmlformats.org/drawingml/2006/picture">
                      <pic:pic xmlns:pic="http://schemas.openxmlformats.org/drawingml/2006/picture">
                        <pic:nvPicPr>
                          <pic:cNvPr id="189" name="IM 111"/>
                          <pic:cNvPicPr/>
                        </pic:nvPicPr>
                        <pic:blipFill>
                          <a:blip r:embed="rId52"/>
                          <a:stretch>
                            <a:fillRect/>
                          </a:stretch>
                        </pic:blipFill>
                        <pic:spPr>
                          <a:xfrm>
                            <a:off x="0" y="0"/>
                            <a:ext cx="112251" cy="97878"/>
                          </a:xfrm>
                          <a:prstGeom prst="rect">
                            <a:avLst/>
                          </a:prstGeom>
                        </pic:spPr>
                      </pic:pic>
                    </a:graphicData>
                  </a:graphic>
                </wp:inline>
              </w:drawing>
            </w:r>
          </w:p>
          <w:p w14:paraId="4D16BB7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近岸海域：第一类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90" name="IM 112"/>
                  <wp:cNvGraphicFramePr/>
                  <a:graphic xmlns:a="http://schemas.openxmlformats.org/drawingml/2006/main">
                    <a:graphicData uri="http://schemas.openxmlformats.org/drawingml/2006/picture">
                      <pic:pic xmlns:pic="http://schemas.openxmlformats.org/drawingml/2006/picture">
                        <pic:nvPicPr>
                          <pic:cNvPr id="190" name="IM 112"/>
                          <pic:cNvPicPr/>
                        </pic:nvPicPr>
                        <pic:blipFill>
                          <a:blip r:embed="rId52"/>
                          <a:stretch>
                            <a:fillRect/>
                          </a:stretch>
                        </pic:blipFill>
                        <pic:spPr>
                          <a:xfrm>
                            <a:off x="0" y="0"/>
                            <a:ext cx="11197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；第二类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191" name="IM 113"/>
                  <wp:cNvGraphicFramePr/>
                  <a:graphic xmlns:a="http://schemas.openxmlformats.org/drawingml/2006/main">
                    <a:graphicData uri="http://schemas.openxmlformats.org/drawingml/2006/picture">
                      <pic:pic xmlns:pic="http://schemas.openxmlformats.org/drawingml/2006/picture">
                        <pic:nvPicPr>
                          <pic:cNvPr id="191" name="IM 113"/>
                          <pic:cNvPicPr/>
                        </pic:nvPicPr>
                        <pic:blipFill>
                          <a:blip r:embed="rId52"/>
                          <a:stretch>
                            <a:fillRect/>
                          </a:stretch>
                        </pic:blipFill>
                        <pic:spPr>
                          <a:xfrm>
                            <a:off x="0" y="0"/>
                            <a:ext cx="11197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；第三类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201" name="IM 114"/>
                  <wp:cNvGraphicFramePr/>
                  <a:graphic xmlns:a="http://schemas.openxmlformats.org/drawingml/2006/main">
                    <a:graphicData uri="http://schemas.openxmlformats.org/drawingml/2006/picture">
                      <pic:pic xmlns:pic="http://schemas.openxmlformats.org/drawingml/2006/picture">
                        <pic:nvPicPr>
                          <pic:cNvPr id="201" name="IM 114"/>
                          <pic:cNvPicPr/>
                        </pic:nvPicPr>
                        <pic:blipFill>
                          <a:blip r:embed="rId52"/>
                          <a:stretch>
                            <a:fillRect/>
                          </a:stretch>
                        </pic:blipFill>
                        <pic:spPr>
                          <a:xfrm>
                            <a:off x="0" y="0"/>
                            <a:ext cx="11197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；第四类</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203" name="IM 115"/>
                  <wp:cNvGraphicFramePr/>
                  <a:graphic xmlns:a="http://schemas.openxmlformats.org/drawingml/2006/main">
                    <a:graphicData uri="http://schemas.openxmlformats.org/drawingml/2006/picture">
                      <pic:pic xmlns:pic="http://schemas.openxmlformats.org/drawingml/2006/picture">
                        <pic:nvPicPr>
                          <pic:cNvPr id="203" name="IM 115"/>
                          <pic:cNvPicPr/>
                        </pic:nvPicPr>
                        <pic:blipFill>
                          <a:blip r:embed="rId52"/>
                          <a:stretch>
                            <a:fillRect/>
                          </a:stretch>
                        </pic:blipFill>
                        <pic:spPr>
                          <a:xfrm>
                            <a:off x="0" y="0"/>
                            <a:ext cx="11197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规划年评价标准</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r>
      <w:tr w14:paraId="09FB3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14:paraId="24121D1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50BF486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评价时期</w:t>
            </w:r>
          </w:p>
        </w:tc>
        <w:tc>
          <w:tcPr>
            <w:tcW w:w="3910" w:type="pct"/>
            <w:gridSpan w:val="13"/>
            <w:tcBorders>
              <w:tl2br w:val="nil"/>
              <w:tr2bl w:val="nil"/>
            </w:tcBorders>
            <w:vAlign w:val="center"/>
          </w:tcPr>
          <w:p w14:paraId="211122C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丰水期</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04" name="IM 116"/>
                  <wp:cNvGraphicFramePr/>
                  <a:graphic xmlns:a="http://schemas.openxmlformats.org/drawingml/2006/main">
                    <a:graphicData uri="http://schemas.openxmlformats.org/drawingml/2006/picture">
                      <pic:pic xmlns:pic="http://schemas.openxmlformats.org/drawingml/2006/picture">
                        <pic:nvPicPr>
                          <pic:cNvPr id="204" name="IM 116"/>
                          <pic:cNvPicPr/>
                        </pic:nvPicPr>
                        <pic:blipFill>
                          <a:blip r:embed="rId53"/>
                          <a:stretch>
                            <a:fillRect/>
                          </a:stretch>
                        </pic:blipFill>
                        <pic:spPr>
                          <a:xfrm>
                            <a:off x="0" y="0"/>
                            <a:ext cx="11289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；平水期</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05" name="IM 117"/>
                  <wp:cNvGraphicFramePr/>
                  <a:graphic xmlns:a="http://schemas.openxmlformats.org/drawingml/2006/main">
                    <a:graphicData uri="http://schemas.openxmlformats.org/drawingml/2006/picture">
                      <pic:pic xmlns:pic="http://schemas.openxmlformats.org/drawingml/2006/picture">
                        <pic:nvPicPr>
                          <pic:cNvPr id="205" name="IM 117"/>
                          <pic:cNvPicPr/>
                        </pic:nvPicPr>
                        <pic:blipFill>
                          <a:blip r:embed="rId52"/>
                          <a:stretch>
                            <a:fillRect/>
                          </a:stretch>
                        </pic:blipFill>
                        <pic:spPr>
                          <a:xfrm>
                            <a:off x="0" y="0"/>
                            <a:ext cx="11289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；枯水期</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06" name="IM 118"/>
                  <wp:cNvGraphicFramePr/>
                  <a:graphic xmlns:a="http://schemas.openxmlformats.org/drawingml/2006/main">
                    <a:graphicData uri="http://schemas.openxmlformats.org/drawingml/2006/picture">
                      <pic:pic xmlns:pic="http://schemas.openxmlformats.org/drawingml/2006/picture">
                        <pic:nvPicPr>
                          <pic:cNvPr id="206" name="IM 118"/>
                          <pic:cNvPicPr/>
                        </pic:nvPicPr>
                        <pic:blipFill>
                          <a:blip r:embed="rId53"/>
                          <a:stretch>
                            <a:fillRect/>
                          </a:stretch>
                        </pic:blipFill>
                        <pic:spPr>
                          <a:xfrm>
                            <a:off x="0" y="0"/>
                            <a:ext cx="11289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；冰封期</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07" name="IM 119"/>
                  <wp:cNvGraphicFramePr/>
                  <a:graphic xmlns:a="http://schemas.openxmlformats.org/drawingml/2006/main">
                    <a:graphicData uri="http://schemas.openxmlformats.org/drawingml/2006/picture">
                      <pic:pic xmlns:pic="http://schemas.openxmlformats.org/drawingml/2006/picture">
                        <pic:nvPicPr>
                          <pic:cNvPr id="207" name="IM 119"/>
                          <pic:cNvPicPr/>
                        </pic:nvPicPr>
                        <pic:blipFill>
                          <a:blip r:embed="rId52"/>
                          <a:stretch>
                            <a:fillRect/>
                          </a:stretch>
                        </pic:blipFill>
                        <pic:spPr>
                          <a:xfrm>
                            <a:off x="0" y="0"/>
                            <a:ext cx="11289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；春季</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08" name="IM 120"/>
                  <wp:cNvGraphicFramePr/>
                  <a:graphic xmlns:a="http://schemas.openxmlformats.org/drawingml/2006/main">
                    <a:graphicData uri="http://schemas.openxmlformats.org/drawingml/2006/picture">
                      <pic:pic xmlns:pic="http://schemas.openxmlformats.org/drawingml/2006/picture">
                        <pic:nvPicPr>
                          <pic:cNvPr id="208" name="IM 120"/>
                          <pic:cNvPicPr/>
                        </pic:nvPicPr>
                        <pic:blipFill>
                          <a:blip r:embed="rId52"/>
                          <a:stretch>
                            <a:fillRect/>
                          </a:stretch>
                        </pic:blipFill>
                        <pic:spPr>
                          <a:xfrm>
                            <a:off x="0" y="0"/>
                            <a:ext cx="11289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；夏季</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09" name="IM 121"/>
                  <wp:cNvGraphicFramePr/>
                  <a:graphic xmlns:a="http://schemas.openxmlformats.org/drawingml/2006/main">
                    <a:graphicData uri="http://schemas.openxmlformats.org/drawingml/2006/picture">
                      <pic:pic xmlns:pic="http://schemas.openxmlformats.org/drawingml/2006/picture">
                        <pic:nvPicPr>
                          <pic:cNvPr id="209" name="IM 121"/>
                          <pic:cNvPicPr/>
                        </pic:nvPicPr>
                        <pic:blipFill>
                          <a:blip r:embed="rId52"/>
                          <a:stretch>
                            <a:fillRect/>
                          </a:stretch>
                        </pic:blipFill>
                        <pic:spPr>
                          <a:xfrm>
                            <a:off x="0" y="0"/>
                            <a:ext cx="11289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；秋季</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10" name="IM 122"/>
                  <wp:cNvGraphicFramePr/>
                  <a:graphic xmlns:a="http://schemas.openxmlformats.org/drawingml/2006/main">
                    <a:graphicData uri="http://schemas.openxmlformats.org/drawingml/2006/picture">
                      <pic:pic xmlns:pic="http://schemas.openxmlformats.org/drawingml/2006/picture">
                        <pic:nvPicPr>
                          <pic:cNvPr id="210" name="IM 122"/>
                          <pic:cNvPicPr/>
                        </pic:nvPicPr>
                        <pic:blipFill>
                          <a:blip r:embed="rId52"/>
                          <a:stretch>
                            <a:fillRect/>
                          </a:stretch>
                        </pic:blipFill>
                        <pic:spPr>
                          <a:xfrm>
                            <a:off x="0" y="0"/>
                            <a:ext cx="11289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；冬季</w:t>
            </w:r>
            <w:r>
              <w:rPr>
                <w:rFonts w:ascii="Times New Roman" w:hAnsi="Times New Roman" w:eastAsia="宋体"/>
                <w:color w:val="auto"/>
                <w:spacing w:val="0"/>
                <w:position w:val="0"/>
                <w:sz w:val="21"/>
                <w:szCs w:val="21"/>
                <w:highlight w:val="none"/>
              </w:rPr>
              <w:drawing>
                <wp:inline distT="0" distB="0" distL="0" distR="0">
                  <wp:extent cx="112395" cy="97790"/>
                  <wp:effectExtent l="0" t="0" r="1905" b="16510"/>
                  <wp:docPr id="211" name="IM 123"/>
                  <wp:cNvGraphicFramePr/>
                  <a:graphic xmlns:a="http://schemas.openxmlformats.org/drawingml/2006/main">
                    <a:graphicData uri="http://schemas.openxmlformats.org/drawingml/2006/picture">
                      <pic:pic xmlns:pic="http://schemas.openxmlformats.org/drawingml/2006/picture">
                        <pic:nvPicPr>
                          <pic:cNvPr id="211" name="IM 123"/>
                          <pic:cNvPicPr/>
                        </pic:nvPicPr>
                        <pic:blipFill>
                          <a:blip r:embed="rId52"/>
                          <a:stretch>
                            <a:fillRect/>
                          </a:stretch>
                        </pic:blipFill>
                        <pic:spPr>
                          <a:xfrm>
                            <a:off x="0" y="0"/>
                            <a:ext cx="112895" cy="97878"/>
                          </a:xfrm>
                          <a:prstGeom prst="rect">
                            <a:avLst/>
                          </a:prstGeom>
                        </pic:spPr>
                      </pic:pic>
                    </a:graphicData>
                  </a:graphic>
                </wp:inline>
              </w:drawing>
            </w:r>
          </w:p>
        </w:tc>
      </w:tr>
      <w:tr w14:paraId="11D2E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jc w:val="center"/>
        </w:trPr>
        <w:tc>
          <w:tcPr>
            <w:tcW w:w="258" w:type="pct"/>
            <w:vMerge w:val="continue"/>
            <w:tcBorders>
              <w:tl2br w:val="nil"/>
              <w:tr2bl w:val="nil"/>
            </w:tcBorders>
            <w:textDirection w:val="tbRlV"/>
            <w:vAlign w:val="center"/>
          </w:tcPr>
          <w:p w14:paraId="07406AC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41652FE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评价结论</w:t>
            </w:r>
          </w:p>
        </w:tc>
        <w:tc>
          <w:tcPr>
            <w:tcW w:w="3008" w:type="pct"/>
            <w:gridSpan w:val="11"/>
            <w:tcBorders>
              <w:tl2br w:val="nil"/>
              <w:tr2bl w:val="nil"/>
            </w:tcBorders>
            <w:vAlign w:val="center"/>
          </w:tcPr>
          <w:p w14:paraId="2270316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水环境功能区或水功能区、近岸海域环境功能区水质达标状况</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12" name="IM 124"/>
                  <wp:cNvGraphicFramePr/>
                  <a:graphic xmlns:a="http://schemas.openxmlformats.org/drawingml/2006/main">
                    <a:graphicData uri="http://schemas.openxmlformats.org/drawingml/2006/picture">
                      <pic:pic xmlns:pic="http://schemas.openxmlformats.org/drawingml/2006/picture">
                        <pic:nvPicPr>
                          <pic:cNvPr id="212" name="IM 124"/>
                          <pic:cNvPicPr/>
                        </pic:nvPicPr>
                        <pic:blipFill>
                          <a:blip r:embed="rId54"/>
                          <a:stretch>
                            <a:fillRect/>
                          </a:stretch>
                        </pic:blipFill>
                        <pic:spPr>
                          <a:xfrm>
                            <a:off x="0" y="0"/>
                            <a:ext cx="1111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：达标</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13" name="IM 125"/>
                  <wp:cNvGraphicFramePr/>
                  <a:graphic xmlns:a="http://schemas.openxmlformats.org/drawingml/2006/main">
                    <a:graphicData uri="http://schemas.openxmlformats.org/drawingml/2006/picture">
                      <pic:pic xmlns:pic="http://schemas.openxmlformats.org/drawingml/2006/picture">
                        <pic:nvPicPr>
                          <pic:cNvPr id="213" name="IM 125"/>
                          <pic:cNvPicPr/>
                        </pic:nvPicPr>
                        <pic:blipFill>
                          <a:blip r:embed="rId52"/>
                          <a:stretch>
                            <a:fillRect/>
                          </a:stretch>
                        </pic:blipFill>
                        <pic:spPr>
                          <a:xfrm>
                            <a:off x="0" y="0"/>
                            <a:ext cx="1111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；不达标</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14" name="IM 126"/>
                  <wp:cNvGraphicFramePr/>
                  <a:graphic xmlns:a="http://schemas.openxmlformats.org/drawingml/2006/main">
                    <a:graphicData uri="http://schemas.openxmlformats.org/drawingml/2006/picture">
                      <pic:pic xmlns:pic="http://schemas.openxmlformats.org/drawingml/2006/picture">
                        <pic:nvPicPr>
                          <pic:cNvPr id="214" name="IM 126"/>
                          <pic:cNvPicPr/>
                        </pic:nvPicPr>
                        <pic:blipFill>
                          <a:blip r:embed="rId54"/>
                          <a:stretch>
                            <a:fillRect/>
                          </a:stretch>
                        </pic:blipFill>
                        <pic:spPr>
                          <a:xfrm>
                            <a:off x="0" y="0"/>
                            <a:ext cx="1111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水环境控制单元或断面水质达标状况</w:t>
            </w:r>
            <w:r>
              <w:rPr>
                <w:rFonts w:ascii="Times New Roman" w:hAnsi="Times New Roman" w:eastAsia="宋体"/>
                <w:color w:val="auto"/>
                <w:spacing w:val="0"/>
                <w:position w:val="0"/>
                <w:sz w:val="21"/>
                <w:szCs w:val="21"/>
                <w:highlight w:val="none"/>
              </w:rPr>
              <w:drawing>
                <wp:inline distT="0" distB="0" distL="0" distR="0">
                  <wp:extent cx="109220" cy="97790"/>
                  <wp:effectExtent l="0" t="0" r="5080" b="16510"/>
                  <wp:docPr id="215" name="IM 127"/>
                  <wp:cNvGraphicFramePr/>
                  <a:graphic xmlns:a="http://schemas.openxmlformats.org/drawingml/2006/main">
                    <a:graphicData uri="http://schemas.openxmlformats.org/drawingml/2006/picture">
                      <pic:pic xmlns:pic="http://schemas.openxmlformats.org/drawingml/2006/picture">
                        <pic:nvPicPr>
                          <pic:cNvPr id="215" name="IM 127"/>
                          <pic:cNvPicPr/>
                        </pic:nvPicPr>
                        <pic:blipFill>
                          <a:blip r:embed="rId54"/>
                          <a:stretch>
                            <a:fillRect/>
                          </a:stretch>
                        </pic:blipFill>
                        <pic:spPr>
                          <a:xfrm>
                            <a:off x="0" y="0"/>
                            <a:ext cx="109347" cy="97878"/>
                          </a:xfrm>
                          <a:prstGeom prst="rect">
                            <a:avLst/>
                          </a:prstGeom>
                        </pic:spPr>
                      </pic:pic>
                    </a:graphicData>
                  </a:graphic>
                </wp:inline>
              </w:drawing>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达标</w:t>
            </w:r>
            <w:r>
              <w:rPr>
                <w:rFonts w:ascii="Times New Roman" w:hAnsi="Times New Roman" w:eastAsia="宋体"/>
                <w:color w:val="auto"/>
                <w:spacing w:val="0"/>
                <w:position w:val="0"/>
                <w:sz w:val="21"/>
                <w:szCs w:val="21"/>
                <w:highlight w:val="none"/>
              </w:rPr>
              <w:drawing>
                <wp:inline distT="0" distB="0" distL="0" distR="0">
                  <wp:extent cx="109220" cy="97790"/>
                  <wp:effectExtent l="0" t="0" r="5080" b="16510"/>
                  <wp:docPr id="216" name="IM 128"/>
                  <wp:cNvGraphicFramePr/>
                  <a:graphic xmlns:a="http://schemas.openxmlformats.org/drawingml/2006/main">
                    <a:graphicData uri="http://schemas.openxmlformats.org/drawingml/2006/picture">
                      <pic:pic xmlns:pic="http://schemas.openxmlformats.org/drawingml/2006/picture">
                        <pic:nvPicPr>
                          <pic:cNvPr id="216" name="IM 128"/>
                          <pic:cNvPicPr/>
                        </pic:nvPicPr>
                        <pic:blipFill>
                          <a:blip r:embed="rId52"/>
                          <a:stretch>
                            <a:fillRect/>
                          </a:stretch>
                        </pic:blipFill>
                        <pic:spPr>
                          <a:xfrm>
                            <a:off x="0" y="0"/>
                            <a:ext cx="10934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；不达标</w:t>
            </w:r>
            <w:r>
              <w:rPr>
                <w:rFonts w:ascii="Times New Roman" w:hAnsi="Times New Roman" w:eastAsia="宋体"/>
                <w:color w:val="auto"/>
                <w:spacing w:val="0"/>
                <w:position w:val="0"/>
                <w:sz w:val="21"/>
                <w:szCs w:val="21"/>
                <w:highlight w:val="none"/>
              </w:rPr>
              <w:drawing>
                <wp:inline distT="0" distB="0" distL="0" distR="0">
                  <wp:extent cx="109220" cy="97790"/>
                  <wp:effectExtent l="0" t="0" r="5080" b="16510"/>
                  <wp:docPr id="217" name="IM 129"/>
                  <wp:cNvGraphicFramePr/>
                  <a:graphic xmlns:a="http://schemas.openxmlformats.org/drawingml/2006/main">
                    <a:graphicData uri="http://schemas.openxmlformats.org/drawingml/2006/picture">
                      <pic:pic xmlns:pic="http://schemas.openxmlformats.org/drawingml/2006/picture">
                        <pic:nvPicPr>
                          <pic:cNvPr id="217" name="IM 129"/>
                          <pic:cNvPicPr/>
                        </pic:nvPicPr>
                        <pic:blipFill>
                          <a:blip r:embed="rId53"/>
                          <a:stretch>
                            <a:fillRect/>
                          </a:stretch>
                        </pic:blipFill>
                        <pic:spPr>
                          <a:xfrm>
                            <a:off x="0" y="0"/>
                            <a:ext cx="10934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水环境保护目标质量状况</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18" name="IM 130"/>
                  <wp:cNvGraphicFramePr/>
                  <a:graphic xmlns:a="http://schemas.openxmlformats.org/drawingml/2006/main">
                    <a:graphicData uri="http://schemas.openxmlformats.org/drawingml/2006/picture">
                      <pic:pic xmlns:pic="http://schemas.openxmlformats.org/drawingml/2006/picture">
                        <pic:nvPicPr>
                          <pic:cNvPr id="218" name="IM 130"/>
                          <pic:cNvPicPr/>
                        </pic:nvPicPr>
                        <pic:blipFill>
                          <a:blip r:embed="rId54"/>
                          <a:stretch>
                            <a:fillRect/>
                          </a:stretch>
                        </pic:blipFill>
                        <pic:spPr>
                          <a:xfrm>
                            <a:off x="0" y="0"/>
                            <a:ext cx="1111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：达标</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19" name="IM 131"/>
                  <wp:cNvGraphicFramePr/>
                  <a:graphic xmlns:a="http://schemas.openxmlformats.org/drawingml/2006/main">
                    <a:graphicData uri="http://schemas.openxmlformats.org/drawingml/2006/picture">
                      <pic:pic xmlns:pic="http://schemas.openxmlformats.org/drawingml/2006/picture">
                        <pic:nvPicPr>
                          <pic:cNvPr id="219" name="IM 131"/>
                          <pic:cNvPicPr/>
                        </pic:nvPicPr>
                        <pic:blipFill>
                          <a:blip r:embed="rId52"/>
                          <a:stretch>
                            <a:fillRect/>
                          </a:stretch>
                        </pic:blipFill>
                        <pic:spPr>
                          <a:xfrm>
                            <a:off x="0" y="0"/>
                            <a:ext cx="1111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；不达标</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20" name="IM 132"/>
                  <wp:cNvGraphicFramePr/>
                  <a:graphic xmlns:a="http://schemas.openxmlformats.org/drawingml/2006/main">
                    <a:graphicData uri="http://schemas.openxmlformats.org/drawingml/2006/picture">
                      <pic:pic xmlns:pic="http://schemas.openxmlformats.org/drawingml/2006/picture">
                        <pic:nvPicPr>
                          <pic:cNvPr id="220" name="IM 132"/>
                          <pic:cNvPicPr/>
                        </pic:nvPicPr>
                        <pic:blipFill>
                          <a:blip r:embed="rId54"/>
                          <a:stretch>
                            <a:fillRect/>
                          </a:stretch>
                        </pic:blipFill>
                        <pic:spPr>
                          <a:xfrm>
                            <a:off x="0" y="0"/>
                            <a:ext cx="1111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对照断面、控制断面等代表性断面的水质状况</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1" name="IM 133"/>
                  <wp:cNvGraphicFramePr/>
                  <a:graphic xmlns:a="http://schemas.openxmlformats.org/drawingml/2006/main">
                    <a:graphicData uri="http://schemas.openxmlformats.org/drawingml/2006/picture">
                      <pic:pic xmlns:pic="http://schemas.openxmlformats.org/drawingml/2006/picture">
                        <pic:nvPicPr>
                          <pic:cNvPr id="221" name="IM 133"/>
                          <pic:cNvPicPr/>
                        </pic:nvPicPr>
                        <pic:blipFill>
                          <a:blip r:embed="rId52"/>
                          <a:stretch>
                            <a:fillRect/>
                          </a:stretch>
                        </pic:blipFill>
                        <pic:spPr>
                          <a:xfrm>
                            <a:off x="0" y="0"/>
                            <a:ext cx="107740" cy="97878"/>
                          </a:xfrm>
                          <a:prstGeom prst="rect">
                            <a:avLst/>
                          </a:prstGeom>
                        </pic:spPr>
                      </pic:pic>
                    </a:graphicData>
                  </a:graphic>
                </wp:inline>
              </w:drawing>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达标</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2" name="IM 134"/>
                  <wp:cNvGraphicFramePr/>
                  <a:graphic xmlns:a="http://schemas.openxmlformats.org/drawingml/2006/main">
                    <a:graphicData uri="http://schemas.openxmlformats.org/drawingml/2006/picture">
                      <pic:pic xmlns:pic="http://schemas.openxmlformats.org/drawingml/2006/picture">
                        <pic:nvPicPr>
                          <pic:cNvPr id="222" name="IM 134"/>
                          <pic:cNvPicPr/>
                        </pic:nvPicPr>
                        <pic:blipFill>
                          <a:blip r:embed="rId52"/>
                          <a:stretch>
                            <a:fillRect/>
                          </a:stretch>
                        </pic:blipFill>
                        <pic:spPr>
                          <a:xfrm>
                            <a:off x="0" y="0"/>
                            <a:ext cx="10774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；不达标</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3" name="IM 135"/>
                  <wp:cNvGraphicFramePr/>
                  <a:graphic xmlns:a="http://schemas.openxmlformats.org/drawingml/2006/main">
                    <a:graphicData uri="http://schemas.openxmlformats.org/drawingml/2006/picture">
                      <pic:pic xmlns:pic="http://schemas.openxmlformats.org/drawingml/2006/picture">
                        <pic:nvPicPr>
                          <pic:cNvPr id="223" name="IM 135"/>
                          <pic:cNvPicPr/>
                        </pic:nvPicPr>
                        <pic:blipFill>
                          <a:blip r:embed="rId52"/>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底泥污染评价</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4" name="IM 136"/>
                  <wp:cNvGraphicFramePr/>
                  <a:graphic xmlns:a="http://schemas.openxmlformats.org/drawingml/2006/main">
                    <a:graphicData uri="http://schemas.openxmlformats.org/drawingml/2006/picture">
                      <pic:pic xmlns:pic="http://schemas.openxmlformats.org/drawingml/2006/picture">
                        <pic:nvPicPr>
                          <pic:cNvPr id="224" name="IM 136"/>
                          <pic:cNvPicPr/>
                        </pic:nvPicPr>
                        <pic:blipFill>
                          <a:blip r:embed="rId52"/>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水资源与开发利用程度及其水文情势评价</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5" name="IM 137"/>
                  <wp:cNvGraphicFramePr/>
                  <a:graphic xmlns:a="http://schemas.openxmlformats.org/drawingml/2006/main">
                    <a:graphicData uri="http://schemas.openxmlformats.org/drawingml/2006/picture">
                      <pic:pic xmlns:pic="http://schemas.openxmlformats.org/drawingml/2006/picture">
                        <pic:nvPicPr>
                          <pic:cNvPr id="225" name="IM 137"/>
                          <pic:cNvPicPr/>
                        </pic:nvPicPr>
                        <pic:blipFill>
                          <a:blip r:embed="rId52"/>
                          <a:stretch>
                            <a:fillRect/>
                          </a:stretch>
                        </pic:blipFill>
                        <pic:spPr>
                          <a:xfrm>
                            <a:off x="0" y="0"/>
                            <a:ext cx="10786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水环境质量回顾评价</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6" name="IM 138"/>
                  <wp:cNvGraphicFramePr/>
                  <a:graphic xmlns:a="http://schemas.openxmlformats.org/drawingml/2006/main">
                    <a:graphicData uri="http://schemas.openxmlformats.org/drawingml/2006/picture">
                      <pic:pic xmlns:pic="http://schemas.openxmlformats.org/drawingml/2006/picture">
                        <pic:nvPicPr>
                          <pic:cNvPr id="226" name="IM 138"/>
                          <pic:cNvPicPr/>
                        </pic:nvPicPr>
                        <pic:blipFill>
                          <a:blip r:embed="rId52"/>
                          <a:stretch>
                            <a:fillRect/>
                          </a:stretch>
                        </pic:blipFill>
                        <pic:spPr>
                          <a:xfrm>
                            <a:off x="0" y="0"/>
                            <a:ext cx="107613"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流域</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区域</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水资源</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包括水能资源</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与开发利用总体状况、生态流量管理要求与现状满足程度、建设项目占用水域空间的水流状况与河湖演变状况</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7" name="IM 139"/>
                  <wp:cNvGraphicFramePr/>
                  <a:graphic xmlns:a="http://schemas.openxmlformats.org/drawingml/2006/main">
                    <a:graphicData uri="http://schemas.openxmlformats.org/drawingml/2006/picture">
                      <pic:pic xmlns:pic="http://schemas.openxmlformats.org/drawingml/2006/picture">
                        <pic:nvPicPr>
                          <pic:cNvPr id="227" name="IM 139"/>
                          <pic:cNvPicPr/>
                        </pic:nvPicPr>
                        <pic:blipFill>
                          <a:blip r:embed="rId52"/>
                          <a:stretch>
                            <a:fillRect/>
                          </a:stretch>
                        </pic:blipFill>
                        <pic:spPr>
                          <a:xfrm>
                            <a:off x="0" y="0"/>
                            <a:ext cx="107867" cy="97878"/>
                          </a:xfrm>
                          <a:prstGeom prst="rect">
                            <a:avLst/>
                          </a:prstGeom>
                        </pic:spPr>
                      </pic:pic>
                    </a:graphicData>
                  </a:graphic>
                </wp:inline>
              </w:drawing>
            </w:r>
          </w:p>
        </w:tc>
        <w:tc>
          <w:tcPr>
            <w:tcW w:w="901" w:type="pct"/>
            <w:gridSpan w:val="2"/>
            <w:tcBorders>
              <w:tl2br w:val="nil"/>
              <w:tr2bl w:val="nil"/>
            </w:tcBorders>
            <w:vAlign w:val="center"/>
          </w:tcPr>
          <w:p w14:paraId="7347F9D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达标区</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8" name="IM 140"/>
                  <wp:cNvGraphicFramePr/>
                  <a:graphic xmlns:a="http://schemas.openxmlformats.org/drawingml/2006/main">
                    <a:graphicData uri="http://schemas.openxmlformats.org/drawingml/2006/picture">
                      <pic:pic xmlns:pic="http://schemas.openxmlformats.org/drawingml/2006/picture">
                        <pic:nvPicPr>
                          <pic:cNvPr id="228" name="IM 140"/>
                          <pic:cNvPicPr/>
                        </pic:nvPicPr>
                        <pic:blipFill>
                          <a:blip r:embed="rId53"/>
                          <a:stretch>
                            <a:fillRect/>
                          </a:stretch>
                        </pic:blipFill>
                        <pic:spPr>
                          <a:xfrm>
                            <a:off x="0" y="0"/>
                            <a:ext cx="107613" cy="97878"/>
                          </a:xfrm>
                          <a:prstGeom prst="rect">
                            <a:avLst/>
                          </a:prstGeom>
                        </pic:spPr>
                      </pic:pic>
                    </a:graphicData>
                  </a:graphic>
                </wp:inline>
              </w:drawing>
            </w:r>
          </w:p>
          <w:p w14:paraId="6CE5483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不达标区</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29" name="IM 141"/>
                  <wp:cNvGraphicFramePr/>
                  <a:graphic xmlns:a="http://schemas.openxmlformats.org/drawingml/2006/main">
                    <a:graphicData uri="http://schemas.openxmlformats.org/drawingml/2006/picture">
                      <pic:pic xmlns:pic="http://schemas.openxmlformats.org/drawingml/2006/picture">
                        <pic:nvPicPr>
                          <pic:cNvPr id="229" name="IM 141"/>
                          <pic:cNvPicPr/>
                        </pic:nvPicPr>
                        <pic:blipFill>
                          <a:blip r:embed="rId54"/>
                          <a:stretch>
                            <a:fillRect/>
                          </a:stretch>
                        </pic:blipFill>
                        <pic:spPr>
                          <a:xfrm>
                            <a:off x="0" y="0"/>
                            <a:ext cx="107612" cy="97878"/>
                          </a:xfrm>
                          <a:prstGeom prst="rect">
                            <a:avLst/>
                          </a:prstGeom>
                        </pic:spPr>
                      </pic:pic>
                    </a:graphicData>
                  </a:graphic>
                </wp:inline>
              </w:drawing>
            </w:r>
          </w:p>
        </w:tc>
      </w:tr>
      <w:tr w14:paraId="03D74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restart"/>
            <w:tcBorders>
              <w:tl2br w:val="nil"/>
              <w:tr2bl w:val="nil"/>
            </w:tcBorders>
            <w:textDirection w:val="tbRlV"/>
            <w:vAlign w:val="center"/>
          </w:tcPr>
          <w:p w14:paraId="5ED13CF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影响预测</w:t>
            </w:r>
          </w:p>
        </w:tc>
        <w:tc>
          <w:tcPr>
            <w:tcW w:w="831" w:type="pct"/>
            <w:tcBorders>
              <w:tl2br w:val="nil"/>
              <w:tr2bl w:val="nil"/>
            </w:tcBorders>
            <w:vAlign w:val="center"/>
          </w:tcPr>
          <w:p w14:paraId="218C520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预测范围</w:t>
            </w:r>
          </w:p>
        </w:tc>
        <w:tc>
          <w:tcPr>
            <w:tcW w:w="3910" w:type="pct"/>
            <w:gridSpan w:val="13"/>
            <w:tcBorders>
              <w:tl2br w:val="nil"/>
              <w:tr2bl w:val="nil"/>
            </w:tcBorders>
            <w:vAlign w:val="center"/>
          </w:tcPr>
          <w:p w14:paraId="6370A61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河流：长度</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km</w:t>
            </w:r>
            <w:r>
              <w:rPr>
                <w:rFonts w:ascii="Times New Roman" w:hAnsi="Times New Roman" w:eastAsia="宋体" w:cs="宋体"/>
                <w:color w:val="auto"/>
                <w:spacing w:val="0"/>
                <w:position w:val="0"/>
                <w:sz w:val="21"/>
                <w:szCs w:val="21"/>
                <w:highlight w:val="none"/>
              </w:rPr>
              <w:t>；湖库、河口及近岸海域：面积</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km</w:t>
            </w:r>
            <w:r>
              <w:rPr>
                <w:rFonts w:ascii="Times New Roman" w:hAnsi="Times New Roman" w:eastAsia="宋体" w:cs="Times New Roman"/>
                <w:color w:val="auto"/>
                <w:spacing w:val="0"/>
                <w:position w:val="0"/>
                <w:sz w:val="21"/>
                <w:szCs w:val="14"/>
                <w:highlight w:val="none"/>
                <w:vertAlign w:val="superscript"/>
              </w:rPr>
              <w:t>2</w:t>
            </w:r>
          </w:p>
        </w:tc>
      </w:tr>
      <w:tr w14:paraId="2F3B2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14:paraId="464F573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3103155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预测因子</w:t>
            </w:r>
          </w:p>
        </w:tc>
        <w:tc>
          <w:tcPr>
            <w:tcW w:w="3910" w:type="pct"/>
            <w:gridSpan w:val="13"/>
            <w:tcBorders>
              <w:tl2br w:val="nil"/>
              <w:tr2bl w:val="nil"/>
            </w:tcBorders>
            <w:vAlign w:val="center"/>
          </w:tcPr>
          <w:p w14:paraId="349E166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r>
      <w:tr w14:paraId="4EE2B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58" w:type="pct"/>
            <w:vMerge w:val="continue"/>
            <w:tcBorders>
              <w:tl2br w:val="nil"/>
              <w:tr2bl w:val="nil"/>
            </w:tcBorders>
            <w:textDirection w:val="tbRlV"/>
            <w:vAlign w:val="center"/>
          </w:tcPr>
          <w:p w14:paraId="6F70BA7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3994B9A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预测时期</w:t>
            </w:r>
          </w:p>
        </w:tc>
        <w:tc>
          <w:tcPr>
            <w:tcW w:w="3910" w:type="pct"/>
            <w:gridSpan w:val="13"/>
            <w:tcBorders>
              <w:tl2br w:val="nil"/>
              <w:tr2bl w:val="nil"/>
            </w:tcBorders>
            <w:vAlign w:val="center"/>
          </w:tcPr>
          <w:p w14:paraId="7C3767A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丰水期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0" name="IM 142"/>
                  <wp:cNvGraphicFramePr/>
                  <a:graphic xmlns:a="http://schemas.openxmlformats.org/drawingml/2006/main">
                    <a:graphicData uri="http://schemas.openxmlformats.org/drawingml/2006/picture">
                      <pic:pic xmlns:pic="http://schemas.openxmlformats.org/drawingml/2006/picture">
                        <pic:nvPicPr>
                          <pic:cNvPr id="230" name="IM 142"/>
                          <pic:cNvPicPr/>
                        </pic:nvPicPr>
                        <pic:blipFill>
                          <a:blip r:embed="rId56"/>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；平水期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1" name="IM 143"/>
                  <wp:cNvGraphicFramePr/>
                  <a:graphic xmlns:a="http://schemas.openxmlformats.org/drawingml/2006/main">
                    <a:graphicData uri="http://schemas.openxmlformats.org/drawingml/2006/picture">
                      <pic:pic xmlns:pic="http://schemas.openxmlformats.org/drawingml/2006/picture">
                        <pic:nvPicPr>
                          <pic:cNvPr id="231" name="IM 143"/>
                          <pic:cNvPicPr/>
                        </pic:nvPicPr>
                        <pic:blipFill>
                          <a:blip r:embed="rId55"/>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；枯水期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2" name="IM 144"/>
                  <wp:cNvGraphicFramePr/>
                  <a:graphic xmlns:a="http://schemas.openxmlformats.org/drawingml/2006/main">
                    <a:graphicData uri="http://schemas.openxmlformats.org/drawingml/2006/picture">
                      <pic:pic xmlns:pic="http://schemas.openxmlformats.org/drawingml/2006/picture">
                        <pic:nvPicPr>
                          <pic:cNvPr id="232" name="IM 144"/>
                          <pic:cNvPicPr/>
                        </pic:nvPicPr>
                        <pic:blipFill>
                          <a:blip r:embed="rId56"/>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；冰封期</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3" name="IM 145"/>
                  <wp:cNvGraphicFramePr/>
                  <a:graphic xmlns:a="http://schemas.openxmlformats.org/drawingml/2006/main">
                    <a:graphicData uri="http://schemas.openxmlformats.org/drawingml/2006/picture">
                      <pic:pic xmlns:pic="http://schemas.openxmlformats.org/drawingml/2006/picture">
                        <pic:nvPicPr>
                          <pic:cNvPr id="233" name="IM 145"/>
                          <pic:cNvPicPr/>
                        </pic:nvPicPr>
                        <pic:blipFill>
                          <a:blip r:embed="rId55"/>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；春季</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4" name="IM 146"/>
                  <wp:cNvGraphicFramePr/>
                  <a:graphic xmlns:a="http://schemas.openxmlformats.org/drawingml/2006/main">
                    <a:graphicData uri="http://schemas.openxmlformats.org/drawingml/2006/picture">
                      <pic:pic xmlns:pic="http://schemas.openxmlformats.org/drawingml/2006/picture">
                        <pic:nvPicPr>
                          <pic:cNvPr id="234" name="IM 146"/>
                          <pic:cNvPicPr/>
                        </pic:nvPicPr>
                        <pic:blipFill>
                          <a:blip r:embed="rId56"/>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；夏季</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5" name="IM 147"/>
                  <wp:cNvGraphicFramePr/>
                  <a:graphic xmlns:a="http://schemas.openxmlformats.org/drawingml/2006/main">
                    <a:graphicData uri="http://schemas.openxmlformats.org/drawingml/2006/picture">
                      <pic:pic xmlns:pic="http://schemas.openxmlformats.org/drawingml/2006/picture">
                        <pic:nvPicPr>
                          <pic:cNvPr id="235" name="IM 147"/>
                          <pic:cNvPicPr/>
                        </pic:nvPicPr>
                        <pic:blipFill>
                          <a:blip r:embed="rId55"/>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；秋季</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36" name="IM 148"/>
                  <wp:cNvGraphicFramePr/>
                  <a:graphic xmlns:a="http://schemas.openxmlformats.org/drawingml/2006/main">
                    <a:graphicData uri="http://schemas.openxmlformats.org/drawingml/2006/picture">
                      <pic:pic xmlns:pic="http://schemas.openxmlformats.org/drawingml/2006/picture">
                        <pic:nvPicPr>
                          <pic:cNvPr id="236" name="IM 148"/>
                          <pic:cNvPicPr/>
                        </pic:nvPicPr>
                        <pic:blipFill>
                          <a:blip r:embed="rId56"/>
                          <a:stretch>
                            <a:fillRect/>
                          </a:stretch>
                        </pic:blipFill>
                        <pic:spPr>
                          <a:xfrm>
                            <a:off x="0" y="0"/>
                            <a:ext cx="11365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；冬季</w:t>
            </w:r>
            <w:r>
              <w:rPr>
                <w:rFonts w:ascii="Times New Roman" w:hAnsi="Times New Roman" w:eastAsia="宋体" w:cs="宋体"/>
                <w:color w:val="auto"/>
                <w:spacing w:val="0"/>
                <w:position w:val="0"/>
                <w:sz w:val="21"/>
                <w:szCs w:val="21"/>
                <w:highlight w:val="none"/>
              </w:rPr>
              <w:drawing>
                <wp:inline distT="0" distB="0" distL="0" distR="0">
                  <wp:extent cx="104775" cy="97790"/>
                  <wp:effectExtent l="0" t="0" r="9525" b="16510"/>
                  <wp:docPr id="237" name="IM 149"/>
                  <wp:cNvGraphicFramePr/>
                  <a:graphic xmlns:a="http://schemas.openxmlformats.org/drawingml/2006/main">
                    <a:graphicData uri="http://schemas.openxmlformats.org/drawingml/2006/picture">
                      <pic:pic xmlns:pic="http://schemas.openxmlformats.org/drawingml/2006/picture">
                        <pic:nvPicPr>
                          <pic:cNvPr id="237" name="IM 149"/>
                          <pic:cNvPicPr/>
                        </pic:nvPicPr>
                        <pic:blipFill>
                          <a:blip r:embed="rId55"/>
                          <a:stretch>
                            <a:fillRect/>
                          </a:stretch>
                        </pic:blipFill>
                        <pic:spPr>
                          <a:xfrm>
                            <a:off x="0" y="0"/>
                            <a:ext cx="105006"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；设计水文条件</w:t>
            </w:r>
            <w:r>
              <w:rPr>
                <w:rFonts w:ascii="Times New Roman" w:hAnsi="Times New Roman" w:eastAsia="宋体"/>
                <w:color w:val="auto"/>
                <w:spacing w:val="0"/>
                <w:position w:val="0"/>
                <w:sz w:val="21"/>
                <w:szCs w:val="21"/>
                <w:highlight w:val="none"/>
              </w:rPr>
              <w:drawing>
                <wp:inline distT="0" distB="0" distL="0" distR="0">
                  <wp:extent cx="104775" cy="97790"/>
                  <wp:effectExtent l="0" t="0" r="9525" b="16510"/>
                  <wp:docPr id="238" name="IM 150"/>
                  <wp:cNvGraphicFramePr/>
                  <a:graphic xmlns:a="http://schemas.openxmlformats.org/drawingml/2006/main">
                    <a:graphicData uri="http://schemas.openxmlformats.org/drawingml/2006/picture">
                      <pic:pic xmlns:pic="http://schemas.openxmlformats.org/drawingml/2006/picture">
                        <pic:nvPicPr>
                          <pic:cNvPr id="238" name="IM 150"/>
                          <pic:cNvPicPr/>
                        </pic:nvPicPr>
                        <pic:blipFill>
                          <a:blip r:embed="rId55"/>
                          <a:stretch>
                            <a:fillRect/>
                          </a:stretch>
                        </pic:blipFill>
                        <pic:spPr>
                          <a:xfrm>
                            <a:off x="0" y="0"/>
                            <a:ext cx="105006" cy="97878"/>
                          </a:xfrm>
                          <a:prstGeom prst="rect">
                            <a:avLst/>
                          </a:prstGeom>
                        </pic:spPr>
                      </pic:pic>
                    </a:graphicData>
                  </a:graphic>
                </wp:inline>
              </w:drawing>
            </w:r>
          </w:p>
        </w:tc>
      </w:tr>
      <w:tr w14:paraId="1FB1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jc w:val="center"/>
        </w:trPr>
        <w:tc>
          <w:tcPr>
            <w:tcW w:w="258" w:type="pct"/>
            <w:vMerge w:val="continue"/>
            <w:tcBorders>
              <w:tl2br w:val="nil"/>
              <w:tr2bl w:val="nil"/>
            </w:tcBorders>
            <w:textDirection w:val="tbRlV"/>
            <w:vAlign w:val="center"/>
          </w:tcPr>
          <w:p w14:paraId="0269F87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1E62EC8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预测情景</w:t>
            </w:r>
          </w:p>
        </w:tc>
        <w:tc>
          <w:tcPr>
            <w:tcW w:w="3910" w:type="pct"/>
            <w:gridSpan w:val="13"/>
            <w:tcBorders>
              <w:tl2br w:val="nil"/>
              <w:tr2bl w:val="nil"/>
            </w:tcBorders>
            <w:vAlign w:val="center"/>
          </w:tcPr>
          <w:p w14:paraId="6D02FA7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建设期</w:t>
            </w:r>
            <w:r>
              <w:rPr>
                <w:rFonts w:ascii="Times New Roman" w:hAnsi="Times New Roman" w:eastAsia="宋体"/>
                <w:color w:val="auto"/>
                <w:spacing w:val="0"/>
                <w:position w:val="0"/>
                <w:sz w:val="21"/>
                <w:szCs w:val="21"/>
                <w:highlight w:val="none"/>
              </w:rPr>
              <w:drawing>
                <wp:inline distT="0" distB="0" distL="0" distR="0">
                  <wp:extent cx="113665" cy="97790"/>
                  <wp:effectExtent l="0" t="0" r="635" b="16510"/>
                  <wp:docPr id="239" name="IM 151"/>
                  <wp:cNvGraphicFramePr/>
                  <a:graphic xmlns:a="http://schemas.openxmlformats.org/drawingml/2006/main">
                    <a:graphicData uri="http://schemas.openxmlformats.org/drawingml/2006/picture">
                      <pic:pic xmlns:pic="http://schemas.openxmlformats.org/drawingml/2006/picture">
                        <pic:nvPicPr>
                          <pic:cNvPr id="239" name="IM 151"/>
                          <pic:cNvPicPr/>
                        </pic:nvPicPr>
                        <pic:blipFill>
                          <a:blip r:embed="rId54"/>
                          <a:stretch>
                            <a:fillRect/>
                          </a:stretch>
                        </pic:blipFill>
                        <pic:spPr>
                          <a:xfrm>
                            <a:off x="0" y="0"/>
                            <a:ext cx="11392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；生产运行期</w:t>
            </w:r>
            <w:r>
              <w:rPr>
                <w:rFonts w:ascii="Times New Roman" w:hAnsi="Times New Roman" w:eastAsia="宋体"/>
                <w:color w:val="auto"/>
                <w:spacing w:val="0"/>
                <w:position w:val="0"/>
                <w:sz w:val="21"/>
                <w:szCs w:val="21"/>
                <w:highlight w:val="none"/>
              </w:rPr>
              <w:drawing>
                <wp:inline distT="0" distB="0" distL="0" distR="0">
                  <wp:extent cx="113665" cy="97790"/>
                  <wp:effectExtent l="0" t="0" r="635" b="16510"/>
                  <wp:docPr id="240" name="IM 152"/>
                  <wp:cNvGraphicFramePr/>
                  <a:graphic xmlns:a="http://schemas.openxmlformats.org/drawingml/2006/main">
                    <a:graphicData uri="http://schemas.openxmlformats.org/drawingml/2006/picture">
                      <pic:pic xmlns:pic="http://schemas.openxmlformats.org/drawingml/2006/picture">
                        <pic:nvPicPr>
                          <pic:cNvPr id="240" name="IM 152"/>
                          <pic:cNvPicPr/>
                        </pic:nvPicPr>
                        <pic:blipFill>
                          <a:blip r:embed="rId52"/>
                          <a:stretch>
                            <a:fillRect/>
                          </a:stretch>
                        </pic:blipFill>
                        <pic:spPr>
                          <a:xfrm>
                            <a:off x="0" y="0"/>
                            <a:ext cx="11392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；服务期满后</w:t>
            </w:r>
            <w:r>
              <w:rPr>
                <w:rFonts w:ascii="Times New Roman" w:hAnsi="Times New Roman" w:eastAsia="宋体"/>
                <w:color w:val="auto"/>
                <w:spacing w:val="0"/>
                <w:position w:val="0"/>
                <w:sz w:val="21"/>
                <w:szCs w:val="21"/>
                <w:highlight w:val="none"/>
              </w:rPr>
              <w:drawing>
                <wp:inline distT="0" distB="0" distL="0" distR="0">
                  <wp:extent cx="113665" cy="97790"/>
                  <wp:effectExtent l="0" t="0" r="635" b="16510"/>
                  <wp:docPr id="241" name="IM 153"/>
                  <wp:cNvGraphicFramePr/>
                  <a:graphic xmlns:a="http://schemas.openxmlformats.org/drawingml/2006/main">
                    <a:graphicData uri="http://schemas.openxmlformats.org/drawingml/2006/picture">
                      <pic:pic xmlns:pic="http://schemas.openxmlformats.org/drawingml/2006/picture">
                        <pic:nvPicPr>
                          <pic:cNvPr id="241" name="IM 153"/>
                          <pic:cNvPicPr/>
                        </pic:nvPicPr>
                        <pic:blipFill>
                          <a:blip r:embed="rId54"/>
                          <a:stretch>
                            <a:fillRect/>
                          </a:stretch>
                        </pic:blipFill>
                        <pic:spPr>
                          <a:xfrm>
                            <a:off x="0" y="0"/>
                            <a:ext cx="113921"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w:t>
            </w:r>
          </w:p>
          <w:p w14:paraId="5F7546A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正常工况</w:t>
            </w:r>
            <w:r>
              <w:rPr>
                <w:rFonts w:ascii="Times New Roman" w:hAnsi="Times New Roman" w:eastAsia="宋体"/>
                <w:color w:val="auto"/>
                <w:spacing w:val="0"/>
                <w:position w:val="0"/>
                <w:sz w:val="21"/>
                <w:szCs w:val="21"/>
                <w:highlight w:val="none"/>
              </w:rPr>
              <w:drawing>
                <wp:inline distT="0" distB="0" distL="0" distR="0">
                  <wp:extent cx="110490" cy="97790"/>
                  <wp:effectExtent l="0" t="0" r="3810" b="16510"/>
                  <wp:docPr id="242" name="IM 154"/>
                  <wp:cNvGraphicFramePr/>
                  <a:graphic xmlns:a="http://schemas.openxmlformats.org/drawingml/2006/main">
                    <a:graphicData uri="http://schemas.openxmlformats.org/drawingml/2006/picture">
                      <pic:pic xmlns:pic="http://schemas.openxmlformats.org/drawingml/2006/picture">
                        <pic:nvPicPr>
                          <pic:cNvPr id="242" name="IM 154"/>
                          <pic:cNvPicPr/>
                        </pic:nvPicPr>
                        <pic:blipFill>
                          <a:blip r:embed="rId52"/>
                          <a:stretch>
                            <a:fillRect/>
                          </a:stretch>
                        </pic:blipFill>
                        <pic:spPr>
                          <a:xfrm>
                            <a:off x="0" y="0"/>
                            <a:ext cx="11060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；非正常工况</w:t>
            </w:r>
            <w:r>
              <w:rPr>
                <w:rFonts w:ascii="Times New Roman" w:hAnsi="Times New Roman" w:eastAsia="宋体"/>
                <w:color w:val="auto"/>
                <w:spacing w:val="0"/>
                <w:position w:val="0"/>
                <w:sz w:val="21"/>
                <w:szCs w:val="21"/>
                <w:highlight w:val="none"/>
              </w:rPr>
              <w:drawing>
                <wp:inline distT="0" distB="0" distL="0" distR="0">
                  <wp:extent cx="110490" cy="97790"/>
                  <wp:effectExtent l="0" t="0" r="3810" b="16510"/>
                  <wp:docPr id="243" name="IM 155"/>
                  <wp:cNvGraphicFramePr/>
                  <a:graphic xmlns:a="http://schemas.openxmlformats.org/drawingml/2006/main">
                    <a:graphicData uri="http://schemas.openxmlformats.org/drawingml/2006/picture">
                      <pic:pic xmlns:pic="http://schemas.openxmlformats.org/drawingml/2006/picture">
                        <pic:nvPicPr>
                          <pic:cNvPr id="243" name="IM 155"/>
                          <pic:cNvPicPr/>
                        </pic:nvPicPr>
                        <pic:blipFill>
                          <a:blip r:embed="rId52"/>
                          <a:stretch>
                            <a:fillRect/>
                          </a:stretch>
                        </pic:blipFill>
                        <pic:spPr>
                          <a:xfrm>
                            <a:off x="0" y="0"/>
                            <a:ext cx="11060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w:t>
            </w:r>
          </w:p>
          <w:p w14:paraId="67A8805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污染控制和减缓措施方案</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44" name="IM 156"/>
                  <wp:cNvGraphicFramePr/>
                  <a:graphic xmlns:a="http://schemas.openxmlformats.org/drawingml/2006/main">
                    <a:graphicData uri="http://schemas.openxmlformats.org/drawingml/2006/picture">
                      <pic:pic xmlns:pic="http://schemas.openxmlformats.org/drawingml/2006/picture">
                        <pic:nvPicPr>
                          <pic:cNvPr id="244" name="IM 156"/>
                          <pic:cNvPicPr/>
                        </pic:nvPicPr>
                        <pic:blipFill>
                          <a:blip r:embed="rId52"/>
                          <a:stretch>
                            <a:fillRect/>
                          </a:stretch>
                        </pic:blipFill>
                        <pic:spPr>
                          <a:xfrm>
                            <a:off x="0" y="0"/>
                            <a:ext cx="107867"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w:t>
            </w:r>
          </w:p>
          <w:p w14:paraId="792578E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区</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流</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域环境质量改善目标要求情景</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45" name="IM 157"/>
                  <wp:cNvGraphicFramePr/>
                  <a:graphic xmlns:a="http://schemas.openxmlformats.org/drawingml/2006/main">
                    <a:graphicData uri="http://schemas.openxmlformats.org/drawingml/2006/picture">
                      <pic:pic xmlns:pic="http://schemas.openxmlformats.org/drawingml/2006/picture">
                        <pic:nvPicPr>
                          <pic:cNvPr id="245" name="IM 157"/>
                          <pic:cNvPicPr/>
                        </pic:nvPicPr>
                        <pic:blipFill>
                          <a:blip r:embed="rId52"/>
                          <a:stretch>
                            <a:fillRect/>
                          </a:stretch>
                        </pic:blipFill>
                        <pic:spPr>
                          <a:xfrm>
                            <a:off x="0" y="0"/>
                            <a:ext cx="107867" cy="97878"/>
                          </a:xfrm>
                          <a:prstGeom prst="rect">
                            <a:avLst/>
                          </a:prstGeom>
                        </pic:spPr>
                      </pic:pic>
                    </a:graphicData>
                  </a:graphic>
                </wp:inline>
              </w:drawing>
            </w:r>
          </w:p>
        </w:tc>
      </w:tr>
      <w:tr w14:paraId="5C2F7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14:paraId="76F27AC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2BBC0BC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预测方法</w:t>
            </w:r>
          </w:p>
        </w:tc>
        <w:tc>
          <w:tcPr>
            <w:tcW w:w="3910" w:type="pct"/>
            <w:gridSpan w:val="13"/>
            <w:tcBorders>
              <w:tl2br w:val="nil"/>
              <w:tr2bl w:val="nil"/>
            </w:tcBorders>
            <w:vAlign w:val="center"/>
          </w:tcPr>
          <w:p w14:paraId="65E5199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数值解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46" name="IM 158"/>
                  <wp:cNvGraphicFramePr/>
                  <a:graphic xmlns:a="http://schemas.openxmlformats.org/drawingml/2006/main">
                    <a:graphicData uri="http://schemas.openxmlformats.org/drawingml/2006/picture">
                      <pic:pic xmlns:pic="http://schemas.openxmlformats.org/drawingml/2006/picture">
                        <pic:nvPicPr>
                          <pic:cNvPr id="246" name="IM 158"/>
                          <pic:cNvPicPr/>
                        </pic:nvPicPr>
                        <pic:blipFill>
                          <a:blip r:embed="rId52"/>
                          <a:stretch>
                            <a:fillRect/>
                          </a:stretch>
                        </pic:blipFill>
                        <pic:spPr>
                          <a:xfrm>
                            <a:off x="0" y="0"/>
                            <a:ext cx="11156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；解析解</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47" name="IM 159"/>
                  <wp:cNvGraphicFramePr/>
                  <a:graphic xmlns:a="http://schemas.openxmlformats.org/drawingml/2006/main">
                    <a:graphicData uri="http://schemas.openxmlformats.org/drawingml/2006/picture">
                      <pic:pic xmlns:pic="http://schemas.openxmlformats.org/drawingml/2006/picture">
                        <pic:nvPicPr>
                          <pic:cNvPr id="247" name="IM 159"/>
                          <pic:cNvPicPr/>
                        </pic:nvPicPr>
                        <pic:blipFill>
                          <a:blip r:embed="rId54"/>
                          <a:stretch>
                            <a:fillRect/>
                          </a:stretch>
                        </pic:blipFill>
                        <pic:spPr>
                          <a:xfrm>
                            <a:off x="0" y="0"/>
                            <a:ext cx="11156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48" name="IM 160"/>
                  <wp:cNvGraphicFramePr/>
                  <a:graphic xmlns:a="http://schemas.openxmlformats.org/drawingml/2006/main">
                    <a:graphicData uri="http://schemas.openxmlformats.org/drawingml/2006/picture">
                      <pic:pic xmlns:pic="http://schemas.openxmlformats.org/drawingml/2006/picture">
                        <pic:nvPicPr>
                          <pic:cNvPr id="248" name="IM 160"/>
                          <pic:cNvPicPr/>
                        </pic:nvPicPr>
                        <pic:blipFill>
                          <a:blip r:embed="rId52"/>
                          <a:stretch>
                            <a:fillRect/>
                          </a:stretch>
                        </pic:blipFill>
                        <pic:spPr>
                          <a:xfrm>
                            <a:off x="0" y="0"/>
                            <a:ext cx="11156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；导则推荐模式</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49" name="IM 161"/>
                  <wp:cNvGraphicFramePr/>
                  <a:graphic xmlns:a="http://schemas.openxmlformats.org/drawingml/2006/main">
                    <a:graphicData uri="http://schemas.openxmlformats.org/drawingml/2006/picture">
                      <pic:pic xmlns:pic="http://schemas.openxmlformats.org/drawingml/2006/picture">
                        <pic:nvPicPr>
                          <pic:cNvPr id="249" name="IM 161"/>
                          <pic:cNvPicPr/>
                        </pic:nvPicPr>
                        <pic:blipFill>
                          <a:blip r:embed="rId54"/>
                          <a:stretch>
                            <a:fillRect/>
                          </a:stretch>
                        </pic:blipFill>
                        <pic:spPr>
                          <a:xfrm>
                            <a:off x="0" y="0"/>
                            <a:ext cx="11156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11125" cy="97790"/>
                  <wp:effectExtent l="0" t="0" r="3175" b="16510"/>
                  <wp:docPr id="250" name="IM 162"/>
                  <wp:cNvGraphicFramePr/>
                  <a:graphic xmlns:a="http://schemas.openxmlformats.org/drawingml/2006/main">
                    <a:graphicData uri="http://schemas.openxmlformats.org/drawingml/2006/picture">
                      <pic:pic xmlns:pic="http://schemas.openxmlformats.org/drawingml/2006/picture">
                        <pic:nvPicPr>
                          <pic:cNvPr id="250" name="IM 162"/>
                          <pic:cNvPicPr/>
                        </pic:nvPicPr>
                        <pic:blipFill>
                          <a:blip r:embed="rId52"/>
                          <a:stretch>
                            <a:fillRect/>
                          </a:stretch>
                        </pic:blipFill>
                        <pic:spPr>
                          <a:xfrm>
                            <a:off x="0" y="0"/>
                            <a:ext cx="111560" cy="97878"/>
                          </a:xfrm>
                          <a:prstGeom prst="rect">
                            <a:avLst/>
                          </a:prstGeom>
                        </pic:spPr>
                      </pic:pic>
                    </a:graphicData>
                  </a:graphic>
                </wp:inline>
              </w:drawing>
            </w:r>
          </w:p>
        </w:tc>
      </w:tr>
      <w:tr w14:paraId="11A53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jc w:val="center"/>
        </w:trPr>
        <w:tc>
          <w:tcPr>
            <w:tcW w:w="258" w:type="pct"/>
            <w:vMerge w:val="restart"/>
            <w:tcBorders>
              <w:tl2br w:val="nil"/>
              <w:tr2bl w:val="nil"/>
            </w:tcBorders>
            <w:textDirection w:val="tbRlV"/>
            <w:vAlign w:val="center"/>
          </w:tcPr>
          <w:p w14:paraId="2807DF4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影响评价</w:t>
            </w:r>
          </w:p>
        </w:tc>
        <w:tc>
          <w:tcPr>
            <w:tcW w:w="831" w:type="pct"/>
            <w:tcBorders>
              <w:tl2br w:val="nil"/>
              <w:tr2bl w:val="nil"/>
            </w:tcBorders>
            <w:vAlign w:val="center"/>
          </w:tcPr>
          <w:p w14:paraId="05F10C3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水污染物控制</w:t>
            </w:r>
          </w:p>
          <w:p w14:paraId="44DD22A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和水环境影响</w:t>
            </w:r>
          </w:p>
          <w:p w14:paraId="0147414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减缓措施有效</w:t>
            </w:r>
          </w:p>
          <w:p w14:paraId="3E11008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性评价</w:t>
            </w:r>
          </w:p>
        </w:tc>
        <w:tc>
          <w:tcPr>
            <w:tcW w:w="3910" w:type="pct"/>
            <w:gridSpan w:val="13"/>
            <w:tcBorders>
              <w:tl2br w:val="nil"/>
              <w:tr2bl w:val="nil"/>
            </w:tcBorders>
            <w:vAlign w:val="center"/>
          </w:tcPr>
          <w:p w14:paraId="3F3795C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区</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流</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域水环境质量改善目标</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51" name="IM 163"/>
                  <wp:cNvGraphicFramePr/>
                  <a:graphic xmlns:a="http://schemas.openxmlformats.org/drawingml/2006/main">
                    <a:graphicData uri="http://schemas.openxmlformats.org/drawingml/2006/picture">
                      <pic:pic xmlns:pic="http://schemas.openxmlformats.org/drawingml/2006/picture">
                        <pic:nvPicPr>
                          <pic:cNvPr id="251" name="IM 163"/>
                          <pic:cNvPicPr/>
                        </pic:nvPicPr>
                        <pic:blipFill>
                          <a:blip r:embed="rId52"/>
                          <a:stretch>
                            <a:fillRect/>
                          </a:stretch>
                        </pic:blipFill>
                        <pic:spPr>
                          <a:xfrm>
                            <a:off x="0" y="0"/>
                            <a:ext cx="10774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；替代消减源</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52" name="IM 164"/>
                  <wp:cNvGraphicFramePr/>
                  <a:graphic xmlns:a="http://schemas.openxmlformats.org/drawingml/2006/main">
                    <a:graphicData uri="http://schemas.openxmlformats.org/drawingml/2006/picture">
                      <pic:pic xmlns:pic="http://schemas.openxmlformats.org/drawingml/2006/picture">
                        <pic:nvPicPr>
                          <pic:cNvPr id="252" name="IM 164"/>
                          <pic:cNvPicPr/>
                        </pic:nvPicPr>
                        <pic:blipFill>
                          <a:blip r:embed="rId52"/>
                          <a:stretch>
                            <a:fillRect/>
                          </a:stretch>
                        </pic:blipFill>
                        <pic:spPr>
                          <a:xfrm>
                            <a:off x="0" y="0"/>
                            <a:ext cx="107740" cy="97878"/>
                          </a:xfrm>
                          <a:prstGeom prst="rect">
                            <a:avLst/>
                          </a:prstGeom>
                        </pic:spPr>
                      </pic:pic>
                    </a:graphicData>
                  </a:graphic>
                </wp:inline>
              </w:drawing>
            </w:r>
          </w:p>
        </w:tc>
      </w:tr>
      <w:tr w14:paraId="6670F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14:paraId="3C15497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restart"/>
            <w:tcBorders>
              <w:tl2br w:val="nil"/>
              <w:tr2bl w:val="nil"/>
            </w:tcBorders>
            <w:vAlign w:val="center"/>
          </w:tcPr>
          <w:p w14:paraId="3FA019D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污染源排放量核算</w:t>
            </w:r>
          </w:p>
        </w:tc>
        <w:tc>
          <w:tcPr>
            <w:tcW w:w="931" w:type="pct"/>
            <w:gridSpan w:val="2"/>
            <w:tcBorders>
              <w:tl2br w:val="nil"/>
              <w:tr2bl w:val="nil"/>
            </w:tcBorders>
            <w:vAlign w:val="center"/>
          </w:tcPr>
          <w:p w14:paraId="2273068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污染物名称</w:t>
            </w:r>
          </w:p>
        </w:tc>
        <w:tc>
          <w:tcPr>
            <w:tcW w:w="1265" w:type="pct"/>
            <w:gridSpan w:val="6"/>
            <w:tcBorders>
              <w:tl2br w:val="nil"/>
              <w:tr2bl w:val="nil"/>
            </w:tcBorders>
            <w:vAlign w:val="center"/>
          </w:tcPr>
          <w:p w14:paraId="74582A7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排放量</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c>
          <w:tcPr>
            <w:tcW w:w="1713" w:type="pct"/>
            <w:gridSpan w:val="5"/>
            <w:tcBorders>
              <w:tl2br w:val="nil"/>
              <w:tr2bl w:val="nil"/>
            </w:tcBorders>
            <w:vAlign w:val="center"/>
          </w:tcPr>
          <w:p w14:paraId="6659E70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排放浓度</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mg/L</w:t>
            </w:r>
            <w:r>
              <w:rPr>
                <w:rFonts w:hint="eastAsia" w:cs="宋体"/>
                <w:color w:val="auto"/>
                <w:spacing w:val="0"/>
                <w:position w:val="0"/>
                <w:sz w:val="21"/>
                <w:szCs w:val="21"/>
                <w:highlight w:val="none"/>
                <w:lang w:eastAsia="zh-CN"/>
              </w:rPr>
              <w:t>）</w:t>
            </w:r>
          </w:p>
        </w:tc>
      </w:tr>
      <w:tr w14:paraId="39C3F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8" w:type="pct"/>
            <w:vMerge w:val="continue"/>
            <w:tcBorders>
              <w:tl2br w:val="nil"/>
              <w:tr2bl w:val="nil"/>
            </w:tcBorders>
            <w:textDirection w:val="tbRlV"/>
            <w:vAlign w:val="center"/>
          </w:tcPr>
          <w:p w14:paraId="07F67B6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14:paraId="5634B99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931" w:type="pct"/>
            <w:gridSpan w:val="2"/>
            <w:tcBorders>
              <w:tl2br w:val="nil"/>
              <w:tr2bl w:val="nil"/>
            </w:tcBorders>
            <w:vAlign w:val="center"/>
          </w:tcPr>
          <w:p w14:paraId="467F4D5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c>
          <w:tcPr>
            <w:tcW w:w="1265" w:type="pct"/>
            <w:gridSpan w:val="6"/>
            <w:tcBorders>
              <w:tl2br w:val="nil"/>
              <w:tr2bl w:val="nil"/>
            </w:tcBorders>
            <w:vAlign w:val="center"/>
          </w:tcPr>
          <w:p w14:paraId="045C94A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c>
          <w:tcPr>
            <w:tcW w:w="1713" w:type="pct"/>
            <w:gridSpan w:val="5"/>
            <w:tcBorders>
              <w:tl2br w:val="nil"/>
              <w:tr2bl w:val="nil"/>
            </w:tcBorders>
            <w:vAlign w:val="center"/>
          </w:tcPr>
          <w:p w14:paraId="4CCFF05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r>
      <w:tr w14:paraId="5C797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58" w:type="pct"/>
            <w:vMerge w:val="continue"/>
            <w:tcBorders>
              <w:tl2br w:val="nil"/>
              <w:tr2bl w:val="nil"/>
            </w:tcBorders>
            <w:textDirection w:val="tbRlV"/>
            <w:vAlign w:val="center"/>
          </w:tcPr>
          <w:p w14:paraId="66AE27B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restart"/>
            <w:tcBorders>
              <w:tl2br w:val="nil"/>
              <w:tr2bl w:val="nil"/>
            </w:tcBorders>
            <w:vAlign w:val="center"/>
          </w:tcPr>
          <w:p w14:paraId="36C7E09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替代源排放情况</w:t>
            </w:r>
          </w:p>
        </w:tc>
        <w:tc>
          <w:tcPr>
            <w:tcW w:w="637" w:type="pct"/>
            <w:tcBorders>
              <w:tl2br w:val="nil"/>
              <w:tr2bl w:val="nil"/>
            </w:tcBorders>
            <w:vAlign w:val="center"/>
          </w:tcPr>
          <w:p w14:paraId="448E1C3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污染源名称</w:t>
            </w:r>
          </w:p>
        </w:tc>
        <w:tc>
          <w:tcPr>
            <w:tcW w:w="721" w:type="pct"/>
            <w:gridSpan w:val="4"/>
            <w:tcBorders>
              <w:tl2br w:val="nil"/>
              <w:tr2bl w:val="nil"/>
            </w:tcBorders>
            <w:vAlign w:val="center"/>
          </w:tcPr>
          <w:p w14:paraId="5FF08A0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排污许可证号</w:t>
            </w:r>
          </w:p>
        </w:tc>
        <w:tc>
          <w:tcPr>
            <w:tcW w:w="759" w:type="pct"/>
            <w:gridSpan w:val="2"/>
            <w:tcBorders>
              <w:tl2br w:val="nil"/>
              <w:tr2bl w:val="nil"/>
            </w:tcBorders>
            <w:vAlign w:val="center"/>
          </w:tcPr>
          <w:p w14:paraId="2932BE5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污染物名称</w:t>
            </w:r>
          </w:p>
        </w:tc>
        <w:tc>
          <w:tcPr>
            <w:tcW w:w="715" w:type="pct"/>
            <w:gridSpan w:val="3"/>
            <w:tcBorders>
              <w:tl2br w:val="nil"/>
              <w:tr2bl w:val="nil"/>
            </w:tcBorders>
            <w:vAlign w:val="center"/>
          </w:tcPr>
          <w:p w14:paraId="3AF1F04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排放量</w:t>
            </w:r>
            <w:r>
              <w:rPr>
                <w:rFonts w:ascii="Times New Roman" w:hAnsi="Times New Roman" w:eastAsia="宋体" w:cs="Times New Roman"/>
                <w:color w:val="auto"/>
                <w:spacing w:val="0"/>
                <w:position w:val="0"/>
                <w:sz w:val="21"/>
                <w:szCs w:val="21"/>
                <w:highlight w:val="none"/>
              </w:rPr>
              <w:t>/</w:t>
            </w:r>
          </w:p>
          <w:p w14:paraId="17CB4A0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t/a</w:t>
            </w:r>
            <w:r>
              <w:rPr>
                <w:rFonts w:hint="eastAsia" w:cs="宋体"/>
                <w:color w:val="auto"/>
                <w:spacing w:val="0"/>
                <w:position w:val="0"/>
                <w:sz w:val="21"/>
                <w:szCs w:val="21"/>
                <w:highlight w:val="none"/>
                <w:lang w:eastAsia="zh-CN"/>
              </w:rPr>
              <w:t>）</w:t>
            </w:r>
          </w:p>
        </w:tc>
        <w:tc>
          <w:tcPr>
            <w:tcW w:w="1076" w:type="pct"/>
            <w:gridSpan w:val="3"/>
            <w:tcBorders>
              <w:tl2br w:val="nil"/>
              <w:tr2bl w:val="nil"/>
            </w:tcBorders>
            <w:vAlign w:val="center"/>
          </w:tcPr>
          <w:p w14:paraId="24CE50E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排放浓度</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mg/L</w:t>
            </w:r>
            <w:r>
              <w:rPr>
                <w:rFonts w:hint="eastAsia" w:cs="宋体"/>
                <w:color w:val="auto"/>
                <w:spacing w:val="0"/>
                <w:position w:val="0"/>
                <w:sz w:val="21"/>
                <w:szCs w:val="21"/>
                <w:highlight w:val="none"/>
                <w:lang w:eastAsia="zh-CN"/>
              </w:rPr>
              <w:t>）</w:t>
            </w:r>
          </w:p>
        </w:tc>
      </w:tr>
      <w:tr w14:paraId="1A395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258" w:type="pct"/>
            <w:vMerge w:val="continue"/>
            <w:tcBorders>
              <w:tl2br w:val="nil"/>
              <w:tr2bl w:val="nil"/>
            </w:tcBorders>
            <w:textDirection w:val="tbRlV"/>
            <w:vAlign w:val="center"/>
          </w:tcPr>
          <w:p w14:paraId="33BFB85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14:paraId="132F275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637" w:type="pct"/>
            <w:tcBorders>
              <w:tl2br w:val="nil"/>
              <w:tr2bl w:val="nil"/>
            </w:tcBorders>
            <w:vAlign w:val="center"/>
          </w:tcPr>
          <w:p w14:paraId="7A46560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721" w:type="pct"/>
            <w:gridSpan w:val="4"/>
            <w:tcBorders>
              <w:tl2br w:val="nil"/>
              <w:tr2bl w:val="nil"/>
            </w:tcBorders>
            <w:vAlign w:val="center"/>
          </w:tcPr>
          <w:p w14:paraId="3C729AB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759" w:type="pct"/>
            <w:gridSpan w:val="2"/>
            <w:tcBorders>
              <w:tl2br w:val="nil"/>
              <w:tr2bl w:val="nil"/>
            </w:tcBorders>
            <w:vAlign w:val="center"/>
          </w:tcPr>
          <w:p w14:paraId="0A3DC26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715" w:type="pct"/>
            <w:gridSpan w:val="3"/>
            <w:tcBorders>
              <w:tl2br w:val="nil"/>
              <w:tr2bl w:val="nil"/>
            </w:tcBorders>
            <w:vAlign w:val="center"/>
          </w:tcPr>
          <w:p w14:paraId="42A86D9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1076" w:type="pct"/>
            <w:gridSpan w:val="3"/>
            <w:tcBorders>
              <w:tl2br w:val="nil"/>
              <w:tr2bl w:val="nil"/>
            </w:tcBorders>
            <w:vAlign w:val="center"/>
          </w:tcPr>
          <w:p w14:paraId="7478625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r>
      <w:tr w14:paraId="53C02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jc w:val="center"/>
        </w:trPr>
        <w:tc>
          <w:tcPr>
            <w:tcW w:w="258" w:type="pct"/>
            <w:vMerge w:val="continue"/>
            <w:tcBorders>
              <w:tl2br w:val="nil"/>
              <w:tr2bl w:val="nil"/>
            </w:tcBorders>
            <w:vAlign w:val="center"/>
          </w:tcPr>
          <w:p w14:paraId="74B10B8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7CA4CD5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生态流量确定</w:t>
            </w:r>
          </w:p>
        </w:tc>
        <w:tc>
          <w:tcPr>
            <w:tcW w:w="3910" w:type="pct"/>
            <w:gridSpan w:val="13"/>
            <w:tcBorders>
              <w:tl2br w:val="nil"/>
              <w:tr2bl w:val="nil"/>
            </w:tcBorders>
            <w:vAlign w:val="center"/>
          </w:tcPr>
          <w:p w14:paraId="395D26E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生态流量：一般水期</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m³/s</w:t>
            </w:r>
            <w:r>
              <w:rPr>
                <w:rFonts w:ascii="Times New Roman" w:hAnsi="Times New Roman" w:eastAsia="宋体" w:cs="宋体"/>
                <w:color w:val="auto"/>
                <w:spacing w:val="0"/>
                <w:position w:val="0"/>
                <w:sz w:val="21"/>
                <w:szCs w:val="21"/>
                <w:highlight w:val="none"/>
              </w:rPr>
              <w:t>；鱼类繁殖期</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m³/s</w:t>
            </w:r>
            <w:r>
              <w:rPr>
                <w:rFonts w:ascii="Times New Roman" w:hAnsi="Times New Roman" w:eastAsia="宋体" w:cs="宋体"/>
                <w:color w:val="auto"/>
                <w:spacing w:val="0"/>
                <w:position w:val="0"/>
                <w:sz w:val="21"/>
                <w:szCs w:val="21"/>
                <w:highlight w:val="none"/>
              </w:rPr>
              <w:t>；其他</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m³/s</w:t>
            </w:r>
            <w:r>
              <w:rPr>
                <w:rFonts w:ascii="Times New Roman" w:hAnsi="Times New Roman" w:eastAsia="宋体" w:cs="宋体"/>
                <w:color w:val="auto"/>
                <w:spacing w:val="0"/>
                <w:position w:val="0"/>
                <w:sz w:val="21"/>
                <w:szCs w:val="21"/>
                <w:highlight w:val="none"/>
              </w:rPr>
              <w:t>生态水位：一般水期</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w:t>
            </w:r>
            <w:r>
              <w:rPr>
                <w:rFonts w:ascii="Times New Roman" w:hAnsi="Times New Roman" w:eastAsia="宋体" w:cs="宋体"/>
                <w:color w:val="auto"/>
                <w:spacing w:val="0"/>
                <w:position w:val="0"/>
                <w:sz w:val="21"/>
                <w:szCs w:val="21"/>
                <w:highlight w:val="none"/>
              </w:rPr>
              <w:t>；鱼类繁殖期</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w:t>
            </w:r>
            <w:r>
              <w:rPr>
                <w:rFonts w:ascii="Times New Roman" w:hAnsi="Times New Roman" w:eastAsia="宋体" w:cs="宋体"/>
                <w:color w:val="auto"/>
                <w:spacing w:val="0"/>
                <w:position w:val="0"/>
                <w:sz w:val="21"/>
                <w:szCs w:val="21"/>
                <w:highlight w:val="none"/>
              </w:rPr>
              <w:t>；其他</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m</w:t>
            </w:r>
          </w:p>
        </w:tc>
      </w:tr>
      <w:tr w14:paraId="69917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8" w:type="pct"/>
            <w:vMerge w:val="restart"/>
            <w:tcBorders>
              <w:tl2br w:val="nil"/>
              <w:tr2bl w:val="nil"/>
            </w:tcBorders>
            <w:textDirection w:val="tbRlV"/>
            <w:vAlign w:val="center"/>
          </w:tcPr>
          <w:p w14:paraId="32C81EB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防治措施</w:t>
            </w:r>
          </w:p>
        </w:tc>
        <w:tc>
          <w:tcPr>
            <w:tcW w:w="831" w:type="pct"/>
            <w:tcBorders>
              <w:tl2br w:val="nil"/>
              <w:tr2bl w:val="nil"/>
            </w:tcBorders>
            <w:vAlign w:val="center"/>
          </w:tcPr>
          <w:p w14:paraId="3513A45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环保措施</w:t>
            </w:r>
          </w:p>
        </w:tc>
        <w:tc>
          <w:tcPr>
            <w:tcW w:w="3910" w:type="pct"/>
            <w:gridSpan w:val="13"/>
            <w:tcBorders>
              <w:tl2br w:val="nil"/>
              <w:tr2bl w:val="nil"/>
            </w:tcBorders>
            <w:vAlign w:val="center"/>
          </w:tcPr>
          <w:p w14:paraId="6570340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污水处理设施</w:t>
            </w:r>
            <w:r>
              <w:rPr>
                <w:rFonts w:ascii="Times New Roman" w:hAnsi="Times New Roman" w:eastAsia="宋体" w:cs="微软雅黑"/>
                <w:color w:val="auto"/>
                <w:spacing w:val="0"/>
                <w:position w:val="0"/>
                <w:sz w:val="21"/>
                <w:szCs w:val="21"/>
                <w:highlight w:val="none"/>
              </w:rPr>
              <w:t>团</w:t>
            </w:r>
            <w:r>
              <w:rPr>
                <w:rFonts w:ascii="Times New Roman" w:hAnsi="Times New Roman" w:eastAsia="宋体" w:cs="宋体"/>
                <w:color w:val="auto"/>
                <w:spacing w:val="0"/>
                <w:position w:val="0"/>
                <w:sz w:val="21"/>
                <w:szCs w:val="21"/>
                <w:highlight w:val="none"/>
              </w:rPr>
              <w:t>；水文减缓设施</w:t>
            </w:r>
            <w:r>
              <w:rPr>
                <w:rFonts w:ascii="Times New Roman" w:hAnsi="Times New Roman" w:eastAsia="宋体"/>
                <w:color w:val="auto"/>
                <w:spacing w:val="0"/>
                <w:position w:val="0"/>
                <w:sz w:val="21"/>
                <w:szCs w:val="21"/>
                <w:highlight w:val="none"/>
              </w:rPr>
              <w:drawing>
                <wp:inline distT="0" distB="0" distL="0" distR="0">
                  <wp:extent cx="113665" cy="97790"/>
                  <wp:effectExtent l="0" t="0" r="635" b="16510"/>
                  <wp:docPr id="253" name="IM 165"/>
                  <wp:cNvGraphicFramePr/>
                  <a:graphic xmlns:a="http://schemas.openxmlformats.org/drawingml/2006/main">
                    <a:graphicData uri="http://schemas.openxmlformats.org/drawingml/2006/picture">
                      <pic:pic xmlns:pic="http://schemas.openxmlformats.org/drawingml/2006/picture">
                        <pic:nvPicPr>
                          <pic:cNvPr id="253" name="IM 165"/>
                          <pic:cNvPicPr/>
                        </pic:nvPicPr>
                        <pic:blipFill>
                          <a:blip r:embed="rId54"/>
                          <a:stretch>
                            <a:fillRect/>
                          </a:stretch>
                        </pic:blipFill>
                        <pic:spPr>
                          <a:xfrm>
                            <a:off x="0" y="0"/>
                            <a:ext cx="1139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；生态流量保障设施</w:t>
            </w:r>
            <w:r>
              <w:rPr>
                <w:rFonts w:ascii="Times New Roman" w:hAnsi="Times New Roman" w:eastAsia="宋体"/>
                <w:color w:val="auto"/>
                <w:spacing w:val="0"/>
                <w:position w:val="0"/>
                <w:sz w:val="21"/>
                <w:szCs w:val="21"/>
                <w:highlight w:val="none"/>
              </w:rPr>
              <w:drawing>
                <wp:inline distT="0" distB="0" distL="0" distR="0">
                  <wp:extent cx="113665" cy="97790"/>
                  <wp:effectExtent l="0" t="0" r="635" b="16510"/>
                  <wp:docPr id="254" name="IM 166"/>
                  <wp:cNvGraphicFramePr/>
                  <a:graphic xmlns:a="http://schemas.openxmlformats.org/drawingml/2006/main">
                    <a:graphicData uri="http://schemas.openxmlformats.org/drawingml/2006/picture">
                      <pic:pic xmlns:pic="http://schemas.openxmlformats.org/drawingml/2006/picture">
                        <pic:nvPicPr>
                          <pic:cNvPr id="254" name="IM 166"/>
                          <pic:cNvPicPr/>
                        </pic:nvPicPr>
                        <pic:blipFill>
                          <a:blip r:embed="rId52"/>
                          <a:stretch>
                            <a:fillRect/>
                          </a:stretch>
                        </pic:blipFill>
                        <pic:spPr>
                          <a:xfrm>
                            <a:off x="0" y="0"/>
                            <a:ext cx="1139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；区域削减</w:t>
            </w:r>
            <w:r>
              <w:rPr>
                <w:rFonts w:ascii="Times New Roman" w:hAnsi="Times New Roman" w:eastAsia="宋体"/>
                <w:color w:val="auto"/>
                <w:spacing w:val="0"/>
                <w:position w:val="0"/>
                <w:sz w:val="21"/>
                <w:szCs w:val="21"/>
                <w:highlight w:val="none"/>
              </w:rPr>
              <w:drawing>
                <wp:inline distT="0" distB="0" distL="0" distR="0">
                  <wp:extent cx="113665" cy="97790"/>
                  <wp:effectExtent l="0" t="0" r="635" b="16510"/>
                  <wp:docPr id="255" name="IM 167"/>
                  <wp:cNvGraphicFramePr/>
                  <a:graphic xmlns:a="http://schemas.openxmlformats.org/drawingml/2006/main">
                    <a:graphicData uri="http://schemas.openxmlformats.org/drawingml/2006/picture">
                      <pic:pic xmlns:pic="http://schemas.openxmlformats.org/drawingml/2006/picture">
                        <pic:nvPicPr>
                          <pic:cNvPr id="255" name="IM 167"/>
                          <pic:cNvPicPr/>
                        </pic:nvPicPr>
                        <pic:blipFill>
                          <a:blip r:embed="rId54"/>
                          <a:stretch>
                            <a:fillRect/>
                          </a:stretch>
                        </pic:blipFill>
                        <pic:spPr>
                          <a:xfrm>
                            <a:off x="0" y="0"/>
                            <a:ext cx="113965"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；依托其他工程措施</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56" name="IM 168"/>
                  <wp:cNvGraphicFramePr/>
                  <a:graphic xmlns:a="http://schemas.openxmlformats.org/drawingml/2006/main">
                    <a:graphicData uri="http://schemas.openxmlformats.org/drawingml/2006/picture">
                      <pic:pic xmlns:pic="http://schemas.openxmlformats.org/drawingml/2006/picture">
                        <pic:nvPicPr>
                          <pic:cNvPr id="256" name="IM 168"/>
                          <pic:cNvPicPr/>
                        </pic:nvPicPr>
                        <pic:blipFill>
                          <a:blip r:embed="rId52"/>
                          <a:stretch>
                            <a:fillRect/>
                          </a:stretch>
                        </pic:blipFill>
                        <pic:spPr>
                          <a:xfrm>
                            <a:off x="0" y="0"/>
                            <a:ext cx="10774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；其他</w:t>
            </w:r>
            <w:r>
              <w:rPr>
                <w:rFonts w:ascii="Times New Roman" w:hAnsi="Times New Roman" w:eastAsia="宋体"/>
                <w:color w:val="auto"/>
                <w:spacing w:val="0"/>
                <w:position w:val="0"/>
                <w:sz w:val="21"/>
                <w:szCs w:val="21"/>
                <w:highlight w:val="none"/>
              </w:rPr>
              <w:drawing>
                <wp:inline distT="0" distB="0" distL="0" distR="0">
                  <wp:extent cx="107315" cy="97790"/>
                  <wp:effectExtent l="0" t="0" r="6985" b="16510"/>
                  <wp:docPr id="257" name="IM 169"/>
                  <wp:cNvGraphicFramePr/>
                  <a:graphic xmlns:a="http://schemas.openxmlformats.org/drawingml/2006/main">
                    <a:graphicData uri="http://schemas.openxmlformats.org/drawingml/2006/picture">
                      <pic:pic xmlns:pic="http://schemas.openxmlformats.org/drawingml/2006/picture">
                        <pic:nvPicPr>
                          <pic:cNvPr id="257" name="IM 169"/>
                          <pic:cNvPicPr/>
                        </pic:nvPicPr>
                        <pic:blipFill>
                          <a:blip r:embed="rId52"/>
                          <a:stretch>
                            <a:fillRect/>
                          </a:stretch>
                        </pic:blipFill>
                        <pic:spPr>
                          <a:xfrm>
                            <a:off x="0" y="0"/>
                            <a:ext cx="107740" cy="97878"/>
                          </a:xfrm>
                          <a:prstGeom prst="rect">
                            <a:avLst/>
                          </a:prstGeom>
                        </pic:spPr>
                      </pic:pic>
                    </a:graphicData>
                  </a:graphic>
                </wp:inline>
              </w:drawing>
            </w:r>
          </w:p>
        </w:tc>
      </w:tr>
      <w:tr w14:paraId="36876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14:paraId="69C0C01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restart"/>
            <w:tcBorders>
              <w:tl2br w:val="nil"/>
              <w:tr2bl w:val="nil"/>
            </w:tcBorders>
            <w:vAlign w:val="center"/>
          </w:tcPr>
          <w:p w14:paraId="12E59EF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监测计划</w:t>
            </w:r>
          </w:p>
        </w:tc>
        <w:tc>
          <w:tcPr>
            <w:tcW w:w="962" w:type="pct"/>
            <w:gridSpan w:val="4"/>
            <w:tcBorders>
              <w:tl2br w:val="nil"/>
              <w:tr2bl w:val="nil"/>
            </w:tcBorders>
            <w:vAlign w:val="center"/>
          </w:tcPr>
          <w:p w14:paraId="6092BE7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1311" w:type="pct"/>
            <w:gridSpan w:val="5"/>
            <w:tcBorders>
              <w:tl2br w:val="nil"/>
              <w:tr2bl w:val="nil"/>
            </w:tcBorders>
            <w:vAlign w:val="center"/>
          </w:tcPr>
          <w:p w14:paraId="131D290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环境质量</w:t>
            </w:r>
          </w:p>
        </w:tc>
        <w:tc>
          <w:tcPr>
            <w:tcW w:w="1636" w:type="pct"/>
            <w:gridSpan w:val="4"/>
            <w:tcBorders>
              <w:tl2br w:val="nil"/>
              <w:tr2bl w:val="nil"/>
            </w:tcBorders>
            <w:vAlign w:val="center"/>
          </w:tcPr>
          <w:p w14:paraId="2C154BF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污染源</w:t>
            </w:r>
          </w:p>
        </w:tc>
      </w:tr>
      <w:tr w14:paraId="4423F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8" w:type="pct"/>
            <w:vMerge w:val="continue"/>
            <w:tcBorders>
              <w:tl2br w:val="nil"/>
              <w:tr2bl w:val="nil"/>
            </w:tcBorders>
            <w:textDirection w:val="tbRlV"/>
            <w:vAlign w:val="center"/>
          </w:tcPr>
          <w:p w14:paraId="007515E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14:paraId="6F8D56C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962" w:type="pct"/>
            <w:gridSpan w:val="4"/>
            <w:tcBorders>
              <w:tl2br w:val="nil"/>
              <w:tr2bl w:val="nil"/>
            </w:tcBorders>
            <w:vAlign w:val="center"/>
          </w:tcPr>
          <w:p w14:paraId="2630FAF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监测方式</w:t>
            </w:r>
          </w:p>
        </w:tc>
        <w:tc>
          <w:tcPr>
            <w:tcW w:w="1311" w:type="pct"/>
            <w:gridSpan w:val="5"/>
            <w:tcBorders>
              <w:tl2br w:val="nil"/>
              <w:tr2bl w:val="nil"/>
            </w:tcBorders>
            <w:vAlign w:val="center"/>
          </w:tcPr>
          <w:p w14:paraId="7C4040A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r>
              <w:rPr>
                <w:rFonts w:ascii="Times New Roman" w:hAnsi="Times New Roman" w:eastAsia="宋体" w:cs="宋体"/>
                <w:color w:val="auto"/>
                <w:spacing w:val="0"/>
                <w:position w:val="0"/>
                <w:sz w:val="21"/>
                <w:szCs w:val="21"/>
                <w:highlight w:val="none"/>
              </w:rPr>
              <w:t>手动</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258" name="IM 170"/>
                  <wp:cNvGraphicFramePr/>
                  <a:graphic xmlns:a="http://schemas.openxmlformats.org/drawingml/2006/main">
                    <a:graphicData uri="http://schemas.openxmlformats.org/drawingml/2006/picture">
                      <pic:pic xmlns:pic="http://schemas.openxmlformats.org/drawingml/2006/picture">
                        <pic:nvPicPr>
                          <pic:cNvPr id="258" name="IM 170"/>
                          <pic:cNvPicPr/>
                        </pic:nvPicPr>
                        <pic:blipFill>
                          <a:blip r:embed="rId53"/>
                          <a:stretch>
                            <a:fillRect/>
                          </a:stretch>
                        </pic:blipFill>
                        <pic:spPr>
                          <a:xfrm>
                            <a:off x="0" y="0"/>
                            <a:ext cx="1122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；自动</w:t>
            </w:r>
            <w:r>
              <w:rPr>
                <w:rFonts w:ascii="Times New Roman" w:hAnsi="Times New Roman" w:eastAsia="宋体"/>
                <w:color w:val="auto"/>
                <w:spacing w:val="0"/>
                <w:position w:val="0"/>
                <w:sz w:val="21"/>
                <w:szCs w:val="21"/>
                <w:highlight w:val="none"/>
              </w:rPr>
              <w:drawing>
                <wp:inline distT="0" distB="0" distL="0" distR="0">
                  <wp:extent cx="111760" cy="97790"/>
                  <wp:effectExtent l="0" t="0" r="2540" b="16510"/>
                  <wp:docPr id="259" name="IM 171"/>
                  <wp:cNvGraphicFramePr/>
                  <a:graphic xmlns:a="http://schemas.openxmlformats.org/drawingml/2006/main">
                    <a:graphicData uri="http://schemas.openxmlformats.org/drawingml/2006/picture">
                      <pic:pic xmlns:pic="http://schemas.openxmlformats.org/drawingml/2006/picture">
                        <pic:nvPicPr>
                          <pic:cNvPr id="259" name="IM 171"/>
                          <pic:cNvPicPr/>
                        </pic:nvPicPr>
                        <pic:blipFill>
                          <a:blip r:embed="rId52"/>
                          <a:stretch>
                            <a:fillRect/>
                          </a:stretch>
                        </pic:blipFill>
                        <pic:spPr>
                          <a:xfrm>
                            <a:off x="0" y="0"/>
                            <a:ext cx="11228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；无监测</w:t>
            </w:r>
            <w:r>
              <w:rPr>
                <w:rFonts w:ascii="Times New Roman" w:hAnsi="Times New Roman" w:eastAsia="宋体"/>
                <w:color w:val="auto"/>
                <w:spacing w:val="0"/>
                <w:position w:val="0"/>
                <w:sz w:val="21"/>
                <w:highlight w:val="none"/>
              </w:rPr>
              <w:drawing>
                <wp:inline distT="0" distB="0" distL="0" distR="0">
                  <wp:extent cx="95885" cy="97790"/>
                  <wp:effectExtent l="0" t="0" r="18415" b="16510"/>
                  <wp:docPr id="260" name="IM 172"/>
                  <wp:cNvGraphicFramePr/>
                  <a:graphic xmlns:a="http://schemas.openxmlformats.org/drawingml/2006/main">
                    <a:graphicData uri="http://schemas.openxmlformats.org/drawingml/2006/picture">
                      <pic:pic xmlns:pic="http://schemas.openxmlformats.org/drawingml/2006/picture">
                        <pic:nvPicPr>
                          <pic:cNvPr id="260" name="IM 172"/>
                          <pic:cNvPicPr/>
                        </pic:nvPicPr>
                        <pic:blipFill>
                          <a:blip r:embed="rId54"/>
                          <a:stretch>
                            <a:fillRect/>
                          </a:stretch>
                        </pic:blipFill>
                        <pic:spPr>
                          <a:xfrm>
                            <a:off x="0" y="0"/>
                            <a:ext cx="96412" cy="97878"/>
                          </a:xfrm>
                          <a:prstGeom prst="rect">
                            <a:avLst/>
                          </a:prstGeom>
                        </pic:spPr>
                      </pic:pic>
                    </a:graphicData>
                  </a:graphic>
                </wp:inline>
              </w:drawing>
            </w:r>
          </w:p>
        </w:tc>
        <w:tc>
          <w:tcPr>
            <w:tcW w:w="1636" w:type="pct"/>
            <w:gridSpan w:val="4"/>
            <w:tcBorders>
              <w:tl2br w:val="nil"/>
              <w:tr2bl w:val="nil"/>
            </w:tcBorders>
            <w:vAlign w:val="center"/>
          </w:tcPr>
          <w:p w14:paraId="5C102E8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手动</w:t>
            </w:r>
            <w:r>
              <w:rPr>
                <w:rFonts w:ascii="Times New Roman" w:hAnsi="Times New Roman" w:eastAsia="宋体"/>
                <w:color w:val="auto"/>
                <w:spacing w:val="0"/>
                <w:position w:val="0"/>
                <w:sz w:val="21"/>
                <w:szCs w:val="21"/>
                <w:highlight w:val="none"/>
              </w:rPr>
              <w:drawing>
                <wp:inline distT="0" distB="0" distL="0" distR="0">
                  <wp:extent cx="114300" cy="97790"/>
                  <wp:effectExtent l="0" t="0" r="0" b="16510"/>
                  <wp:docPr id="261" name="IM 173"/>
                  <wp:cNvGraphicFramePr/>
                  <a:graphic xmlns:a="http://schemas.openxmlformats.org/drawingml/2006/main">
                    <a:graphicData uri="http://schemas.openxmlformats.org/drawingml/2006/picture">
                      <pic:pic xmlns:pic="http://schemas.openxmlformats.org/drawingml/2006/picture">
                        <pic:nvPicPr>
                          <pic:cNvPr id="261" name="IM 173"/>
                          <pic:cNvPicPr/>
                        </pic:nvPicPr>
                        <pic:blipFill>
                          <a:blip r:embed="rId52"/>
                          <a:stretch>
                            <a:fillRect/>
                          </a:stretch>
                        </pic:blipFill>
                        <pic:spPr>
                          <a:xfrm>
                            <a:off x="0" y="0"/>
                            <a:ext cx="11437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；自动</w:t>
            </w:r>
            <w:r>
              <w:rPr>
                <w:rFonts w:ascii="Times New Roman" w:hAnsi="Times New Roman" w:eastAsia="宋体"/>
                <w:color w:val="auto"/>
                <w:spacing w:val="0"/>
                <w:position w:val="0"/>
                <w:sz w:val="21"/>
                <w:szCs w:val="21"/>
                <w:highlight w:val="none"/>
              </w:rPr>
              <w:drawing>
                <wp:inline distT="0" distB="0" distL="0" distR="0">
                  <wp:extent cx="114300" cy="97790"/>
                  <wp:effectExtent l="0" t="0" r="0" b="16510"/>
                  <wp:docPr id="262" name="IM 174"/>
                  <wp:cNvGraphicFramePr/>
                  <a:graphic xmlns:a="http://schemas.openxmlformats.org/drawingml/2006/main">
                    <a:graphicData uri="http://schemas.openxmlformats.org/drawingml/2006/picture">
                      <pic:pic xmlns:pic="http://schemas.openxmlformats.org/drawingml/2006/picture">
                        <pic:nvPicPr>
                          <pic:cNvPr id="262" name="IM 174"/>
                          <pic:cNvPicPr/>
                        </pic:nvPicPr>
                        <pic:blipFill>
                          <a:blip r:embed="rId52"/>
                          <a:stretch>
                            <a:fillRect/>
                          </a:stretch>
                        </pic:blipFill>
                        <pic:spPr>
                          <a:xfrm>
                            <a:off x="0" y="0"/>
                            <a:ext cx="114370" cy="97878"/>
                          </a:xfrm>
                          <a:prstGeom prst="rect">
                            <a:avLst/>
                          </a:prstGeom>
                        </pic:spPr>
                      </pic:pic>
                    </a:graphicData>
                  </a:graphic>
                </wp:inline>
              </w:drawing>
            </w:r>
            <w:r>
              <w:rPr>
                <w:rFonts w:ascii="Times New Roman" w:hAnsi="Times New Roman" w:eastAsia="宋体" w:cs="宋体"/>
                <w:color w:val="auto"/>
                <w:spacing w:val="0"/>
                <w:position w:val="0"/>
                <w:sz w:val="21"/>
                <w:szCs w:val="21"/>
                <w:highlight w:val="none"/>
              </w:rPr>
              <w:t>；无监测</w:t>
            </w:r>
            <w:r>
              <w:rPr>
                <w:rFonts w:ascii="Times New Roman" w:hAnsi="Times New Roman" w:eastAsia="宋体"/>
                <w:color w:val="auto"/>
                <w:spacing w:val="0"/>
                <w:position w:val="0"/>
                <w:sz w:val="21"/>
                <w:szCs w:val="21"/>
                <w:highlight w:val="none"/>
              </w:rPr>
              <w:drawing>
                <wp:inline distT="0" distB="0" distL="0" distR="0">
                  <wp:extent cx="114300" cy="97790"/>
                  <wp:effectExtent l="0" t="0" r="0" b="16510"/>
                  <wp:docPr id="263" name="IM 175"/>
                  <wp:cNvGraphicFramePr/>
                  <a:graphic xmlns:a="http://schemas.openxmlformats.org/drawingml/2006/main">
                    <a:graphicData uri="http://schemas.openxmlformats.org/drawingml/2006/picture">
                      <pic:pic xmlns:pic="http://schemas.openxmlformats.org/drawingml/2006/picture">
                        <pic:nvPicPr>
                          <pic:cNvPr id="263" name="IM 175"/>
                          <pic:cNvPicPr/>
                        </pic:nvPicPr>
                        <pic:blipFill>
                          <a:blip r:embed="rId52"/>
                          <a:stretch>
                            <a:fillRect/>
                          </a:stretch>
                        </pic:blipFill>
                        <pic:spPr>
                          <a:xfrm>
                            <a:off x="0" y="0"/>
                            <a:ext cx="114369" cy="97878"/>
                          </a:xfrm>
                          <a:prstGeom prst="rect">
                            <a:avLst/>
                          </a:prstGeom>
                        </pic:spPr>
                      </pic:pic>
                    </a:graphicData>
                  </a:graphic>
                </wp:inline>
              </w:drawing>
            </w:r>
          </w:p>
        </w:tc>
      </w:tr>
      <w:tr w14:paraId="21A62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8" w:type="pct"/>
            <w:vMerge w:val="continue"/>
            <w:tcBorders>
              <w:tl2br w:val="nil"/>
              <w:tr2bl w:val="nil"/>
            </w:tcBorders>
            <w:textDirection w:val="tbRlV"/>
            <w:vAlign w:val="center"/>
          </w:tcPr>
          <w:p w14:paraId="3F73D28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14:paraId="32CCAC0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962" w:type="pct"/>
            <w:gridSpan w:val="4"/>
            <w:tcBorders>
              <w:tl2br w:val="nil"/>
              <w:tr2bl w:val="nil"/>
            </w:tcBorders>
            <w:vAlign w:val="center"/>
          </w:tcPr>
          <w:p w14:paraId="72EA479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监测点位</w:t>
            </w:r>
          </w:p>
        </w:tc>
        <w:tc>
          <w:tcPr>
            <w:tcW w:w="1311" w:type="pct"/>
            <w:gridSpan w:val="5"/>
            <w:tcBorders>
              <w:tl2br w:val="nil"/>
              <w:tr2bl w:val="nil"/>
            </w:tcBorders>
            <w:vAlign w:val="center"/>
          </w:tcPr>
          <w:p w14:paraId="74389FA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c>
          <w:tcPr>
            <w:tcW w:w="1636" w:type="pct"/>
            <w:gridSpan w:val="4"/>
            <w:tcBorders>
              <w:tl2br w:val="nil"/>
              <w:tr2bl w:val="nil"/>
            </w:tcBorders>
            <w:vAlign w:val="center"/>
          </w:tcPr>
          <w:p w14:paraId="221F47B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r>
      <w:tr w14:paraId="1FF40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8" w:type="pct"/>
            <w:vMerge w:val="continue"/>
            <w:tcBorders>
              <w:tl2br w:val="nil"/>
              <w:tr2bl w:val="nil"/>
            </w:tcBorders>
            <w:textDirection w:val="tbRlV"/>
            <w:vAlign w:val="center"/>
          </w:tcPr>
          <w:p w14:paraId="09CFEFF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vMerge w:val="continue"/>
            <w:tcBorders>
              <w:tl2br w:val="nil"/>
              <w:tr2bl w:val="nil"/>
            </w:tcBorders>
            <w:vAlign w:val="center"/>
          </w:tcPr>
          <w:p w14:paraId="2C7AD9A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962" w:type="pct"/>
            <w:gridSpan w:val="4"/>
            <w:tcBorders>
              <w:tl2br w:val="nil"/>
              <w:tr2bl w:val="nil"/>
            </w:tcBorders>
            <w:vAlign w:val="center"/>
          </w:tcPr>
          <w:p w14:paraId="183063A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监测因子</w:t>
            </w:r>
          </w:p>
        </w:tc>
        <w:tc>
          <w:tcPr>
            <w:tcW w:w="1311" w:type="pct"/>
            <w:gridSpan w:val="5"/>
            <w:tcBorders>
              <w:tl2br w:val="nil"/>
              <w:tr2bl w:val="nil"/>
            </w:tcBorders>
            <w:vAlign w:val="center"/>
          </w:tcPr>
          <w:p w14:paraId="5D1E45F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c>
          <w:tcPr>
            <w:tcW w:w="1636" w:type="pct"/>
            <w:gridSpan w:val="4"/>
            <w:tcBorders>
              <w:tl2br w:val="nil"/>
              <w:tr2bl w:val="nil"/>
            </w:tcBorders>
            <w:vAlign w:val="center"/>
          </w:tcPr>
          <w:p w14:paraId="7C9976A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宋体"/>
                <w:color w:val="auto"/>
                <w:spacing w:val="0"/>
                <w:position w:val="0"/>
                <w:sz w:val="21"/>
                <w:szCs w:val="21"/>
                <w:highlight w:val="none"/>
                <w:lang w:eastAsia="zh-CN"/>
              </w:rPr>
              <w:t>）</w:t>
            </w:r>
          </w:p>
        </w:tc>
      </w:tr>
      <w:tr w14:paraId="5B149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258" w:type="pct"/>
            <w:vMerge w:val="continue"/>
            <w:tcBorders>
              <w:tl2br w:val="nil"/>
              <w:tr2bl w:val="nil"/>
            </w:tcBorders>
            <w:textDirection w:val="tbRlV"/>
            <w:vAlign w:val="center"/>
          </w:tcPr>
          <w:p w14:paraId="2739717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31" w:type="pct"/>
            <w:tcBorders>
              <w:tl2br w:val="nil"/>
              <w:tr2bl w:val="nil"/>
            </w:tcBorders>
            <w:vAlign w:val="center"/>
          </w:tcPr>
          <w:p w14:paraId="480CC17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污染物排放清单</w:t>
            </w:r>
          </w:p>
        </w:tc>
        <w:tc>
          <w:tcPr>
            <w:tcW w:w="3910" w:type="pct"/>
            <w:gridSpan w:val="13"/>
            <w:tcBorders>
              <w:tl2br w:val="nil"/>
              <w:tr2bl w:val="nil"/>
            </w:tcBorders>
            <w:vAlign w:val="center"/>
          </w:tcPr>
          <w:p w14:paraId="275D0C4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r>
              <w:rPr>
                <w:rFonts w:ascii="Times New Roman" w:hAnsi="Times New Roman" w:eastAsia="宋体"/>
                <w:color w:val="auto"/>
                <w:spacing w:val="0"/>
                <w:position w:val="0"/>
                <w:sz w:val="21"/>
                <w:highlight w:val="none"/>
              </w:rPr>
              <w:drawing>
                <wp:inline distT="0" distB="0" distL="0" distR="0">
                  <wp:extent cx="95885" cy="97790"/>
                  <wp:effectExtent l="0" t="0" r="18415" b="16510"/>
                  <wp:docPr id="264" name="IM 176"/>
                  <wp:cNvGraphicFramePr/>
                  <a:graphic xmlns:a="http://schemas.openxmlformats.org/drawingml/2006/main">
                    <a:graphicData uri="http://schemas.openxmlformats.org/drawingml/2006/picture">
                      <pic:pic xmlns:pic="http://schemas.openxmlformats.org/drawingml/2006/picture">
                        <pic:nvPicPr>
                          <pic:cNvPr id="264" name="IM 176"/>
                          <pic:cNvPicPr/>
                        </pic:nvPicPr>
                        <pic:blipFill>
                          <a:blip r:embed="rId55"/>
                          <a:stretch>
                            <a:fillRect/>
                          </a:stretch>
                        </pic:blipFill>
                        <pic:spPr>
                          <a:xfrm>
                            <a:off x="0" y="0"/>
                            <a:ext cx="96412" cy="97878"/>
                          </a:xfrm>
                          <a:prstGeom prst="rect">
                            <a:avLst/>
                          </a:prstGeom>
                        </pic:spPr>
                      </pic:pic>
                    </a:graphicData>
                  </a:graphic>
                </wp:inline>
              </w:drawing>
            </w:r>
          </w:p>
        </w:tc>
      </w:tr>
      <w:tr w14:paraId="725F6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089" w:type="pct"/>
            <w:gridSpan w:val="2"/>
            <w:tcBorders>
              <w:tl2br w:val="nil"/>
              <w:tr2bl w:val="nil"/>
            </w:tcBorders>
            <w:vAlign w:val="center"/>
          </w:tcPr>
          <w:p w14:paraId="72BF18A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评价结论</w:t>
            </w:r>
          </w:p>
        </w:tc>
        <w:tc>
          <w:tcPr>
            <w:tcW w:w="3910" w:type="pct"/>
            <w:gridSpan w:val="13"/>
            <w:tcBorders>
              <w:tl2br w:val="nil"/>
              <w:tr2bl w:val="nil"/>
            </w:tcBorders>
            <w:vAlign w:val="center"/>
          </w:tcPr>
          <w:p w14:paraId="430E52B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可以接受</w:t>
            </w:r>
            <w:r>
              <w:rPr>
                <w:rFonts w:ascii="Times New Roman" w:hAnsi="Times New Roman" w:eastAsia="宋体" w:cs="微软雅黑"/>
                <w:color w:val="auto"/>
                <w:spacing w:val="0"/>
                <w:position w:val="0"/>
                <w:sz w:val="21"/>
                <w:szCs w:val="21"/>
                <w:highlight w:val="none"/>
              </w:rPr>
              <w:t>团</w:t>
            </w:r>
            <w:r>
              <w:rPr>
                <w:rFonts w:ascii="Times New Roman" w:hAnsi="Times New Roman" w:eastAsia="宋体" w:cs="宋体"/>
                <w:color w:val="auto"/>
                <w:spacing w:val="0"/>
                <w:position w:val="0"/>
                <w:sz w:val="21"/>
                <w:szCs w:val="21"/>
                <w:highlight w:val="none"/>
              </w:rPr>
              <w:t>；不可以接受</w:t>
            </w:r>
            <w:r>
              <w:rPr>
                <w:rFonts w:ascii="Times New Roman" w:hAnsi="Times New Roman" w:eastAsia="宋体"/>
                <w:color w:val="auto"/>
                <w:spacing w:val="0"/>
                <w:position w:val="0"/>
                <w:sz w:val="21"/>
                <w:szCs w:val="21"/>
                <w:highlight w:val="none"/>
              </w:rPr>
              <w:drawing>
                <wp:inline distT="0" distB="0" distL="0" distR="0">
                  <wp:extent cx="113030" cy="97790"/>
                  <wp:effectExtent l="0" t="0" r="1270" b="16510"/>
                  <wp:docPr id="265" name="IM 177"/>
                  <wp:cNvGraphicFramePr/>
                  <a:graphic xmlns:a="http://schemas.openxmlformats.org/drawingml/2006/main">
                    <a:graphicData uri="http://schemas.openxmlformats.org/drawingml/2006/picture">
                      <pic:pic xmlns:pic="http://schemas.openxmlformats.org/drawingml/2006/picture">
                        <pic:nvPicPr>
                          <pic:cNvPr id="265" name="IM 177"/>
                          <pic:cNvPicPr/>
                        </pic:nvPicPr>
                        <pic:blipFill>
                          <a:blip r:embed="rId55"/>
                          <a:stretch>
                            <a:fillRect/>
                          </a:stretch>
                        </pic:blipFill>
                        <pic:spPr>
                          <a:xfrm>
                            <a:off x="0" y="0"/>
                            <a:ext cx="113601" cy="97878"/>
                          </a:xfrm>
                          <a:prstGeom prst="rect">
                            <a:avLst/>
                          </a:prstGeom>
                        </pic:spPr>
                      </pic:pic>
                    </a:graphicData>
                  </a:graphic>
                </wp:inline>
              </w:drawing>
            </w:r>
          </w:p>
        </w:tc>
      </w:tr>
      <w:tr w14:paraId="32EE5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5000" w:type="pct"/>
            <w:gridSpan w:val="15"/>
            <w:tcBorders>
              <w:tl2br w:val="nil"/>
              <w:tr2bl w:val="nil"/>
            </w:tcBorders>
            <w:vAlign w:val="center"/>
          </w:tcPr>
          <w:p w14:paraId="27E9F6D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注：</w:t>
            </w:r>
            <w:r>
              <w:rPr>
                <w:rFonts w:hint="eastAsia" w:cs="Times New Roman"/>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为勾选项，填</w:t>
            </w:r>
            <w:r>
              <w:rPr>
                <w:rFonts w:hint="eastAsia" w:cs="Times New Roman"/>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w:t>
            </w:r>
            <w:r>
              <w:rPr>
                <w:rFonts w:hint="eastAsia" w:cs="Times New Roman"/>
                <w:color w:val="auto"/>
                <w:spacing w:val="0"/>
                <w:position w:val="0"/>
                <w:sz w:val="21"/>
                <w:szCs w:val="21"/>
                <w:highlight w:val="none"/>
                <w:lang w:eastAsia="zh-CN"/>
              </w:rPr>
              <w:t>”</w:t>
            </w:r>
            <w:r>
              <w:rPr>
                <w:rFonts w:hint="eastAsia" w:cs="宋体"/>
                <w:color w:val="auto"/>
                <w:spacing w:val="0"/>
                <w:position w:val="0"/>
                <w:sz w:val="21"/>
                <w:szCs w:val="21"/>
                <w:highlight w:val="none"/>
                <w:lang w:eastAsia="zh-CN"/>
              </w:rPr>
              <w:t>（）</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为内容填写项</w:t>
            </w:r>
          </w:p>
        </w:tc>
      </w:tr>
    </w:tbl>
    <w:p w14:paraId="580FD048">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5.2.2.</w:t>
      </w:r>
      <w:r>
        <w:rPr>
          <w:rFonts w:ascii="Times New Roman" w:hAnsi="Times New Roman" w:eastAsia="宋体"/>
          <w:color w:val="auto"/>
          <w:highlight w:val="none"/>
        </w:rPr>
        <w:t>2地下水环境影响分析</w:t>
      </w:r>
    </w:p>
    <w:p w14:paraId="4E9EA42A">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bookmarkStart w:id="186" w:name="_Toc86740198"/>
      <w:r>
        <w:rPr>
          <w:rFonts w:hint="eastAsia" w:ascii="Times New Roman" w:hAnsi="Times New Roman" w:eastAsia="宋体" w:cs="Times New Roman"/>
          <w:color w:val="auto"/>
          <w:spacing w:val="0"/>
          <w:position w:val="0"/>
          <w:sz w:val="24"/>
          <w:szCs w:val="24"/>
          <w:highlight w:val="none"/>
          <w:lang w:val="en-US" w:eastAsia="zh-CN"/>
        </w:rPr>
        <w:t>1、</w:t>
      </w:r>
      <w:r>
        <w:rPr>
          <w:rFonts w:ascii="Times New Roman" w:hAnsi="Times New Roman" w:eastAsia="宋体" w:cs="宋体"/>
          <w:color w:val="auto"/>
          <w:spacing w:val="0"/>
          <w:position w:val="0"/>
          <w:sz w:val="24"/>
          <w:szCs w:val="24"/>
          <w:highlight w:val="none"/>
        </w:rPr>
        <w:t>区域水文地质概况</w:t>
      </w:r>
    </w:p>
    <w:p w14:paraId="13E00C95">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区域地质构造概要</w:t>
      </w:r>
    </w:p>
    <w:p w14:paraId="71BC38E8">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玛纳斯县南部为山区和丘陵区，由玛纳斯背斜的北翼构成；北部扇区与山体之间为一条南东西向的断裂所分割。冲洪积扇地形是南东高、北西低，是干旱半干旱地区。山前冲洪积扇的水文地质特征、地下水的形成及运动受地质构造、地形地貌及水文气象等因素控制，整个冲洪积扇区分布在巨厚的第四系松散沉积物中，受基底控制，其厚度南西厚、北东薄，整个扇区从山丘区至山前冲洪积平原至沙漠构成了一个基本完整的地下水补给、径流、排泄系统。</w:t>
      </w:r>
    </w:p>
    <w:p w14:paraId="38FE8C90">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厂址附近没有天然地表水体，只有农灌渠，灌渠都是以玛纳斯河水为主要水源的莫索湾干渠的支渠。该河是天山北麓的最大河流，由多条支流汇集而成，主要补给源为冰川、融雪水和大气降水，多年平均径流量</w:t>
      </w:r>
      <w:r>
        <w:rPr>
          <w:rFonts w:ascii="Times New Roman" w:hAnsi="Times New Roman" w:eastAsia="宋体" w:cs="Times New Roman"/>
          <w:color w:val="auto"/>
          <w:spacing w:val="0"/>
          <w:position w:val="0"/>
          <w:sz w:val="24"/>
          <w:szCs w:val="24"/>
          <w:highlight w:val="none"/>
        </w:rPr>
        <w:t>12.58</w:t>
      </w:r>
      <w:r>
        <w:rPr>
          <w:rFonts w:ascii="Times New Roman" w:hAnsi="Times New Roman" w:eastAsia="宋体" w:cs="宋体"/>
          <w:color w:val="auto"/>
          <w:spacing w:val="0"/>
          <w:position w:val="0"/>
          <w:sz w:val="24"/>
          <w:szCs w:val="24"/>
          <w:highlight w:val="none"/>
        </w:rPr>
        <w:t>亿</w:t>
      </w:r>
      <w:r>
        <w:rPr>
          <w:rFonts w:ascii="Times New Roman" w:hAnsi="Times New Roman" w:eastAsia="宋体" w:cs="Times New Roman"/>
          <w:color w:val="auto"/>
          <w:spacing w:val="0"/>
          <w:position w:val="0"/>
          <w:sz w:val="24"/>
          <w:szCs w:val="24"/>
          <w:highlight w:val="none"/>
        </w:rPr>
        <w:t>m</w:t>
      </w:r>
      <w:r>
        <w:rPr>
          <w:rFonts w:ascii="Times New Roman" w:hAnsi="Times New Roman" w:eastAsia="宋体" w:cs="Times New Roman"/>
          <w:color w:val="auto"/>
          <w:spacing w:val="0"/>
          <w:position w:val="0"/>
          <w:sz w:val="24"/>
          <w:szCs w:val="15"/>
          <w:highlight w:val="none"/>
        </w:rPr>
        <w:t>3</w:t>
      </w:r>
      <w:r>
        <w:rPr>
          <w:rFonts w:ascii="Times New Roman" w:hAnsi="Times New Roman" w:eastAsia="宋体" w:cs="宋体"/>
          <w:color w:val="auto"/>
          <w:spacing w:val="0"/>
          <w:position w:val="0"/>
          <w:sz w:val="24"/>
          <w:szCs w:val="24"/>
          <w:highlight w:val="none"/>
        </w:rPr>
        <w:t>。</w:t>
      </w:r>
    </w:p>
    <w:p w14:paraId="3BFC9AEC">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2</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区域水文地质条件</w:t>
      </w:r>
    </w:p>
    <w:p w14:paraId="0E9D3A64">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玛纳斯县以玛纳斯河、塔西河冲洪积扇为主体，其南部低山丘陵区由玛纳斯背斜的北翼构成，北部扇区与山体之间为一条近南东向的断裂所分割，冲洪积地形南、东高，北、西低，具有干旱、半干旱地区山前冲洪积扇的水文地质特征，地下水的形成及运移受地质构造、地形地貌及水文气象等因素的控制。整个冲洪积扇区分布巨厚的第四系松散堆积物，受基底控制，其厚度南、西厚，北、东薄，整个扇区从山丘区</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山前冲洪积平原</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冲湖积平原</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沙漠构成了一个基本完整的地下水补、径、排系统。玛纳斯河、塔西河河水是区域地下水主要的补给来源，两河出山口后散流于冲洪积平原之上，主河道比较宽阔，河水散布面积广。区域南部的山前倾斜砾质平原，地层岩性为巨厚的砂卵砾石，颗粒粗大，具有良好的储水空间和径流条件，构成富水区和强径流带，形成了由南向北的水平径流。河水在山前倾斜砾质平原渗漏补给，成为区内地下水最主要的补给来源。另外，区内农业耕地广布，渠系密集，灌溉的垂直渗漏也成为区内地下水补给来源之一。区内降水稀少、气候干燥、地面蒸发强烈，故大气降水对地下水的补给极其微弱。</w:t>
      </w:r>
    </w:p>
    <w:p w14:paraId="79ED58CB">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3</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区域地下水类型</w:t>
      </w:r>
    </w:p>
    <w:p w14:paraId="62E247ED">
      <w:pPr>
        <w:keepNext w:val="0"/>
        <w:keepLines w:val="0"/>
        <w:pageBreakBefore w:val="0"/>
        <w:widowControl w:val="0"/>
        <w:kinsoku/>
        <w:wordWrap/>
        <w:overflowPunct/>
        <w:topLinePunct w:val="0"/>
        <w:autoSpaceDE/>
        <w:autoSpaceDN/>
        <w:bidi w:val="0"/>
        <w:adjustRightInd/>
        <w:snapToGrid/>
        <w:spacing w:line="360" w:lineRule="auto"/>
        <w:ind w:left="0" w:right="0" w:firstLine="498"/>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区域地下水类型有山区基岩裂隙水和山前平原第四系孔隙水。山区基岩裂隙水直接受气候垂直分布规律的控制，南部高山区有终年积雪，降水量大，基岩裂隙水丰富；而低山丘陵气候干旱，基岩裂隙水贫乏。山区冰雪溶水及降雨大量补给河流；另一方面又沿裂隙渗入补给基岩裂隙水，并在深切沟谷两旁以泉的形式溢出汇流成溪。山区丰富的水源，主要以河流形式注入盆地，补给第四系松散堆积层中孔隙水。</w:t>
      </w:r>
    </w:p>
    <w:p w14:paraId="2DEFCE36">
      <w:pPr>
        <w:keepNext w:val="0"/>
        <w:keepLines w:val="0"/>
        <w:pageBreakBefore w:val="0"/>
        <w:widowControl w:val="0"/>
        <w:kinsoku/>
        <w:wordWrap/>
        <w:overflowPunct/>
        <w:topLinePunct w:val="0"/>
        <w:autoSpaceDE/>
        <w:autoSpaceDN/>
        <w:bidi w:val="0"/>
        <w:adjustRightInd/>
        <w:snapToGrid/>
        <w:spacing w:line="360" w:lineRule="auto"/>
        <w:ind w:left="0" w:right="0" w:firstLine="502"/>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山区河流出山口后，流经冲洪积扇适水性良好的砾石带，在天然状态下，玛纳斯河渗漏率为</w:t>
      </w:r>
      <w:r>
        <w:rPr>
          <w:rFonts w:ascii="Times New Roman" w:hAnsi="Times New Roman" w:eastAsia="宋体" w:cs="Times New Roman"/>
          <w:color w:val="auto"/>
          <w:spacing w:val="0"/>
          <w:position w:val="0"/>
          <w:sz w:val="24"/>
          <w:szCs w:val="24"/>
          <w:highlight w:val="none"/>
        </w:rPr>
        <w:t>40%</w:t>
      </w:r>
      <w:r>
        <w:rPr>
          <w:rFonts w:ascii="Times New Roman" w:hAnsi="Times New Roman" w:eastAsia="宋体" w:cs="宋体"/>
          <w:color w:val="auto"/>
          <w:spacing w:val="0"/>
          <w:position w:val="0"/>
          <w:sz w:val="24"/>
          <w:szCs w:val="24"/>
          <w:highlight w:val="none"/>
        </w:rPr>
        <w:t>，塔西河渗漏率</w:t>
      </w:r>
      <w:r>
        <w:rPr>
          <w:rFonts w:ascii="Times New Roman" w:hAnsi="Times New Roman" w:eastAsia="宋体" w:cs="Times New Roman"/>
          <w:color w:val="auto"/>
          <w:spacing w:val="0"/>
          <w:position w:val="0"/>
          <w:sz w:val="24"/>
          <w:szCs w:val="24"/>
          <w:highlight w:val="none"/>
        </w:rPr>
        <w:t>67%</w:t>
      </w:r>
      <w:r>
        <w:rPr>
          <w:rFonts w:ascii="Times New Roman" w:hAnsi="Times New Roman" w:eastAsia="宋体" w:cs="宋体"/>
          <w:color w:val="auto"/>
          <w:spacing w:val="0"/>
          <w:position w:val="0"/>
          <w:sz w:val="24"/>
          <w:szCs w:val="24"/>
          <w:highlight w:val="none"/>
        </w:rPr>
        <w:t>，河水大量渗漏，成为平原区地下水的主要来源。</w:t>
      </w:r>
    </w:p>
    <w:p w14:paraId="4567CE1E">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扇区内自扇顶向扇缘夹有明显的水文地质分带规律，溢出带以南为单一结构的卵石、砂砾石含水层，潜水埋深自扇顶的</w:t>
      </w:r>
      <w:r>
        <w:rPr>
          <w:rFonts w:ascii="Times New Roman" w:hAnsi="Times New Roman" w:eastAsia="宋体" w:cs="Times New Roman"/>
          <w:color w:val="auto"/>
          <w:spacing w:val="0"/>
          <w:position w:val="0"/>
          <w:sz w:val="24"/>
          <w:szCs w:val="24"/>
          <w:highlight w:val="none"/>
        </w:rPr>
        <w:t>150m</w:t>
      </w:r>
      <w:r>
        <w:rPr>
          <w:rFonts w:ascii="Times New Roman" w:hAnsi="Times New Roman" w:eastAsia="宋体" w:cs="宋体"/>
          <w:color w:val="auto"/>
          <w:spacing w:val="0"/>
          <w:position w:val="0"/>
          <w:sz w:val="24"/>
          <w:szCs w:val="24"/>
          <w:highlight w:val="none"/>
        </w:rPr>
        <w:t>左右向北逐渐变浅，到乌伊公路一线，潜水埋深</w:t>
      </w:r>
      <w:r>
        <w:rPr>
          <w:rFonts w:ascii="Times New Roman" w:hAnsi="Times New Roman" w:eastAsia="宋体" w:cs="Times New Roman"/>
          <w:color w:val="auto"/>
          <w:spacing w:val="0"/>
          <w:position w:val="0"/>
          <w:sz w:val="24"/>
          <w:szCs w:val="24"/>
          <w:highlight w:val="none"/>
        </w:rPr>
        <w:t>50m</w:t>
      </w:r>
      <w:r>
        <w:rPr>
          <w:rFonts w:ascii="Times New Roman" w:hAnsi="Times New Roman" w:eastAsia="宋体" w:cs="宋体"/>
          <w:color w:val="auto"/>
          <w:spacing w:val="0"/>
          <w:position w:val="0"/>
          <w:sz w:val="24"/>
          <w:szCs w:val="24"/>
          <w:highlight w:val="none"/>
        </w:rPr>
        <w:t>左右，到溢出带附近，潜水埋深</w:t>
      </w:r>
      <w:r>
        <w:rPr>
          <w:rFonts w:ascii="Times New Roman" w:hAnsi="Times New Roman" w:eastAsia="宋体" w:cs="Times New Roman"/>
          <w:color w:val="auto"/>
          <w:spacing w:val="0"/>
          <w:position w:val="0"/>
          <w:sz w:val="24"/>
          <w:szCs w:val="24"/>
          <w:highlight w:val="none"/>
        </w:rPr>
        <w:t>5m</w:t>
      </w:r>
      <w:r>
        <w:rPr>
          <w:rFonts w:ascii="Times New Roman" w:hAnsi="Times New Roman" w:eastAsia="宋体" w:cs="宋体"/>
          <w:color w:val="auto"/>
          <w:spacing w:val="0"/>
          <w:position w:val="0"/>
          <w:sz w:val="24"/>
          <w:szCs w:val="24"/>
          <w:highlight w:val="none"/>
        </w:rPr>
        <w:t>左右，溢出带以北为双层结构的潜水</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承压水分布区，上层潜水水位埋深</w:t>
      </w:r>
      <w:r>
        <w:rPr>
          <w:rFonts w:ascii="Times New Roman" w:hAnsi="Times New Roman" w:eastAsia="宋体" w:cs="Times New Roman"/>
          <w:color w:val="auto"/>
          <w:spacing w:val="0"/>
          <w:position w:val="0"/>
          <w:sz w:val="24"/>
          <w:szCs w:val="24"/>
          <w:highlight w:val="none"/>
        </w:rPr>
        <w:t>&lt;3m</w:t>
      </w:r>
      <w:r>
        <w:rPr>
          <w:rFonts w:ascii="Times New Roman" w:hAnsi="Times New Roman" w:eastAsia="宋体" w:cs="宋体"/>
          <w:color w:val="auto"/>
          <w:spacing w:val="0"/>
          <w:position w:val="0"/>
          <w:sz w:val="24"/>
          <w:szCs w:val="24"/>
          <w:highlight w:val="none"/>
        </w:rPr>
        <w:t>。扇区地下水的排泄主要以泉、沼泽、人工开采等形式，消耗于蒸发和蒸腾。</w:t>
      </w:r>
    </w:p>
    <w:p w14:paraId="5AB78C8B">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4</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地下水富水性划分</w:t>
      </w:r>
    </w:p>
    <w:p w14:paraId="6A1D6EA1">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玛纳斯河冲洪积平原中上游的地下水径流区，广泛分布巨厚的第四系松散岩层，地下水含水层类型主要为潜水含水层，北部有多层结构的承压水含水层。南部山前区为大厚度单一潜水分布区；北部细土平原区，上部为潜水含水层，下部为多元结构的承压水含水层；南部基岩山区主要存在有基岩裂隙水、碎屑岩类孔隙裂隙水，赋存于中新生代侏罗系和第三系地层中，由于地层多为泥岩和砂质泥岩互层，其含水岩组富水性较弱。</w:t>
      </w:r>
    </w:p>
    <w:p w14:paraId="0C0CCE50">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①潜水含水层</w:t>
      </w:r>
    </w:p>
    <w:p w14:paraId="4FFA8125">
      <w:pPr>
        <w:keepNext w:val="0"/>
        <w:keepLines w:val="0"/>
        <w:pageBreakBefore w:val="0"/>
        <w:widowControl w:val="0"/>
        <w:kinsoku/>
        <w:wordWrap/>
        <w:overflowPunct/>
        <w:topLinePunct w:val="0"/>
        <w:autoSpaceDE/>
        <w:autoSpaceDN/>
        <w:bidi w:val="0"/>
        <w:adjustRightInd/>
        <w:snapToGrid/>
        <w:spacing w:line="360" w:lineRule="auto"/>
        <w:ind w:left="0" w:right="0" w:firstLine="46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潜水含水层主要由卵石层，砾石层组成，结构松散，孔隙发育，透水性好，潜水区现有钻孔深度一般小于</w:t>
      </w:r>
      <w:r>
        <w:rPr>
          <w:rFonts w:ascii="Times New Roman" w:hAnsi="Times New Roman" w:eastAsia="宋体" w:cs="Times New Roman"/>
          <w:color w:val="auto"/>
          <w:spacing w:val="0"/>
          <w:position w:val="0"/>
          <w:sz w:val="24"/>
          <w:szCs w:val="24"/>
          <w:highlight w:val="none"/>
        </w:rPr>
        <w:t>200m</w:t>
      </w:r>
      <w:r>
        <w:rPr>
          <w:rFonts w:ascii="Times New Roman" w:hAnsi="Times New Roman" w:eastAsia="宋体" w:cs="宋体"/>
          <w:color w:val="auto"/>
          <w:spacing w:val="0"/>
          <w:position w:val="0"/>
          <w:sz w:val="24"/>
          <w:szCs w:val="24"/>
          <w:highlight w:val="none"/>
        </w:rPr>
        <w:t>。从总体上看，自扇顶向扇缘，由地表到深部，含水层岩性由粗变细，扇中部出现砂及粉细砂层。含水层富水性在岩性、所处地貌部位、水位埋深及补给量等因素的影响下，自南向北呈现弱</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强</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弱的变化规律。</w:t>
      </w:r>
    </w:p>
    <w:p w14:paraId="3E9FB933">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在扇顶部和近山前地带：水位埋深在</w:t>
      </w:r>
      <w:r>
        <w:rPr>
          <w:rFonts w:ascii="Times New Roman" w:hAnsi="Times New Roman" w:eastAsia="宋体" w:cs="Times New Roman"/>
          <w:color w:val="auto"/>
          <w:spacing w:val="0"/>
          <w:position w:val="0"/>
          <w:sz w:val="24"/>
          <w:szCs w:val="24"/>
          <w:highlight w:val="none"/>
        </w:rPr>
        <w:t>80-180m</w:t>
      </w:r>
      <w:r>
        <w:rPr>
          <w:rFonts w:ascii="Times New Roman" w:hAnsi="Times New Roman" w:eastAsia="宋体" w:cs="宋体"/>
          <w:color w:val="auto"/>
          <w:spacing w:val="0"/>
          <w:position w:val="0"/>
          <w:sz w:val="24"/>
          <w:szCs w:val="24"/>
          <w:highlight w:val="none"/>
        </w:rPr>
        <w:t>之间，含水层岩性为砾石层，除近河床的两侧外，大面的河间地块因靠近第三系隔水屏障，补给条件相对较差，单位涌水量小于</w:t>
      </w:r>
      <w:r>
        <w:rPr>
          <w:rFonts w:ascii="Times New Roman" w:hAnsi="Times New Roman" w:eastAsia="宋体" w:cs="Times New Roman"/>
          <w:color w:val="auto"/>
          <w:spacing w:val="0"/>
          <w:position w:val="0"/>
          <w:sz w:val="24"/>
          <w:szCs w:val="24"/>
          <w:highlight w:val="none"/>
        </w:rPr>
        <w:t>600m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/d.m</w:t>
      </w:r>
      <w:r>
        <w:rPr>
          <w:rFonts w:ascii="Times New Roman" w:hAnsi="Times New Roman" w:eastAsia="宋体" w:cs="宋体"/>
          <w:color w:val="auto"/>
          <w:spacing w:val="0"/>
          <w:position w:val="0"/>
          <w:sz w:val="24"/>
          <w:szCs w:val="24"/>
          <w:highlight w:val="none"/>
        </w:rPr>
        <w:t>，渗透系数为</w:t>
      </w:r>
      <w:r>
        <w:rPr>
          <w:rFonts w:ascii="Times New Roman" w:hAnsi="Times New Roman" w:eastAsia="宋体" w:cs="Times New Roman"/>
          <w:color w:val="auto"/>
          <w:spacing w:val="0"/>
          <w:position w:val="0"/>
          <w:sz w:val="24"/>
          <w:szCs w:val="24"/>
          <w:highlight w:val="none"/>
        </w:rPr>
        <w:t>19-31m/d</w:t>
      </w:r>
      <w:r>
        <w:rPr>
          <w:rFonts w:ascii="Times New Roman" w:hAnsi="Times New Roman" w:eastAsia="宋体" w:cs="宋体"/>
          <w:color w:val="auto"/>
          <w:spacing w:val="0"/>
          <w:position w:val="0"/>
          <w:sz w:val="24"/>
          <w:szCs w:val="24"/>
          <w:highlight w:val="none"/>
        </w:rPr>
        <w:t>，矿化度小于</w:t>
      </w:r>
      <w:r>
        <w:rPr>
          <w:rFonts w:ascii="Times New Roman" w:hAnsi="Times New Roman" w:eastAsia="宋体" w:cs="Times New Roman"/>
          <w:color w:val="auto"/>
          <w:spacing w:val="0"/>
          <w:position w:val="0"/>
          <w:sz w:val="24"/>
          <w:szCs w:val="24"/>
          <w:highlight w:val="none"/>
        </w:rPr>
        <w:t>0.5g/l</w:t>
      </w:r>
      <w:r>
        <w:rPr>
          <w:rFonts w:ascii="Times New Roman" w:hAnsi="Times New Roman" w:eastAsia="宋体" w:cs="宋体"/>
          <w:color w:val="auto"/>
          <w:spacing w:val="0"/>
          <w:position w:val="0"/>
          <w:sz w:val="24"/>
          <w:szCs w:val="24"/>
          <w:highlight w:val="none"/>
        </w:rPr>
        <w:t>。</w:t>
      </w:r>
    </w:p>
    <w:p w14:paraId="1C1DC796">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扇的上部</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凉州户镇一带</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：水位埋深在</w:t>
      </w:r>
      <w:r>
        <w:rPr>
          <w:rFonts w:ascii="Times New Roman" w:hAnsi="Times New Roman" w:eastAsia="宋体" w:cs="Times New Roman"/>
          <w:color w:val="auto"/>
          <w:spacing w:val="0"/>
          <w:position w:val="0"/>
          <w:sz w:val="24"/>
          <w:szCs w:val="24"/>
          <w:highlight w:val="none"/>
        </w:rPr>
        <w:t>50-120m</w:t>
      </w:r>
      <w:r>
        <w:rPr>
          <w:rFonts w:ascii="Times New Roman" w:hAnsi="Times New Roman" w:eastAsia="宋体" w:cs="宋体"/>
          <w:color w:val="auto"/>
          <w:spacing w:val="0"/>
          <w:position w:val="0"/>
          <w:sz w:val="24"/>
          <w:szCs w:val="24"/>
          <w:highlight w:val="none"/>
        </w:rPr>
        <w:t>之间，含水层岩性由卵砾石或砾石层组成，单位涌水量在</w:t>
      </w:r>
      <w:r>
        <w:rPr>
          <w:rFonts w:ascii="Times New Roman" w:hAnsi="Times New Roman" w:eastAsia="宋体" w:cs="Times New Roman"/>
          <w:color w:val="auto"/>
          <w:spacing w:val="0"/>
          <w:position w:val="0"/>
          <w:sz w:val="24"/>
          <w:szCs w:val="24"/>
          <w:highlight w:val="none"/>
        </w:rPr>
        <w:t>1000-3000m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/d.m</w:t>
      </w:r>
      <w:r>
        <w:rPr>
          <w:rFonts w:ascii="Times New Roman" w:hAnsi="Times New Roman" w:eastAsia="宋体" w:cs="宋体"/>
          <w:color w:val="auto"/>
          <w:spacing w:val="0"/>
          <w:position w:val="0"/>
          <w:sz w:val="24"/>
          <w:szCs w:val="24"/>
          <w:highlight w:val="none"/>
        </w:rPr>
        <w:t>之间，渗透系数</w:t>
      </w:r>
      <w:r>
        <w:rPr>
          <w:rFonts w:ascii="Times New Roman" w:hAnsi="Times New Roman" w:eastAsia="宋体" w:cs="Times New Roman"/>
          <w:color w:val="auto"/>
          <w:spacing w:val="0"/>
          <w:position w:val="0"/>
          <w:sz w:val="24"/>
          <w:szCs w:val="24"/>
          <w:highlight w:val="none"/>
        </w:rPr>
        <w:t>48-99m/d</w:t>
      </w:r>
      <w:r>
        <w:rPr>
          <w:rFonts w:ascii="Times New Roman" w:hAnsi="Times New Roman" w:eastAsia="宋体" w:cs="宋体"/>
          <w:color w:val="auto"/>
          <w:spacing w:val="0"/>
          <w:position w:val="0"/>
          <w:sz w:val="24"/>
          <w:szCs w:val="24"/>
          <w:highlight w:val="none"/>
        </w:rPr>
        <w:t>，平均单井涌水量</w:t>
      </w:r>
      <w:r>
        <w:rPr>
          <w:rFonts w:ascii="Times New Roman" w:hAnsi="Times New Roman" w:eastAsia="宋体" w:cs="Times New Roman"/>
          <w:color w:val="auto"/>
          <w:spacing w:val="0"/>
          <w:position w:val="0"/>
          <w:sz w:val="24"/>
          <w:szCs w:val="24"/>
          <w:highlight w:val="none"/>
        </w:rPr>
        <w:t>2280m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降深</w:t>
      </w:r>
      <w:r>
        <w:rPr>
          <w:rFonts w:ascii="Times New Roman" w:hAnsi="Times New Roman" w:eastAsia="宋体" w:cs="Times New Roman"/>
          <w:color w:val="auto"/>
          <w:spacing w:val="0"/>
          <w:position w:val="0"/>
          <w:sz w:val="24"/>
          <w:szCs w:val="24"/>
          <w:highlight w:val="none"/>
        </w:rPr>
        <w:t>0.72-2.62m</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，矿化度小于</w:t>
      </w:r>
      <w:r>
        <w:rPr>
          <w:rFonts w:ascii="Times New Roman" w:hAnsi="Times New Roman" w:eastAsia="宋体" w:cs="Times New Roman"/>
          <w:color w:val="auto"/>
          <w:spacing w:val="0"/>
          <w:position w:val="0"/>
          <w:sz w:val="24"/>
          <w:szCs w:val="24"/>
          <w:highlight w:val="none"/>
        </w:rPr>
        <w:t>1g/l</w:t>
      </w:r>
      <w:r>
        <w:rPr>
          <w:rFonts w:ascii="Times New Roman" w:hAnsi="Times New Roman" w:eastAsia="宋体" w:cs="宋体"/>
          <w:color w:val="auto"/>
          <w:spacing w:val="0"/>
          <w:position w:val="0"/>
          <w:sz w:val="24"/>
          <w:szCs w:val="24"/>
          <w:highlight w:val="none"/>
        </w:rPr>
        <w:t>。</w:t>
      </w:r>
    </w:p>
    <w:p w14:paraId="4BE15D04">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扇中部</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玛纳斯镇</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园艺场</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兰州湾一带</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：水位埋深</w:t>
      </w:r>
      <w:r>
        <w:rPr>
          <w:rFonts w:ascii="Times New Roman" w:hAnsi="Times New Roman" w:eastAsia="宋体" w:cs="Times New Roman"/>
          <w:color w:val="auto"/>
          <w:spacing w:val="0"/>
          <w:position w:val="0"/>
          <w:sz w:val="24"/>
          <w:szCs w:val="24"/>
          <w:highlight w:val="none"/>
        </w:rPr>
        <w:t>15-60m</w:t>
      </w:r>
      <w:r>
        <w:rPr>
          <w:rFonts w:ascii="Times New Roman" w:hAnsi="Times New Roman" w:eastAsia="宋体" w:cs="宋体"/>
          <w:color w:val="auto"/>
          <w:spacing w:val="0"/>
          <w:position w:val="0"/>
          <w:sz w:val="24"/>
          <w:szCs w:val="24"/>
          <w:highlight w:val="none"/>
        </w:rPr>
        <w:t>之间，含水层岩性主要由卵砾石组成，为本区内最富水的地带，单位涌水量在</w:t>
      </w:r>
      <w:r>
        <w:rPr>
          <w:rFonts w:ascii="Times New Roman" w:hAnsi="Times New Roman" w:eastAsia="宋体" w:cs="Times New Roman"/>
          <w:color w:val="auto"/>
          <w:spacing w:val="0"/>
          <w:position w:val="0"/>
          <w:sz w:val="24"/>
          <w:szCs w:val="24"/>
          <w:highlight w:val="none"/>
        </w:rPr>
        <w:t>3000-6000m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/d.m</w:t>
      </w:r>
      <w:r>
        <w:rPr>
          <w:rFonts w:ascii="Times New Roman" w:hAnsi="Times New Roman" w:eastAsia="宋体" w:cs="宋体"/>
          <w:color w:val="auto"/>
          <w:spacing w:val="0"/>
          <w:position w:val="0"/>
          <w:sz w:val="24"/>
          <w:szCs w:val="24"/>
          <w:highlight w:val="none"/>
        </w:rPr>
        <w:t>之间，渗透系数</w:t>
      </w:r>
      <w:r>
        <w:rPr>
          <w:rFonts w:ascii="Times New Roman" w:hAnsi="Times New Roman" w:eastAsia="宋体" w:cs="Times New Roman"/>
          <w:color w:val="auto"/>
          <w:spacing w:val="0"/>
          <w:position w:val="0"/>
          <w:sz w:val="24"/>
          <w:szCs w:val="24"/>
          <w:highlight w:val="none"/>
        </w:rPr>
        <w:t>80-135m/d</w:t>
      </w:r>
      <w:r>
        <w:rPr>
          <w:rFonts w:ascii="Times New Roman" w:hAnsi="Times New Roman" w:eastAsia="宋体" w:cs="宋体"/>
          <w:color w:val="auto"/>
          <w:spacing w:val="0"/>
          <w:position w:val="0"/>
          <w:sz w:val="24"/>
          <w:szCs w:val="24"/>
          <w:highlight w:val="none"/>
        </w:rPr>
        <w:t>，平均单井涌水量</w:t>
      </w:r>
      <w:r>
        <w:rPr>
          <w:rFonts w:ascii="Times New Roman" w:hAnsi="Times New Roman" w:eastAsia="宋体" w:cs="Times New Roman"/>
          <w:color w:val="auto"/>
          <w:spacing w:val="0"/>
          <w:position w:val="0"/>
          <w:sz w:val="24"/>
          <w:szCs w:val="24"/>
          <w:highlight w:val="none"/>
        </w:rPr>
        <w:t>5364m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w:t>
      </w:r>
      <w:r>
        <w:rPr>
          <w:rFonts w:ascii="Times New Roman" w:hAnsi="Times New Roman" w:eastAsia="宋体" w:cs="宋体"/>
          <w:color w:val="auto"/>
          <w:spacing w:val="0"/>
          <w:position w:val="0"/>
          <w:sz w:val="24"/>
          <w:szCs w:val="24"/>
          <w:highlight w:val="none"/>
        </w:rPr>
        <w:t>，</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降深</w:t>
      </w:r>
      <w:r>
        <w:rPr>
          <w:rFonts w:ascii="Times New Roman" w:hAnsi="Times New Roman" w:eastAsia="宋体" w:cs="Times New Roman"/>
          <w:color w:val="auto"/>
          <w:spacing w:val="0"/>
          <w:position w:val="0"/>
          <w:sz w:val="24"/>
          <w:szCs w:val="24"/>
          <w:highlight w:val="none"/>
        </w:rPr>
        <w:t>1.43-3.07m</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，矿化度小于</w:t>
      </w:r>
      <w:r>
        <w:rPr>
          <w:rFonts w:ascii="Times New Roman" w:hAnsi="Times New Roman" w:eastAsia="宋体" w:cs="Times New Roman"/>
          <w:color w:val="auto"/>
          <w:spacing w:val="0"/>
          <w:position w:val="0"/>
          <w:sz w:val="24"/>
          <w:szCs w:val="24"/>
          <w:highlight w:val="none"/>
        </w:rPr>
        <w:t>1g/l</w:t>
      </w:r>
      <w:r>
        <w:rPr>
          <w:rFonts w:ascii="Times New Roman" w:hAnsi="Times New Roman" w:eastAsia="宋体" w:cs="宋体"/>
          <w:color w:val="auto"/>
          <w:spacing w:val="0"/>
          <w:position w:val="0"/>
          <w:sz w:val="24"/>
          <w:szCs w:val="24"/>
          <w:highlight w:val="none"/>
        </w:rPr>
        <w:t>。</w:t>
      </w:r>
    </w:p>
    <w:p w14:paraId="2D585872">
      <w:pPr>
        <w:keepNext w:val="0"/>
        <w:keepLines w:val="0"/>
        <w:pageBreakBefore w:val="0"/>
        <w:widowControl w:val="0"/>
        <w:kinsoku/>
        <w:wordWrap/>
        <w:overflowPunct/>
        <w:topLinePunct w:val="0"/>
        <w:autoSpaceDE/>
        <w:autoSpaceDN/>
        <w:bidi w:val="0"/>
        <w:adjustRightInd/>
        <w:snapToGrid/>
        <w:spacing w:line="360" w:lineRule="auto"/>
        <w:ind w:left="0" w:right="0" w:firstLine="477"/>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在扇的下缘溢出带</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兰州湾以北地区</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：水位埋深小于</w:t>
      </w:r>
      <w:r>
        <w:rPr>
          <w:rFonts w:ascii="Times New Roman" w:hAnsi="Times New Roman" w:eastAsia="宋体" w:cs="Times New Roman"/>
          <w:color w:val="auto"/>
          <w:spacing w:val="0"/>
          <w:position w:val="0"/>
          <w:sz w:val="24"/>
          <w:szCs w:val="24"/>
          <w:highlight w:val="none"/>
        </w:rPr>
        <w:t>10m</w:t>
      </w:r>
      <w:r>
        <w:rPr>
          <w:rFonts w:ascii="Times New Roman" w:hAnsi="Times New Roman" w:eastAsia="宋体" w:cs="宋体"/>
          <w:color w:val="auto"/>
          <w:spacing w:val="0"/>
          <w:position w:val="0"/>
          <w:sz w:val="24"/>
          <w:szCs w:val="24"/>
          <w:highlight w:val="none"/>
        </w:rPr>
        <w:t>，含水层岩性主要由亚砂土组成，为弱含水层段，富水性较贫乏，无开采价值。</w:t>
      </w:r>
    </w:p>
    <w:p w14:paraId="68DA1A2D">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在东部的包家店镇一带，水位埋深在</w:t>
      </w:r>
      <w:r>
        <w:rPr>
          <w:rFonts w:ascii="Times New Roman" w:hAnsi="Times New Roman" w:eastAsia="宋体" w:cs="Times New Roman"/>
          <w:color w:val="auto"/>
          <w:spacing w:val="0"/>
          <w:position w:val="0"/>
          <w:sz w:val="24"/>
          <w:szCs w:val="24"/>
          <w:highlight w:val="none"/>
        </w:rPr>
        <w:t>30-180m</w:t>
      </w:r>
      <w:r>
        <w:rPr>
          <w:rFonts w:ascii="Times New Roman" w:hAnsi="Times New Roman" w:eastAsia="宋体" w:cs="宋体"/>
          <w:color w:val="auto"/>
          <w:spacing w:val="0"/>
          <w:position w:val="0"/>
          <w:sz w:val="24"/>
          <w:szCs w:val="24"/>
          <w:highlight w:val="none"/>
        </w:rPr>
        <w:t>之间，由于塔西河冲洪积扇的补给量较小，平均单位涌水量在</w:t>
      </w:r>
      <w:r>
        <w:rPr>
          <w:rFonts w:ascii="Times New Roman" w:hAnsi="Times New Roman" w:eastAsia="宋体" w:cs="Times New Roman"/>
          <w:color w:val="auto"/>
          <w:spacing w:val="0"/>
          <w:position w:val="0"/>
          <w:sz w:val="24"/>
          <w:szCs w:val="24"/>
          <w:highlight w:val="none"/>
        </w:rPr>
        <w:t>1279.8m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/d.m</w:t>
      </w:r>
      <w:r>
        <w:rPr>
          <w:rFonts w:ascii="Times New Roman" w:hAnsi="Times New Roman" w:eastAsia="宋体" w:cs="宋体"/>
          <w:color w:val="auto"/>
          <w:spacing w:val="0"/>
          <w:position w:val="0"/>
          <w:sz w:val="24"/>
          <w:szCs w:val="24"/>
          <w:highlight w:val="none"/>
        </w:rPr>
        <w:t>，渗透系数为</w:t>
      </w:r>
      <w:r>
        <w:rPr>
          <w:rFonts w:ascii="Times New Roman" w:hAnsi="Times New Roman" w:eastAsia="宋体" w:cs="Times New Roman"/>
          <w:color w:val="auto"/>
          <w:spacing w:val="0"/>
          <w:position w:val="0"/>
          <w:sz w:val="24"/>
          <w:szCs w:val="24"/>
          <w:highlight w:val="none"/>
        </w:rPr>
        <w:t>28-65m/d</w:t>
      </w:r>
      <w:r>
        <w:rPr>
          <w:rFonts w:ascii="Times New Roman" w:hAnsi="Times New Roman" w:eastAsia="宋体" w:cs="宋体"/>
          <w:color w:val="auto"/>
          <w:spacing w:val="0"/>
          <w:position w:val="0"/>
          <w:sz w:val="24"/>
          <w:szCs w:val="24"/>
          <w:highlight w:val="none"/>
        </w:rPr>
        <w:t>。</w:t>
      </w:r>
    </w:p>
    <w:p w14:paraId="16C6382A">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②承压水含水层</w:t>
      </w:r>
    </w:p>
    <w:p w14:paraId="54AE9A87">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承压含水层赋存于溢出带及其以北潜水含水层之下。据前人资料表明，该区段</w:t>
      </w:r>
      <w:r>
        <w:rPr>
          <w:rFonts w:ascii="Times New Roman" w:hAnsi="Times New Roman" w:eastAsia="宋体" w:cs="Times New Roman"/>
          <w:color w:val="auto"/>
          <w:spacing w:val="0"/>
          <w:position w:val="0"/>
          <w:sz w:val="24"/>
          <w:szCs w:val="24"/>
          <w:highlight w:val="none"/>
        </w:rPr>
        <w:t>100m</w:t>
      </w:r>
      <w:r>
        <w:rPr>
          <w:rFonts w:ascii="Times New Roman" w:hAnsi="Times New Roman" w:eastAsia="宋体" w:cs="宋体"/>
          <w:color w:val="auto"/>
          <w:spacing w:val="0"/>
          <w:position w:val="0"/>
          <w:sz w:val="24"/>
          <w:szCs w:val="24"/>
          <w:highlight w:val="none"/>
        </w:rPr>
        <w:t>深度内分布</w:t>
      </w:r>
      <w:r>
        <w:rPr>
          <w:rFonts w:ascii="Times New Roman" w:hAnsi="Times New Roman" w:eastAsia="宋体" w:cs="Times New Roman"/>
          <w:color w:val="auto"/>
          <w:spacing w:val="0"/>
          <w:position w:val="0"/>
          <w:sz w:val="24"/>
          <w:szCs w:val="24"/>
          <w:highlight w:val="none"/>
        </w:rPr>
        <w:t>2-3</w:t>
      </w:r>
      <w:r>
        <w:rPr>
          <w:rFonts w:ascii="Times New Roman" w:hAnsi="Times New Roman" w:eastAsia="宋体" w:cs="宋体"/>
          <w:color w:val="auto"/>
          <w:spacing w:val="0"/>
          <w:position w:val="0"/>
          <w:sz w:val="24"/>
          <w:szCs w:val="24"/>
          <w:highlight w:val="none"/>
        </w:rPr>
        <w:t>层较稳定的含水层，含水层岩性上部为砾石、砂砾石或砂，单层厚度</w:t>
      </w:r>
      <w:r>
        <w:rPr>
          <w:rFonts w:ascii="Times New Roman" w:hAnsi="Times New Roman" w:eastAsia="宋体" w:cs="Times New Roman"/>
          <w:color w:val="auto"/>
          <w:spacing w:val="0"/>
          <w:position w:val="0"/>
          <w:sz w:val="24"/>
          <w:szCs w:val="24"/>
          <w:highlight w:val="none"/>
        </w:rPr>
        <w:t>15-35m</w:t>
      </w:r>
      <w:r>
        <w:rPr>
          <w:rFonts w:ascii="Times New Roman" w:hAnsi="Times New Roman" w:eastAsia="宋体" w:cs="宋体"/>
          <w:color w:val="auto"/>
          <w:spacing w:val="0"/>
          <w:position w:val="0"/>
          <w:sz w:val="24"/>
          <w:szCs w:val="24"/>
          <w:highlight w:val="none"/>
        </w:rPr>
        <w:t>，隔水层岩性一般为亚砂土、亚粘土和粘土，自南而北含水层逐渐变薄，岩性逐渐变细，自西向东含水层岩性由粗变细，富水性逐渐减弱，含水层的富水性随着含水层岩性和厚度的变化，向北部逐渐减弱。单位涌水量由</w:t>
      </w:r>
      <w:r>
        <w:rPr>
          <w:rFonts w:ascii="Times New Roman" w:hAnsi="Times New Roman" w:eastAsia="宋体" w:cs="Times New Roman"/>
          <w:color w:val="auto"/>
          <w:spacing w:val="0"/>
          <w:position w:val="0"/>
          <w:sz w:val="24"/>
          <w:szCs w:val="24"/>
          <w:highlight w:val="none"/>
        </w:rPr>
        <w:t>1000-3000m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/d.m</w:t>
      </w:r>
      <w:r>
        <w:rPr>
          <w:rFonts w:ascii="Times New Roman" w:hAnsi="Times New Roman" w:eastAsia="宋体" w:cs="宋体"/>
          <w:color w:val="auto"/>
          <w:spacing w:val="0"/>
          <w:position w:val="0"/>
          <w:sz w:val="24"/>
          <w:szCs w:val="24"/>
          <w:highlight w:val="none"/>
        </w:rPr>
        <w:t>，渗透系数在</w:t>
      </w:r>
      <w:r>
        <w:rPr>
          <w:rFonts w:ascii="Times New Roman" w:hAnsi="Times New Roman" w:eastAsia="宋体" w:cs="Times New Roman"/>
          <w:color w:val="auto"/>
          <w:spacing w:val="0"/>
          <w:position w:val="0"/>
          <w:sz w:val="24"/>
          <w:szCs w:val="24"/>
          <w:highlight w:val="none"/>
        </w:rPr>
        <w:t>10~40m/d</w:t>
      </w:r>
      <w:r>
        <w:rPr>
          <w:rFonts w:ascii="Times New Roman" w:hAnsi="Times New Roman" w:eastAsia="宋体" w:cs="宋体"/>
          <w:color w:val="auto"/>
          <w:spacing w:val="0"/>
          <w:position w:val="0"/>
          <w:sz w:val="24"/>
          <w:szCs w:val="24"/>
          <w:highlight w:val="none"/>
        </w:rPr>
        <w:t>之间，逐渐变为小于</w:t>
      </w:r>
      <w:r>
        <w:rPr>
          <w:rFonts w:ascii="Times New Roman" w:hAnsi="Times New Roman" w:eastAsia="宋体" w:cs="Times New Roman"/>
          <w:color w:val="auto"/>
          <w:spacing w:val="0"/>
          <w:position w:val="0"/>
          <w:sz w:val="24"/>
          <w:szCs w:val="24"/>
          <w:highlight w:val="none"/>
        </w:rPr>
        <w:t>1000m</w:t>
      </w:r>
      <w:r>
        <w:rPr>
          <w:rFonts w:ascii="Times New Roman" w:hAnsi="Times New Roman" w:eastAsia="宋体" w:cs="Times New Roman"/>
          <w:color w:val="auto"/>
          <w:spacing w:val="0"/>
          <w:position w:val="0"/>
          <w:sz w:val="24"/>
          <w:szCs w:val="15"/>
          <w:highlight w:val="none"/>
          <w:vertAlign w:val="superscript"/>
        </w:rPr>
        <w:t>3</w:t>
      </w:r>
      <w:r>
        <w:rPr>
          <w:rFonts w:ascii="Times New Roman" w:hAnsi="Times New Roman" w:eastAsia="宋体" w:cs="Times New Roman"/>
          <w:color w:val="auto"/>
          <w:spacing w:val="0"/>
          <w:position w:val="0"/>
          <w:sz w:val="24"/>
          <w:szCs w:val="24"/>
          <w:highlight w:val="none"/>
        </w:rPr>
        <w:t>/d.m</w:t>
      </w:r>
      <w:r>
        <w:rPr>
          <w:rFonts w:ascii="Times New Roman" w:hAnsi="Times New Roman" w:eastAsia="宋体" w:cs="宋体"/>
          <w:color w:val="auto"/>
          <w:spacing w:val="0"/>
          <w:position w:val="0"/>
          <w:sz w:val="24"/>
          <w:szCs w:val="24"/>
          <w:highlight w:val="none"/>
        </w:rPr>
        <w:t>，渗透系数在</w:t>
      </w:r>
      <w:r>
        <w:rPr>
          <w:rFonts w:ascii="Times New Roman" w:hAnsi="Times New Roman" w:eastAsia="宋体" w:cs="Times New Roman"/>
          <w:color w:val="auto"/>
          <w:spacing w:val="0"/>
          <w:position w:val="0"/>
          <w:sz w:val="24"/>
          <w:szCs w:val="24"/>
          <w:highlight w:val="none"/>
        </w:rPr>
        <w:t>2~4m/d</w:t>
      </w:r>
      <w:r>
        <w:rPr>
          <w:rFonts w:ascii="Times New Roman" w:hAnsi="Times New Roman" w:eastAsia="宋体" w:cs="宋体"/>
          <w:color w:val="auto"/>
          <w:spacing w:val="0"/>
          <w:position w:val="0"/>
          <w:sz w:val="24"/>
          <w:szCs w:val="24"/>
          <w:highlight w:val="none"/>
        </w:rPr>
        <w:t>之间。</w:t>
      </w:r>
    </w:p>
    <w:p w14:paraId="5893886D">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2、</w:t>
      </w:r>
      <w:r>
        <w:rPr>
          <w:rFonts w:ascii="Times New Roman" w:hAnsi="Times New Roman" w:eastAsia="宋体" w:cs="宋体"/>
          <w:color w:val="auto"/>
          <w:spacing w:val="0"/>
          <w:position w:val="0"/>
          <w:sz w:val="24"/>
          <w:szCs w:val="24"/>
          <w:highlight w:val="none"/>
        </w:rPr>
        <w:t>项目区地下水的补给、径流、排泄规律</w:t>
      </w:r>
    </w:p>
    <w:p w14:paraId="0F57F375">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地下水的补给条件</w:t>
      </w:r>
    </w:p>
    <w:p w14:paraId="681FBED5">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位于玛纳斯河冲洪积平原下游区，地下水类型为孔隙潜水及微承压水，地下水补给主要来自南部玛纳斯河水的沿途渗透及含水层的径流，同时渠系及田间灌溉对地下水也有一定的补给作用，地下水流向自南向北。</w:t>
      </w:r>
    </w:p>
    <w:p w14:paraId="466E45B5">
      <w:pPr>
        <w:keepNext w:val="0"/>
        <w:keepLines w:val="0"/>
        <w:pageBreakBefore w:val="0"/>
        <w:widowControl w:val="0"/>
        <w:kinsoku/>
        <w:wordWrap/>
        <w:overflowPunct/>
        <w:topLinePunct w:val="0"/>
        <w:autoSpaceDE/>
        <w:autoSpaceDN/>
        <w:bidi w:val="0"/>
        <w:adjustRightInd/>
        <w:snapToGrid/>
        <w:spacing w:line="360" w:lineRule="auto"/>
        <w:ind w:left="0" w:right="0" w:firstLine="483"/>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该区地下水水位埋深一般在</w:t>
      </w:r>
      <w:r>
        <w:rPr>
          <w:rFonts w:ascii="Times New Roman" w:hAnsi="Times New Roman" w:eastAsia="宋体" w:cs="Times New Roman"/>
          <w:color w:val="auto"/>
          <w:spacing w:val="0"/>
          <w:position w:val="0"/>
          <w:sz w:val="24"/>
          <w:szCs w:val="24"/>
          <w:highlight w:val="none"/>
        </w:rPr>
        <w:t>50m</w:t>
      </w:r>
      <w:r>
        <w:rPr>
          <w:rFonts w:ascii="Times New Roman" w:hAnsi="Times New Roman" w:eastAsia="宋体" w:cs="宋体"/>
          <w:color w:val="auto"/>
          <w:spacing w:val="0"/>
          <w:position w:val="0"/>
          <w:sz w:val="24"/>
          <w:szCs w:val="24"/>
          <w:highlight w:val="none"/>
        </w:rPr>
        <w:t>以上，所以该区地下水除了人工开采外，全部以地下侧向径流的形式向下游排泄。该区含水层为巨厚的第四系松散卵砾石层，目前钻孔揭露深度为</w:t>
      </w:r>
      <w:r>
        <w:rPr>
          <w:rFonts w:ascii="Times New Roman" w:hAnsi="Times New Roman" w:eastAsia="宋体" w:cs="Times New Roman"/>
          <w:color w:val="auto"/>
          <w:spacing w:val="0"/>
          <w:position w:val="0"/>
          <w:sz w:val="24"/>
          <w:szCs w:val="24"/>
          <w:highlight w:val="none"/>
        </w:rPr>
        <w:t>170m</w:t>
      </w:r>
      <w:r>
        <w:rPr>
          <w:rFonts w:ascii="Times New Roman" w:hAnsi="Times New Roman" w:eastAsia="宋体" w:cs="宋体"/>
          <w:color w:val="auto"/>
          <w:spacing w:val="0"/>
          <w:position w:val="0"/>
          <w:sz w:val="24"/>
          <w:szCs w:val="24"/>
          <w:highlight w:val="none"/>
        </w:rPr>
        <w:t>，据物探资料显示，其饱水带厚度</w:t>
      </w:r>
      <w:r>
        <w:rPr>
          <w:rFonts w:ascii="Times New Roman" w:hAnsi="Times New Roman" w:eastAsia="宋体" w:cs="Times New Roman"/>
          <w:color w:val="auto"/>
          <w:spacing w:val="0"/>
          <w:position w:val="0"/>
          <w:sz w:val="24"/>
          <w:szCs w:val="24"/>
          <w:highlight w:val="none"/>
        </w:rPr>
        <w:t>400-1150m</w:t>
      </w:r>
      <w:r>
        <w:rPr>
          <w:rFonts w:ascii="Times New Roman" w:hAnsi="Times New Roman" w:eastAsia="宋体" w:cs="宋体"/>
          <w:color w:val="auto"/>
          <w:spacing w:val="0"/>
          <w:position w:val="0"/>
          <w:sz w:val="24"/>
          <w:szCs w:val="24"/>
          <w:highlight w:val="none"/>
        </w:rPr>
        <w:t>。由地表到深部，含水层颗粒由粗变细，由单一的卵砾石渐变化砂砾石、砂，含水层富水性也相应地变弱。</w:t>
      </w:r>
    </w:p>
    <w:p w14:paraId="19A426DB">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2</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地下水的径流条件</w:t>
      </w:r>
    </w:p>
    <w:p w14:paraId="69E8AFEC">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地下水的径流条件主要受地形，含水介质及补给条件的控制，平原区地形较为平坦，地势南高北低，地下水流向近似南北向。乌伊公路以南为冲洪积扇中上部，含水层岩性颗粒粗大，径流条件良好，水力坡度为</w:t>
      </w:r>
      <w:r>
        <w:rPr>
          <w:rFonts w:ascii="Times New Roman" w:hAnsi="Times New Roman" w:eastAsia="宋体" w:cs="Times New Roman"/>
          <w:color w:val="auto"/>
          <w:spacing w:val="0"/>
          <w:position w:val="0"/>
          <w:sz w:val="24"/>
          <w:szCs w:val="24"/>
          <w:highlight w:val="none"/>
        </w:rPr>
        <w:t>0.4-0.8‰</w:t>
      </w:r>
      <w:r>
        <w:rPr>
          <w:rFonts w:ascii="Times New Roman" w:hAnsi="Times New Roman" w:eastAsia="宋体" w:cs="宋体"/>
          <w:color w:val="auto"/>
          <w:spacing w:val="0"/>
          <w:position w:val="0"/>
          <w:sz w:val="24"/>
          <w:szCs w:val="24"/>
          <w:highlight w:val="none"/>
        </w:rPr>
        <w:t>；乌伊公路以北地区，随着岩性颗粒由粗变细，含水层由厚变薄，透水性变差，水力坡度相应增大一般在</w:t>
      </w:r>
      <w:r>
        <w:rPr>
          <w:rFonts w:ascii="Times New Roman" w:hAnsi="Times New Roman" w:eastAsia="宋体" w:cs="Times New Roman"/>
          <w:color w:val="auto"/>
          <w:spacing w:val="0"/>
          <w:position w:val="0"/>
          <w:sz w:val="24"/>
          <w:szCs w:val="24"/>
          <w:highlight w:val="none"/>
        </w:rPr>
        <w:t>1-3‰</w:t>
      </w:r>
      <w:r>
        <w:rPr>
          <w:rFonts w:ascii="Times New Roman" w:hAnsi="Times New Roman" w:eastAsia="宋体" w:cs="宋体"/>
          <w:color w:val="auto"/>
          <w:spacing w:val="0"/>
          <w:position w:val="0"/>
          <w:sz w:val="24"/>
          <w:szCs w:val="24"/>
          <w:highlight w:val="none"/>
        </w:rPr>
        <w:t>，至溢出带附近，水力坡度增至</w:t>
      </w:r>
      <w:r>
        <w:rPr>
          <w:rFonts w:ascii="Times New Roman" w:hAnsi="Times New Roman" w:eastAsia="宋体" w:cs="Times New Roman"/>
          <w:color w:val="auto"/>
          <w:spacing w:val="0"/>
          <w:position w:val="0"/>
          <w:sz w:val="24"/>
          <w:szCs w:val="24"/>
          <w:highlight w:val="none"/>
        </w:rPr>
        <w:t>5-8.6‰</w:t>
      </w:r>
      <w:r>
        <w:rPr>
          <w:rFonts w:ascii="Times New Roman" w:hAnsi="Times New Roman" w:eastAsia="宋体" w:cs="宋体"/>
          <w:color w:val="auto"/>
          <w:spacing w:val="0"/>
          <w:position w:val="0"/>
          <w:sz w:val="24"/>
          <w:szCs w:val="24"/>
          <w:highlight w:val="none"/>
        </w:rPr>
        <w:t>。</w:t>
      </w:r>
    </w:p>
    <w:p w14:paraId="57576AE2">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3</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地下水的排泄条件</w:t>
      </w:r>
    </w:p>
    <w:p w14:paraId="42E462E4">
      <w:pPr>
        <w:keepNext w:val="0"/>
        <w:keepLines w:val="0"/>
        <w:pageBreakBefore w:val="0"/>
        <w:widowControl w:val="0"/>
        <w:kinsoku/>
        <w:wordWrap/>
        <w:overflowPunct/>
        <w:topLinePunct w:val="0"/>
        <w:autoSpaceDE/>
        <w:autoSpaceDN/>
        <w:bidi w:val="0"/>
        <w:adjustRightInd/>
        <w:snapToGrid/>
        <w:spacing w:line="360" w:lineRule="auto"/>
        <w:ind w:left="0" w:right="0" w:firstLine="497"/>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区域内地下水排泄主要以蒸发、人工开采、断面的径流流出的形式排泄。地下水由南向北径流，水力坡度</w:t>
      </w:r>
      <w:r>
        <w:rPr>
          <w:rFonts w:ascii="Times New Roman" w:hAnsi="Times New Roman" w:eastAsia="宋体" w:cs="Times New Roman"/>
          <w:color w:val="auto"/>
          <w:spacing w:val="0"/>
          <w:position w:val="0"/>
          <w:sz w:val="24"/>
          <w:szCs w:val="24"/>
          <w:highlight w:val="none"/>
        </w:rPr>
        <w:t>2.5‰</w:t>
      </w:r>
      <w:r>
        <w:rPr>
          <w:rFonts w:ascii="Times New Roman" w:hAnsi="Times New Roman" w:eastAsia="宋体" w:cs="宋体"/>
          <w:color w:val="auto"/>
          <w:spacing w:val="0"/>
          <w:position w:val="0"/>
          <w:sz w:val="24"/>
          <w:szCs w:val="24"/>
          <w:highlight w:val="none"/>
        </w:rPr>
        <w:t>，含水层岩性为砂砾石、砂组成，颗粒分选性较好，水位埋深南部大，北部相对较浅。</w:t>
      </w:r>
    </w:p>
    <w:p w14:paraId="4CF4DEFC">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4</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地下水动态</w:t>
      </w:r>
    </w:p>
    <w:p w14:paraId="49DD4D2A">
      <w:pPr>
        <w:keepNext w:val="0"/>
        <w:keepLines w:val="0"/>
        <w:pageBreakBefore w:val="0"/>
        <w:widowControl w:val="0"/>
        <w:kinsoku/>
        <w:wordWrap/>
        <w:overflowPunct/>
        <w:topLinePunct w:val="0"/>
        <w:autoSpaceDE/>
        <w:autoSpaceDN/>
        <w:bidi w:val="0"/>
        <w:adjustRightInd/>
        <w:snapToGrid/>
        <w:spacing w:line="360" w:lineRule="auto"/>
        <w:ind w:left="0" w:right="0" w:firstLine="497"/>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区域地下水动态类型主要以人工型动态为主，表现为每年的</w:t>
      </w:r>
      <w:r>
        <w:rPr>
          <w:rFonts w:ascii="Times New Roman" w:hAnsi="Times New Roman" w:eastAsia="宋体" w:cs="Times New Roman"/>
          <w:color w:val="auto"/>
          <w:spacing w:val="0"/>
          <w:position w:val="0"/>
          <w:sz w:val="24"/>
          <w:szCs w:val="24"/>
          <w:highlight w:val="none"/>
        </w:rPr>
        <w:t>4</w:t>
      </w:r>
      <w:r>
        <w:rPr>
          <w:rFonts w:ascii="Times New Roman" w:hAnsi="Times New Roman" w:eastAsia="宋体" w:cs="宋体"/>
          <w:color w:val="auto"/>
          <w:spacing w:val="0"/>
          <w:position w:val="0"/>
          <w:sz w:val="24"/>
          <w:szCs w:val="24"/>
          <w:highlight w:val="none"/>
        </w:rPr>
        <w:t>月份起水位受开采影响而持续下降，到</w:t>
      </w:r>
      <w:r>
        <w:rPr>
          <w:rFonts w:ascii="Times New Roman" w:hAnsi="Times New Roman" w:eastAsia="宋体" w:cs="Times New Roman"/>
          <w:color w:val="auto"/>
          <w:spacing w:val="0"/>
          <w:position w:val="0"/>
          <w:sz w:val="24"/>
          <w:szCs w:val="24"/>
          <w:highlight w:val="none"/>
        </w:rPr>
        <w:t>8</w:t>
      </w:r>
      <w:r>
        <w:rPr>
          <w:rFonts w:ascii="Times New Roman" w:hAnsi="Times New Roman" w:eastAsia="宋体" w:cs="宋体"/>
          <w:color w:val="auto"/>
          <w:spacing w:val="0"/>
          <w:position w:val="0"/>
          <w:sz w:val="24"/>
          <w:szCs w:val="24"/>
          <w:highlight w:val="none"/>
        </w:rPr>
        <w:t>月中旬，水位下降到最低点，之后，开采量小于地下水补给量，水位持续上升。近年来，随着引水工程的不断完善，调查区地下水位持续下降。地下水动态类型主要为人工型。受河水的丰水期枯水期的影响，河谷两侧表现的水文型动态径流滞后，使调查区部分叠加了径流型动态，但主要受人为因素的影响，表现为人工型地下水动态类型。</w:t>
      </w:r>
    </w:p>
    <w:p w14:paraId="78848DD6">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根据玛纳斯县城城镇水资源论证，玛纳斯县城镇地下水总体处于严重超采，地下水开采处于负均衡状态，地下水环境恶化，根据地下水长期监测结果，全县地下水位平均下降</w:t>
      </w:r>
      <w:r>
        <w:rPr>
          <w:rFonts w:ascii="Times New Roman" w:hAnsi="Times New Roman" w:eastAsia="宋体" w:cs="Times New Roman"/>
          <w:color w:val="auto"/>
          <w:spacing w:val="0"/>
          <w:position w:val="0"/>
          <w:sz w:val="24"/>
          <w:szCs w:val="24"/>
          <w:highlight w:val="none"/>
        </w:rPr>
        <w:t>0.385m/a</w:t>
      </w:r>
      <w:r>
        <w:rPr>
          <w:rFonts w:ascii="Times New Roman" w:hAnsi="Times New Roman" w:eastAsia="宋体" w:cs="宋体"/>
          <w:color w:val="auto"/>
          <w:spacing w:val="0"/>
          <w:position w:val="0"/>
          <w:sz w:val="24"/>
          <w:szCs w:val="24"/>
          <w:highlight w:val="none"/>
        </w:rPr>
        <w:t>，地下水主要开采区分布在乌</w:t>
      </w:r>
      <w:r>
        <w:rPr>
          <w:rFonts w:ascii="Times New Roman" w:hAnsi="Times New Roman" w:eastAsia="宋体" w:cs="Times New Roman"/>
          <w:color w:val="auto"/>
          <w:spacing w:val="0"/>
          <w:position w:val="0"/>
          <w:sz w:val="24"/>
          <w:szCs w:val="24"/>
          <w:highlight w:val="none"/>
        </w:rPr>
        <w:t>~</w:t>
      </w:r>
      <w:r>
        <w:rPr>
          <w:rFonts w:ascii="Times New Roman" w:hAnsi="Times New Roman" w:eastAsia="宋体" w:cs="宋体"/>
          <w:color w:val="auto"/>
          <w:spacing w:val="0"/>
          <w:position w:val="0"/>
          <w:sz w:val="24"/>
          <w:szCs w:val="24"/>
          <w:highlight w:val="none"/>
        </w:rPr>
        <w:t>伊公路两侧，东至呼图壁交界，西至玛纳斯河，南至前山带，北至乐土驿、平原林场、包家店、兰州湾的北界等地区，此范围地下水平均降深</w:t>
      </w:r>
      <w:r>
        <w:rPr>
          <w:rFonts w:ascii="Times New Roman" w:hAnsi="Times New Roman" w:eastAsia="宋体" w:cs="Times New Roman"/>
          <w:color w:val="auto"/>
          <w:spacing w:val="0"/>
          <w:position w:val="0"/>
          <w:sz w:val="24"/>
          <w:szCs w:val="24"/>
          <w:highlight w:val="none"/>
        </w:rPr>
        <w:t>0.56m</w:t>
      </w:r>
      <w:r>
        <w:rPr>
          <w:rFonts w:ascii="Times New Roman" w:hAnsi="Times New Roman" w:eastAsia="宋体" w:cs="宋体"/>
          <w:color w:val="auto"/>
          <w:spacing w:val="0"/>
          <w:position w:val="0"/>
          <w:sz w:val="24"/>
          <w:szCs w:val="24"/>
          <w:highlight w:val="none"/>
        </w:rPr>
        <w:t>，已经形成了强开采超采区，形成以城镇为中心降深</w:t>
      </w:r>
      <w:r>
        <w:rPr>
          <w:rFonts w:ascii="Times New Roman" w:hAnsi="Times New Roman" w:eastAsia="宋体" w:cs="Times New Roman"/>
          <w:color w:val="auto"/>
          <w:spacing w:val="0"/>
          <w:position w:val="0"/>
          <w:sz w:val="24"/>
          <w:szCs w:val="24"/>
          <w:highlight w:val="none"/>
        </w:rPr>
        <w:t>17.1m</w:t>
      </w:r>
      <w:r>
        <w:rPr>
          <w:rFonts w:ascii="Times New Roman" w:hAnsi="Times New Roman" w:eastAsia="宋体" w:cs="宋体"/>
          <w:color w:val="auto"/>
          <w:spacing w:val="0"/>
          <w:position w:val="0"/>
          <w:sz w:val="24"/>
          <w:szCs w:val="24"/>
          <w:highlight w:val="none"/>
        </w:rPr>
        <w:t>和塔管处为中心的降深</w:t>
      </w:r>
      <w:r>
        <w:rPr>
          <w:rFonts w:ascii="Times New Roman" w:hAnsi="Times New Roman" w:eastAsia="宋体" w:cs="Times New Roman"/>
          <w:color w:val="auto"/>
          <w:spacing w:val="0"/>
          <w:position w:val="0"/>
          <w:sz w:val="24"/>
          <w:szCs w:val="24"/>
          <w:highlight w:val="none"/>
        </w:rPr>
        <w:t>10.16m</w:t>
      </w:r>
      <w:r>
        <w:rPr>
          <w:rFonts w:ascii="Times New Roman" w:hAnsi="Times New Roman" w:eastAsia="宋体" w:cs="宋体"/>
          <w:color w:val="auto"/>
          <w:spacing w:val="0"/>
          <w:position w:val="0"/>
          <w:sz w:val="24"/>
          <w:szCs w:val="24"/>
          <w:highlight w:val="none"/>
        </w:rPr>
        <w:t>的两大降落漏斗区。</w:t>
      </w:r>
    </w:p>
    <w:p w14:paraId="1A2043A9">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5</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地下水化学特征</w:t>
      </w:r>
    </w:p>
    <w:p w14:paraId="7089B345">
      <w:pPr>
        <w:keepNext w:val="0"/>
        <w:keepLines w:val="0"/>
        <w:pageBreakBefore w:val="0"/>
        <w:widowControl w:val="0"/>
        <w:kinsoku/>
        <w:wordWrap/>
        <w:overflowPunct/>
        <w:topLinePunct w:val="0"/>
        <w:autoSpaceDE/>
        <w:autoSpaceDN/>
        <w:bidi w:val="0"/>
        <w:adjustRightInd/>
        <w:snapToGrid/>
        <w:spacing w:line="360" w:lineRule="auto"/>
        <w:ind w:left="0" w:right="0" w:firstLine="496"/>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区域地下水化学特征主要受其补给源河水的影响。河水水化学类型为</w:t>
      </w:r>
      <w:r>
        <w:rPr>
          <w:rFonts w:ascii="Times New Roman" w:hAnsi="Times New Roman" w:eastAsia="宋体" w:cs="Times New Roman"/>
          <w:color w:val="auto"/>
          <w:spacing w:val="0"/>
          <w:position w:val="0"/>
          <w:sz w:val="24"/>
          <w:szCs w:val="24"/>
          <w:highlight w:val="none"/>
        </w:rPr>
        <w:t>HCO</w:t>
      </w:r>
      <w:r>
        <w:rPr>
          <w:rFonts w:ascii="Times New Roman" w:hAnsi="Times New Roman" w:eastAsia="宋体" w:cs="Times New Roman"/>
          <w:color w:val="auto"/>
          <w:spacing w:val="0"/>
          <w:position w:val="0"/>
          <w:sz w:val="24"/>
          <w:szCs w:val="15"/>
          <w:highlight w:val="none"/>
          <w:vertAlign w:val="subscript"/>
        </w:rPr>
        <w:t>3</w:t>
      </w:r>
      <w:r>
        <w:rPr>
          <w:rFonts w:ascii="Times New Roman" w:hAnsi="Times New Roman" w:eastAsia="宋体" w:cs="Times New Roman"/>
          <w:color w:val="auto"/>
          <w:spacing w:val="0"/>
          <w:position w:val="0"/>
          <w:sz w:val="24"/>
          <w:szCs w:val="24"/>
          <w:highlight w:val="none"/>
        </w:rPr>
        <w:t>-Ca</w:t>
      </w:r>
      <w:r>
        <w:rPr>
          <w:rFonts w:ascii="Times New Roman" w:hAnsi="Times New Roman" w:eastAsia="宋体" w:cs="宋体"/>
          <w:color w:val="auto"/>
          <w:spacing w:val="0"/>
          <w:position w:val="0"/>
          <w:sz w:val="24"/>
          <w:szCs w:val="24"/>
          <w:highlight w:val="none"/>
        </w:rPr>
        <w:t>型和</w:t>
      </w:r>
      <w:r>
        <w:rPr>
          <w:rFonts w:ascii="Times New Roman" w:hAnsi="Times New Roman" w:eastAsia="宋体" w:cs="Times New Roman"/>
          <w:color w:val="auto"/>
          <w:spacing w:val="0"/>
          <w:position w:val="0"/>
          <w:sz w:val="24"/>
          <w:szCs w:val="24"/>
          <w:highlight w:val="none"/>
        </w:rPr>
        <w:t>HCO</w:t>
      </w:r>
      <w:r>
        <w:rPr>
          <w:rFonts w:ascii="Times New Roman" w:hAnsi="Times New Roman" w:eastAsia="宋体" w:cs="Times New Roman"/>
          <w:color w:val="auto"/>
          <w:spacing w:val="0"/>
          <w:position w:val="0"/>
          <w:sz w:val="24"/>
          <w:szCs w:val="15"/>
          <w:highlight w:val="none"/>
          <w:vertAlign w:val="subscript"/>
        </w:rPr>
        <w:t>3</w:t>
      </w:r>
      <w:r>
        <w:rPr>
          <w:rFonts w:ascii="Times New Roman" w:hAnsi="Times New Roman" w:eastAsia="宋体" w:cs="Times New Roman"/>
          <w:color w:val="auto"/>
          <w:spacing w:val="0"/>
          <w:position w:val="0"/>
          <w:sz w:val="24"/>
          <w:szCs w:val="24"/>
          <w:highlight w:val="none"/>
        </w:rPr>
        <w:t>·SO</w:t>
      </w:r>
      <w:r>
        <w:rPr>
          <w:rFonts w:ascii="Times New Roman" w:hAnsi="Times New Roman" w:eastAsia="宋体" w:cs="Times New Roman"/>
          <w:color w:val="auto"/>
          <w:spacing w:val="0"/>
          <w:position w:val="0"/>
          <w:sz w:val="24"/>
          <w:szCs w:val="15"/>
          <w:highlight w:val="none"/>
          <w:vertAlign w:val="subscript"/>
        </w:rPr>
        <w:t>4</w:t>
      </w:r>
      <w:r>
        <w:rPr>
          <w:rFonts w:ascii="Times New Roman" w:hAnsi="Times New Roman" w:eastAsia="宋体" w:cs="Times New Roman"/>
          <w:color w:val="auto"/>
          <w:spacing w:val="0"/>
          <w:position w:val="0"/>
          <w:sz w:val="24"/>
          <w:szCs w:val="15"/>
          <w:highlight w:val="none"/>
        </w:rPr>
        <w:t>-</w:t>
      </w:r>
      <w:r>
        <w:rPr>
          <w:rFonts w:ascii="Times New Roman" w:hAnsi="Times New Roman" w:eastAsia="宋体" w:cs="Times New Roman"/>
          <w:color w:val="auto"/>
          <w:spacing w:val="0"/>
          <w:position w:val="0"/>
          <w:sz w:val="24"/>
          <w:szCs w:val="24"/>
          <w:highlight w:val="none"/>
        </w:rPr>
        <w:t>Ca·Mg</w:t>
      </w:r>
      <w:r>
        <w:rPr>
          <w:rFonts w:ascii="Times New Roman" w:hAnsi="Times New Roman" w:eastAsia="宋体" w:cs="宋体"/>
          <w:color w:val="auto"/>
          <w:spacing w:val="0"/>
          <w:position w:val="0"/>
          <w:sz w:val="24"/>
          <w:szCs w:val="24"/>
          <w:highlight w:val="none"/>
        </w:rPr>
        <w:t>型，矿化度小于</w:t>
      </w:r>
      <w:r>
        <w:rPr>
          <w:rFonts w:ascii="Times New Roman" w:hAnsi="Times New Roman" w:eastAsia="宋体" w:cs="Times New Roman"/>
          <w:color w:val="auto"/>
          <w:spacing w:val="0"/>
          <w:position w:val="0"/>
          <w:sz w:val="24"/>
          <w:szCs w:val="24"/>
          <w:highlight w:val="none"/>
        </w:rPr>
        <w:t>0.2g/L</w:t>
      </w:r>
      <w:r>
        <w:rPr>
          <w:rFonts w:ascii="Times New Roman" w:hAnsi="Times New Roman" w:eastAsia="宋体" w:cs="宋体"/>
          <w:color w:val="auto"/>
          <w:spacing w:val="0"/>
          <w:position w:val="0"/>
          <w:sz w:val="24"/>
          <w:szCs w:val="24"/>
          <w:highlight w:val="none"/>
        </w:rPr>
        <w:t>；而评价区位于冲洪积扇中部，是地下水的强烈交替区，水化学类型以</w:t>
      </w:r>
      <w:r>
        <w:rPr>
          <w:rFonts w:ascii="Times New Roman" w:hAnsi="Times New Roman" w:eastAsia="宋体" w:cs="Times New Roman"/>
          <w:color w:val="auto"/>
          <w:spacing w:val="0"/>
          <w:position w:val="0"/>
          <w:sz w:val="24"/>
          <w:szCs w:val="24"/>
          <w:highlight w:val="none"/>
        </w:rPr>
        <w:t>HCO</w:t>
      </w:r>
      <w:r>
        <w:rPr>
          <w:rFonts w:ascii="Times New Roman" w:hAnsi="Times New Roman" w:eastAsia="宋体" w:cs="Times New Roman"/>
          <w:color w:val="auto"/>
          <w:spacing w:val="0"/>
          <w:position w:val="0"/>
          <w:sz w:val="24"/>
          <w:szCs w:val="15"/>
          <w:highlight w:val="none"/>
          <w:vertAlign w:val="subscript"/>
        </w:rPr>
        <w:t>3</w:t>
      </w:r>
      <w:r>
        <w:rPr>
          <w:rFonts w:ascii="Times New Roman" w:hAnsi="Times New Roman" w:eastAsia="宋体" w:cs="Times New Roman"/>
          <w:color w:val="auto"/>
          <w:spacing w:val="0"/>
          <w:position w:val="0"/>
          <w:sz w:val="24"/>
          <w:szCs w:val="24"/>
          <w:highlight w:val="none"/>
        </w:rPr>
        <w:t>·SO</w:t>
      </w:r>
      <w:r>
        <w:rPr>
          <w:rFonts w:ascii="Times New Roman" w:hAnsi="Times New Roman" w:eastAsia="宋体" w:cs="Times New Roman"/>
          <w:color w:val="auto"/>
          <w:spacing w:val="0"/>
          <w:position w:val="0"/>
          <w:sz w:val="24"/>
          <w:szCs w:val="15"/>
          <w:highlight w:val="none"/>
          <w:vertAlign w:val="subscript"/>
        </w:rPr>
        <w:t>4</w:t>
      </w:r>
      <w:r>
        <w:rPr>
          <w:rFonts w:ascii="Times New Roman" w:hAnsi="Times New Roman" w:eastAsia="宋体" w:cs="Times New Roman"/>
          <w:color w:val="auto"/>
          <w:spacing w:val="0"/>
          <w:position w:val="0"/>
          <w:sz w:val="24"/>
          <w:szCs w:val="24"/>
          <w:highlight w:val="none"/>
        </w:rPr>
        <w:t>-Ca·Na</w:t>
      </w:r>
      <w:r>
        <w:rPr>
          <w:rFonts w:ascii="Times New Roman" w:hAnsi="Times New Roman" w:eastAsia="宋体" w:cs="宋体"/>
          <w:color w:val="auto"/>
          <w:spacing w:val="0"/>
          <w:position w:val="0"/>
          <w:sz w:val="24"/>
          <w:szCs w:val="24"/>
          <w:highlight w:val="none"/>
        </w:rPr>
        <w:t>和</w:t>
      </w:r>
      <w:r>
        <w:rPr>
          <w:rFonts w:ascii="Times New Roman" w:hAnsi="Times New Roman" w:eastAsia="宋体" w:cs="Times New Roman"/>
          <w:color w:val="auto"/>
          <w:spacing w:val="0"/>
          <w:position w:val="0"/>
          <w:sz w:val="24"/>
          <w:szCs w:val="24"/>
          <w:highlight w:val="none"/>
        </w:rPr>
        <w:t>HCO</w:t>
      </w:r>
      <w:r>
        <w:rPr>
          <w:rFonts w:ascii="Times New Roman" w:hAnsi="Times New Roman" w:eastAsia="宋体" w:cs="Times New Roman"/>
          <w:color w:val="auto"/>
          <w:spacing w:val="0"/>
          <w:position w:val="0"/>
          <w:sz w:val="24"/>
          <w:szCs w:val="15"/>
          <w:highlight w:val="none"/>
          <w:vertAlign w:val="subscript"/>
        </w:rPr>
        <w:t>3</w:t>
      </w:r>
      <w:r>
        <w:rPr>
          <w:rFonts w:ascii="Times New Roman" w:hAnsi="Times New Roman" w:eastAsia="宋体" w:cs="Times New Roman"/>
          <w:color w:val="auto"/>
          <w:spacing w:val="0"/>
          <w:position w:val="0"/>
          <w:sz w:val="24"/>
          <w:szCs w:val="24"/>
          <w:highlight w:val="none"/>
        </w:rPr>
        <w:t>·SO</w:t>
      </w:r>
      <w:r>
        <w:rPr>
          <w:rFonts w:ascii="Times New Roman" w:hAnsi="Times New Roman" w:eastAsia="宋体" w:cs="Times New Roman"/>
          <w:color w:val="auto"/>
          <w:spacing w:val="0"/>
          <w:position w:val="0"/>
          <w:sz w:val="24"/>
          <w:szCs w:val="15"/>
          <w:highlight w:val="none"/>
          <w:vertAlign w:val="subscript"/>
        </w:rPr>
        <w:t>4</w:t>
      </w:r>
      <w:r>
        <w:rPr>
          <w:rFonts w:ascii="Times New Roman" w:hAnsi="Times New Roman" w:eastAsia="宋体" w:cs="Times New Roman"/>
          <w:color w:val="auto"/>
          <w:spacing w:val="0"/>
          <w:position w:val="0"/>
          <w:sz w:val="24"/>
          <w:szCs w:val="24"/>
          <w:highlight w:val="none"/>
        </w:rPr>
        <w:t>-Ca·Mg</w:t>
      </w:r>
      <w:r>
        <w:rPr>
          <w:rFonts w:ascii="Times New Roman" w:hAnsi="Times New Roman" w:eastAsia="宋体" w:cs="宋体"/>
          <w:color w:val="auto"/>
          <w:spacing w:val="0"/>
          <w:position w:val="0"/>
          <w:sz w:val="24"/>
          <w:szCs w:val="24"/>
          <w:highlight w:val="none"/>
        </w:rPr>
        <w:t>型为主，矿化度小于</w:t>
      </w:r>
      <w:r>
        <w:rPr>
          <w:rFonts w:ascii="Times New Roman" w:hAnsi="Times New Roman" w:eastAsia="宋体" w:cs="Times New Roman"/>
          <w:color w:val="auto"/>
          <w:spacing w:val="0"/>
          <w:position w:val="0"/>
          <w:sz w:val="24"/>
          <w:szCs w:val="24"/>
          <w:highlight w:val="none"/>
        </w:rPr>
        <w:t>0.8g/L</w:t>
      </w:r>
      <w:r>
        <w:rPr>
          <w:rFonts w:ascii="Times New Roman" w:hAnsi="Times New Roman" w:eastAsia="宋体" w:cs="宋体"/>
          <w:color w:val="auto"/>
          <w:spacing w:val="0"/>
          <w:position w:val="0"/>
          <w:sz w:val="24"/>
          <w:szCs w:val="24"/>
          <w:highlight w:val="none"/>
        </w:rPr>
        <w:t>。</w:t>
      </w:r>
    </w:p>
    <w:p w14:paraId="6C528EAA">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3、</w:t>
      </w:r>
      <w:r>
        <w:rPr>
          <w:rFonts w:ascii="Times New Roman" w:hAnsi="Times New Roman" w:eastAsia="宋体" w:cs="宋体"/>
          <w:color w:val="auto"/>
          <w:spacing w:val="0"/>
          <w:position w:val="0"/>
          <w:sz w:val="24"/>
          <w:szCs w:val="24"/>
          <w:highlight w:val="none"/>
        </w:rPr>
        <w:t>地下水环境影响途径</w:t>
      </w:r>
    </w:p>
    <w:p w14:paraId="7E31C8CC">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本项目不以地下水作为供水水源，不会因地下水抽采对当地的地下水水位及水资源量产生影响，对地下水的影响主要是项目污水及固体废物对地下水水质的影响。</w:t>
      </w:r>
    </w:p>
    <w:p w14:paraId="0E395BBD">
      <w:pPr>
        <w:keepNext w:val="0"/>
        <w:keepLines w:val="0"/>
        <w:pageBreakBefore w:val="0"/>
        <w:widowControl w:val="0"/>
        <w:kinsoku/>
        <w:wordWrap/>
        <w:overflowPunct/>
        <w:topLinePunct w:val="0"/>
        <w:autoSpaceDE/>
        <w:autoSpaceDN/>
        <w:bidi w:val="0"/>
        <w:adjustRightInd/>
        <w:snapToGrid/>
        <w:spacing w:line="360" w:lineRule="auto"/>
        <w:ind w:left="0" w:right="0" w:firstLine="489"/>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项目厂区内生产装置和污水管道等跑、冒、滴、漏的有毒有害物料首先污染土壤，再通过降雨淋溶经包气带渗透至潜水层而污染浅层地下水。一般情况下，包气带的厚度越薄，透水性越好，越容易造成潜水含水层的污染；反之，包气带的厚度越厚、透水性越差，则不容易造成潜水污染。渗透污染是导致浅层地下水污染的主要方式。</w:t>
      </w:r>
      <w:r>
        <w:rPr>
          <w:rFonts w:hint="eastAsia" w:ascii="Times New Roman" w:hAnsi="Times New Roman" w:eastAsia="宋体" w:cs="Times New Roman"/>
          <w:color w:val="auto"/>
          <w:spacing w:val="0"/>
          <w:position w:val="0"/>
          <w:sz w:val="24"/>
          <w:szCs w:val="24"/>
          <w:highlight w:val="none"/>
          <w:lang w:val="en-US" w:eastAsia="zh-CN"/>
        </w:rPr>
        <w:t>4、</w:t>
      </w:r>
      <w:r>
        <w:rPr>
          <w:rFonts w:ascii="Times New Roman" w:hAnsi="Times New Roman" w:eastAsia="宋体" w:cs="宋体"/>
          <w:color w:val="auto"/>
          <w:spacing w:val="0"/>
          <w:position w:val="0"/>
          <w:sz w:val="24"/>
          <w:szCs w:val="24"/>
          <w:highlight w:val="none"/>
        </w:rPr>
        <w:t>地下水现状监测</w:t>
      </w:r>
    </w:p>
    <w:p w14:paraId="04885F40">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本项目地下水现状监测设置三个点位。经过监测数据可知，评价区地下水水质除总硬度以及溶解性总固体单项污染指数均＞</w:t>
      </w:r>
      <w:r>
        <w:rPr>
          <w:rFonts w:ascii="Times New Roman" w:hAnsi="Times New Roman" w:eastAsia="宋体" w:cs="Times New Roman"/>
          <w:color w:val="auto"/>
          <w:spacing w:val="0"/>
          <w:position w:val="0"/>
          <w:sz w:val="24"/>
          <w:szCs w:val="24"/>
          <w:highlight w:val="none"/>
        </w:rPr>
        <w:t>1</w:t>
      </w:r>
      <w:r>
        <w:rPr>
          <w:rFonts w:ascii="Times New Roman" w:hAnsi="Times New Roman" w:eastAsia="宋体" w:cs="宋体"/>
          <w:color w:val="auto"/>
          <w:spacing w:val="0"/>
          <w:position w:val="0"/>
          <w:sz w:val="24"/>
          <w:szCs w:val="24"/>
          <w:highlight w:val="none"/>
        </w:rPr>
        <w:t>以外，其余监测指标均＜</w:t>
      </w:r>
      <w:r>
        <w:rPr>
          <w:rFonts w:ascii="Times New Roman" w:hAnsi="Times New Roman" w:eastAsia="宋体" w:cs="Times New Roman"/>
          <w:color w:val="auto"/>
          <w:spacing w:val="0"/>
          <w:position w:val="0"/>
          <w:sz w:val="24"/>
          <w:szCs w:val="24"/>
          <w:highlight w:val="none"/>
        </w:rPr>
        <w:t>1</w:t>
      </w:r>
      <w:r>
        <w:rPr>
          <w:rFonts w:ascii="Times New Roman" w:hAnsi="Times New Roman" w:eastAsia="宋体" w:cs="宋体"/>
          <w:color w:val="auto"/>
          <w:spacing w:val="0"/>
          <w:position w:val="0"/>
          <w:sz w:val="24"/>
          <w:szCs w:val="24"/>
          <w:highlight w:val="none"/>
        </w:rPr>
        <w:t>，均未超过《地下水质量标准》</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GB/T14848-2017</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中Ⅲ类标准要求，总硬度以及溶解性总固体超标原因为区域地下水原生水质问题，其总硬度以及溶解性总固体本底值偏高。</w:t>
      </w:r>
    </w:p>
    <w:p w14:paraId="5B0B1688">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5、</w:t>
      </w:r>
      <w:r>
        <w:rPr>
          <w:rFonts w:ascii="Times New Roman" w:hAnsi="Times New Roman" w:eastAsia="宋体" w:cs="宋体"/>
          <w:color w:val="auto"/>
          <w:spacing w:val="0"/>
          <w:position w:val="0"/>
          <w:sz w:val="24"/>
          <w:szCs w:val="24"/>
          <w:highlight w:val="none"/>
        </w:rPr>
        <w:t>废水及影响途径</w:t>
      </w:r>
    </w:p>
    <w:p w14:paraId="6F82A032">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正常情况下地下水影响分析</w:t>
      </w:r>
    </w:p>
    <w:p w14:paraId="68E47921">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本项目影响地下水质主要有两方面，一是废水收集以及排放过程中的下渗对地下水的影响，二是由于固体废物收集处经雨水淋溶污染地下水。</w:t>
      </w:r>
    </w:p>
    <w:p w14:paraId="48149D0E">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①废水排放对地下水质的影响</w:t>
      </w:r>
    </w:p>
    <w:p w14:paraId="7E1E0715">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生活污水直接排入下水管网，最终进入玛纳斯县城污水处理厂；鸡舍冲洗废水排入</w:t>
      </w:r>
      <w:r>
        <w:rPr>
          <w:rFonts w:hint="eastAsia" w:cs="宋体"/>
          <w:color w:val="auto"/>
          <w:spacing w:val="0"/>
          <w:position w:val="0"/>
          <w:sz w:val="24"/>
          <w:szCs w:val="24"/>
          <w:highlight w:val="none"/>
          <w:lang w:eastAsia="zh-CN"/>
        </w:rPr>
        <w:t>废水收集池</w:t>
      </w:r>
      <w:r>
        <w:rPr>
          <w:rFonts w:hint="eastAsia" w:cs="宋体"/>
          <w:color w:val="auto"/>
          <w:spacing w:val="0"/>
          <w:position w:val="0"/>
          <w:sz w:val="24"/>
          <w:szCs w:val="24"/>
          <w:highlight w:val="none"/>
          <w:lang w:val="en-US" w:eastAsia="zh-CN"/>
        </w:rPr>
        <w:t>经预处理后用作农肥</w:t>
      </w:r>
      <w:r>
        <w:rPr>
          <w:rFonts w:ascii="Times New Roman" w:hAnsi="Times New Roman" w:eastAsia="宋体" w:cs="宋体"/>
          <w:color w:val="auto"/>
          <w:spacing w:val="0"/>
          <w:position w:val="0"/>
          <w:sz w:val="24"/>
          <w:szCs w:val="24"/>
          <w:highlight w:val="none"/>
        </w:rPr>
        <w:t>，不直接和地表联系，不会通过地表水和地下水的水力联系而进入地下水从而引地下水水质的变化。</w:t>
      </w:r>
    </w:p>
    <w:p w14:paraId="1C0D4096">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此外，本项目所在区域地下有粘土层存在，可以减少下渗水量，即使有微量废水渗入地下水，由于土壤的自净作用，对区域内地下水的水质影响也很微弱，不会改变区域地下水的现状使用功能。</w:t>
      </w:r>
    </w:p>
    <w:p w14:paraId="5E9656A8">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②固体废物对地下水水质的影响</w:t>
      </w:r>
    </w:p>
    <w:p w14:paraId="13ED3035">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本项目产生的固体废物主要为鸡粪及散落羽毛、病死鸡只、废弃包装物、生活垃圾、医疗废物。其中，</w:t>
      </w:r>
      <w:r>
        <w:rPr>
          <w:rFonts w:hint="eastAsia" w:cs="宋体"/>
          <w:color w:val="auto"/>
          <w:spacing w:val="0"/>
          <w:position w:val="0"/>
          <w:sz w:val="24"/>
          <w:szCs w:val="24"/>
          <w:highlight w:val="none"/>
          <w:lang w:eastAsia="zh-CN"/>
        </w:rPr>
        <w:t>鸡粪及散落羽毛采用自动清粪系统清理与废水收集池污泥</w:t>
      </w:r>
      <w:r>
        <w:rPr>
          <w:rFonts w:ascii="Times New Roman" w:hAnsi="Times New Roman" w:eastAsia="宋体" w:cs="宋体"/>
          <w:color w:val="auto"/>
          <w:spacing w:val="0"/>
          <w:position w:val="0"/>
          <w:sz w:val="24"/>
          <w:szCs w:val="24"/>
          <w:highlight w:val="none"/>
        </w:rPr>
        <w:t>直接</w:t>
      </w:r>
      <w:r>
        <w:rPr>
          <w:rFonts w:hint="eastAsia" w:cs="宋体"/>
          <w:color w:val="auto"/>
          <w:spacing w:val="0"/>
          <w:position w:val="0"/>
          <w:sz w:val="24"/>
          <w:szCs w:val="24"/>
          <w:highlight w:val="none"/>
          <w:lang w:val="en-US" w:eastAsia="zh-CN"/>
        </w:rPr>
        <w:t>外售有机肥厂</w:t>
      </w:r>
      <w:r>
        <w:rPr>
          <w:rFonts w:ascii="Times New Roman" w:hAnsi="Times New Roman" w:eastAsia="宋体" w:cs="宋体"/>
          <w:color w:val="auto"/>
          <w:spacing w:val="0"/>
          <w:position w:val="0"/>
          <w:sz w:val="24"/>
          <w:szCs w:val="24"/>
          <w:highlight w:val="none"/>
        </w:rPr>
        <w:t>；因疾病等原因死亡鸡只投入填埋井中，覆盖一层厚度大于</w:t>
      </w:r>
      <w:r>
        <w:rPr>
          <w:rFonts w:ascii="Times New Roman" w:hAnsi="Times New Roman" w:eastAsia="宋体" w:cs="Times New Roman"/>
          <w:color w:val="auto"/>
          <w:spacing w:val="0"/>
          <w:position w:val="0"/>
          <w:sz w:val="24"/>
          <w:szCs w:val="24"/>
          <w:highlight w:val="none"/>
        </w:rPr>
        <w:t>10cm</w:t>
      </w:r>
      <w:r>
        <w:rPr>
          <w:rFonts w:ascii="Times New Roman" w:hAnsi="Times New Roman" w:eastAsia="宋体" w:cs="宋体"/>
          <w:color w:val="auto"/>
          <w:spacing w:val="0"/>
          <w:position w:val="0"/>
          <w:sz w:val="24"/>
          <w:szCs w:val="24"/>
          <w:highlight w:val="none"/>
        </w:rPr>
        <w:t>的熟石灰。井填满后，用粘土填埋压实并封口。饲料包装袋进行外售，生活垃圾集中收集由当地环卫部门处置。医疗废物储存于</w:t>
      </w:r>
      <w:r>
        <w:rPr>
          <w:rFonts w:hint="eastAsia" w:cs="宋体"/>
          <w:color w:val="auto"/>
          <w:spacing w:val="0"/>
          <w:position w:val="0"/>
          <w:sz w:val="24"/>
          <w:szCs w:val="24"/>
          <w:highlight w:val="none"/>
          <w:lang w:eastAsia="zh-CN"/>
        </w:rPr>
        <w:t>医疗废物暂存间</w:t>
      </w:r>
      <w:r>
        <w:rPr>
          <w:rFonts w:ascii="Times New Roman" w:hAnsi="Times New Roman" w:eastAsia="宋体" w:cs="宋体"/>
          <w:color w:val="auto"/>
          <w:spacing w:val="0"/>
          <w:position w:val="0"/>
          <w:sz w:val="24"/>
          <w:szCs w:val="24"/>
          <w:highlight w:val="none"/>
        </w:rPr>
        <w:t>，交由有资质的单位进行处置。厂区固废临时堆放处做好防雨、防渗处理等就可基本解决固废污染当地地下水问题，对地下水水质影响不大。</w:t>
      </w:r>
    </w:p>
    <w:p w14:paraId="1C4FF9E1">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本项目所在区域地下有较好的粘土层防渗，只要本项目做好防渗措施，本项目废水对地下水影响较小。</w:t>
      </w:r>
    </w:p>
    <w:p w14:paraId="765B42F1">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2</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非正常情况下地下水影响分析</w:t>
      </w:r>
    </w:p>
    <w:p w14:paraId="511A6B75">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①影响途径</w:t>
      </w:r>
    </w:p>
    <w:p w14:paraId="11CCBF67">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本项目对地下水的影响主要是项目污水及固体废物对地下水水质的影响。</w:t>
      </w:r>
    </w:p>
    <w:p w14:paraId="485C99C0">
      <w:pPr>
        <w:keepNext w:val="0"/>
        <w:keepLines w:val="0"/>
        <w:pageBreakBefore w:val="0"/>
        <w:widowControl w:val="0"/>
        <w:kinsoku/>
        <w:wordWrap/>
        <w:overflowPunct/>
        <w:topLinePunct w:val="0"/>
        <w:autoSpaceDE/>
        <w:autoSpaceDN/>
        <w:bidi w:val="0"/>
        <w:adjustRightInd/>
        <w:snapToGrid/>
        <w:spacing w:line="360" w:lineRule="auto"/>
        <w:ind w:left="0" w:right="0" w:firstLine="485"/>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项目厂区内</w:t>
      </w:r>
      <w:r>
        <w:rPr>
          <w:rFonts w:hint="eastAsia" w:cs="宋体"/>
          <w:color w:val="auto"/>
          <w:spacing w:val="0"/>
          <w:position w:val="0"/>
          <w:sz w:val="24"/>
          <w:szCs w:val="24"/>
          <w:highlight w:val="none"/>
          <w:lang w:eastAsia="zh-CN"/>
        </w:rPr>
        <w:t>废水收集池</w:t>
      </w:r>
      <w:r>
        <w:rPr>
          <w:rFonts w:ascii="Times New Roman" w:hAnsi="Times New Roman" w:eastAsia="宋体" w:cs="宋体"/>
          <w:color w:val="auto"/>
          <w:spacing w:val="0"/>
          <w:position w:val="0"/>
          <w:sz w:val="24"/>
          <w:szCs w:val="24"/>
          <w:highlight w:val="none"/>
        </w:rPr>
        <w:t>泄露、医疗废物和污水管道等跑、冒、滴、漏的有毒有害物料首先污染土壤，再通过降雨淋溶经包气带渗透至潜水层而污染浅层地下水。一般情况下，包气带的厚度越薄，透水性越好，越容易造成潜水含水层的污染；反之，包气带的厚度越厚、透水性越差，则不容易造成潜水污染。渗透污染是导致浅层地下水污染的主要方式。</w:t>
      </w:r>
    </w:p>
    <w:p w14:paraId="422110EC">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②预防措施</w:t>
      </w:r>
    </w:p>
    <w:p w14:paraId="0A22A0FF">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A</w:t>
      </w:r>
      <w:r>
        <w:rPr>
          <w:rFonts w:ascii="Times New Roman" w:hAnsi="Times New Roman" w:eastAsia="宋体" w:cs="宋体"/>
          <w:color w:val="auto"/>
          <w:spacing w:val="0"/>
          <w:position w:val="0"/>
          <w:sz w:val="24"/>
          <w:szCs w:val="24"/>
          <w:highlight w:val="none"/>
        </w:rPr>
        <w:t>、污染源控制措施</w:t>
      </w:r>
    </w:p>
    <w:p w14:paraId="4951A82F">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本项目严格按照国家相关规范要求，对工艺、管道、设备、污水储存采取相应的措施，以防止和降低污染物的跑、冒、滴、漏，将污染物泄漏的环境风险事故降低到最低程度；加强管理，鸡舍产生的粪便做到日产日清，特别是雨天来临之前要及时清理干净；殖废水收集运输管道要经常检查，防止污水泄漏。生活污水直接排入下水管网，最终进入玛纳斯县城污水处理厂；鸡舍冲洗废水排入</w:t>
      </w:r>
      <w:r>
        <w:rPr>
          <w:rFonts w:hint="eastAsia" w:cs="宋体"/>
          <w:color w:val="auto"/>
          <w:spacing w:val="0"/>
          <w:position w:val="0"/>
          <w:sz w:val="24"/>
          <w:szCs w:val="24"/>
          <w:highlight w:val="none"/>
          <w:lang w:eastAsia="zh-CN"/>
        </w:rPr>
        <w:t>废水收集池经预处理后用作农肥。</w:t>
      </w:r>
    </w:p>
    <w:p w14:paraId="33E030CE">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根据《畜禽养殖业污染防治技术规范》</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HJ/T81-2001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中相关规定：</w:t>
      </w:r>
    </w:p>
    <w:p w14:paraId="34F89DAA">
      <w:pPr>
        <w:keepNext w:val="0"/>
        <w:keepLines w:val="0"/>
        <w:pageBreakBefore w:val="0"/>
        <w:widowControl w:val="0"/>
        <w:kinsoku/>
        <w:wordWrap/>
        <w:overflowPunct/>
        <w:topLinePunct w:val="0"/>
        <w:autoSpaceDE/>
        <w:autoSpaceDN/>
        <w:bidi w:val="0"/>
        <w:adjustRightInd/>
        <w:snapToGrid/>
        <w:spacing w:line="360" w:lineRule="auto"/>
        <w:ind w:left="0" w:right="0" w:firstLine="476"/>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a</w:t>
      </w:r>
      <w:r>
        <w:rPr>
          <w:rFonts w:ascii="Times New Roman" w:hAnsi="Times New Roman" w:eastAsia="宋体" w:cs="宋体"/>
          <w:color w:val="auto"/>
          <w:spacing w:val="0"/>
          <w:position w:val="0"/>
          <w:sz w:val="24"/>
          <w:szCs w:val="24"/>
          <w:highlight w:val="none"/>
        </w:rPr>
        <w:t>、养殖场的排水系统应实行雨水和污水收集输送系统分离，在场区内外设置的污水收集输送系统，不得采取明沟布设。</w:t>
      </w:r>
    </w:p>
    <w:p w14:paraId="1FC2924E">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b</w:t>
      </w:r>
      <w:r>
        <w:rPr>
          <w:rFonts w:ascii="Times New Roman" w:hAnsi="Times New Roman" w:eastAsia="宋体" w:cs="宋体"/>
          <w:color w:val="auto"/>
          <w:spacing w:val="0"/>
          <w:position w:val="0"/>
          <w:sz w:val="24"/>
          <w:szCs w:val="24"/>
          <w:highlight w:val="none"/>
        </w:rPr>
        <w:t>、贮存设施应采取有效的防渗处理工艺，防止畜禽粪便污染地下水。</w:t>
      </w:r>
    </w:p>
    <w:p w14:paraId="6A6789C0">
      <w:pPr>
        <w:keepNext w:val="0"/>
        <w:keepLines w:val="0"/>
        <w:pageBreakBefore w:val="0"/>
        <w:widowControl w:val="0"/>
        <w:kinsoku/>
        <w:wordWrap/>
        <w:overflowPunct/>
        <w:topLinePunct w:val="0"/>
        <w:autoSpaceDE/>
        <w:autoSpaceDN/>
        <w:bidi w:val="0"/>
        <w:adjustRightInd/>
        <w:snapToGrid/>
        <w:spacing w:line="360" w:lineRule="auto"/>
        <w:ind w:left="0" w:right="0" w:firstLine="495"/>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因此，企业必须建立排污沟时，可采用沟渠。排污沟应采取沟渠形式，同时应具备防止淤积以利于定期清理的条件，排污沟应采取硬化措施。</w:t>
      </w:r>
    </w:p>
    <w:p w14:paraId="1DB30164">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B</w:t>
      </w:r>
      <w:r>
        <w:rPr>
          <w:rFonts w:ascii="Times New Roman" w:hAnsi="Times New Roman" w:eastAsia="宋体" w:cs="宋体"/>
          <w:color w:val="auto"/>
          <w:spacing w:val="0"/>
          <w:position w:val="0"/>
          <w:sz w:val="24"/>
          <w:szCs w:val="24"/>
          <w:highlight w:val="none"/>
        </w:rPr>
        <w:t>、防渗措施</w:t>
      </w:r>
    </w:p>
    <w:p w14:paraId="00B2ED3D">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根据《环境影响评价技术导则地下水环境》</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HJ610-2016</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要求，将地下水污染</w:t>
      </w:r>
    </w:p>
    <w:p w14:paraId="4C979187">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防渗分区分为三个级别：重点防渗区、一般防渗区、简单防渗区，防渗分区判定如下。</w:t>
      </w:r>
    </w:p>
    <w:p w14:paraId="71D92A4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b/>
          <w:bCs/>
          <w:color w:val="auto"/>
          <w:spacing w:val="0"/>
          <w:position w:val="0"/>
          <w:sz w:val="24"/>
          <w:highlight w:val="none"/>
        </w:rPr>
      </w:pPr>
      <w:r>
        <w:rPr>
          <w:rFonts w:ascii="Times New Roman" w:hAnsi="Times New Roman" w:eastAsia="宋体" w:cs="黑体"/>
          <w:b/>
          <w:bCs/>
          <w:color w:val="auto"/>
          <w:spacing w:val="0"/>
          <w:position w:val="0"/>
          <w:sz w:val="24"/>
          <w:szCs w:val="21"/>
          <w:highlight w:val="none"/>
        </w:rPr>
        <w:t>表</w:t>
      </w:r>
      <w:r>
        <w:rPr>
          <w:rFonts w:hint="eastAsia" w:ascii="Times New Roman" w:hAnsi="Times New Roman" w:eastAsia="宋体" w:cs="Times New Roman"/>
          <w:b/>
          <w:bCs/>
          <w:color w:val="auto"/>
          <w:spacing w:val="0"/>
          <w:position w:val="0"/>
          <w:sz w:val="24"/>
          <w:szCs w:val="21"/>
          <w:highlight w:val="none"/>
          <w:lang w:val="en-US" w:eastAsia="zh-CN"/>
        </w:rPr>
        <w:t>5</w:t>
      </w:r>
      <w:r>
        <w:rPr>
          <w:rFonts w:ascii="Times New Roman" w:hAnsi="Times New Roman" w:eastAsia="宋体" w:cs="Times New Roman"/>
          <w:b/>
          <w:bCs/>
          <w:color w:val="auto"/>
          <w:spacing w:val="0"/>
          <w:position w:val="0"/>
          <w:sz w:val="24"/>
          <w:szCs w:val="21"/>
          <w:highlight w:val="none"/>
        </w:rPr>
        <w:t>.2-11</w:t>
      </w:r>
      <w:r>
        <w:rPr>
          <w:rFonts w:ascii="Times New Roman" w:hAnsi="Times New Roman" w:eastAsia="宋体" w:cs="黑体"/>
          <w:b/>
          <w:bCs/>
          <w:color w:val="auto"/>
          <w:spacing w:val="0"/>
          <w:position w:val="0"/>
          <w:sz w:val="24"/>
          <w:szCs w:val="21"/>
          <w:highlight w:val="none"/>
        </w:rPr>
        <w:t>污染控制难易程度分级参照表</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01"/>
        <w:gridCol w:w="6309"/>
      </w:tblGrid>
      <w:tr w14:paraId="586AF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1204" w:type="pct"/>
            <w:vAlign w:val="center"/>
          </w:tcPr>
          <w:p w14:paraId="7E3A750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污染控制难易程度</w:t>
            </w:r>
          </w:p>
        </w:tc>
        <w:tc>
          <w:tcPr>
            <w:tcW w:w="3795" w:type="pct"/>
            <w:vAlign w:val="center"/>
          </w:tcPr>
          <w:p w14:paraId="48F7EA1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污染物类型</w:t>
            </w:r>
          </w:p>
        </w:tc>
      </w:tr>
      <w:tr w14:paraId="59AF6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204" w:type="pct"/>
            <w:vAlign w:val="center"/>
          </w:tcPr>
          <w:p w14:paraId="2671EB6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难</w:t>
            </w:r>
          </w:p>
        </w:tc>
        <w:tc>
          <w:tcPr>
            <w:tcW w:w="3795" w:type="pct"/>
            <w:vAlign w:val="center"/>
          </w:tcPr>
          <w:p w14:paraId="3655D99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对地下水环境有污染的物料或污染物泄漏后，不能及时发现和处理</w:t>
            </w:r>
          </w:p>
        </w:tc>
      </w:tr>
      <w:tr w14:paraId="65CD0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1204" w:type="pct"/>
            <w:vAlign w:val="center"/>
          </w:tcPr>
          <w:p w14:paraId="0230761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易</w:t>
            </w:r>
          </w:p>
        </w:tc>
        <w:tc>
          <w:tcPr>
            <w:tcW w:w="3795" w:type="pct"/>
            <w:vAlign w:val="center"/>
          </w:tcPr>
          <w:p w14:paraId="44BD853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对地下水环境有污染的物料或污染物泄漏后，可及时发现和处理</w:t>
            </w:r>
          </w:p>
        </w:tc>
      </w:tr>
    </w:tbl>
    <w:p w14:paraId="7A1592E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b/>
          <w:bCs/>
          <w:color w:val="auto"/>
          <w:spacing w:val="0"/>
          <w:position w:val="0"/>
          <w:sz w:val="24"/>
          <w:highlight w:val="none"/>
        </w:rPr>
      </w:pPr>
      <w:r>
        <w:rPr>
          <w:rFonts w:ascii="Times New Roman" w:hAnsi="Times New Roman" w:eastAsia="宋体" w:cs="黑体"/>
          <w:b/>
          <w:bCs/>
          <w:color w:val="auto"/>
          <w:spacing w:val="0"/>
          <w:position w:val="0"/>
          <w:sz w:val="24"/>
          <w:szCs w:val="21"/>
          <w:highlight w:val="none"/>
        </w:rPr>
        <w:t>表</w:t>
      </w:r>
      <w:r>
        <w:rPr>
          <w:rFonts w:hint="eastAsia" w:ascii="Times New Roman" w:hAnsi="Times New Roman" w:eastAsia="宋体" w:cs="Times New Roman"/>
          <w:b/>
          <w:bCs/>
          <w:color w:val="auto"/>
          <w:spacing w:val="0"/>
          <w:position w:val="0"/>
          <w:sz w:val="24"/>
          <w:szCs w:val="21"/>
          <w:highlight w:val="none"/>
          <w:lang w:val="en-US" w:eastAsia="zh-CN"/>
        </w:rPr>
        <w:t>5</w:t>
      </w:r>
      <w:r>
        <w:rPr>
          <w:rFonts w:ascii="Times New Roman" w:hAnsi="Times New Roman" w:eastAsia="宋体" w:cs="Times New Roman"/>
          <w:b/>
          <w:bCs/>
          <w:color w:val="auto"/>
          <w:spacing w:val="0"/>
          <w:position w:val="0"/>
          <w:sz w:val="24"/>
          <w:szCs w:val="21"/>
          <w:highlight w:val="none"/>
        </w:rPr>
        <w:t>.2-12</w:t>
      </w:r>
      <w:r>
        <w:rPr>
          <w:rFonts w:ascii="Times New Roman" w:hAnsi="Times New Roman" w:eastAsia="宋体" w:cs="黑体"/>
          <w:b/>
          <w:bCs/>
          <w:color w:val="auto"/>
          <w:spacing w:val="0"/>
          <w:position w:val="0"/>
          <w:sz w:val="24"/>
          <w:szCs w:val="21"/>
          <w:highlight w:val="none"/>
        </w:rPr>
        <w:t>天然包气带防污性能分级参照表</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1"/>
        <w:gridCol w:w="7669"/>
      </w:tblGrid>
      <w:tr w14:paraId="412F4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386" w:type="pct"/>
            <w:vAlign w:val="center"/>
          </w:tcPr>
          <w:p w14:paraId="11AAF1C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分级</w:t>
            </w:r>
          </w:p>
        </w:tc>
        <w:tc>
          <w:tcPr>
            <w:tcW w:w="4613" w:type="pct"/>
            <w:vAlign w:val="center"/>
          </w:tcPr>
          <w:p w14:paraId="49182A2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包气带岩土的渗透性能</w:t>
            </w:r>
          </w:p>
        </w:tc>
      </w:tr>
      <w:tr w14:paraId="5C1E8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86" w:type="pct"/>
            <w:vAlign w:val="center"/>
          </w:tcPr>
          <w:p w14:paraId="58FA303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强</w:t>
            </w:r>
          </w:p>
        </w:tc>
        <w:tc>
          <w:tcPr>
            <w:tcW w:w="4613" w:type="pct"/>
            <w:vAlign w:val="center"/>
          </w:tcPr>
          <w:p w14:paraId="6E0ECD4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岩</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土</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层单层厚度</w:t>
            </w:r>
            <w:r>
              <w:rPr>
                <w:rFonts w:ascii="Times New Roman" w:hAnsi="Times New Roman" w:eastAsia="宋体" w:cs="Times New Roman"/>
                <w:color w:val="auto"/>
                <w:spacing w:val="0"/>
                <w:position w:val="0"/>
                <w:sz w:val="21"/>
                <w:szCs w:val="21"/>
                <w:highlight w:val="none"/>
              </w:rPr>
              <w:t>Mb≥1.0m</w:t>
            </w:r>
            <w:r>
              <w:rPr>
                <w:rFonts w:ascii="Times New Roman" w:hAnsi="Times New Roman" w:eastAsia="宋体" w:cs="宋体"/>
                <w:color w:val="auto"/>
                <w:spacing w:val="0"/>
                <w:position w:val="0"/>
                <w:sz w:val="21"/>
                <w:szCs w:val="21"/>
                <w:highlight w:val="none"/>
              </w:rPr>
              <w:t>，渗透系数</w:t>
            </w:r>
            <w:r>
              <w:rPr>
                <w:rFonts w:ascii="Times New Roman" w:hAnsi="Times New Roman" w:eastAsia="宋体" w:cs="Times New Roman"/>
                <w:color w:val="auto"/>
                <w:spacing w:val="0"/>
                <w:position w:val="0"/>
                <w:sz w:val="21"/>
                <w:szCs w:val="21"/>
                <w:highlight w:val="none"/>
              </w:rPr>
              <w:t>K≤1X10</w:t>
            </w:r>
            <w:r>
              <w:rPr>
                <w:rFonts w:ascii="Times New Roman" w:hAnsi="Times New Roman" w:eastAsia="宋体" w:cs="Times New Roman"/>
                <w:color w:val="auto"/>
                <w:spacing w:val="0"/>
                <w:position w:val="0"/>
                <w:sz w:val="21"/>
                <w:szCs w:val="14"/>
                <w:highlight w:val="none"/>
                <w:vertAlign w:val="superscript"/>
              </w:rPr>
              <w:t>-6</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，且分布连续、稳定</w:t>
            </w:r>
          </w:p>
        </w:tc>
      </w:tr>
      <w:tr w14:paraId="2C247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386" w:type="pct"/>
            <w:vAlign w:val="center"/>
          </w:tcPr>
          <w:p w14:paraId="13C3C43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中</w:t>
            </w:r>
          </w:p>
        </w:tc>
        <w:tc>
          <w:tcPr>
            <w:tcW w:w="4613" w:type="pct"/>
            <w:vAlign w:val="center"/>
          </w:tcPr>
          <w:p w14:paraId="131A5DD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岩</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土</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层单层厚度</w:t>
            </w:r>
            <w:r>
              <w:rPr>
                <w:rFonts w:ascii="Times New Roman" w:hAnsi="Times New Roman" w:eastAsia="宋体" w:cs="Times New Roman"/>
                <w:color w:val="auto"/>
                <w:spacing w:val="0"/>
                <w:position w:val="0"/>
                <w:sz w:val="21"/>
                <w:szCs w:val="21"/>
                <w:highlight w:val="none"/>
              </w:rPr>
              <w:t>0.5m≤Mb</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1.0m</w:t>
            </w:r>
            <w:r>
              <w:rPr>
                <w:rFonts w:ascii="Times New Roman" w:hAnsi="Times New Roman" w:eastAsia="宋体" w:cs="宋体"/>
                <w:color w:val="auto"/>
                <w:spacing w:val="0"/>
                <w:position w:val="0"/>
                <w:sz w:val="21"/>
                <w:szCs w:val="21"/>
                <w:highlight w:val="none"/>
              </w:rPr>
              <w:t>，渗透系数</w:t>
            </w:r>
            <w:r>
              <w:rPr>
                <w:rFonts w:ascii="Times New Roman" w:hAnsi="Times New Roman" w:eastAsia="宋体" w:cs="Times New Roman"/>
                <w:color w:val="auto"/>
                <w:spacing w:val="0"/>
                <w:position w:val="0"/>
                <w:sz w:val="21"/>
                <w:szCs w:val="21"/>
                <w:highlight w:val="none"/>
              </w:rPr>
              <w:t>K≤1×10</w:t>
            </w:r>
            <w:r>
              <w:rPr>
                <w:rFonts w:ascii="Times New Roman" w:hAnsi="Times New Roman" w:eastAsia="宋体" w:cs="Times New Roman"/>
                <w:color w:val="auto"/>
                <w:spacing w:val="0"/>
                <w:position w:val="0"/>
                <w:sz w:val="21"/>
                <w:szCs w:val="14"/>
                <w:highlight w:val="none"/>
                <w:vertAlign w:val="superscript"/>
              </w:rPr>
              <w:t>-6</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，且分布连续、稳定岩</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土</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层单层厚度</w:t>
            </w:r>
            <w:r>
              <w:rPr>
                <w:rFonts w:ascii="Times New Roman" w:hAnsi="Times New Roman" w:eastAsia="宋体" w:cs="Times New Roman"/>
                <w:color w:val="auto"/>
                <w:spacing w:val="0"/>
                <w:position w:val="0"/>
                <w:sz w:val="21"/>
                <w:szCs w:val="21"/>
                <w:highlight w:val="none"/>
              </w:rPr>
              <w:t>Mb≥1.0m</w:t>
            </w:r>
            <w:r>
              <w:rPr>
                <w:rFonts w:ascii="Times New Roman" w:hAnsi="Times New Roman" w:eastAsia="宋体" w:cs="宋体"/>
                <w:color w:val="auto"/>
                <w:spacing w:val="0"/>
                <w:position w:val="0"/>
                <w:sz w:val="21"/>
                <w:szCs w:val="21"/>
                <w:highlight w:val="none"/>
              </w:rPr>
              <w:t>，渗透系数</w:t>
            </w:r>
            <w:r>
              <w:rPr>
                <w:rFonts w:ascii="Times New Roman" w:hAnsi="Times New Roman" w:eastAsia="宋体" w:cs="Times New Roman"/>
                <w:color w:val="auto"/>
                <w:spacing w:val="0"/>
                <w:position w:val="0"/>
                <w:sz w:val="21"/>
                <w:szCs w:val="21"/>
                <w:highlight w:val="none"/>
              </w:rPr>
              <w:t>1×10</w:t>
            </w:r>
            <w:r>
              <w:rPr>
                <w:rFonts w:ascii="Times New Roman" w:hAnsi="Times New Roman" w:eastAsia="宋体" w:cs="Times New Roman"/>
                <w:color w:val="auto"/>
                <w:spacing w:val="0"/>
                <w:position w:val="0"/>
                <w:sz w:val="21"/>
                <w:szCs w:val="14"/>
                <w:highlight w:val="none"/>
                <w:vertAlign w:val="superscript"/>
              </w:rPr>
              <w:t>-6</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K≤1×10</w:t>
            </w:r>
            <w:r>
              <w:rPr>
                <w:rFonts w:ascii="Times New Roman" w:hAnsi="Times New Roman" w:eastAsia="宋体" w:cs="Times New Roman"/>
                <w:color w:val="auto"/>
                <w:spacing w:val="0"/>
                <w:position w:val="0"/>
                <w:sz w:val="21"/>
                <w:szCs w:val="14"/>
                <w:highlight w:val="none"/>
                <w:vertAlign w:val="superscript"/>
              </w:rPr>
              <w:t>-4</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，且分布连续、稳定</w:t>
            </w:r>
          </w:p>
        </w:tc>
      </w:tr>
      <w:tr w14:paraId="36B74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386" w:type="pct"/>
            <w:vAlign w:val="center"/>
          </w:tcPr>
          <w:p w14:paraId="3D35DDB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弱</w:t>
            </w:r>
          </w:p>
        </w:tc>
        <w:tc>
          <w:tcPr>
            <w:tcW w:w="4613" w:type="pct"/>
            <w:vAlign w:val="center"/>
          </w:tcPr>
          <w:p w14:paraId="4A2B51E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岩</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土</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层不满足上述</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强</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和</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条件</w:t>
            </w:r>
          </w:p>
        </w:tc>
      </w:tr>
    </w:tbl>
    <w:p w14:paraId="51C90B5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4"/>
          <w:highlight w:val="none"/>
        </w:rPr>
      </w:pPr>
      <w:r>
        <w:rPr>
          <w:rFonts w:ascii="Times New Roman" w:hAnsi="Times New Roman" w:eastAsia="宋体" w:cs="黑体"/>
          <w:b/>
          <w:bCs/>
          <w:color w:val="auto"/>
          <w:spacing w:val="0"/>
          <w:position w:val="0"/>
          <w:sz w:val="24"/>
          <w:szCs w:val="21"/>
          <w:highlight w:val="none"/>
        </w:rPr>
        <w:t>表</w:t>
      </w:r>
      <w:r>
        <w:rPr>
          <w:rFonts w:hint="eastAsia" w:ascii="Times New Roman" w:hAnsi="Times New Roman" w:eastAsia="宋体" w:cs="Times New Roman"/>
          <w:b/>
          <w:bCs/>
          <w:color w:val="auto"/>
          <w:spacing w:val="0"/>
          <w:position w:val="0"/>
          <w:sz w:val="24"/>
          <w:szCs w:val="21"/>
          <w:highlight w:val="none"/>
          <w:lang w:val="en-US" w:eastAsia="zh-CN"/>
        </w:rPr>
        <w:t>5</w:t>
      </w:r>
      <w:r>
        <w:rPr>
          <w:rFonts w:ascii="Times New Roman" w:hAnsi="Times New Roman" w:eastAsia="宋体" w:cs="Times New Roman"/>
          <w:b/>
          <w:bCs/>
          <w:color w:val="auto"/>
          <w:spacing w:val="0"/>
          <w:position w:val="0"/>
          <w:sz w:val="24"/>
          <w:szCs w:val="21"/>
          <w:highlight w:val="none"/>
        </w:rPr>
        <w:t>.2-13</w:t>
      </w:r>
      <w:r>
        <w:rPr>
          <w:rFonts w:ascii="Times New Roman" w:hAnsi="Times New Roman" w:eastAsia="宋体" w:cs="黑体"/>
          <w:b/>
          <w:bCs/>
          <w:color w:val="auto"/>
          <w:spacing w:val="0"/>
          <w:position w:val="0"/>
          <w:sz w:val="24"/>
          <w:szCs w:val="21"/>
          <w:highlight w:val="none"/>
        </w:rPr>
        <w:t>地下水污染防渗分区参照表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80"/>
        <w:gridCol w:w="1405"/>
        <w:gridCol w:w="1280"/>
        <w:gridCol w:w="1659"/>
        <w:gridCol w:w="2585"/>
      </w:tblGrid>
      <w:tr w14:paraId="4C13A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jc w:val="center"/>
        </w:trPr>
        <w:tc>
          <w:tcPr>
            <w:tcW w:w="830" w:type="pct"/>
            <w:vAlign w:val="center"/>
          </w:tcPr>
          <w:p w14:paraId="4C7E282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防渗分区</w:t>
            </w:r>
          </w:p>
        </w:tc>
        <w:tc>
          <w:tcPr>
            <w:tcW w:w="845" w:type="pct"/>
            <w:vAlign w:val="center"/>
          </w:tcPr>
          <w:p w14:paraId="10EE0FE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天然包气带防污性能</w:t>
            </w:r>
          </w:p>
        </w:tc>
        <w:tc>
          <w:tcPr>
            <w:tcW w:w="770" w:type="pct"/>
            <w:vAlign w:val="center"/>
          </w:tcPr>
          <w:p w14:paraId="479536F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污染控制难易程度</w:t>
            </w:r>
          </w:p>
        </w:tc>
        <w:tc>
          <w:tcPr>
            <w:tcW w:w="998" w:type="pct"/>
            <w:vAlign w:val="center"/>
          </w:tcPr>
          <w:p w14:paraId="3A53401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污染物类型</w:t>
            </w:r>
          </w:p>
        </w:tc>
        <w:tc>
          <w:tcPr>
            <w:tcW w:w="1555" w:type="pct"/>
            <w:vAlign w:val="center"/>
          </w:tcPr>
          <w:p w14:paraId="7DE49B4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防渗技术要求</w:t>
            </w:r>
          </w:p>
        </w:tc>
      </w:tr>
      <w:tr w14:paraId="10888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restart"/>
            <w:tcBorders>
              <w:bottom w:val="nil"/>
            </w:tcBorders>
            <w:vAlign w:val="center"/>
          </w:tcPr>
          <w:p w14:paraId="1726C7C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重点防渗区</w:t>
            </w:r>
          </w:p>
        </w:tc>
        <w:tc>
          <w:tcPr>
            <w:tcW w:w="845" w:type="pct"/>
            <w:vAlign w:val="center"/>
          </w:tcPr>
          <w:p w14:paraId="5B93CD7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弱</w:t>
            </w:r>
          </w:p>
        </w:tc>
        <w:tc>
          <w:tcPr>
            <w:tcW w:w="770" w:type="pct"/>
            <w:vAlign w:val="center"/>
          </w:tcPr>
          <w:p w14:paraId="4EAE7CC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难</w:t>
            </w:r>
          </w:p>
        </w:tc>
        <w:tc>
          <w:tcPr>
            <w:tcW w:w="998" w:type="pct"/>
            <w:vMerge w:val="restart"/>
            <w:tcBorders>
              <w:bottom w:val="nil"/>
            </w:tcBorders>
            <w:vAlign w:val="center"/>
          </w:tcPr>
          <w:p w14:paraId="3D46AF2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重金属、持久性有机物污染物</w:t>
            </w:r>
          </w:p>
        </w:tc>
        <w:tc>
          <w:tcPr>
            <w:tcW w:w="1555" w:type="pct"/>
            <w:vMerge w:val="restart"/>
            <w:tcBorders>
              <w:bottom w:val="nil"/>
            </w:tcBorders>
            <w:vAlign w:val="center"/>
          </w:tcPr>
          <w:p w14:paraId="32B57E4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等效黏土防渗层</w:t>
            </w:r>
            <w:r>
              <w:rPr>
                <w:rFonts w:ascii="Times New Roman" w:hAnsi="Times New Roman" w:eastAsia="宋体" w:cs="Times New Roman"/>
                <w:color w:val="auto"/>
                <w:spacing w:val="0"/>
                <w:position w:val="0"/>
                <w:sz w:val="21"/>
                <w:szCs w:val="21"/>
                <w:highlight w:val="none"/>
              </w:rPr>
              <w:t>Mb≥6.0m</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K&lt;1×10</w:t>
            </w:r>
            <w:r>
              <w:rPr>
                <w:rFonts w:ascii="Times New Roman" w:hAnsi="Times New Roman" w:eastAsia="宋体" w:cs="Times New Roman"/>
                <w:color w:val="auto"/>
                <w:spacing w:val="0"/>
                <w:position w:val="0"/>
                <w:sz w:val="21"/>
                <w:szCs w:val="14"/>
                <w:highlight w:val="none"/>
                <w:vertAlign w:val="superscript"/>
              </w:rPr>
              <w:t>-7</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，或参照</w:t>
            </w:r>
          </w:p>
          <w:p w14:paraId="3544F7E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GB18598</w:t>
            </w:r>
            <w:r>
              <w:rPr>
                <w:rFonts w:ascii="Times New Roman" w:hAnsi="Times New Roman" w:eastAsia="宋体" w:cs="宋体"/>
                <w:color w:val="auto"/>
                <w:spacing w:val="0"/>
                <w:position w:val="0"/>
                <w:sz w:val="21"/>
                <w:szCs w:val="21"/>
                <w:highlight w:val="none"/>
              </w:rPr>
              <w:t>执行</w:t>
            </w:r>
          </w:p>
        </w:tc>
      </w:tr>
      <w:tr w14:paraId="2AE6A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continue"/>
            <w:tcBorders>
              <w:top w:val="nil"/>
              <w:bottom w:val="nil"/>
            </w:tcBorders>
            <w:vAlign w:val="center"/>
          </w:tcPr>
          <w:p w14:paraId="279FDD2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45" w:type="pct"/>
            <w:vAlign w:val="center"/>
          </w:tcPr>
          <w:p w14:paraId="5711568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中</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强</w:t>
            </w:r>
          </w:p>
        </w:tc>
        <w:tc>
          <w:tcPr>
            <w:tcW w:w="770" w:type="pct"/>
            <w:vAlign w:val="center"/>
          </w:tcPr>
          <w:p w14:paraId="0FB03EC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难</w:t>
            </w:r>
          </w:p>
        </w:tc>
        <w:tc>
          <w:tcPr>
            <w:tcW w:w="998" w:type="pct"/>
            <w:vMerge w:val="continue"/>
            <w:tcBorders>
              <w:top w:val="nil"/>
              <w:bottom w:val="nil"/>
            </w:tcBorders>
            <w:vAlign w:val="center"/>
          </w:tcPr>
          <w:p w14:paraId="4C4E0ED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555" w:type="pct"/>
            <w:vMerge w:val="continue"/>
            <w:tcBorders>
              <w:top w:val="nil"/>
              <w:bottom w:val="nil"/>
            </w:tcBorders>
            <w:vAlign w:val="center"/>
          </w:tcPr>
          <w:p w14:paraId="3A7C33E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72028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continue"/>
            <w:tcBorders>
              <w:top w:val="nil"/>
            </w:tcBorders>
            <w:vAlign w:val="center"/>
          </w:tcPr>
          <w:p w14:paraId="1E82B71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45" w:type="pct"/>
            <w:vAlign w:val="center"/>
          </w:tcPr>
          <w:p w14:paraId="0E31009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弱</w:t>
            </w:r>
          </w:p>
        </w:tc>
        <w:tc>
          <w:tcPr>
            <w:tcW w:w="770" w:type="pct"/>
            <w:vAlign w:val="center"/>
          </w:tcPr>
          <w:p w14:paraId="7FB8198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易</w:t>
            </w:r>
          </w:p>
        </w:tc>
        <w:tc>
          <w:tcPr>
            <w:tcW w:w="998" w:type="pct"/>
            <w:vMerge w:val="continue"/>
            <w:tcBorders>
              <w:top w:val="nil"/>
            </w:tcBorders>
            <w:vAlign w:val="center"/>
          </w:tcPr>
          <w:p w14:paraId="12C8C4E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555" w:type="pct"/>
            <w:vMerge w:val="continue"/>
            <w:tcBorders>
              <w:top w:val="nil"/>
            </w:tcBorders>
            <w:vAlign w:val="center"/>
          </w:tcPr>
          <w:p w14:paraId="4F1DB3E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6CFFE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830" w:type="pct"/>
            <w:vMerge w:val="restart"/>
            <w:tcBorders>
              <w:bottom w:val="nil"/>
            </w:tcBorders>
            <w:vAlign w:val="center"/>
          </w:tcPr>
          <w:p w14:paraId="1A698E9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一般防渗区</w:t>
            </w:r>
          </w:p>
        </w:tc>
        <w:tc>
          <w:tcPr>
            <w:tcW w:w="845" w:type="pct"/>
            <w:vAlign w:val="center"/>
          </w:tcPr>
          <w:p w14:paraId="5D42892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弱</w:t>
            </w:r>
          </w:p>
        </w:tc>
        <w:tc>
          <w:tcPr>
            <w:tcW w:w="770" w:type="pct"/>
            <w:vAlign w:val="center"/>
          </w:tcPr>
          <w:p w14:paraId="484AC8F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易</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难</w:t>
            </w:r>
          </w:p>
        </w:tc>
        <w:tc>
          <w:tcPr>
            <w:tcW w:w="998" w:type="pct"/>
            <w:vMerge w:val="restart"/>
            <w:tcBorders>
              <w:bottom w:val="nil"/>
            </w:tcBorders>
            <w:vAlign w:val="center"/>
          </w:tcPr>
          <w:p w14:paraId="43FE061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其他类型</w:t>
            </w:r>
          </w:p>
        </w:tc>
        <w:tc>
          <w:tcPr>
            <w:tcW w:w="1555" w:type="pct"/>
            <w:vMerge w:val="restart"/>
            <w:tcBorders>
              <w:bottom w:val="nil"/>
            </w:tcBorders>
            <w:vAlign w:val="center"/>
          </w:tcPr>
          <w:p w14:paraId="2AFA2DC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等效黏土防渗层</w:t>
            </w:r>
            <w:r>
              <w:rPr>
                <w:rFonts w:ascii="Times New Roman" w:hAnsi="Times New Roman" w:eastAsia="宋体" w:cs="Times New Roman"/>
                <w:color w:val="auto"/>
                <w:spacing w:val="0"/>
                <w:position w:val="0"/>
                <w:sz w:val="21"/>
                <w:szCs w:val="21"/>
                <w:highlight w:val="none"/>
              </w:rPr>
              <w:t>Mb&gt;1.5m</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K&lt;1×10</w:t>
            </w:r>
            <w:r>
              <w:rPr>
                <w:rFonts w:ascii="Times New Roman" w:hAnsi="Times New Roman" w:eastAsia="宋体" w:cs="Times New Roman"/>
                <w:color w:val="auto"/>
                <w:spacing w:val="0"/>
                <w:position w:val="0"/>
                <w:sz w:val="21"/>
                <w:szCs w:val="14"/>
                <w:highlight w:val="none"/>
                <w:vertAlign w:val="superscript"/>
              </w:rPr>
              <w:t>-7</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，或参照</w:t>
            </w:r>
          </w:p>
          <w:p w14:paraId="4346716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GB16889</w:t>
            </w:r>
            <w:r>
              <w:rPr>
                <w:rFonts w:ascii="Times New Roman" w:hAnsi="Times New Roman" w:eastAsia="宋体" w:cs="宋体"/>
                <w:color w:val="auto"/>
                <w:spacing w:val="0"/>
                <w:position w:val="0"/>
                <w:sz w:val="21"/>
                <w:szCs w:val="21"/>
                <w:highlight w:val="none"/>
              </w:rPr>
              <w:t>执行</w:t>
            </w:r>
          </w:p>
        </w:tc>
      </w:tr>
      <w:tr w14:paraId="580F8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830" w:type="pct"/>
            <w:vMerge w:val="continue"/>
            <w:tcBorders>
              <w:top w:val="nil"/>
              <w:bottom w:val="nil"/>
            </w:tcBorders>
            <w:vAlign w:val="center"/>
          </w:tcPr>
          <w:p w14:paraId="3BF09F8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45" w:type="pct"/>
            <w:vAlign w:val="center"/>
          </w:tcPr>
          <w:p w14:paraId="7C8E7CE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中</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强</w:t>
            </w:r>
          </w:p>
        </w:tc>
        <w:tc>
          <w:tcPr>
            <w:tcW w:w="770" w:type="pct"/>
            <w:vAlign w:val="center"/>
          </w:tcPr>
          <w:p w14:paraId="381717D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难</w:t>
            </w:r>
          </w:p>
        </w:tc>
        <w:tc>
          <w:tcPr>
            <w:tcW w:w="998" w:type="pct"/>
            <w:vMerge w:val="continue"/>
            <w:tcBorders>
              <w:top w:val="nil"/>
            </w:tcBorders>
            <w:vAlign w:val="center"/>
          </w:tcPr>
          <w:p w14:paraId="3F49280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555" w:type="pct"/>
            <w:vMerge w:val="continue"/>
            <w:tcBorders>
              <w:top w:val="nil"/>
              <w:bottom w:val="nil"/>
            </w:tcBorders>
            <w:vAlign w:val="center"/>
          </w:tcPr>
          <w:p w14:paraId="1052426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56DF8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continue"/>
            <w:tcBorders>
              <w:top w:val="nil"/>
              <w:bottom w:val="nil"/>
            </w:tcBorders>
            <w:vAlign w:val="center"/>
          </w:tcPr>
          <w:p w14:paraId="3760B9F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45" w:type="pct"/>
            <w:vAlign w:val="center"/>
          </w:tcPr>
          <w:p w14:paraId="6CC057C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中</w:t>
            </w:r>
          </w:p>
        </w:tc>
        <w:tc>
          <w:tcPr>
            <w:tcW w:w="770" w:type="pct"/>
            <w:vAlign w:val="center"/>
          </w:tcPr>
          <w:p w14:paraId="69272DE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易</w:t>
            </w:r>
          </w:p>
        </w:tc>
        <w:tc>
          <w:tcPr>
            <w:tcW w:w="998" w:type="pct"/>
            <w:vMerge w:val="restart"/>
            <w:tcBorders>
              <w:bottom w:val="nil"/>
            </w:tcBorders>
            <w:vAlign w:val="center"/>
          </w:tcPr>
          <w:p w14:paraId="22965B0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重金属、持久性有机物污染物</w:t>
            </w:r>
          </w:p>
        </w:tc>
        <w:tc>
          <w:tcPr>
            <w:tcW w:w="1555" w:type="pct"/>
            <w:vMerge w:val="continue"/>
            <w:tcBorders>
              <w:top w:val="nil"/>
              <w:bottom w:val="nil"/>
            </w:tcBorders>
            <w:vAlign w:val="center"/>
          </w:tcPr>
          <w:p w14:paraId="2FC62E7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37CF2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830" w:type="pct"/>
            <w:vMerge w:val="continue"/>
            <w:tcBorders>
              <w:top w:val="nil"/>
            </w:tcBorders>
            <w:vAlign w:val="center"/>
          </w:tcPr>
          <w:p w14:paraId="6ED1AED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45" w:type="pct"/>
            <w:vAlign w:val="center"/>
          </w:tcPr>
          <w:p w14:paraId="1631F37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强</w:t>
            </w:r>
          </w:p>
        </w:tc>
        <w:tc>
          <w:tcPr>
            <w:tcW w:w="770" w:type="pct"/>
            <w:vAlign w:val="center"/>
          </w:tcPr>
          <w:p w14:paraId="5EC6A8F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易</w:t>
            </w:r>
          </w:p>
        </w:tc>
        <w:tc>
          <w:tcPr>
            <w:tcW w:w="998" w:type="pct"/>
            <w:vMerge w:val="continue"/>
            <w:tcBorders>
              <w:top w:val="nil"/>
            </w:tcBorders>
            <w:vAlign w:val="center"/>
          </w:tcPr>
          <w:p w14:paraId="51FE6CE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555" w:type="pct"/>
            <w:vMerge w:val="continue"/>
            <w:tcBorders>
              <w:top w:val="nil"/>
            </w:tcBorders>
            <w:vAlign w:val="center"/>
          </w:tcPr>
          <w:p w14:paraId="5829BA5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449A2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830" w:type="pct"/>
            <w:vAlign w:val="center"/>
          </w:tcPr>
          <w:p w14:paraId="512C081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简单防渗区</w:t>
            </w:r>
          </w:p>
        </w:tc>
        <w:tc>
          <w:tcPr>
            <w:tcW w:w="845" w:type="pct"/>
            <w:vAlign w:val="center"/>
          </w:tcPr>
          <w:p w14:paraId="2F6F17F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中</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强</w:t>
            </w:r>
          </w:p>
        </w:tc>
        <w:tc>
          <w:tcPr>
            <w:tcW w:w="770" w:type="pct"/>
            <w:vAlign w:val="center"/>
          </w:tcPr>
          <w:p w14:paraId="6B03428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易</w:t>
            </w:r>
          </w:p>
        </w:tc>
        <w:tc>
          <w:tcPr>
            <w:tcW w:w="998" w:type="pct"/>
            <w:vAlign w:val="center"/>
          </w:tcPr>
          <w:p w14:paraId="52C2ED4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其他类型</w:t>
            </w:r>
          </w:p>
        </w:tc>
        <w:tc>
          <w:tcPr>
            <w:tcW w:w="1555" w:type="pct"/>
            <w:vAlign w:val="center"/>
          </w:tcPr>
          <w:p w14:paraId="2DDBAAA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一般地面硬化</w:t>
            </w:r>
          </w:p>
        </w:tc>
      </w:tr>
    </w:tbl>
    <w:p w14:paraId="57AEC786">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结合项目特点，项目拟建工程防渗工程分为一般防渗区和简单防渗区、重点防渗区，分区防渗要求见表</w:t>
      </w:r>
      <w:r>
        <w:rPr>
          <w:rFonts w:hint="eastAsia" w:ascii="Times New Roman" w:hAnsi="Times New Roman" w:eastAsia="宋体" w:cs="Times New Roman"/>
          <w:color w:val="auto"/>
          <w:spacing w:val="0"/>
          <w:position w:val="0"/>
          <w:sz w:val="24"/>
          <w:szCs w:val="24"/>
          <w:highlight w:val="none"/>
          <w:lang w:val="en-US" w:eastAsia="zh-CN"/>
        </w:rPr>
        <w:t>5</w:t>
      </w:r>
      <w:r>
        <w:rPr>
          <w:rFonts w:ascii="Times New Roman" w:hAnsi="Times New Roman" w:eastAsia="宋体" w:cs="Times New Roman"/>
          <w:color w:val="auto"/>
          <w:spacing w:val="0"/>
          <w:position w:val="0"/>
          <w:sz w:val="24"/>
          <w:szCs w:val="24"/>
          <w:highlight w:val="none"/>
        </w:rPr>
        <w:t>.2-14</w:t>
      </w:r>
      <w:r>
        <w:rPr>
          <w:rFonts w:ascii="Times New Roman" w:hAnsi="Times New Roman" w:eastAsia="宋体" w:cs="宋体"/>
          <w:color w:val="auto"/>
          <w:spacing w:val="0"/>
          <w:position w:val="0"/>
          <w:sz w:val="24"/>
          <w:szCs w:val="24"/>
          <w:highlight w:val="none"/>
        </w:rPr>
        <w:t>，分区防渗图见图</w:t>
      </w:r>
      <w:r>
        <w:rPr>
          <w:rFonts w:hint="eastAsia" w:ascii="Times New Roman" w:hAnsi="Times New Roman" w:eastAsia="宋体" w:cs="Times New Roman"/>
          <w:color w:val="auto"/>
          <w:spacing w:val="0"/>
          <w:position w:val="0"/>
          <w:sz w:val="24"/>
          <w:szCs w:val="24"/>
          <w:highlight w:val="none"/>
          <w:lang w:val="en-US" w:eastAsia="zh-CN"/>
        </w:rPr>
        <w:t>5</w:t>
      </w:r>
      <w:r>
        <w:rPr>
          <w:rFonts w:ascii="Times New Roman" w:hAnsi="Times New Roman" w:eastAsia="宋体" w:cs="Times New Roman"/>
          <w:color w:val="auto"/>
          <w:spacing w:val="0"/>
          <w:position w:val="0"/>
          <w:sz w:val="24"/>
          <w:szCs w:val="24"/>
          <w:highlight w:val="none"/>
        </w:rPr>
        <w:t>.2-1</w:t>
      </w:r>
      <w:r>
        <w:rPr>
          <w:rFonts w:ascii="Times New Roman" w:hAnsi="Times New Roman" w:eastAsia="宋体" w:cs="宋体"/>
          <w:color w:val="auto"/>
          <w:spacing w:val="0"/>
          <w:position w:val="0"/>
          <w:sz w:val="24"/>
          <w:szCs w:val="24"/>
          <w:highlight w:val="none"/>
        </w:rPr>
        <w:t>。</w:t>
      </w:r>
    </w:p>
    <w:p w14:paraId="0F5676E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黑体"/>
          <w:b/>
          <w:bCs/>
          <w:color w:val="auto"/>
          <w:spacing w:val="0"/>
          <w:position w:val="0"/>
          <w:sz w:val="24"/>
          <w:szCs w:val="21"/>
          <w:highlight w:val="none"/>
        </w:rPr>
      </w:pPr>
      <w:r>
        <w:rPr>
          <w:rFonts w:ascii="Times New Roman" w:hAnsi="Times New Roman" w:eastAsia="宋体" w:cs="黑体"/>
          <w:b/>
          <w:bCs/>
          <w:color w:val="auto"/>
          <w:spacing w:val="0"/>
          <w:position w:val="0"/>
          <w:sz w:val="24"/>
          <w:szCs w:val="21"/>
          <w:highlight w:val="none"/>
        </w:rPr>
        <w:t>表</w:t>
      </w:r>
      <w:r>
        <w:rPr>
          <w:rFonts w:hint="eastAsia" w:ascii="Times New Roman" w:hAnsi="Times New Roman" w:eastAsia="宋体" w:cs="黑体"/>
          <w:b/>
          <w:bCs/>
          <w:color w:val="auto"/>
          <w:spacing w:val="0"/>
          <w:position w:val="0"/>
          <w:sz w:val="24"/>
          <w:szCs w:val="21"/>
          <w:highlight w:val="none"/>
          <w:lang w:val="en-US" w:eastAsia="zh-CN"/>
        </w:rPr>
        <w:t>5</w:t>
      </w:r>
      <w:r>
        <w:rPr>
          <w:rFonts w:ascii="Times New Roman" w:hAnsi="Times New Roman" w:eastAsia="宋体" w:cs="Times New Roman"/>
          <w:b/>
          <w:bCs/>
          <w:color w:val="auto"/>
          <w:spacing w:val="0"/>
          <w:position w:val="0"/>
          <w:sz w:val="24"/>
          <w:szCs w:val="21"/>
          <w:highlight w:val="none"/>
        </w:rPr>
        <w:t>.2-14</w:t>
      </w:r>
      <w:r>
        <w:rPr>
          <w:rFonts w:ascii="Times New Roman" w:hAnsi="Times New Roman" w:eastAsia="宋体" w:cs="黑体"/>
          <w:b/>
          <w:bCs/>
          <w:color w:val="auto"/>
          <w:spacing w:val="0"/>
          <w:position w:val="0"/>
          <w:sz w:val="24"/>
          <w:szCs w:val="21"/>
          <w:highlight w:val="none"/>
        </w:rPr>
        <w:t>拟建项目分区防渗要求表</w:t>
      </w:r>
    </w:p>
    <w:tbl>
      <w:tblPr>
        <w:tblStyle w:val="176"/>
        <w:tblW w:w="500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55"/>
        <w:gridCol w:w="2057"/>
        <w:gridCol w:w="4413"/>
      </w:tblGrid>
      <w:tr w14:paraId="7538D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114" w:type="pct"/>
            <w:tcBorders>
              <w:tl2br w:val="nil"/>
              <w:tr2bl w:val="nil"/>
            </w:tcBorders>
            <w:vAlign w:val="center"/>
          </w:tcPr>
          <w:p w14:paraId="4ACB7DD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主要环节</w:t>
            </w:r>
          </w:p>
        </w:tc>
        <w:tc>
          <w:tcPr>
            <w:tcW w:w="1235" w:type="pct"/>
            <w:tcBorders>
              <w:tl2br w:val="nil"/>
              <w:tr2bl w:val="nil"/>
            </w:tcBorders>
            <w:vAlign w:val="center"/>
          </w:tcPr>
          <w:p w14:paraId="7216D66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防渗级别</w:t>
            </w:r>
          </w:p>
        </w:tc>
        <w:tc>
          <w:tcPr>
            <w:tcW w:w="2649" w:type="pct"/>
            <w:tcBorders>
              <w:tl2br w:val="nil"/>
              <w:tr2bl w:val="nil"/>
            </w:tcBorders>
            <w:vAlign w:val="center"/>
          </w:tcPr>
          <w:p w14:paraId="78D4538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防渗要求</w:t>
            </w:r>
          </w:p>
        </w:tc>
      </w:tr>
      <w:tr w14:paraId="3953A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114" w:type="pct"/>
            <w:tcBorders>
              <w:tl2br w:val="nil"/>
              <w:tr2bl w:val="nil"/>
            </w:tcBorders>
            <w:vAlign w:val="center"/>
          </w:tcPr>
          <w:p w14:paraId="5BCCB4F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医疗废物暂存间</w:t>
            </w:r>
          </w:p>
        </w:tc>
        <w:tc>
          <w:tcPr>
            <w:tcW w:w="1235" w:type="pct"/>
            <w:tcBorders>
              <w:tl2br w:val="nil"/>
              <w:tr2bl w:val="nil"/>
            </w:tcBorders>
            <w:vAlign w:val="center"/>
          </w:tcPr>
          <w:p w14:paraId="3657A6B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重点防渗区</w:t>
            </w:r>
          </w:p>
        </w:tc>
        <w:tc>
          <w:tcPr>
            <w:tcW w:w="2649" w:type="pct"/>
            <w:vMerge w:val="restart"/>
            <w:tcBorders>
              <w:tl2br w:val="nil"/>
              <w:tr2bl w:val="nil"/>
            </w:tcBorders>
            <w:vAlign w:val="center"/>
          </w:tcPr>
          <w:p w14:paraId="1BB1EFD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①各单元防渗工程的设计使用年限不低于构筑物的设计使用年限。②防渗性能不低于</w:t>
            </w:r>
            <w:r>
              <w:rPr>
                <w:rFonts w:ascii="Times New Roman" w:hAnsi="Times New Roman" w:eastAsia="宋体" w:cs="Times New Roman"/>
                <w:color w:val="auto"/>
                <w:spacing w:val="0"/>
                <w:position w:val="0"/>
                <w:sz w:val="21"/>
                <w:szCs w:val="21"/>
                <w:highlight w:val="none"/>
              </w:rPr>
              <w:t>6.0m</w:t>
            </w:r>
            <w:r>
              <w:rPr>
                <w:rFonts w:ascii="Times New Roman" w:hAnsi="Times New Roman" w:eastAsia="宋体" w:cs="宋体"/>
                <w:color w:val="auto"/>
                <w:spacing w:val="0"/>
                <w:position w:val="0"/>
                <w:sz w:val="21"/>
                <w:szCs w:val="21"/>
                <w:highlight w:val="none"/>
              </w:rPr>
              <w:t>厚，渗透系数为</w:t>
            </w:r>
            <w:r>
              <w:rPr>
                <w:rFonts w:ascii="Times New Roman" w:hAnsi="Times New Roman" w:eastAsia="宋体" w:cs="Times New Roman"/>
                <w:color w:val="auto"/>
                <w:spacing w:val="0"/>
                <w:position w:val="0"/>
                <w:sz w:val="21"/>
                <w:szCs w:val="21"/>
                <w:highlight w:val="none"/>
              </w:rPr>
              <w:t>1.0</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10</w:t>
            </w:r>
            <w:r>
              <w:rPr>
                <w:rFonts w:ascii="Times New Roman" w:hAnsi="Times New Roman" w:eastAsia="宋体" w:cs="Times New Roman"/>
                <w:color w:val="auto"/>
                <w:spacing w:val="0"/>
                <w:position w:val="0"/>
                <w:sz w:val="21"/>
                <w:szCs w:val="14"/>
                <w:highlight w:val="none"/>
                <w:vertAlign w:val="superscript"/>
              </w:rPr>
              <w:t>-7</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的黏土层的防渗性能。</w:t>
            </w:r>
          </w:p>
          <w:p w14:paraId="0FEA8DD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③地面防渗方案可采用混凝土防渗、</w:t>
            </w:r>
            <w:r>
              <w:rPr>
                <w:rFonts w:ascii="Times New Roman" w:hAnsi="Times New Roman" w:eastAsia="宋体" w:cs="Times New Roman"/>
                <w:color w:val="auto"/>
                <w:spacing w:val="0"/>
                <w:position w:val="0"/>
                <w:sz w:val="21"/>
                <w:szCs w:val="21"/>
                <w:highlight w:val="none"/>
              </w:rPr>
              <w:t>HDPE</w:t>
            </w:r>
            <w:r>
              <w:rPr>
                <w:rFonts w:ascii="Times New Roman" w:hAnsi="Times New Roman" w:eastAsia="宋体" w:cs="宋体"/>
                <w:color w:val="auto"/>
                <w:spacing w:val="0"/>
                <w:position w:val="0"/>
                <w:sz w:val="21"/>
                <w:szCs w:val="21"/>
                <w:highlight w:val="none"/>
              </w:rPr>
              <w:t>膜防渗和钠基膨润土防水毯防渗层，防渗性能满足②</w:t>
            </w:r>
          </w:p>
          <w:p w14:paraId="071B21F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要求。</w:t>
            </w:r>
          </w:p>
        </w:tc>
      </w:tr>
      <w:tr w14:paraId="5C9A5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jc w:val="center"/>
        </w:trPr>
        <w:tc>
          <w:tcPr>
            <w:tcW w:w="1114" w:type="pct"/>
            <w:tcBorders>
              <w:tl2br w:val="nil"/>
              <w:tr2bl w:val="nil"/>
            </w:tcBorders>
            <w:vAlign w:val="center"/>
          </w:tcPr>
          <w:p w14:paraId="21F4D52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安全填埋井</w:t>
            </w:r>
          </w:p>
        </w:tc>
        <w:tc>
          <w:tcPr>
            <w:tcW w:w="1235" w:type="pct"/>
            <w:tcBorders>
              <w:tl2br w:val="nil"/>
              <w:tr2bl w:val="nil"/>
            </w:tcBorders>
            <w:vAlign w:val="center"/>
          </w:tcPr>
          <w:p w14:paraId="75FCFE9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重点防渗区</w:t>
            </w:r>
          </w:p>
        </w:tc>
        <w:tc>
          <w:tcPr>
            <w:tcW w:w="2649" w:type="pct"/>
            <w:vMerge w:val="continue"/>
            <w:tcBorders>
              <w:tl2br w:val="nil"/>
              <w:tr2bl w:val="nil"/>
            </w:tcBorders>
            <w:vAlign w:val="center"/>
          </w:tcPr>
          <w:p w14:paraId="5A5FAC1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480AB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jc w:val="center"/>
        </w:trPr>
        <w:tc>
          <w:tcPr>
            <w:tcW w:w="1114" w:type="pct"/>
            <w:tcBorders>
              <w:tl2br w:val="nil"/>
              <w:tr2bl w:val="nil"/>
            </w:tcBorders>
            <w:vAlign w:val="center"/>
          </w:tcPr>
          <w:p w14:paraId="71F8FCE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废水收集池</w:t>
            </w:r>
          </w:p>
        </w:tc>
        <w:tc>
          <w:tcPr>
            <w:tcW w:w="1235" w:type="pct"/>
            <w:tcBorders>
              <w:tl2br w:val="nil"/>
              <w:tr2bl w:val="nil"/>
            </w:tcBorders>
            <w:vAlign w:val="center"/>
          </w:tcPr>
          <w:p w14:paraId="54141C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重点防渗区</w:t>
            </w:r>
          </w:p>
        </w:tc>
        <w:tc>
          <w:tcPr>
            <w:tcW w:w="2649" w:type="pct"/>
            <w:vMerge w:val="continue"/>
            <w:tcBorders>
              <w:tl2br w:val="nil"/>
              <w:tr2bl w:val="nil"/>
            </w:tcBorders>
            <w:vAlign w:val="center"/>
          </w:tcPr>
          <w:p w14:paraId="4AEA063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5E2B8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114" w:type="pct"/>
            <w:tcBorders>
              <w:tl2br w:val="nil"/>
              <w:tr2bl w:val="nil"/>
            </w:tcBorders>
            <w:vAlign w:val="center"/>
          </w:tcPr>
          <w:p w14:paraId="0296C6A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养殖圈舍</w:t>
            </w:r>
          </w:p>
        </w:tc>
        <w:tc>
          <w:tcPr>
            <w:tcW w:w="1235" w:type="pct"/>
            <w:tcBorders>
              <w:tl2br w:val="nil"/>
              <w:tr2bl w:val="nil"/>
            </w:tcBorders>
            <w:vAlign w:val="center"/>
          </w:tcPr>
          <w:p w14:paraId="0409BB4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一般防渗区</w:t>
            </w:r>
          </w:p>
        </w:tc>
        <w:tc>
          <w:tcPr>
            <w:tcW w:w="2649" w:type="pct"/>
            <w:tcBorders>
              <w:tl2br w:val="nil"/>
              <w:tr2bl w:val="nil"/>
            </w:tcBorders>
            <w:vAlign w:val="center"/>
          </w:tcPr>
          <w:p w14:paraId="54F5A4D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防渗性能不低于</w:t>
            </w:r>
            <w:r>
              <w:rPr>
                <w:rFonts w:ascii="Times New Roman" w:hAnsi="Times New Roman" w:eastAsia="宋体" w:cs="Times New Roman"/>
                <w:color w:val="auto"/>
                <w:spacing w:val="0"/>
                <w:position w:val="0"/>
                <w:sz w:val="21"/>
                <w:szCs w:val="21"/>
                <w:highlight w:val="none"/>
              </w:rPr>
              <w:t>1.5m</w:t>
            </w:r>
            <w:r>
              <w:rPr>
                <w:rFonts w:ascii="Times New Roman" w:hAnsi="Times New Roman" w:eastAsia="宋体" w:cs="宋体"/>
                <w:color w:val="auto"/>
                <w:spacing w:val="0"/>
                <w:position w:val="0"/>
                <w:sz w:val="21"/>
                <w:szCs w:val="21"/>
                <w:highlight w:val="none"/>
              </w:rPr>
              <w:t>厚，渗透系数为</w:t>
            </w:r>
            <w:r>
              <w:rPr>
                <w:rFonts w:ascii="Times New Roman" w:hAnsi="Times New Roman" w:eastAsia="宋体" w:cs="Times New Roman"/>
                <w:color w:val="auto"/>
                <w:spacing w:val="0"/>
                <w:position w:val="0"/>
                <w:sz w:val="21"/>
                <w:szCs w:val="21"/>
                <w:highlight w:val="none"/>
              </w:rPr>
              <w:t>1.0</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10</w:t>
            </w:r>
            <w:r>
              <w:rPr>
                <w:rFonts w:ascii="Times New Roman" w:hAnsi="Times New Roman" w:eastAsia="宋体" w:cs="Times New Roman"/>
                <w:color w:val="auto"/>
                <w:spacing w:val="0"/>
                <w:position w:val="0"/>
                <w:sz w:val="21"/>
                <w:szCs w:val="14"/>
                <w:highlight w:val="none"/>
                <w:vertAlign w:val="superscript"/>
              </w:rPr>
              <w:t>-7</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的黏土层的防渗性能。一般防渗区</w:t>
            </w:r>
          </w:p>
        </w:tc>
      </w:tr>
      <w:tr w14:paraId="52986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114" w:type="pct"/>
            <w:tcBorders>
              <w:tl2br w:val="nil"/>
              <w:tr2bl w:val="nil"/>
            </w:tcBorders>
            <w:vAlign w:val="center"/>
          </w:tcPr>
          <w:p w14:paraId="76FECA8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办公室</w:t>
            </w:r>
          </w:p>
        </w:tc>
        <w:tc>
          <w:tcPr>
            <w:tcW w:w="1235" w:type="pct"/>
            <w:tcBorders>
              <w:tl2br w:val="nil"/>
              <w:tr2bl w:val="nil"/>
            </w:tcBorders>
            <w:vAlign w:val="center"/>
          </w:tcPr>
          <w:p w14:paraId="5518A14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简单防渗区</w:t>
            </w:r>
          </w:p>
        </w:tc>
        <w:tc>
          <w:tcPr>
            <w:tcW w:w="2649" w:type="pct"/>
            <w:vMerge w:val="restart"/>
            <w:tcBorders>
              <w:tl2br w:val="nil"/>
              <w:tr2bl w:val="nil"/>
            </w:tcBorders>
            <w:vAlign w:val="center"/>
          </w:tcPr>
          <w:p w14:paraId="368F3C0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一般地面硬化</w:t>
            </w:r>
          </w:p>
        </w:tc>
      </w:tr>
      <w:tr w14:paraId="212AE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114" w:type="pct"/>
            <w:tcBorders>
              <w:tl2br w:val="nil"/>
              <w:tr2bl w:val="nil"/>
            </w:tcBorders>
            <w:vAlign w:val="center"/>
          </w:tcPr>
          <w:p w14:paraId="7F09AD7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宿舍区</w:t>
            </w:r>
          </w:p>
        </w:tc>
        <w:tc>
          <w:tcPr>
            <w:tcW w:w="1235" w:type="pct"/>
            <w:tcBorders>
              <w:tl2br w:val="nil"/>
              <w:tr2bl w:val="nil"/>
            </w:tcBorders>
            <w:vAlign w:val="center"/>
          </w:tcPr>
          <w:p w14:paraId="5AFF435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简单防渗区</w:t>
            </w:r>
          </w:p>
        </w:tc>
        <w:tc>
          <w:tcPr>
            <w:tcW w:w="2649" w:type="pct"/>
            <w:vMerge w:val="continue"/>
            <w:tcBorders>
              <w:tl2br w:val="nil"/>
              <w:tr2bl w:val="nil"/>
            </w:tcBorders>
            <w:vAlign w:val="center"/>
          </w:tcPr>
          <w:p w14:paraId="39A1D62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bl>
    <w:p w14:paraId="1587771B">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I</w:t>
      </w:r>
      <w:r>
        <w:rPr>
          <w:rFonts w:ascii="Times New Roman" w:hAnsi="Times New Roman" w:eastAsia="宋体" w:cs="宋体"/>
          <w:color w:val="auto"/>
          <w:spacing w:val="0"/>
          <w:position w:val="0"/>
          <w:sz w:val="24"/>
          <w:szCs w:val="24"/>
          <w:highlight w:val="none"/>
        </w:rPr>
        <w:t>、重点防渗区防渗措施</w:t>
      </w:r>
    </w:p>
    <w:p w14:paraId="26E31BA6">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项目医疗废物暂存间和安全填埋井在施工图设计及施工阶段对基础层进行防渗处理，采用符合要求的天然基础层或人工合成衬里材料</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HDPE</w:t>
      </w:r>
      <w:r>
        <w:rPr>
          <w:rFonts w:ascii="Times New Roman" w:hAnsi="Times New Roman" w:eastAsia="宋体" w:cs="宋体"/>
          <w:color w:val="auto"/>
          <w:spacing w:val="0"/>
          <w:position w:val="0"/>
          <w:sz w:val="24"/>
          <w:szCs w:val="24"/>
          <w:highlight w:val="none"/>
        </w:rPr>
        <w:t>膜</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，具体要求依据《危险废物填埋污染控制标准》</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GB18598-2001</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进行实施。防渗层防渗性能不能低于</w:t>
      </w:r>
      <w:r>
        <w:rPr>
          <w:rFonts w:ascii="Times New Roman" w:hAnsi="Times New Roman" w:eastAsia="宋体" w:cs="Times New Roman"/>
          <w:color w:val="auto"/>
          <w:spacing w:val="0"/>
          <w:position w:val="0"/>
          <w:sz w:val="24"/>
          <w:szCs w:val="24"/>
          <w:highlight w:val="none"/>
        </w:rPr>
        <w:t>6m</w:t>
      </w:r>
      <w:r>
        <w:rPr>
          <w:rFonts w:ascii="Times New Roman" w:hAnsi="Times New Roman" w:eastAsia="宋体" w:cs="宋体"/>
          <w:color w:val="auto"/>
          <w:spacing w:val="0"/>
          <w:position w:val="0"/>
          <w:sz w:val="24"/>
          <w:szCs w:val="24"/>
          <w:highlight w:val="none"/>
        </w:rPr>
        <w:t>厚，渗透系数</w:t>
      </w:r>
      <w:r>
        <w:rPr>
          <w:rFonts w:ascii="Times New Roman" w:hAnsi="Times New Roman" w:eastAsia="宋体" w:cs="Times New Roman"/>
          <w:color w:val="auto"/>
          <w:spacing w:val="0"/>
          <w:position w:val="0"/>
          <w:sz w:val="24"/>
          <w:szCs w:val="24"/>
          <w:highlight w:val="none"/>
        </w:rPr>
        <w:t>≤10</w:t>
      </w:r>
      <w:r>
        <w:rPr>
          <w:rFonts w:ascii="Times New Roman" w:hAnsi="Times New Roman" w:eastAsia="宋体" w:cs="Times New Roman"/>
          <w:color w:val="auto"/>
          <w:spacing w:val="0"/>
          <w:position w:val="0"/>
          <w:sz w:val="24"/>
          <w:szCs w:val="15"/>
          <w:highlight w:val="none"/>
          <w:vertAlign w:val="superscript"/>
        </w:rPr>
        <w:t>-7</w:t>
      </w:r>
      <w:r>
        <w:rPr>
          <w:rFonts w:ascii="Times New Roman" w:hAnsi="Times New Roman" w:eastAsia="宋体" w:cs="Times New Roman"/>
          <w:color w:val="auto"/>
          <w:spacing w:val="0"/>
          <w:position w:val="0"/>
          <w:sz w:val="24"/>
          <w:szCs w:val="24"/>
          <w:highlight w:val="none"/>
        </w:rPr>
        <w:t>cm/s</w:t>
      </w:r>
      <w:r>
        <w:rPr>
          <w:rFonts w:ascii="Times New Roman" w:hAnsi="Times New Roman" w:eastAsia="宋体" w:cs="宋体"/>
          <w:color w:val="auto"/>
          <w:spacing w:val="0"/>
          <w:position w:val="0"/>
          <w:sz w:val="24"/>
          <w:szCs w:val="24"/>
          <w:highlight w:val="none"/>
        </w:rPr>
        <w:t>的防渗性能，防止渗滤液泄漏污染地下水。</w:t>
      </w:r>
    </w:p>
    <w:p w14:paraId="130EA0B7">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II</w:t>
      </w:r>
      <w:r>
        <w:rPr>
          <w:rFonts w:ascii="Times New Roman" w:hAnsi="Times New Roman" w:eastAsia="宋体" w:cs="宋体"/>
          <w:color w:val="auto"/>
          <w:spacing w:val="0"/>
          <w:position w:val="0"/>
          <w:sz w:val="24"/>
          <w:szCs w:val="24"/>
          <w:highlight w:val="none"/>
        </w:rPr>
        <w:t>、一般防渗区</w:t>
      </w:r>
    </w:p>
    <w:p w14:paraId="4FBD4FFC">
      <w:pPr>
        <w:keepNext w:val="0"/>
        <w:keepLines w:val="0"/>
        <w:pageBreakBefore w:val="0"/>
        <w:widowControl w:val="0"/>
        <w:kinsoku/>
        <w:wordWrap/>
        <w:overflowPunct/>
        <w:topLinePunct w:val="0"/>
        <w:autoSpaceDE/>
        <w:autoSpaceDN/>
        <w:bidi w:val="0"/>
        <w:adjustRightInd/>
        <w:snapToGrid/>
        <w:spacing w:line="360" w:lineRule="auto"/>
        <w:ind w:left="0" w:right="0" w:firstLine="49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项目养殖区、</w:t>
      </w:r>
      <w:r>
        <w:rPr>
          <w:rFonts w:hint="eastAsia" w:cs="宋体"/>
          <w:color w:val="auto"/>
          <w:spacing w:val="0"/>
          <w:position w:val="0"/>
          <w:sz w:val="24"/>
          <w:szCs w:val="24"/>
          <w:highlight w:val="none"/>
          <w:lang w:eastAsia="zh-CN"/>
        </w:rPr>
        <w:t>废水收集池</w:t>
      </w:r>
      <w:r>
        <w:rPr>
          <w:rFonts w:ascii="Times New Roman" w:hAnsi="Times New Roman" w:eastAsia="宋体" w:cs="宋体"/>
          <w:color w:val="auto"/>
          <w:spacing w:val="0"/>
          <w:position w:val="0"/>
          <w:sz w:val="24"/>
          <w:szCs w:val="24"/>
          <w:highlight w:val="none"/>
        </w:rPr>
        <w:t>在施工图设计及施工阶段对基础层进行防渗处理，具体要求依据《一般工业固体废物贮存和填埋污染控制标准》</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GB18599-2020</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进行实施。构筑物除需做基础防渗处理外，应根据生产过程中接触到的物料腐蚀性情况根据要求采取相应的防腐蚀处理措施。采取防渗措施后的基础层等效黏土防渗层</w:t>
      </w:r>
      <w:r>
        <w:rPr>
          <w:rFonts w:ascii="Times New Roman" w:hAnsi="Times New Roman" w:eastAsia="宋体" w:cs="Times New Roman"/>
          <w:color w:val="auto"/>
          <w:spacing w:val="0"/>
          <w:position w:val="0"/>
          <w:sz w:val="24"/>
          <w:szCs w:val="24"/>
          <w:highlight w:val="none"/>
        </w:rPr>
        <w:t>Mb≥1.5m</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k≤10</w:t>
      </w:r>
      <w:r>
        <w:rPr>
          <w:rFonts w:ascii="Times New Roman" w:hAnsi="Times New Roman" w:eastAsia="宋体" w:cs="Times New Roman"/>
          <w:color w:val="auto"/>
          <w:spacing w:val="0"/>
          <w:position w:val="0"/>
          <w:sz w:val="24"/>
          <w:szCs w:val="15"/>
          <w:highlight w:val="none"/>
          <w:vertAlign w:val="superscript"/>
        </w:rPr>
        <w:t>-7</w:t>
      </w:r>
      <w:r>
        <w:rPr>
          <w:rFonts w:ascii="Times New Roman" w:hAnsi="Times New Roman" w:eastAsia="宋体" w:cs="Times New Roman"/>
          <w:color w:val="auto"/>
          <w:spacing w:val="0"/>
          <w:position w:val="0"/>
          <w:sz w:val="24"/>
          <w:szCs w:val="24"/>
          <w:highlight w:val="none"/>
        </w:rPr>
        <w:t>cm/s</w:t>
      </w:r>
      <w:r>
        <w:rPr>
          <w:rFonts w:ascii="Times New Roman" w:hAnsi="Times New Roman" w:eastAsia="宋体" w:cs="宋体"/>
          <w:color w:val="auto"/>
          <w:spacing w:val="0"/>
          <w:position w:val="0"/>
          <w:sz w:val="24"/>
          <w:szCs w:val="24"/>
          <w:highlight w:val="none"/>
        </w:rPr>
        <w:t>。</w:t>
      </w:r>
    </w:p>
    <w:p w14:paraId="3110DE12">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III</w:t>
      </w:r>
      <w:r>
        <w:rPr>
          <w:rFonts w:ascii="Times New Roman" w:hAnsi="Times New Roman" w:eastAsia="宋体" w:cs="宋体"/>
          <w:color w:val="auto"/>
          <w:spacing w:val="0"/>
          <w:position w:val="0"/>
          <w:sz w:val="24"/>
          <w:szCs w:val="24"/>
          <w:highlight w:val="none"/>
        </w:rPr>
        <w:t>、简单防渗区</w:t>
      </w:r>
    </w:p>
    <w:p w14:paraId="058768E5">
      <w:pPr>
        <w:keepNext w:val="0"/>
        <w:keepLines w:val="0"/>
        <w:pageBreakBefore w:val="0"/>
        <w:widowControl w:val="0"/>
        <w:kinsoku/>
        <w:wordWrap/>
        <w:overflowPunct/>
        <w:topLinePunct w:val="0"/>
        <w:autoSpaceDE/>
        <w:autoSpaceDN/>
        <w:bidi w:val="0"/>
        <w:adjustRightInd/>
        <w:snapToGrid/>
        <w:spacing w:line="360" w:lineRule="auto"/>
        <w:ind w:left="0" w:right="0" w:firstLine="485"/>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简单防渗区采用水泥硬化防渗。厂区其他地面除绿化用地外均采取灰土铺底，再在上层铺</w:t>
      </w:r>
      <w:r>
        <w:rPr>
          <w:rFonts w:ascii="Times New Roman" w:hAnsi="Times New Roman" w:eastAsia="宋体" w:cs="Times New Roman"/>
          <w:color w:val="auto"/>
          <w:spacing w:val="0"/>
          <w:position w:val="0"/>
          <w:sz w:val="24"/>
          <w:szCs w:val="24"/>
          <w:highlight w:val="none"/>
        </w:rPr>
        <w:t>10</w:t>
      </w:r>
      <w:r>
        <w:rPr>
          <w:rFonts w:ascii="Times New Roman" w:hAnsi="Times New Roman" w:eastAsia="宋体" w:cs="宋体"/>
          <w:color w:val="auto"/>
          <w:spacing w:val="0"/>
          <w:position w:val="0"/>
          <w:sz w:val="24"/>
          <w:szCs w:val="24"/>
          <w:highlight w:val="none"/>
        </w:rPr>
        <w:t>~</w:t>
      </w:r>
      <w:r>
        <w:rPr>
          <w:rFonts w:ascii="Times New Roman" w:hAnsi="Times New Roman" w:eastAsia="宋体" w:cs="Times New Roman"/>
          <w:color w:val="auto"/>
          <w:spacing w:val="0"/>
          <w:position w:val="0"/>
          <w:sz w:val="24"/>
          <w:szCs w:val="24"/>
          <w:highlight w:val="none"/>
        </w:rPr>
        <w:t>15cm</w:t>
      </w:r>
      <w:r>
        <w:rPr>
          <w:rFonts w:ascii="Times New Roman" w:hAnsi="Times New Roman" w:eastAsia="宋体" w:cs="宋体"/>
          <w:color w:val="auto"/>
          <w:spacing w:val="0"/>
          <w:position w:val="0"/>
          <w:sz w:val="24"/>
          <w:szCs w:val="24"/>
          <w:highlight w:val="none"/>
        </w:rPr>
        <w:t>的混凝土进行硬化。具体见分区防渗示意图</w:t>
      </w:r>
      <w:r>
        <w:rPr>
          <w:rFonts w:hint="eastAsia" w:ascii="Times New Roman" w:hAnsi="Times New Roman" w:eastAsia="宋体" w:cs="Times New Roman"/>
          <w:color w:val="auto"/>
          <w:spacing w:val="0"/>
          <w:position w:val="0"/>
          <w:sz w:val="24"/>
          <w:szCs w:val="24"/>
          <w:highlight w:val="none"/>
          <w:lang w:val="en-US" w:eastAsia="zh-CN"/>
        </w:rPr>
        <w:t>5</w:t>
      </w:r>
      <w:r>
        <w:rPr>
          <w:rFonts w:ascii="Times New Roman" w:hAnsi="Times New Roman" w:eastAsia="宋体" w:cs="Times New Roman"/>
          <w:color w:val="auto"/>
          <w:spacing w:val="0"/>
          <w:position w:val="0"/>
          <w:sz w:val="24"/>
          <w:szCs w:val="24"/>
          <w:highlight w:val="none"/>
        </w:rPr>
        <w:t>.2-1</w:t>
      </w:r>
      <w:r>
        <w:rPr>
          <w:rFonts w:ascii="Times New Roman" w:hAnsi="Times New Roman" w:eastAsia="宋体" w:cs="宋体"/>
          <w:color w:val="auto"/>
          <w:spacing w:val="0"/>
          <w:position w:val="0"/>
          <w:sz w:val="24"/>
          <w:szCs w:val="24"/>
          <w:highlight w:val="none"/>
        </w:rPr>
        <w:t>。</w:t>
      </w:r>
    </w:p>
    <w:p w14:paraId="2D1CF77C">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IV</w:t>
      </w:r>
      <w:r>
        <w:rPr>
          <w:rFonts w:ascii="Times New Roman" w:hAnsi="Times New Roman" w:eastAsia="宋体" w:cs="宋体"/>
          <w:color w:val="auto"/>
          <w:spacing w:val="0"/>
          <w:position w:val="0"/>
          <w:sz w:val="24"/>
          <w:szCs w:val="24"/>
          <w:highlight w:val="none"/>
        </w:rPr>
        <w:t>、废水管道防渗措施</w:t>
      </w:r>
    </w:p>
    <w:p w14:paraId="1C8DD688">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污水管线接口应采取严格的密封措施，防止污水泄漏污染地下水。在铺设管线过程中，挖土和回填土按环境保护要求放置，防止扬尘和降水污染环境，施工完成后要绿化和定期巡护，为了保护下游区域地下水环境，在工程设计、施工和运行的同时，必须严格控制拟建厂区污水的无组织泄漏，严把质量关，杜绝因材制、制管、防腐涂层、焊接缺陷及与运行失误而造成管线泄漏，生产运行过程中，必须强化监控手段，定期检查，对厂区及其附近环境敏感地区的水井定期进行检测，保护评价区地下水环境。</w:t>
      </w:r>
    </w:p>
    <w:p w14:paraId="64A64F79">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V</w:t>
      </w:r>
      <w:r>
        <w:rPr>
          <w:rFonts w:ascii="Times New Roman" w:hAnsi="Times New Roman" w:eastAsia="宋体" w:cs="宋体"/>
          <w:color w:val="auto"/>
          <w:spacing w:val="0"/>
          <w:position w:val="0"/>
          <w:sz w:val="24"/>
          <w:szCs w:val="24"/>
          <w:highlight w:val="none"/>
        </w:rPr>
        <w:t>、监测井设置</w:t>
      </w:r>
    </w:p>
    <w:p w14:paraId="6E0F6634">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根据《地下水环境监测技术规范》</w:t>
      </w:r>
      <w:r>
        <w:rPr>
          <w:rFonts w:hint="eastAsia" w:cs="宋体"/>
          <w:color w:val="auto"/>
          <w:spacing w:val="0"/>
          <w:position w:val="0"/>
          <w:sz w:val="24"/>
          <w:szCs w:val="24"/>
          <w:highlight w:val="none"/>
          <w:lang w:eastAsia="zh-CN"/>
        </w:rPr>
        <w:t>（</w:t>
      </w:r>
      <w:r>
        <w:rPr>
          <w:rFonts w:ascii="Times New Roman" w:hAnsi="Times New Roman" w:eastAsia="宋体" w:cs="Times New Roman"/>
          <w:color w:val="auto"/>
          <w:spacing w:val="0"/>
          <w:position w:val="0"/>
          <w:sz w:val="24"/>
          <w:szCs w:val="24"/>
          <w:highlight w:val="none"/>
        </w:rPr>
        <w:t>HJ164-2020</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中监测井要求设置，本项目要求在场区西南侧</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地下水上游</w:t>
      </w:r>
      <w:r>
        <w:rPr>
          <w:rFonts w:hint="eastAsia"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边界设置</w:t>
      </w:r>
      <w:r>
        <w:rPr>
          <w:rFonts w:ascii="Times New Roman" w:hAnsi="Times New Roman" w:eastAsia="宋体" w:cs="Times New Roman"/>
          <w:color w:val="auto"/>
          <w:spacing w:val="0"/>
          <w:position w:val="0"/>
          <w:sz w:val="24"/>
          <w:szCs w:val="24"/>
          <w:highlight w:val="none"/>
        </w:rPr>
        <w:t>1</w:t>
      </w:r>
      <w:r>
        <w:rPr>
          <w:rFonts w:ascii="Times New Roman" w:hAnsi="Times New Roman" w:eastAsia="宋体" w:cs="宋体"/>
          <w:color w:val="auto"/>
          <w:spacing w:val="0"/>
          <w:position w:val="0"/>
          <w:sz w:val="24"/>
          <w:szCs w:val="24"/>
          <w:highlight w:val="none"/>
        </w:rPr>
        <w:t>个对照监测点，地下水下游及两侧各设置</w:t>
      </w:r>
      <w:r>
        <w:rPr>
          <w:rFonts w:ascii="Times New Roman" w:hAnsi="Times New Roman" w:eastAsia="宋体" w:cs="Times New Roman"/>
          <w:color w:val="auto"/>
          <w:spacing w:val="0"/>
          <w:position w:val="0"/>
          <w:sz w:val="24"/>
          <w:szCs w:val="24"/>
          <w:highlight w:val="none"/>
        </w:rPr>
        <w:t>1</w:t>
      </w:r>
      <w:r>
        <w:rPr>
          <w:rFonts w:ascii="Times New Roman" w:hAnsi="Times New Roman" w:eastAsia="宋体" w:cs="宋体"/>
          <w:color w:val="auto"/>
          <w:spacing w:val="0"/>
          <w:position w:val="0"/>
          <w:sz w:val="24"/>
          <w:szCs w:val="24"/>
          <w:highlight w:val="none"/>
        </w:rPr>
        <w:t>个监测点位，共</w:t>
      </w:r>
      <w:r>
        <w:rPr>
          <w:rFonts w:ascii="Times New Roman" w:hAnsi="Times New Roman" w:eastAsia="宋体" w:cs="Times New Roman"/>
          <w:color w:val="auto"/>
          <w:spacing w:val="0"/>
          <w:position w:val="0"/>
          <w:sz w:val="24"/>
          <w:szCs w:val="24"/>
          <w:highlight w:val="none"/>
        </w:rPr>
        <w:t>4</w:t>
      </w:r>
      <w:r>
        <w:rPr>
          <w:rFonts w:ascii="Times New Roman" w:hAnsi="Times New Roman" w:eastAsia="宋体" w:cs="宋体"/>
          <w:color w:val="auto"/>
          <w:spacing w:val="0"/>
          <w:position w:val="0"/>
          <w:sz w:val="24"/>
          <w:szCs w:val="24"/>
          <w:highlight w:val="none"/>
        </w:rPr>
        <w:t>个地下水监测点位。</w:t>
      </w:r>
    </w:p>
    <w:p w14:paraId="424C6219">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Times New Roman"/>
          <w:color w:val="auto"/>
          <w:spacing w:val="0"/>
          <w:position w:val="0"/>
          <w:sz w:val="24"/>
          <w:szCs w:val="24"/>
          <w:highlight w:val="none"/>
        </w:rPr>
        <w:t>VI</w:t>
      </w:r>
      <w:r>
        <w:rPr>
          <w:rFonts w:ascii="Times New Roman" w:hAnsi="Times New Roman" w:eastAsia="宋体" w:cs="宋体"/>
          <w:color w:val="auto"/>
          <w:spacing w:val="0"/>
          <w:position w:val="0"/>
          <w:sz w:val="24"/>
          <w:szCs w:val="24"/>
          <w:highlight w:val="none"/>
        </w:rPr>
        <w:t>、管理措施</w:t>
      </w:r>
    </w:p>
    <w:p w14:paraId="7E7A34B5">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ascii="Times New Roman" w:hAnsi="Times New Roman" w:eastAsia="宋体" w:cs="宋体"/>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项目运行后，配备专兼职技术人员，加强地下水环境管理及巡查，定期对圈舍、</w:t>
      </w:r>
      <w:r>
        <w:rPr>
          <w:rFonts w:hint="eastAsia" w:cs="宋体"/>
          <w:color w:val="auto"/>
          <w:spacing w:val="0"/>
          <w:position w:val="0"/>
          <w:sz w:val="24"/>
          <w:szCs w:val="24"/>
          <w:highlight w:val="none"/>
          <w:lang w:eastAsia="zh-CN"/>
        </w:rPr>
        <w:t>废水收集池</w:t>
      </w:r>
      <w:r>
        <w:rPr>
          <w:rFonts w:ascii="Times New Roman" w:hAnsi="Times New Roman" w:eastAsia="宋体" w:cs="宋体"/>
          <w:color w:val="auto"/>
          <w:spacing w:val="0"/>
          <w:position w:val="0"/>
          <w:sz w:val="24"/>
          <w:szCs w:val="24"/>
          <w:highlight w:val="none"/>
        </w:rPr>
        <w:t>和医疗废物暂存间等环节进行检漏工作，确保各防渗漏措施运行的长期性、稳定性和可靠性。</w:t>
      </w:r>
    </w:p>
    <w:p w14:paraId="4D7DA530">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position w:val="0"/>
          <w:sz w:val="24"/>
          <w:szCs w:val="24"/>
          <w:highlight w:val="none"/>
        </w:rPr>
      </w:pPr>
      <w:r>
        <w:rPr>
          <w:rFonts w:hint="eastAsia" w:ascii="Times New Roman" w:hAnsi="Times New Roman" w:eastAsia="宋体" w:cs="Times New Roman"/>
          <w:color w:val="auto"/>
          <w:spacing w:val="0"/>
          <w:position w:val="0"/>
          <w:sz w:val="24"/>
          <w:szCs w:val="24"/>
          <w:highlight w:val="none"/>
          <w:lang w:val="en-US" w:eastAsia="zh-CN"/>
        </w:rPr>
        <w:t>6、</w:t>
      </w:r>
      <w:r>
        <w:rPr>
          <w:rFonts w:ascii="Times New Roman" w:hAnsi="Times New Roman" w:eastAsia="宋体" w:cs="宋体"/>
          <w:color w:val="auto"/>
          <w:spacing w:val="0"/>
          <w:position w:val="0"/>
          <w:sz w:val="24"/>
          <w:szCs w:val="24"/>
          <w:highlight w:val="none"/>
        </w:rPr>
        <w:t>小结</w:t>
      </w:r>
    </w:p>
    <w:p w14:paraId="54F889B6">
      <w:pPr>
        <w:pStyle w:val="153"/>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bCs/>
          <w:color w:val="auto"/>
          <w:spacing w:val="0"/>
          <w:position w:val="0"/>
          <w:sz w:val="24"/>
          <w:szCs w:val="24"/>
          <w:highlight w:val="none"/>
        </w:rPr>
      </w:pPr>
      <w:r>
        <w:rPr>
          <w:rFonts w:ascii="Times New Roman" w:hAnsi="Times New Roman" w:eastAsia="宋体" w:cs="宋体"/>
          <w:color w:val="auto"/>
          <w:spacing w:val="0"/>
          <w:position w:val="0"/>
          <w:sz w:val="24"/>
          <w:szCs w:val="24"/>
          <w:highlight w:val="none"/>
        </w:rPr>
        <w:t>综上所述，通过认真落实并且严格执行本次环评提出的上述废</w:t>
      </w:r>
      <w:r>
        <w:rPr>
          <w:rFonts w:hint="eastAsia" w:ascii="Times New Roman" w:hAnsi="Times New Roman"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污</w:t>
      </w:r>
      <w:r>
        <w:rPr>
          <w:rFonts w:hint="eastAsia" w:ascii="Times New Roman" w:hAnsi="Times New Roman"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水防治措施后，本项目运营期间产生废</w:t>
      </w:r>
      <w:r>
        <w:rPr>
          <w:rFonts w:hint="eastAsia" w:ascii="Times New Roman" w:hAnsi="Times New Roman"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污</w:t>
      </w:r>
      <w:r>
        <w:rPr>
          <w:rFonts w:hint="eastAsia" w:ascii="Times New Roman" w:hAnsi="Times New Roman" w:cs="宋体"/>
          <w:color w:val="auto"/>
          <w:spacing w:val="0"/>
          <w:position w:val="0"/>
          <w:sz w:val="24"/>
          <w:szCs w:val="24"/>
          <w:highlight w:val="none"/>
          <w:lang w:eastAsia="zh-CN"/>
        </w:rPr>
        <w:t>）</w:t>
      </w:r>
      <w:r>
        <w:rPr>
          <w:rFonts w:ascii="Times New Roman" w:hAnsi="Times New Roman" w:eastAsia="宋体" w:cs="宋体"/>
          <w:color w:val="auto"/>
          <w:spacing w:val="0"/>
          <w:position w:val="0"/>
          <w:sz w:val="24"/>
          <w:szCs w:val="24"/>
          <w:highlight w:val="none"/>
        </w:rPr>
        <w:t>水对项目区及周边区域水环境产生影响较小。</w:t>
      </w:r>
      <w:bookmarkEnd w:id="186"/>
    </w:p>
    <w:p w14:paraId="3D967D28">
      <w:pPr>
        <w:pStyle w:val="5"/>
        <w:rPr>
          <w:rFonts w:ascii="Times New Roman" w:hAnsi="Times New Roman" w:eastAsia="宋体"/>
          <w:color w:val="auto"/>
          <w:highlight w:val="none"/>
        </w:rPr>
      </w:pPr>
      <w:bookmarkStart w:id="187" w:name="_Toc106663502"/>
      <w:r>
        <w:rPr>
          <w:rFonts w:hint="eastAsia" w:ascii="Times New Roman" w:hAnsi="Times New Roman" w:eastAsia="宋体"/>
          <w:color w:val="auto"/>
          <w:highlight w:val="none"/>
        </w:rPr>
        <w:t>5.2.3声环境影响分析</w:t>
      </w:r>
      <w:bookmarkEnd w:id="187"/>
    </w:p>
    <w:p w14:paraId="39D234C8">
      <w:pPr>
        <w:ind w:firstLine="480"/>
        <w:rPr>
          <w:rFonts w:ascii="Times New Roman" w:hAnsi="Times New Roman" w:eastAsia="宋体"/>
          <w:color w:val="auto"/>
          <w:highlight w:val="none"/>
        </w:rPr>
      </w:pPr>
      <w:r>
        <w:rPr>
          <w:rFonts w:ascii="Times New Roman" w:hAnsi="Times New Roman" w:eastAsia="宋体"/>
          <w:color w:val="auto"/>
          <w:highlight w:val="none"/>
        </w:rPr>
        <w:t>1、噪声源</w:t>
      </w:r>
    </w:p>
    <w:p w14:paraId="18E55188">
      <w:pPr>
        <w:ind w:firstLine="480"/>
        <w:rPr>
          <w:rFonts w:ascii="Times New Roman" w:hAnsi="Times New Roman" w:eastAsia="宋体"/>
          <w:color w:val="auto"/>
          <w:highlight w:val="none"/>
        </w:rPr>
      </w:pPr>
      <w:r>
        <w:rPr>
          <w:rFonts w:ascii="Times New Roman" w:hAnsi="Times New Roman" w:eastAsia="宋体"/>
          <w:color w:val="auto"/>
          <w:highlight w:val="none"/>
        </w:rPr>
        <w:t>本项目</w:t>
      </w:r>
      <w:r>
        <w:rPr>
          <w:rFonts w:hint="eastAsia" w:ascii="Times New Roman" w:hAnsi="Times New Roman" w:eastAsia="宋体"/>
          <w:color w:val="auto"/>
          <w:highlight w:val="none"/>
        </w:rPr>
        <w:t>施工期间主要噪声源为施工机械产生的噪声，</w:t>
      </w:r>
      <w:r>
        <w:rPr>
          <w:rFonts w:ascii="Times New Roman" w:hAnsi="Times New Roman" w:eastAsia="宋体"/>
          <w:color w:val="auto"/>
          <w:highlight w:val="none"/>
        </w:rPr>
        <w:t>建成后主要噪声源为</w:t>
      </w:r>
      <w:r>
        <w:rPr>
          <w:rFonts w:hint="eastAsia"/>
          <w:color w:val="auto"/>
          <w:highlight w:val="none"/>
          <w:lang w:val="en-US" w:eastAsia="zh-CN"/>
        </w:rPr>
        <w:t>鸡舍</w:t>
      </w:r>
      <w:r>
        <w:rPr>
          <w:rFonts w:hint="eastAsia" w:ascii="Times New Roman" w:hAnsi="Times New Roman" w:eastAsia="宋体"/>
          <w:color w:val="auto"/>
          <w:highlight w:val="none"/>
        </w:rPr>
        <w:t>通风机及</w:t>
      </w:r>
      <w:r>
        <w:rPr>
          <w:rFonts w:hint="eastAsia"/>
          <w:color w:val="auto"/>
          <w:highlight w:val="none"/>
          <w:lang w:val="en-US" w:eastAsia="zh-CN"/>
        </w:rPr>
        <w:t>鸡</w:t>
      </w:r>
      <w:r>
        <w:rPr>
          <w:rFonts w:hint="eastAsia" w:ascii="Times New Roman" w:hAnsi="Times New Roman" w:eastAsia="宋体"/>
          <w:color w:val="auto"/>
          <w:highlight w:val="none"/>
        </w:rPr>
        <w:t>叫声产生的噪声</w:t>
      </w:r>
      <w:r>
        <w:rPr>
          <w:rFonts w:ascii="Times New Roman" w:hAnsi="Times New Roman" w:eastAsia="宋体"/>
          <w:color w:val="auto"/>
          <w:highlight w:val="none"/>
        </w:rPr>
        <w:t>等，详见下表5.2-</w:t>
      </w:r>
      <w:r>
        <w:rPr>
          <w:rFonts w:hint="eastAsia" w:ascii="Times New Roman" w:hAnsi="Times New Roman" w:eastAsia="宋体"/>
          <w:color w:val="auto"/>
          <w:highlight w:val="none"/>
          <w:lang w:val="en-US" w:eastAsia="zh-CN"/>
        </w:rPr>
        <w:t>15</w:t>
      </w:r>
      <w:r>
        <w:rPr>
          <w:rFonts w:ascii="Times New Roman" w:hAnsi="Times New Roman" w:eastAsia="宋体"/>
          <w:color w:val="auto"/>
          <w:highlight w:val="none"/>
        </w:rPr>
        <w:t>。</w:t>
      </w:r>
    </w:p>
    <w:p w14:paraId="12FAE082">
      <w:pPr>
        <w:pStyle w:val="10"/>
        <w:rPr>
          <w:rFonts w:ascii="Times New Roman" w:hAnsi="Times New Roman" w:eastAsia="宋体"/>
          <w:color w:val="auto"/>
          <w:sz w:val="24"/>
          <w:szCs w:val="22"/>
          <w:highlight w:val="none"/>
        </w:rPr>
      </w:pPr>
      <w:r>
        <w:rPr>
          <w:rFonts w:ascii="Times New Roman" w:hAnsi="Times New Roman" w:eastAsia="宋体"/>
          <w:color w:val="auto"/>
          <w:sz w:val="24"/>
          <w:szCs w:val="22"/>
          <w:highlight w:val="none"/>
        </w:rPr>
        <w:t>表5.2-</w:t>
      </w:r>
      <w:r>
        <w:rPr>
          <w:rFonts w:hint="eastAsia" w:ascii="Times New Roman" w:hAnsi="Times New Roman" w:eastAsia="宋体"/>
          <w:color w:val="auto"/>
          <w:sz w:val="24"/>
          <w:szCs w:val="22"/>
          <w:highlight w:val="none"/>
          <w:lang w:val="en-US" w:eastAsia="zh-CN"/>
        </w:rPr>
        <w:t>15</w:t>
      </w:r>
      <w:r>
        <w:rPr>
          <w:rFonts w:ascii="Times New Roman" w:hAnsi="Times New Roman" w:eastAsia="宋体"/>
          <w:color w:val="auto"/>
          <w:sz w:val="24"/>
          <w:szCs w:val="22"/>
          <w:highlight w:val="none"/>
        </w:rPr>
        <w:t>主要噪声源</w:t>
      </w:r>
    </w:p>
    <w:tbl>
      <w:tblPr>
        <w:tblStyle w:val="34"/>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742"/>
        <w:gridCol w:w="999"/>
        <w:gridCol w:w="1022"/>
        <w:gridCol w:w="725"/>
        <w:gridCol w:w="873"/>
        <w:gridCol w:w="3162"/>
        <w:gridCol w:w="999"/>
      </w:tblGrid>
      <w:tr w14:paraId="117192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4" w:hRule="atLeast"/>
          <w:jc w:val="center"/>
        </w:trPr>
        <w:tc>
          <w:tcPr>
            <w:tcW w:w="435" w:type="pct"/>
            <w:vMerge w:val="restart"/>
            <w:tcBorders>
              <w:tl2br w:val="nil"/>
              <w:tr2bl w:val="nil"/>
            </w:tcBorders>
            <w:shd w:val="clear" w:color="auto" w:fill="auto"/>
            <w:vAlign w:val="center"/>
          </w:tcPr>
          <w:p w14:paraId="4B19B167">
            <w:pPr>
              <w:pStyle w:val="144"/>
              <w:spacing w:line="240" w:lineRule="auto"/>
              <w:ind w:firstLine="0" w:firstLineChars="0"/>
              <w:jc w:val="center"/>
              <w:rPr>
                <w:rFonts w:ascii="Times New Roman" w:hAnsi="Times New Roman" w:eastAsia="宋体"/>
                <w:b w:val="0"/>
                <w:bCs w:val="0"/>
                <w:color w:val="auto"/>
                <w:szCs w:val="21"/>
                <w:highlight w:val="none"/>
              </w:rPr>
            </w:pPr>
            <w:bookmarkStart w:id="188" w:name="_Hlk107742220"/>
            <w:r>
              <w:rPr>
                <w:rFonts w:hint="eastAsia" w:ascii="Times New Roman" w:hAnsi="Times New Roman" w:eastAsia="宋体"/>
                <w:b w:val="0"/>
                <w:bCs w:val="0"/>
                <w:color w:val="auto"/>
                <w:szCs w:val="21"/>
                <w:highlight w:val="none"/>
              </w:rPr>
              <w:t>序号</w:t>
            </w:r>
          </w:p>
        </w:tc>
        <w:tc>
          <w:tcPr>
            <w:tcW w:w="586" w:type="pct"/>
            <w:vMerge w:val="restart"/>
            <w:tcBorders>
              <w:tl2br w:val="nil"/>
              <w:tr2bl w:val="nil"/>
            </w:tcBorders>
            <w:shd w:val="clear" w:color="auto" w:fill="auto"/>
            <w:vAlign w:val="center"/>
          </w:tcPr>
          <w:p w14:paraId="4FED6BFF">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种类</w:t>
            </w:r>
          </w:p>
        </w:tc>
        <w:tc>
          <w:tcPr>
            <w:tcW w:w="599" w:type="pct"/>
            <w:vMerge w:val="restart"/>
            <w:tcBorders>
              <w:tl2br w:val="nil"/>
              <w:tr2bl w:val="nil"/>
            </w:tcBorders>
            <w:shd w:val="clear" w:color="auto" w:fill="auto"/>
            <w:vAlign w:val="center"/>
          </w:tcPr>
          <w:p w14:paraId="32C17DA2">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来源</w:t>
            </w:r>
          </w:p>
        </w:tc>
        <w:tc>
          <w:tcPr>
            <w:tcW w:w="425" w:type="pct"/>
            <w:vMerge w:val="restart"/>
            <w:tcBorders>
              <w:tl2br w:val="nil"/>
              <w:tr2bl w:val="nil"/>
            </w:tcBorders>
            <w:shd w:val="clear" w:color="auto" w:fill="auto"/>
            <w:vAlign w:val="center"/>
          </w:tcPr>
          <w:p w14:paraId="4FE29CC2">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产生方式</w:t>
            </w:r>
          </w:p>
        </w:tc>
        <w:tc>
          <w:tcPr>
            <w:tcW w:w="2952" w:type="pct"/>
            <w:gridSpan w:val="3"/>
            <w:tcBorders>
              <w:tl2br w:val="nil"/>
              <w:tr2bl w:val="nil"/>
            </w:tcBorders>
            <w:shd w:val="clear" w:color="auto" w:fill="auto"/>
            <w:vAlign w:val="center"/>
          </w:tcPr>
          <w:p w14:paraId="41FF7233">
            <w:pPr>
              <w:pStyle w:val="144"/>
              <w:spacing w:line="240" w:lineRule="auto"/>
              <w:ind w:firstLine="0" w:firstLineChars="0"/>
              <w:jc w:val="center"/>
              <w:rPr>
                <w:rFonts w:hint="eastAsia" w:ascii="Times New Roman" w:hAnsi="Times New Roman" w:eastAsia="宋体"/>
                <w:b w:val="0"/>
                <w:bCs w:val="0"/>
                <w:color w:val="auto"/>
                <w:szCs w:val="21"/>
                <w:highlight w:val="none"/>
                <w:lang w:eastAsia="zh-CN"/>
              </w:rPr>
            </w:pPr>
            <w:r>
              <w:rPr>
                <w:rFonts w:hint="eastAsia" w:ascii="Times New Roman" w:hAnsi="Times New Roman" w:eastAsia="宋体"/>
                <w:b w:val="0"/>
                <w:bCs w:val="0"/>
                <w:color w:val="auto"/>
                <w:szCs w:val="21"/>
                <w:highlight w:val="none"/>
              </w:rPr>
              <w:t>噪声源强</w:t>
            </w:r>
            <w:r>
              <w:rPr>
                <w:rFonts w:ascii="Times New Roman" w:hAnsi="Times New Roman" w:eastAsia="宋体"/>
                <w:b w:val="0"/>
                <w:bCs w:val="0"/>
                <w:color w:val="auto"/>
                <w:szCs w:val="21"/>
                <w:highlight w:val="none"/>
              </w:rPr>
              <w:t>dB</w:t>
            </w:r>
            <w:r>
              <w:rPr>
                <w:rFonts w:hint="eastAsia"/>
                <w:b w:val="0"/>
                <w:bCs w:val="0"/>
                <w:color w:val="auto"/>
                <w:szCs w:val="21"/>
                <w:highlight w:val="none"/>
                <w:lang w:eastAsia="zh-CN"/>
              </w:rPr>
              <w:t>（</w:t>
            </w:r>
            <w:r>
              <w:rPr>
                <w:rFonts w:ascii="Times New Roman" w:hAnsi="Times New Roman" w:eastAsia="宋体"/>
                <w:b w:val="0"/>
                <w:bCs w:val="0"/>
                <w:color w:val="auto"/>
                <w:szCs w:val="21"/>
                <w:highlight w:val="none"/>
              </w:rPr>
              <w:t>A</w:t>
            </w:r>
            <w:r>
              <w:rPr>
                <w:rFonts w:hint="eastAsia"/>
                <w:b w:val="0"/>
                <w:bCs w:val="0"/>
                <w:color w:val="auto"/>
                <w:szCs w:val="21"/>
                <w:highlight w:val="none"/>
                <w:lang w:eastAsia="zh-CN"/>
              </w:rPr>
              <w:t>）</w:t>
            </w:r>
          </w:p>
        </w:tc>
      </w:tr>
      <w:tr w14:paraId="7C88CA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35" w:type="pct"/>
            <w:vMerge w:val="continue"/>
            <w:tcBorders>
              <w:tl2br w:val="nil"/>
              <w:tr2bl w:val="nil"/>
            </w:tcBorders>
            <w:shd w:val="clear" w:color="auto" w:fill="auto"/>
            <w:vAlign w:val="center"/>
          </w:tcPr>
          <w:p w14:paraId="54968F85">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86" w:type="pct"/>
            <w:vMerge w:val="continue"/>
            <w:tcBorders>
              <w:tl2br w:val="nil"/>
              <w:tr2bl w:val="nil"/>
            </w:tcBorders>
            <w:shd w:val="clear" w:color="auto" w:fill="auto"/>
            <w:vAlign w:val="center"/>
          </w:tcPr>
          <w:p w14:paraId="1DC6A694">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99" w:type="pct"/>
            <w:vMerge w:val="continue"/>
            <w:tcBorders>
              <w:tl2br w:val="nil"/>
              <w:tr2bl w:val="nil"/>
            </w:tcBorders>
            <w:shd w:val="clear" w:color="auto" w:fill="auto"/>
            <w:vAlign w:val="center"/>
          </w:tcPr>
          <w:p w14:paraId="79C09B3E">
            <w:pPr>
              <w:pStyle w:val="144"/>
              <w:spacing w:line="240" w:lineRule="auto"/>
              <w:ind w:firstLine="0" w:firstLineChars="0"/>
              <w:jc w:val="center"/>
              <w:rPr>
                <w:rFonts w:ascii="Times New Roman" w:hAnsi="Times New Roman" w:eastAsia="宋体"/>
                <w:b w:val="0"/>
                <w:bCs w:val="0"/>
                <w:color w:val="auto"/>
                <w:szCs w:val="21"/>
                <w:highlight w:val="none"/>
              </w:rPr>
            </w:pPr>
          </w:p>
        </w:tc>
        <w:tc>
          <w:tcPr>
            <w:tcW w:w="425" w:type="pct"/>
            <w:vMerge w:val="continue"/>
            <w:tcBorders>
              <w:tl2br w:val="nil"/>
              <w:tr2bl w:val="nil"/>
            </w:tcBorders>
            <w:shd w:val="clear" w:color="auto" w:fill="auto"/>
            <w:vAlign w:val="center"/>
          </w:tcPr>
          <w:p w14:paraId="672F39BC">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12" w:type="pct"/>
            <w:tcBorders>
              <w:tl2br w:val="nil"/>
              <w:tr2bl w:val="nil"/>
            </w:tcBorders>
            <w:shd w:val="clear" w:color="auto" w:fill="auto"/>
            <w:vAlign w:val="center"/>
          </w:tcPr>
          <w:p w14:paraId="4846B1B6">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治理前</w:t>
            </w:r>
          </w:p>
        </w:tc>
        <w:tc>
          <w:tcPr>
            <w:tcW w:w="1854" w:type="pct"/>
            <w:tcBorders>
              <w:tl2br w:val="nil"/>
              <w:tr2bl w:val="nil"/>
            </w:tcBorders>
            <w:shd w:val="clear" w:color="auto" w:fill="auto"/>
            <w:vAlign w:val="center"/>
          </w:tcPr>
          <w:p w14:paraId="388669AD">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治理措施</w:t>
            </w:r>
          </w:p>
        </w:tc>
        <w:tc>
          <w:tcPr>
            <w:tcW w:w="586" w:type="pct"/>
            <w:tcBorders>
              <w:tl2br w:val="nil"/>
              <w:tr2bl w:val="nil"/>
            </w:tcBorders>
            <w:shd w:val="clear" w:color="auto" w:fill="auto"/>
            <w:vAlign w:val="center"/>
          </w:tcPr>
          <w:p w14:paraId="61BFC350">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治理后</w:t>
            </w:r>
          </w:p>
        </w:tc>
      </w:tr>
      <w:tr w14:paraId="350226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35" w:type="pct"/>
            <w:tcBorders>
              <w:tl2br w:val="nil"/>
              <w:tr2bl w:val="nil"/>
            </w:tcBorders>
            <w:shd w:val="clear" w:color="auto" w:fill="auto"/>
            <w:vAlign w:val="center"/>
          </w:tcPr>
          <w:p w14:paraId="4FCC0144">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w:t>
            </w:r>
          </w:p>
        </w:tc>
        <w:tc>
          <w:tcPr>
            <w:tcW w:w="586" w:type="pct"/>
            <w:tcBorders>
              <w:tl2br w:val="nil"/>
              <w:tr2bl w:val="nil"/>
            </w:tcBorders>
            <w:shd w:val="clear" w:color="auto" w:fill="auto"/>
            <w:vAlign w:val="center"/>
          </w:tcPr>
          <w:p w14:paraId="5A6BCA65">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施工期噪声</w:t>
            </w:r>
          </w:p>
        </w:tc>
        <w:tc>
          <w:tcPr>
            <w:tcW w:w="599" w:type="pct"/>
            <w:tcBorders>
              <w:tl2br w:val="nil"/>
              <w:tr2bl w:val="nil"/>
            </w:tcBorders>
            <w:shd w:val="clear" w:color="auto" w:fill="auto"/>
            <w:vAlign w:val="center"/>
          </w:tcPr>
          <w:p w14:paraId="0256A98E">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施工机械噪声</w:t>
            </w:r>
          </w:p>
        </w:tc>
        <w:tc>
          <w:tcPr>
            <w:tcW w:w="425" w:type="pct"/>
            <w:tcBorders>
              <w:tl2br w:val="nil"/>
              <w:tr2bl w:val="nil"/>
            </w:tcBorders>
            <w:shd w:val="clear" w:color="auto" w:fill="auto"/>
            <w:vAlign w:val="center"/>
          </w:tcPr>
          <w:p w14:paraId="77C067CF">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间歇</w:t>
            </w:r>
          </w:p>
        </w:tc>
        <w:tc>
          <w:tcPr>
            <w:tcW w:w="512" w:type="pct"/>
            <w:tcBorders>
              <w:tl2br w:val="nil"/>
              <w:tr2bl w:val="nil"/>
            </w:tcBorders>
            <w:shd w:val="clear" w:color="auto" w:fill="auto"/>
            <w:vAlign w:val="center"/>
          </w:tcPr>
          <w:p w14:paraId="79DF3480">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8</w:t>
            </w:r>
            <w:r>
              <w:rPr>
                <w:rFonts w:ascii="Times New Roman" w:hAnsi="Times New Roman" w:eastAsia="宋体"/>
                <w:b w:val="0"/>
                <w:bCs w:val="0"/>
                <w:color w:val="auto"/>
                <w:szCs w:val="21"/>
                <w:highlight w:val="none"/>
              </w:rPr>
              <w:t>0</w:t>
            </w:r>
          </w:p>
        </w:tc>
        <w:tc>
          <w:tcPr>
            <w:tcW w:w="1854" w:type="pct"/>
            <w:tcBorders>
              <w:tl2br w:val="nil"/>
              <w:tr2bl w:val="nil"/>
            </w:tcBorders>
            <w:shd w:val="clear" w:color="auto" w:fill="auto"/>
            <w:vAlign w:val="center"/>
          </w:tcPr>
          <w:p w14:paraId="16921573">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距离衰减、优化施工组织设计</w:t>
            </w:r>
          </w:p>
        </w:tc>
        <w:tc>
          <w:tcPr>
            <w:tcW w:w="586" w:type="pct"/>
            <w:tcBorders>
              <w:tl2br w:val="nil"/>
              <w:tr2bl w:val="nil"/>
            </w:tcBorders>
            <w:shd w:val="clear" w:color="auto" w:fill="auto"/>
            <w:vAlign w:val="center"/>
          </w:tcPr>
          <w:p w14:paraId="0129CD4D">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60</w:t>
            </w:r>
          </w:p>
        </w:tc>
      </w:tr>
      <w:tr w14:paraId="3C1D72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5" w:type="pct"/>
            <w:vMerge w:val="restart"/>
            <w:tcBorders>
              <w:tl2br w:val="nil"/>
              <w:tr2bl w:val="nil"/>
            </w:tcBorders>
            <w:shd w:val="clear" w:color="auto" w:fill="auto"/>
            <w:vAlign w:val="center"/>
          </w:tcPr>
          <w:p w14:paraId="019EEA91">
            <w:pPr>
              <w:pStyle w:val="144"/>
              <w:spacing w:line="240" w:lineRule="auto"/>
              <w:ind w:firstLine="0" w:firstLineChars="0"/>
              <w:jc w:val="center"/>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val="en-US" w:eastAsia="zh-CN"/>
              </w:rPr>
              <w:t>2</w:t>
            </w:r>
          </w:p>
        </w:tc>
        <w:tc>
          <w:tcPr>
            <w:tcW w:w="586" w:type="pct"/>
            <w:vMerge w:val="restart"/>
            <w:tcBorders>
              <w:tl2br w:val="nil"/>
              <w:tr2bl w:val="nil"/>
            </w:tcBorders>
            <w:shd w:val="clear" w:color="auto" w:fill="auto"/>
            <w:vAlign w:val="center"/>
          </w:tcPr>
          <w:p w14:paraId="74153DDF">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lang w:val="en-US" w:eastAsia="zh-CN"/>
              </w:rPr>
              <w:t>鸡</w:t>
            </w:r>
            <w:r>
              <w:rPr>
                <w:rFonts w:hint="eastAsia" w:ascii="Times New Roman" w:hAnsi="Times New Roman" w:eastAsia="宋体"/>
                <w:b w:val="0"/>
                <w:bCs w:val="0"/>
                <w:color w:val="auto"/>
                <w:szCs w:val="21"/>
                <w:highlight w:val="none"/>
              </w:rPr>
              <w:t>舍</w:t>
            </w:r>
          </w:p>
        </w:tc>
        <w:tc>
          <w:tcPr>
            <w:tcW w:w="599" w:type="pct"/>
            <w:tcBorders>
              <w:tl2br w:val="nil"/>
              <w:tr2bl w:val="nil"/>
            </w:tcBorders>
            <w:shd w:val="clear" w:color="auto" w:fill="auto"/>
            <w:vAlign w:val="center"/>
          </w:tcPr>
          <w:p w14:paraId="3154E59F">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通风机</w:t>
            </w:r>
          </w:p>
        </w:tc>
        <w:tc>
          <w:tcPr>
            <w:tcW w:w="425" w:type="pct"/>
            <w:tcBorders>
              <w:tl2br w:val="nil"/>
              <w:tr2bl w:val="nil"/>
            </w:tcBorders>
            <w:shd w:val="clear" w:color="auto" w:fill="auto"/>
            <w:vAlign w:val="center"/>
          </w:tcPr>
          <w:p w14:paraId="4A1A4C74">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连续</w:t>
            </w:r>
          </w:p>
        </w:tc>
        <w:tc>
          <w:tcPr>
            <w:tcW w:w="512" w:type="pct"/>
            <w:tcBorders>
              <w:tl2br w:val="nil"/>
              <w:tr2bl w:val="nil"/>
            </w:tcBorders>
            <w:shd w:val="clear" w:color="auto" w:fill="auto"/>
            <w:vAlign w:val="center"/>
          </w:tcPr>
          <w:p w14:paraId="1D18C255">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75</w:t>
            </w:r>
          </w:p>
        </w:tc>
        <w:tc>
          <w:tcPr>
            <w:tcW w:w="1854" w:type="pct"/>
            <w:tcBorders>
              <w:tl2br w:val="nil"/>
              <w:tr2bl w:val="nil"/>
            </w:tcBorders>
            <w:shd w:val="clear" w:color="auto" w:fill="auto"/>
            <w:vAlign w:val="center"/>
          </w:tcPr>
          <w:p w14:paraId="157D6E6D">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选低噪声设备、基础减振、厂房隔声</w:t>
            </w:r>
          </w:p>
        </w:tc>
        <w:tc>
          <w:tcPr>
            <w:tcW w:w="586" w:type="pct"/>
            <w:tcBorders>
              <w:tl2br w:val="nil"/>
              <w:tr2bl w:val="nil"/>
            </w:tcBorders>
            <w:shd w:val="clear" w:color="auto" w:fill="auto"/>
            <w:vAlign w:val="center"/>
          </w:tcPr>
          <w:p w14:paraId="77F2413E">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55</w:t>
            </w:r>
          </w:p>
        </w:tc>
      </w:tr>
      <w:tr w14:paraId="7ABBE8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5" w:type="pct"/>
            <w:vMerge w:val="continue"/>
            <w:tcBorders>
              <w:tl2br w:val="nil"/>
              <w:tr2bl w:val="nil"/>
            </w:tcBorders>
            <w:shd w:val="clear" w:color="auto" w:fill="auto"/>
            <w:vAlign w:val="center"/>
          </w:tcPr>
          <w:p w14:paraId="3134D01C">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86" w:type="pct"/>
            <w:vMerge w:val="continue"/>
            <w:tcBorders>
              <w:tl2br w:val="nil"/>
              <w:tr2bl w:val="nil"/>
            </w:tcBorders>
            <w:shd w:val="clear" w:color="auto" w:fill="auto"/>
            <w:vAlign w:val="center"/>
          </w:tcPr>
          <w:p w14:paraId="57D950AE">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99" w:type="pct"/>
            <w:tcBorders>
              <w:tl2br w:val="nil"/>
              <w:tr2bl w:val="nil"/>
            </w:tcBorders>
            <w:shd w:val="clear" w:color="auto" w:fill="auto"/>
            <w:vAlign w:val="center"/>
          </w:tcPr>
          <w:p w14:paraId="67CA4FB3">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集污系统</w:t>
            </w:r>
          </w:p>
        </w:tc>
        <w:tc>
          <w:tcPr>
            <w:tcW w:w="425" w:type="pct"/>
            <w:tcBorders>
              <w:tl2br w:val="nil"/>
              <w:tr2bl w:val="nil"/>
            </w:tcBorders>
            <w:shd w:val="clear" w:color="auto" w:fill="auto"/>
            <w:vAlign w:val="center"/>
          </w:tcPr>
          <w:p w14:paraId="7BB3E5CE">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连续</w:t>
            </w:r>
          </w:p>
        </w:tc>
        <w:tc>
          <w:tcPr>
            <w:tcW w:w="512" w:type="pct"/>
            <w:tcBorders>
              <w:tl2br w:val="nil"/>
              <w:tr2bl w:val="nil"/>
            </w:tcBorders>
            <w:shd w:val="clear" w:color="auto" w:fill="auto"/>
            <w:vAlign w:val="center"/>
          </w:tcPr>
          <w:p w14:paraId="6390F709">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75</w:t>
            </w:r>
          </w:p>
        </w:tc>
        <w:tc>
          <w:tcPr>
            <w:tcW w:w="1854" w:type="pct"/>
            <w:tcBorders>
              <w:tl2br w:val="nil"/>
              <w:tr2bl w:val="nil"/>
            </w:tcBorders>
            <w:shd w:val="clear" w:color="auto" w:fill="auto"/>
            <w:vAlign w:val="center"/>
          </w:tcPr>
          <w:p w14:paraId="3BFD849A">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选低噪声设备、基础减振、厂房隔声</w:t>
            </w:r>
          </w:p>
        </w:tc>
        <w:tc>
          <w:tcPr>
            <w:tcW w:w="586" w:type="pct"/>
            <w:tcBorders>
              <w:tl2br w:val="nil"/>
              <w:tr2bl w:val="nil"/>
            </w:tcBorders>
            <w:shd w:val="clear" w:color="auto" w:fill="auto"/>
            <w:vAlign w:val="center"/>
          </w:tcPr>
          <w:p w14:paraId="1B3798DA">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55</w:t>
            </w:r>
          </w:p>
        </w:tc>
      </w:tr>
      <w:tr w14:paraId="5AEB24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35" w:type="pct"/>
            <w:vMerge w:val="continue"/>
            <w:tcBorders>
              <w:tl2br w:val="nil"/>
              <w:tr2bl w:val="nil"/>
            </w:tcBorders>
            <w:shd w:val="clear" w:color="auto" w:fill="auto"/>
            <w:vAlign w:val="center"/>
          </w:tcPr>
          <w:p w14:paraId="1A081EB4">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86" w:type="pct"/>
            <w:vMerge w:val="continue"/>
            <w:tcBorders>
              <w:tl2br w:val="nil"/>
              <w:tr2bl w:val="nil"/>
            </w:tcBorders>
            <w:shd w:val="clear" w:color="auto" w:fill="auto"/>
            <w:vAlign w:val="center"/>
          </w:tcPr>
          <w:p w14:paraId="1C268EA7">
            <w:pPr>
              <w:pStyle w:val="144"/>
              <w:spacing w:line="240" w:lineRule="auto"/>
              <w:ind w:firstLine="0" w:firstLineChars="0"/>
              <w:jc w:val="center"/>
              <w:rPr>
                <w:rFonts w:ascii="Times New Roman" w:hAnsi="Times New Roman" w:eastAsia="宋体"/>
                <w:b w:val="0"/>
                <w:bCs w:val="0"/>
                <w:color w:val="auto"/>
                <w:szCs w:val="21"/>
                <w:highlight w:val="none"/>
              </w:rPr>
            </w:pPr>
          </w:p>
        </w:tc>
        <w:tc>
          <w:tcPr>
            <w:tcW w:w="599" w:type="pct"/>
            <w:tcBorders>
              <w:tl2br w:val="nil"/>
              <w:tr2bl w:val="nil"/>
            </w:tcBorders>
            <w:shd w:val="clear" w:color="auto" w:fill="auto"/>
            <w:vAlign w:val="center"/>
          </w:tcPr>
          <w:p w14:paraId="36DD32D3">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lang w:val="en-US" w:eastAsia="zh-CN"/>
              </w:rPr>
              <w:t>鸡</w:t>
            </w:r>
            <w:r>
              <w:rPr>
                <w:rFonts w:hint="eastAsia" w:ascii="Times New Roman" w:hAnsi="Times New Roman" w:eastAsia="宋体"/>
                <w:b w:val="0"/>
                <w:bCs w:val="0"/>
                <w:color w:val="auto"/>
                <w:szCs w:val="21"/>
                <w:highlight w:val="none"/>
              </w:rPr>
              <w:t>叫声</w:t>
            </w:r>
          </w:p>
        </w:tc>
        <w:tc>
          <w:tcPr>
            <w:tcW w:w="425" w:type="pct"/>
            <w:tcBorders>
              <w:tl2br w:val="nil"/>
              <w:tr2bl w:val="nil"/>
            </w:tcBorders>
            <w:shd w:val="clear" w:color="auto" w:fill="auto"/>
            <w:vAlign w:val="center"/>
          </w:tcPr>
          <w:p w14:paraId="370952D0">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间歇</w:t>
            </w:r>
          </w:p>
        </w:tc>
        <w:tc>
          <w:tcPr>
            <w:tcW w:w="512" w:type="pct"/>
            <w:tcBorders>
              <w:tl2br w:val="nil"/>
              <w:tr2bl w:val="nil"/>
            </w:tcBorders>
            <w:shd w:val="clear" w:color="auto" w:fill="auto"/>
            <w:vAlign w:val="center"/>
          </w:tcPr>
          <w:p w14:paraId="4CAB42B4">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75</w:t>
            </w:r>
          </w:p>
        </w:tc>
        <w:tc>
          <w:tcPr>
            <w:tcW w:w="1854" w:type="pct"/>
            <w:tcBorders>
              <w:tl2br w:val="nil"/>
              <w:tr2bl w:val="nil"/>
            </w:tcBorders>
            <w:shd w:val="clear" w:color="auto" w:fill="auto"/>
            <w:vAlign w:val="center"/>
          </w:tcPr>
          <w:p w14:paraId="63B5165A">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精心饲养、厂房隔声</w:t>
            </w:r>
          </w:p>
        </w:tc>
        <w:tc>
          <w:tcPr>
            <w:tcW w:w="586" w:type="pct"/>
            <w:tcBorders>
              <w:tl2br w:val="nil"/>
              <w:tr2bl w:val="nil"/>
            </w:tcBorders>
            <w:shd w:val="clear" w:color="auto" w:fill="auto"/>
            <w:vAlign w:val="center"/>
          </w:tcPr>
          <w:p w14:paraId="7930E6DA">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55</w:t>
            </w:r>
          </w:p>
        </w:tc>
      </w:tr>
      <w:bookmarkEnd w:id="188"/>
    </w:tbl>
    <w:p w14:paraId="1E3CEB77">
      <w:pPr>
        <w:ind w:firstLine="480"/>
        <w:rPr>
          <w:rFonts w:ascii="Times New Roman" w:hAnsi="Times New Roman" w:eastAsia="宋体"/>
          <w:color w:val="auto"/>
          <w:highlight w:val="none"/>
        </w:rPr>
      </w:pPr>
      <w:r>
        <w:rPr>
          <w:rFonts w:ascii="Times New Roman" w:hAnsi="Times New Roman" w:eastAsia="宋体"/>
          <w:color w:val="auto"/>
          <w:highlight w:val="none"/>
        </w:rPr>
        <w:t>2、预测方法及模式</w:t>
      </w:r>
    </w:p>
    <w:p w14:paraId="6A416D94">
      <w:pPr>
        <w:ind w:firstLine="472"/>
        <w:rPr>
          <w:rFonts w:ascii="Times New Roman" w:hAnsi="Times New Roman" w:eastAsia="宋体"/>
          <w:color w:val="auto"/>
          <w:highlight w:val="none"/>
        </w:rPr>
      </w:pPr>
      <w:r>
        <w:rPr>
          <w:rFonts w:ascii="Times New Roman" w:hAnsi="Times New Roman" w:eastAsia="宋体"/>
          <w:color w:val="auto"/>
          <w:spacing w:val="-2"/>
          <w:highlight w:val="none"/>
        </w:rPr>
        <w:t>根据各发声建筑内发声设备噪声源强和分布，采用适当计算模式，并参照有关资料及类比调查数据，确定发声设备1米处的噪声级。最后将每个发声设备作为一个声源（面、点），按噪声传播、衰减、叠加规律，考虑本底值，得出厂界环境噪声分布。</w:t>
      </w:r>
    </w:p>
    <w:p w14:paraId="55CB461E">
      <w:pPr>
        <w:ind w:firstLine="480"/>
        <w:rPr>
          <w:rFonts w:ascii="Times New Roman" w:hAnsi="Times New Roman" w:eastAsia="宋体"/>
          <w:color w:val="auto"/>
          <w:highlight w:val="none"/>
        </w:rPr>
      </w:pPr>
      <w:r>
        <w:rPr>
          <w:rFonts w:hint="eastAsia" w:ascii="Times New Roman" w:hAnsi="Times New Roman" w:eastAsia="宋体"/>
          <w:color w:val="auto"/>
          <w:highlight w:val="none"/>
        </w:rPr>
        <w:t>据《环境影响评价技术导则声环境》（H</w:t>
      </w:r>
      <w:r>
        <w:rPr>
          <w:rFonts w:ascii="Times New Roman" w:hAnsi="Times New Roman" w:eastAsia="宋体"/>
          <w:color w:val="auto"/>
          <w:highlight w:val="none"/>
        </w:rPr>
        <w:t>J2.4-2021</w:t>
      </w:r>
      <w:r>
        <w:rPr>
          <w:rFonts w:hint="eastAsia" w:ascii="Times New Roman" w:hAnsi="Times New Roman" w:eastAsia="宋体"/>
          <w:color w:val="auto"/>
          <w:highlight w:val="none"/>
        </w:rPr>
        <w:t>）附录A，</w:t>
      </w:r>
      <w:r>
        <w:rPr>
          <w:rFonts w:ascii="Times New Roman" w:hAnsi="Times New Roman" w:eastAsia="宋体"/>
          <w:color w:val="auto"/>
          <w:highlight w:val="none"/>
        </w:rPr>
        <w:t>噪声预测模式如下：</w:t>
      </w:r>
    </w:p>
    <w:p w14:paraId="011B88E3">
      <w:pPr>
        <w:ind w:firstLine="480"/>
        <w:rPr>
          <w:rFonts w:ascii="Times New Roman" w:hAnsi="Times New Roman" w:eastAsia="宋体"/>
          <w:color w:val="auto"/>
          <w:highlight w:val="none"/>
        </w:rPr>
      </w:pPr>
      <w:r>
        <w:rPr>
          <w:rFonts w:ascii="Times New Roman" w:hAnsi="Times New Roman" w:eastAsia="宋体"/>
          <w:color w:val="auto"/>
          <w:highlight w:val="none"/>
        </w:rPr>
        <w:t>（1）基本计算公式</w:t>
      </w:r>
    </w:p>
    <w:p w14:paraId="2821A2A6">
      <w:pPr>
        <w:ind w:firstLine="480"/>
        <w:rPr>
          <w:rFonts w:ascii="Times New Roman" w:hAnsi="Times New Roman" w:eastAsia="宋体"/>
          <w:color w:val="auto"/>
          <w:highlight w:val="none"/>
        </w:rPr>
      </w:pPr>
      <w:bookmarkStart w:id="189" w:name="_Toc9163"/>
      <w:bookmarkStart w:id="190" w:name="_Toc13360"/>
      <w:r>
        <w:rPr>
          <w:rFonts w:hint="eastAsia" w:ascii="Times New Roman" w:hAnsi="Times New Roman" w:eastAsia="宋体" w:cs="宋体"/>
          <w:color w:val="auto"/>
          <w:highlight w:val="none"/>
        </w:rPr>
        <w:t>①</w:t>
      </w:r>
      <w:r>
        <w:rPr>
          <w:rFonts w:ascii="Times New Roman" w:hAnsi="Times New Roman" w:eastAsia="宋体"/>
          <w:color w:val="auto"/>
          <w:highlight w:val="none"/>
        </w:rPr>
        <w:t>单个室外点声源在预测点产生的声级计算公式</w:t>
      </w:r>
      <w:bookmarkEnd w:id="189"/>
      <w:bookmarkEnd w:id="190"/>
    </w:p>
    <w:p w14:paraId="6D2AD8BA">
      <w:pPr>
        <w:ind w:firstLine="480"/>
        <w:rPr>
          <w:rFonts w:ascii="Times New Roman" w:hAnsi="Times New Roman" w:eastAsia="宋体"/>
          <w:color w:val="auto"/>
          <w:highlight w:val="none"/>
        </w:rPr>
      </w:pPr>
      <w:r>
        <w:rPr>
          <w:rFonts w:ascii="Times New Roman" w:hAnsi="Times New Roman" w:eastAsia="宋体"/>
          <w:color w:val="auto"/>
          <w:highlight w:val="none"/>
        </w:rPr>
        <w:t>在环境影响评价中，应根据声源声功率级或靠近声源某一参考位置处的已知声级（如实测得到的）、户外声传播衰减，计算距离声源较远处的预测点的声级。在已知距离无指向性点声源参考点r</w:t>
      </w:r>
      <w:r>
        <w:rPr>
          <w:rFonts w:ascii="Times New Roman" w:hAnsi="Times New Roman" w:eastAsia="宋体"/>
          <w:color w:val="auto"/>
          <w:highlight w:val="none"/>
          <w:vertAlign w:val="subscript"/>
        </w:rPr>
        <w:t>0</w:t>
      </w:r>
      <w:r>
        <w:rPr>
          <w:rFonts w:ascii="Times New Roman" w:hAnsi="Times New Roman" w:eastAsia="宋体"/>
          <w:color w:val="auto"/>
          <w:highlight w:val="none"/>
        </w:rPr>
        <w:t>处的倍频带（用63Hz到8KHz的8个标称倍频带中心频率）声压级LP</w:t>
      </w:r>
      <w:r>
        <w:rPr>
          <w:rFonts w:hint="eastAsia"/>
          <w:color w:val="auto"/>
          <w:highlight w:val="none"/>
          <w:lang w:eastAsia="zh-CN"/>
        </w:rPr>
        <w:t>（</w:t>
      </w:r>
      <w:r>
        <w:rPr>
          <w:rFonts w:ascii="Times New Roman" w:hAnsi="Times New Roman" w:eastAsia="宋体"/>
          <w:color w:val="auto"/>
          <w:highlight w:val="none"/>
        </w:rPr>
        <w:t>r</w:t>
      </w:r>
      <w:r>
        <w:rPr>
          <w:rFonts w:ascii="Times New Roman" w:hAnsi="Times New Roman" w:eastAsia="宋体"/>
          <w:color w:val="auto"/>
          <w:highlight w:val="none"/>
          <w:vertAlign w:val="subscript"/>
        </w:rPr>
        <w:t>0</w:t>
      </w:r>
      <w:r>
        <w:rPr>
          <w:rFonts w:hint="eastAsia"/>
          <w:color w:val="auto"/>
          <w:highlight w:val="none"/>
          <w:lang w:eastAsia="zh-CN"/>
        </w:rPr>
        <w:t>）</w:t>
      </w:r>
      <w:r>
        <w:rPr>
          <w:rFonts w:ascii="Times New Roman" w:hAnsi="Times New Roman" w:eastAsia="宋体"/>
          <w:color w:val="auto"/>
          <w:highlight w:val="none"/>
        </w:rPr>
        <w:t>和计算出参考点</w:t>
      </w:r>
      <w:r>
        <w:rPr>
          <w:rFonts w:hint="eastAsia"/>
          <w:color w:val="auto"/>
          <w:highlight w:val="none"/>
          <w:lang w:eastAsia="zh-CN"/>
        </w:rPr>
        <w:t>（</w:t>
      </w:r>
      <w:r>
        <w:rPr>
          <w:rFonts w:ascii="Times New Roman" w:hAnsi="Times New Roman" w:eastAsia="宋体"/>
          <w:color w:val="auto"/>
          <w:highlight w:val="none"/>
        </w:rPr>
        <w:t>r</w:t>
      </w:r>
      <w:r>
        <w:rPr>
          <w:rFonts w:ascii="Times New Roman" w:hAnsi="Times New Roman" w:eastAsia="宋体"/>
          <w:color w:val="auto"/>
          <w:highlight w:val="none"/>
          <w:vertAlign w:val="subscript"/>
        </w:rPr>
        <w:t>0</w:t>
      </w:r>
      <w:r>
        <w:rPr>
          <w:rFonts w:hint="eastAsia"/>
          <w:color w:val="auto"/>
          <w:highlight w:val="none"/>
          <w:lang w:eastAsia="zh-CN"/>
        </w:rPr>
        <w:t>）</w:t>
      </w:r>
      <w:r>
        <w:rPr>
          <w:rFonts w:ascii="Times New Roman" w:hAnsi="Times New Roman" w:eastAsia="宋体"/>
          <w:color w:val="auto"/>
          <w:highlight w:val="none"/>
        </w:rPr>
        <w:t>和预测点</w:t>
      </w:r>
      <w:r>
        <w:rPr>
          <w:rFonts w:hint="eastAsia"/>
          <w:color w:val="auto"/>
          <w:highlight w:val="none"/>
          <w:lang w:eastAsia="zh-CN"/>
        </w:rPr>
        <w:t>（</w:t>
      </w:r>
      <w:r>
        <w:rPr>
          <w:rFonts w:ascii="Times New Roman" w:hAnsi="Times New Roman" w:eastAsia="宋体"/>
          <w:color w:val="auto"/>
          <w:highlight w:val="none"/>
        </w:rPr>
        <w:t>r</w:t>
      </w:r>
      <w:r>
        <w:rPr>
          <w:rFonts w:hint="eastAsia"/>
          <w:color w:val="auto"/>
          <w:highlight w:val="none"/>
          <w:lang w:eastAsia="zh-CN"/>
        </w:rPr>
        <w:t>）</w:t>
      </w:r>
      <w:r>
        <w:rPr>
          <w:rFonts w:ascii="Times New Roman" w:hAnsi="Times New Roman" w:eastAsia="宋体"/>
          <w:color w:val="auto"/>
          <w:highlight w:val="none"/>
        </w:rPr>
        <w:t>处之间的户外声传播衰减后，预测点8个倍频带声压级可分别用下列公式计算：</w:t>
      </w:r>
    </w:p>
    <w:p w14:paraId="30043D4F">
      <w:pPr>
        <w:ind w:firstLine="0" w:firstLineChars="0"/>
        <w:jc w:val="center"/>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3111500" cy="241300"/>
            <wp:effectExtent l="0" t="0" r="0"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111500" cy="2413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w:t>
      </w:r>
    </w:p>
    <w:p w14:paraId="41979CBD">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公式中：</w:t>
      </w:r>
    </w:p>
    <w:p w14:paraId="759D3CBB">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Dc--指向性校正，dB；他描述点声源的等效声压级与产生声功率级Lw的全向点声源在规定方向的级的偏差程度。</w:t>
      </w:r>
    </w:p>
    <w:p w14:paraId="3021C709">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w:t>
      </w:r>
      <w:r>
        <w:rPr>
          <w:rFonts w:ascii="Times New Roman" w:hAnsi="Times New Roman" w:eastAsia="宋体"/>
          <w:color w:val="auto"/>
          <w:highlight w:val="none"/>
          <w:vertAlign w:val="subscript"/>
        </w:rPr>
        <w:t>div</w:t>
      </w:r>
      <w:r>
        <w:rPr>
          <w:rFonts w:ascii="Times New Roman" w:hAnsi="Times New Roman" w:eastAsia="宋体"/>
          <w:color w:val="auto"/>
          <w:highlight w:val="none"/>
        </w:rPr>
        <w:t>--几何发散引起的倍频带衰减，dB；</w:t>
      </w:r>
    </w:p>
    <w:p w14:paraId="3E8244C0">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w:t>
      </w:r>
      <w:r>
        <w:rPr>
          <w:rFonts w:ascii="Times New Roman" w:hAnsi="Times New Roman" w:eastAsia="宋体"/>
          <w:color w:val="auto"/>
          <w:highlight w:val="none"/>
          <w:vertAlign w:val="subscript"/>
        </w:rPr>
        <w:t>atm</w:t>
      </w:r>
      <w:r>
        <w:rPr>
          <w:rFonts w:ascii="Times New Roman" w:hAnsi="Times New Roman" w:eastAsia="宋体"/>
          <w:color w:val="auto"/>
          <w:highlight w:val="none"/>
        </w:rPr>
        <w:t>--大气吸收引起的倍频带衰减，dB；</w:t>
      </w:r>
    </w:p>
    <w:p w14:paraId="1AF7CDDB">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w:t>
      </w:r>
      <w:r>
        <w:rPr>
          <w:rFonts w:ascii="Times New Roman" w:hAnsi="Times New Roman" w:eastAsia="宋体"/>
          <w:color w:val="auto"/>
          <w:highlight w:val="none"/>
          <w:vertAlign w:val="subscript"/>
        </w:rPr>
        <w:t>gr</w:t>
      </w:r>
      <w:r>
        <w:rPr>
          <w:rFonts w:ascii="Times New Roman" w:hAnsi="Times New Roman" w:eastAsia="宋体"/>
          <w:color w:val="auto"/>
          <w:highlight w:val="none"/>
        </w:rPr>
        <w:t>--地面效应引起的倍频带衰减，dB；</w:t>
      </w:r>
    </w:p>
    <w:p w14:paraId="5A18B669">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w:t>
      </w:r>
      <w:r>
        <w:rPr>
          <w:rFonts w:ascii="Times New Roman" w:hAnsi="Times New Roman" w:eastAsia="宋体"/>
          <w:color w:val="auto"/>
          <w:highlight w:val="none"/>
          <w:vertAlign w:val="subscript"/>
        </w:rPr>
        <w:t>bar</w:t>
      </w:r>
      <w:r>
        <w:rPr>
          <w:rFonts w:ascii="Times New Roman" w:hAnsi="Times New Roman" w:eastAsia="宋体"/>
          <w:color w:val="auto"/>
          <w:highlight w:val="none"/>
        </w:rPr>
        <w:t>--声屏障引起的倍频带衰减，dB；</w:t>
      </w:r>
    </w:p>
    <w:p w14:paraId="0EB09B82">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w:t>
      </w:r>
      <w:r>
        <w:rPr>
          <w:rFonts w:ascii="Times New Roman" w:hAnsi="Times New Roman" w:eastAsia="宋体"/>
          <w:color w:val="auto"/>
          <w:highlight w:val="none"/>
          <w:vertAlign w:val="subscript"/>
        </w:rPr>
        <w:t>misc</w:t>
      </w:r>
      <w:r>
        <w:rPr>
          <w:rFonts w:ascii="Times New Roman" w:hAnsi="Times New Roman" w:eastAsia="宋体"/>
          <w:color w:val="auto"/>
          <w:highlight w:val="none"/>
        </w:rPr>
        <w:t>--其他多方面效应引起的倍频带衰减，dB；</w:t>
      </w:r>
    </w:p>
    <w:p w14:paraId="2BCE9D2B">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B、预测点的A声级LA</w:t>
      </w:r>
      <w:r>
        <w:rPr>
          <w:rFonts w:hint="eastAsia"/>
          <w:color w:val="auto"/>
          <w:highlight w:val="none"/>
          <w:lang w:eastAsia="zh-CN"/>
        </w:rPr>
        <w:t>（</w:t>
      </w:r>
      <w:r>
        <w:rPr>
          <w:rFonts w:ascii="Times New Roman" w:hAnsi="Times New Roman" w:eastAsia="宋体"/>
          <w:color w:val="auto"/>
          <w:highlight w:val="none"/>
        </w:rPr>
        <w:t>r</w:t>
      </w:r>
      <w:r>
        <w:rPr>
          <w:rFonts w:hint="eastAsia"/>
          <w:color w:val="auto"/>
          <w:highlight w:val="none"/>
          <w:lang w:eastAsia="zh-CN"/>
        </w:rPr>
        <w:t>）</w:t>
      </w:r>
      <w:r>
        <w:rPr>
          <w:rFonts w:ascii="Times New Roman" w:hAnsi="Times New Roman" w:eastAsia="宋体"/>
          <w:color w:val="auto"/>
          <w:highlight w:val="none"/>
        </w:rPr>
        <w:t>可按下列公式计算，即将8个倍频带声压级合成，计算出预测点的A声级（LA</w:t>
      </w:r>
      <w:r>
        <w:rPr>
          <w:rFonts w:hint="eastAsia"/>
          <w:color w:val="auto"/>
          <w:highlight w:val="none"/>
          <w:lang w:eastAsia="zh-CN"/>
        </w:rPr>
        <w:t>（</w:t>
      </w:r>
      <w:r>
        <w:rPr>
          <w:rFonts w:ascii="Times New Roman" w:hAnsi="Times New Roman" w:eastAsia="宋体"/>
          <w:color w:val="auto"/>
          <w:highlight w:val="none"/>
        </w:rPr>
        <w:t>r</w:t>
      </w:r>
      <w:r>
        <w:rPr>
          <w:rFonts w:hint="eastAsia"/>
          <w:color w:val="auto"/>
          <w:highlight w:val="none"/>
          <w:lang w:eastAsia="zh-CN"/>
        </w:rPr>
        <w:t>）</w:t>
      </w:r>
      <w:r>
        <w:rPr>
          <w:rFonts w:ascii="Times New Roman" w:hAnsi="Times New Roman" w:eastAsia="宋体"/>
          <w:color w:val="auto"/>
          <w:highlight w:val="none"/>
        </w:rPr>
        <w:t>）。</w:t>
      </w:r>
    </w:p>
    <w:p w14:paraId="656E39E7">
      <w:pPr>
        <w:spacing w:line="240" w:lineRule="auto"/>
        <w:ind w:firstLine="0" w:firstLineChars="0"/>
        <w:jc w:val="center"/>
        <w:rPr>
          <w:rFonts w:ascii="Times New Roman" w:hAnsi="Times New Roman" w:eastAsia="宋体"/>
          <w:color w:val="auto"/>
          <w:highlight w:val="none"/>
        </w:rPr>
      </w:pPr>
      <w:r>
        <w:rPr>
          <w:rFonts w:ascii="Times New Roman" w:hAnsi="Times New Roman" w:eastAsia="宋体"/>
          <w:color w:val="auto"/>
          <w:position w:val="-28"/>
          <w:highlight w:val="none"/>
        </w:rPr>
        <w:object>
          <v:shape id="_x0000_i1033" o:spt="75" type="#_x0000_t75" style="height:34.1pt;width:158.9pt;" o:ole="t" fillcolor="#000005" filled="f" o:preferrelative="t" stroked="f" coordsize="21600,21600">
            <v:path/>
            <v:fill on="f" focussize="0,0"/>
            <v:stroke on="f" joinstyle="miter"/>
            <v:imagedata r:id="rId60" o:title=""/>
            <o:lock v:ext="edit" aspectratio="t"/>
            <w10:wrap type="none"/>
            <w10:anchorlock/>
          </v:shape>
          <o:OLEObject Type="Embed" ProgID="Equation.3" ShapeID="_x0000_i1033" DrawAspect="Content" ObjectID="_1468075733" r:id="rId59">
            <o:LockedField>false</o:LockedField>
          </o:OLEObject>
        </w:object>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.2）</w:t>
      </w:r>
    </w:p>
    <w:p w14:paraId="274B5C8B">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14:paraId="51194F27">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L</w:t>
      </w:r>
      <w:r>
        <w:rPr>
          <w:rFonts w:ascii="Times New Roman" w:hAnsi="Times New Roman" w:eastAsia="宋体"/>
          <w:color w:val="auto"/>
          <w:highlight w:val="none"/>
          <w:vertAlign w:val="subscript"/>
        </w:rPr>
        <w:t>Pi</w:t>
      </w:r>
      <w:r>
        <w:rPr>
          <w:rFonts w:hint="eastAsia"/>
          <w:color w:val="auto"/>
          <w:highlight w:val="none"/>
          <w:lang w:eastAsia="zh-CN"/>
        </w:rPr>
        <w:t>（</w:t>
      </w:r>
      <w:r>
        <w:rPr>
          <w:rFonts w:ascii="Times New Roman" w:hAnsi="Times New Roman" w:eastAsia="宋体"/>
          <w:color w:val="auto"/>
          <w:highlight w:val="none"/>
        </w:rPr>
        <w:t>r</w:t>
      </w:r>
      <w:r>
        <w:rPr>
          <w:rFonts w:hint="eastAsia"/>
          <w:color w:val="auto"/>
          <w:highlight w:val="none"/>
          <w:lang w:eastAsia="zh-CN"/>
        </w:rPr>
        <w:t>）</w:t>
      </w:r>
      <w:r>
        <w:rPr>
          <w:rFonts w:ascii="Times New Roman" w:hAnsi="Times New Roman" w:eastAsia="宋体"/>
          <w:color w:val="auto"/>
          <w:highlight w:val="none"/>
        </w:rPr>
        <w:t>--预测点（r）处，第i倍频带声压级，dB；</w:t>
      </w:r>
    </w:p>
    <w:p w14:paraId="78F15650">
      <w:pPr>
        <w:ind w:firstLine="480"/>
        <w:rPr>
          <w:rFonts w:ascii="Times New Roman" w:hAnsi="Times New Roman" w:eastAsia="宋体"/>
          <w:color w:val="auto"/>
          <w:highlight w:val="none"/>
        </w:rPr>
      </w:pPr>
      <w:r>
        <w:rPr>
          <w:rFonts w:ascii="Times New Roman" w:hAnsi="Times New Roman" w:eastAsia="宋体"/>
          <w:color w:val="auto"/>
          <w:highlight w:val="none"/>
        </w:rPr>
        <w:t>Δ</w:t>
      </w:r>
      <w:r>
        <w:rPr>
          <w:rFonts w:ascii="Times New Roman" w:hAnsi="Times New Roman" w:eastAsia="宋体"/>
          <w:color w:val="auto"/>
          <w:highlight w:val="none"/>
          <w:vertAlign w:val="subscript"/>
        </w:rPr>
        <w:t>Li</w:t>
      </w:r>
      <w:r>
        <w:rPr>
          <w:rFonts w:ascii="Times New Roman" w:hAnsi="Times New Roman" w:eastAsia="宋体"/>
          <w:color w:val="auto"/>
          <w:highlight w:val="none"/>
        </w:rPr>
        <w:t>--第i倍频带的A计权网络修正值。</w:t>
      </w:r>
    </w:p>
    <w:p w14:paraId="2811F5B3">
      <w:pPr>
        <w:ind w:firstLine="480"/>
        <w:rPr>
          <w:rFonts w:ascii="Times New Roman" w:hAnsi="Times New Roman" w:eastAsia="宋体"/>
          <w:color w:val="auto"/>
          <w:highlight w:val="none"/>
        </w:rPr>
      </w:pPr>
      <w:bookmarkStart w:id="191" w:name="_Toc1166"/>
      <w:bookmarkStart w:id="192" w:name="_Toc1797"/>
      <w:r>
        <w:rPr>
          <w:rFonts w:hint="eastAsia" w:ascii="Times New Roman" w:hAnsi="Times New Roman" w:eastAsia="宋体" w:cs="宋体"/>
          <w:color w:val="auto"/>
          <w:highlight w:val="none"/>
        </w:rPr>
        <w:t>②</w:t>
      </w:r>
      <w:r>
        <w:rPr>
          <w:rFonts w:ascii="Times New Roman" w:hAnsi="Times New Roman" w:eastAsia="宋体"/>
          <w:color w:val="auto"/>
          <w:highlight w:val="none"/>
        </w:rPr>
        <w:t>室内声源等效室外声源声功率计算公式</w:t>
      </w:r>
      <w:bookmarkEnd w:id="191"/>
      <w:bookmarkEnd w:id="192"/>
    </w:p>
    <w:p w14:paraId="3BF340DA">
      <w:pPr>
        <w:ind w:firstLine="480"/>
        <w:rPr>
          <w:rFonts w:ascii="Times New Roman" w:hAnsi="Times New Roman" w:eastAsia="宋体"/>
          <w:color w:val="auto"/>
          <w:highlight w:val="none"/>
        </w:rPr>
      </w:pPr>
      <w:r>
        <w:rPr>
          <w:rFonts w:ascii="Times New Roman" w:hAnsi="Times New Roman" w:eastAsia="宋体"/>
          <w:color w:val="auto"/>
          <w:highlight w:val="none"/>
        </w:rPr>
        <w:t>声源位于室内，室内声源可采用等效室外声源声功率级法进行计算。设靠近开口处（或窗户）室内、室外某倍频带的声压级分别为L</w:t>
      </w:r>
      <w:r>
        <w:rPr>
          <w:rFonts w:ascii="Times New Roman" w:hAnsi="Times New Roman" w:eastAsia="宋体"/>
          <w:color w:val="auto"/>
          <w:highlight w:val="none"/>
          <w:vertAlign w:val="subscript"/>
        </w:rPr>
        <w:t>p1</w:t>
      </w:r>
      <w:r>
        <w:rPr>
          <w:rFonts w:ascii="Times New Roman" w:hAnsi="Times New Roman" w:eastAsia="宋体"/>
          <w:color w:val="auto"/>
          <w:highlight w:val="none"/>
        </w:rPr>
        <w:t>和L</w:t>
      </w:r>
      <w:r>
        <w:rPr>
          <w:rFonts w:ascii="Times New Roman" w:hAnsi="Times New Roman" w:eastAsia="宋体"/>
          <w:color w:val="auto"/>
          <w:highlight w:val="none"/>
          <w:vertAlign w:val="subscript"/>
        </w:rPr>
        <w:t>p2</w:t>
      </w:r>
      <w:r>
        <w:rPr>
          <w:rFonts w:ascii="Times New Roman" w:hAnsi="Times New Roman" w:eastAsia="宋体"/>
          <w:color w:val="auto"/>
          <w:highlight w:val="none"/>
        </w:rPr>
        <w:t>。若声源所在室内声场为近似扩散声场。则室外得倍频带的声压级公式为：</w:t>
      </w:r>
    </w:p>
    <w:p w14:paraId="734EA58E">
      <w:pPr>
        <w:spacing w:line="240" w:lineRule="auto"/>
        <w:ind w:firstLine="0" w:firstLineChars="0"/>
        <w:jc w:val="center"/>
        <w:rPr>
          <w:rFonts w:ascii="Times New Roman" w:hAnsi="Times New Roman" w:eastAsia="宋体"/>
          <w:color w:val="auto"/>
          <w:highlight w:val="none"/>
        </w:rPr>
      </w:pPr>
      <w:r>
        <w:rPr>
          <w:rFonts w:ascii="Times New Roman" w:hAnsi="Times New Roman" w:eastAsia="宋体"/>
          <w:color w:val="auto"/>
          <w:position w:val="-12"/>
          <w:highlight w:val="none"/>
        </w:rPr>
        <w:object>
          <v:shape id="_x0000_i1034" o:spt="75" type="#_x0000_t75" style="height:18.25pt;width:109.9pt;" o:ole="t" fillcolor="#000005" filled="f" o:preferrelative="t" stroked="f" coordsize="21600,21600">
            <v:path/>
            <v:fill on="f" focussize="0,0"/>
            <v:stroke on="f" joinstyle="miter"/>
            <v:imagedata r:id="rId62" o:title=""/>
            <o:lock v:ext="edit" aspectratio="t"/>
            <w10:wrap type="none"/>
            <w10:anchorlock/>
          </v:shape>
          <o:OLEObject Type="Embed" ProgID="Equation.3" ShapeID="_x0000_i1034" DrawAspect="Content" ObjectID="_1468075734" r:id="rId61">
            <o:LockedField>false</o:LockedField>
          </o:OLEObject>
        </w:object>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.3）</w:t>
      </w:r>
    </w:p>
    <w:p w14:paraId="45353350">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14:paraId="06EBED35">
      <w:pPr>
        <w:ind w:firstLine="480"/>
        <w:rPr>
          <w:rFonts w:ascii="Times New Roman" w:hAnsi="Times New Roman" w:eastAsia="宋体"/>
          <w:color w:val="auto"/>
          <w:highlight w:val="none"/>
        </w:rPr>
      </w:pPr>
      <w:r>
        <w:rPr>
          <w:rFonts w:ascii="Times New Roman" w:hAnsi="Times New Roman" w:eastAsia="宋体"/>
          <w:color w:val="auto"/>
          <w:highlight w:val="none"/>
        </w:rPr>
        <w:t>TL--隔墙（或窗户）倍频带的隔声量，dB；</w:t>
      </w:r>
    </w:p>
    <w:p w14:paraId="674F125D">
      <w:pPr>
        <w:ind w:firstLine="480"/>
        <w:rPr>
          <w:rFonts w:ascii="Times New Roman" w:hAnsi="Times New Roman" w:eastAsia="宋体"/>
          <w:color w:val="auto"/>
          <w:highlight w:val="none"/>
        </w:rPr>
      </w:pPr>
      <w:r>
        <w:rPr>
          <w:rFonts w:ascii="Times New Roman" w:hAnsi="Times New Roman" w:eastAsia="宋体"/>
          <w:color w:val="auto"/>
          <w:highlight w:val="none"/>
        </w:rPr>
        <w:pict>
          <v:shape id="Picture 4369" o:spid="_x0000_s2079" o:spt="75" type="#_x0000_t75" style="position:absolute;left:0pt;margin-left:68.15pt;margin-top:20.75pt;height:30.75pt;width:140.6pt;z-index:251728896;mso-width-relative:page;mso-height-relative:page;" o:ole="t" fillcolor="#000005" filled="f" o:preferrelative="t" stroked="f" coordsize="21600,21600">
            <v:path/>
            <v:fill on="f" focussize="0,0"/>
            <v:stroke on="f" joinstyle="miter"/>
            <v:imagedata r:id="rId64" o:title=""/>
            <o:lock v:ext="edit" aspectratio="t"/>
          </v:shape>
          <o:OLEObject Type="Embed" ProgID="Equation.3" ShapeID="Picture 4369" DrawAspect="Content" ObjectID="_1468075735" r:id="rId63">
            <o:LockedField>false</o:LockedField>
          </o:OLEObject>
        </w:pict>
      </w:r>
      <w:r>
        <w:rPr>
          <w:rFonts w:ascii="Times New Roman" w:hAnsi="Times New Roman" w:eastAsia="宋体"/>
          <w:color w:val="auto"/>
          <w:highlight w:val="none"/>
        </w:rPr>
        <w:t>计算某一室内声源靠近围护结构处产生的倍频带声压级公式：</w:t>
      </w:r>
    </w:p>
    <w:p w14:paraId="3B9FBB31">
      <w:pPr>
        <w:wordWrap w:val="0"/>
        <w:spacing w:line="500" w:lineRule="exact"/>
        <w:ind w:firstLine="480"/>
        <w:jc w:val="right"/>
        <w:rPr>
          <w:rFonts w:hint="eastAsia" w:ascii="Times New Roman" w:hAnsi="Times New Roman" w:eastAsia="宋体"/>
          <w:color w:val="auto"/>
          <w:highlight w:val="none"/>
          <w:lang w:eastAsia="zh-CN"/>
        </w:rPr>
      </w:pP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.4）</w:t>
      </w:r>
    </w:p>
    <w:p w14:paraId="16424EBD">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14:paraId="5B1129F8">
      <w:pPr>
        <w:ind w:firstLine="480"/>
        <w:rPr>
          <w:rFonts w:ascii="Times New Roman" w:hAnsi="Times New Roman" w:eastAsia="宋体"/>
          <w:color w:val="auto"/>
          <w:highlight w:val="none"/>
        </w:rPr>
      </w:pPr>
      <w:r>
        <w:rPr>
          <w:rFonts w:ascii="Times New Roman" w:hAnsi="Times New Roman" w:eastAsia="宋体"/>
          <w:color w:val="auto"/>
          <w:highlight w:val="none"/>
        </w:rPr>
        <w:t>Q--指向性因子；</w:t>
      </w:r>
    </w:p>
    <w:p w14:paraId="28FE3655">
      <w:pPr>
        <w:ind w:firstLine="480"/>
        <w:rPr>
          <w:rFonts w:ascii="Times New Roman" w:hAnsi="Times New Roman" w:eastAsia="宋体"/>
          <w:color w:val="auto"/>
          <w:highlight w:val="none"/>
        </w:rPr>
      </w:pPr>
      <w:r>
        <w:rPr>
          <w:rFonts w:ascii="Times New Roman" w:hAnsi="Times New Roman" w:eastAsia="宋体"/>
          <w:color w:val="auto"/>
          <w:highlight w:val="none"/>
        </w:rPr>
        <w:t>R--房间常数；</w:t>
      </w:r>
    </w:p>
    <w:p w14:paraId="30B46C08">
      <w:pPr>
        <w:ind w:firstLine="480"/>
        <w:rPr>
          <w:rFonts w:ascii="Times New Roman" w:hAnsi="Times New Roman" w:eastAsia="宋体"/>
          <w:color w:val="auto"/>
          <w:highlight w:val="none"/>
        </w:rPr>
      </w:pPr>
      <w:r>
        <w:rPr>
          <w:rFonts w:ascii="Times New Roman" w:hAnsi="Times New Roman" w:eastAsia="宋体"/>
          <w:color w:val="auto"/>
          <w:highlight w:val="none"/>
        </w:rPr>
        <w:t>r--声源到靠近围护结构某点处的距离，m。</w:t>
      </w:r>
    </w:p>
    <w:p w14:paraId="1AB4443C">
      <w:pPr>
        <w:ind w:firstLine="480"/>
        <w:rPr>
          <w:rFonts w:ascii="Times New Roman" w:hAnsi="Times New Roman" w:eastAsia="宋体"/>
          <w:color w:val="auto"/>
          <w:highlight w:val="none"/>
        </w:rPr>
      </w:pPr>
      <w:r>
        <w:rPr>
          <w:rFonts w:ascii="Times New Roman" w:hAnsi="Times New Roman" w:eastAsia="宋体"/>
          <w:color w:val="auto"/>
          <w:highlight w:val="none"/>
        </w:rPr>
        <w:pict>
          <v:shape id="Picture 4370" o:spid="_x0000_s2081" o:spt="75" type="#_x0000_t75" style="position:absolute;left:0pt;margin-left:131.35pt;margin-top:18.4pt;height:36pt;width:138.65pt;z-index:251730944;mso-width-relative:page;mso-height-relative:page;" o:ole="t" fillcolor="#000005" filled="f" o:preferrelative="t" stroked="f" coordsize="21600,21600">
            <v:path/>
            <v:fill on="f" focussize="0,0"/>
            <v:stroke on="f" joinstyle="miter"/>
            <v:imagedata r:id="rId66" o:title=""/>
            <o:lock v:ext="edit" aspectratio="t"/>
          </v:shape>
          <o:OLEObject Type="Embed" ProgID="Equation.3" ShapeID="Picture 4370" DrawAspect="Content" ObjectID="_1468075736" r:id="rId65">
            <o:LockedField>false</o:LockedField>
          </o:OLEObject>
        </w:pict>
      </w:r>
      <w:r>
        <w:rPr>
          <w:rFonts w:ascii="Times New Roman" w:hAnsi="Times New Roman" w:eastAsia="宋体"/>
          <w:color w:val="auto"/>
          <w:highlight w:val="none"/>
        </w:rPr>
        <w:t>由上式可知，所有室内声源在围护结构处产生的i倍频带叠加声压级公式：</w:t>
      </w:r>
    </w:p>
    <w:p w14:paraId="7713A5A3">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.5）</w:t>
      </w:r>
    </w:p>
    <w:p w14:paraId="5313ABE2">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14:paraId="0E545F93">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L</w:t>
      </w:r>
      <w:r>
        <w:rPr>
          <w:rFonts w:ascii="Times New Roman" w:hAnsi="Times New Roman" w:eastAsia="宋体"/>
          <w:color w:val="auto"/>
          <w:highlight w:val="none"/>
          <w:vertAlign w:val="subscript"/>
        </w:rPr>
        <w:t>p1i</w:t>
      </w:r>
      <w:r>
        <w:rPr>
          <w:rFonts w:ascii="Times New Roman" w:hAnsi="Times New Roman" w:eastAsia="宋体"/>
          <w:color w:val="auto"/>
          <w:highlight w:val="none"/>
        </w:rPr>
        <w:t>（T）--靠近维护结构室内N个声源i倍频带的叠加声压级，dB；</w:t>
      </w:r>
    </w:p>
    <w:p w14:paraId="6ADC7998">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L</w:t>
      </w:r>
      <w:r>
        <w:rPr>
          <w:rFonts w:ascii="Times New Roman" w:hAnsi="Times New Roman" w:eastAsia="宋体"/>
          <w:color w:val="auto"/>
          <w:highlight w:val="none"/>
          <w:vertAlign w:val="subscript"/>
        </w:rPr>
        <w:t>p1ij</w:t>
      </w:r>
      <w:r>
        <w:rPr>
          <w:rFonts w:ascii="Times New Roman" w:hAnsi="Times New Roman" w:eastAsia="宋体"/>
          <w:color w:val="auto"/>
          <w:highlight w:val="none"/>
        </w:rPr>
        <w:t>--室内j声源i倍频带的声压级，dB；</w:t>
      </w:r>
    </w:p>
    <w:p w14:paraId="62F403E1">
      <w:pPr>
        <w:ind w:firstLine="480"/>
        <w:rPr>
          <w:rFonts w:ascii="Times New Roman" w:hAnsi="Times New Roman" w:eastAsia="宋体"/>
          <w:color w:val="auto"/>
          <w:highlight w:val="none"/>
        </w:rPr>
      </w:pPr>
      <w:r>
        <w:rPr>
          <w:rFonts w:ascii="Times New Roman" w:hAnsi="Times New Roman" w:eastAsia="宋体"/>
          <w:color w:val="auto"/>
          <w:highlight w:val="none"/>
        </w:rPr>
        <w:t>N--室内声源总数。</w:t>
      </w:r>
    </w:p>
    <w:p w14:paraId="0093E716">
      <w:pPr>
        <w:spacing w:line="500" w:lineRule="exact"/>
        <w:ind w:firstLine="480"/>
        <w:rPr>
          <w:rFonts w:ascii="Times New Roman" w:hAnsi="Times New Roman" w:eastAsia="宋体"/>
          <w:color w:val="auto"/>
          <w:highlight w:val="none"/>
        </w:rPr>
      </w:pPr>
      <w:bookmarkStart w:id="193" w:name="_Toc13636"/>
      <w:bookmarkStart w:id="194" w:name="_Toc984"/>
      <w:r>
        <w:rPr>
          <w:rFonts w:hint="eastAsia" w:ascii="Times New Roman" w:hAnsi="Times New Roman" w:eastAsia="宋体" w:cs="宋体"/>
          <w:color w:val="auto"/>
          <w:highlight w:val="none"/>
        </w:rPr>
        <w:t>③</w:t>
      </w:r>
      <w:r>
        <w:rPr>
          <w:rFonts w:ascii="Times New Roman" w:hAnsi="Times New Roman" w:eastAsia="宋体"/>
          <w:color w:val="auto"/>
          <w:highlight w:val="none"/>
        </w:rPr>
        <w:t>靠近声源处的预测点预测模式</w:t>
      </w:r>
      <w:bookmarkEnd w:id="193"/>
      <w:bookmarkEnd w:id="194"/>
    </w:p>
    <w:p w14:paraId="645E7B1C">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如预测点在靠近声源处，但不能满足声源条件时，需按线声源或面生源模式计算。</w:t>
      </w:r>
    </w:p>
    <w:p w14:paraId="23034D18">
      <w:pPr>
        <w:spacing w:line="500" w:lineRule="exact"/>
        <w:ind w:firstLine="480"/>
        <w:rPr>
          <w:rFonts w:ascii="Times New Roman" w:hAnsi="Times New Roman" w:eastAsia="宋体"/>
          <w:color w:val="auto"/>
          <w:highlight w:val="none"/>
        </w:rPr>
      </w:pPr>
      <w:bookmarkStart w:id="195" w:name="_Toc1304"/>
      <w:bookmarkStart w:id="196" w:name="_Toc1424"/>
      <w:r>
        <w:rPr>
          <w:rFonts w:hint="eastAsia" w:ascii="Times New Roman" w:hAnsi="Times New Roman" w:eastAsia="宋体" w:cs="宋体"/>
          <w:color w:val="auto"/>
          <w:highlight w:val="none"/>
        </w:rPr>
        <w:t>④</w:t>
      </w:r>
      <w:r>
        <w:rPr>
          <w:rFonts w:ascii="Times New Roman" w:hAnsi="Times New Roman" w:eastAsia="宋体"/>
          <w:color w:val="auto"/>
          <w:highlight w:val="none"/>
        </w:rPr>
        <w:t>噪声贡献值计算</w:t>
      </w:r>
      <w:bookmarkEnd w:id="195"/>
      <w:bookmarkEnd w:id="196"/>
    </w:p>
    <w:p w14:paraId="2D60CAAE">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声源对预测点产生的贡献值（Leqg）公式为</w:t>
      </w:r>
    </w:p>
    <w:p w14:paraId="3BE679F3">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pict>
          <v:shape id="Picture 4371" o:spid="_x0000_s2080" o:spt="75" type="#_x0000_t75" style="position:absolute;left:0pt;margin-left:99pt;margin-top:-3.6pt;height:36pt;width:230.95pt;z-index:251729920;mso-width-relative:page;mso-height-relative:page;" o:ole="t" fillcolor="#000005" filled="f" o:preferrelative="t" stroked="f" coordsize="21600,21600">
            <v:path/>
            <v:fill on="f" focussize="0,0"/>
            <v:stroke on="f" joinstyle="miter"/>
            <v:imagedata r:id="rId68" o:title=""/>
            <o:lock v:ext="edit" aspectratio="t"/>
          </v:shape>
          <o:OLEObject Type="Embed" ProgID="Equation.3" ShapeID="Picture 4371" DrawAspect="Content" ObjectID="_1468075737" r:id="rId67">
            <o:LockedField>false</o:LockedField>
          </o:OLEObject>
        </w:pict>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.6）</w:t>
      </w:r>
    </w:p>
    <w:p w14:paraId="5834AA51">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（2）传播衰减公式</w:t>
      </w:r>
    </w:p>
    <w:p w14:paraId="59783EB7">
      <w:pPr>
        <w:spacing w:line="500" w:lineRule="exact"/>
        <w:ind w:firstLine="480"/>
        <w:rPr>
          <w:rFonts w:hint="eastAsia" w:ascii="Times New Roman" w:hAnsi="Times New Roman" w:eastAsia="宋体"/>
          <w:color w:val="auto"/>
          <w:highlight w:val="none"/>
          <w:lang w:eastAsia="zh-CN"/>
        </w:rPr>
      </w:pPr>
      <w:bookmarkStart w:id="197" w:name="_Toc6926"/>
      <w:bookmarkStart w:id="198" w:name="_Toc21277"/>
      <w:r>
        <w:rPr>
          <w:rFonts w:hint="eastAsia" w:ascii="Times New Roman" w:hAnsi="Times New Roman" w:eastAsia="宋体" w:cs="宋体"/>
          <w:color w:val="auto"/>
          <w:highlight w:val="none"/>
        </w:rPr>
        <w:t>①</w:t>
      </w:r>
      <w:r>
        <w:rPr>
          <w:rFonts w:ascii="Times New Roman" w:hAnsi="Times New Roman" w:eastAsia="宋体"/>
          <w:color w:val="auto"/>
          <w:highlight w:val="none"/>
        </w:rPr>
        <w:t>几何发散衰减</w:t>
      </w:r>
      <w:r>
        <w:rPr>
          <w:rFonts w:hint="eastAsia"/>
          <w:color w:val="auto"/>
          <w:highlight w:val="none"/>
          <w:lang w:eastAsia="zh-CN"/>
        </w:rPr>
        <w:t>（</w:t>
      </w:r>
      <w:r>
        <w:rPr>
          <w:rFonts w:ascii="Times New Roman" w:hAnsi="Times New Roman" w:eastAsia="宋体"/>
          <w:color w:val="auto"/>
          <w:highlight w:val="none"/>
        </w:rPr>
        <w:t>Adiv</w:t>
      </w:r>
      <w:bookmarkEnd w:id="197"/>
      <w:bookmarkEnd w:id="198"/>
      <w:r>
        <w:rPr>
          <w:rFonts w:hint="eastAsia"/>
          <w:color w:val="auto"/>
          <w:highlight w:val="none"/>
          <w:lang w:eastAsia="zh-CN"/>
        </w:rPr>
        <w:t>）</w:t>
      </w:r>
    </w:p>
    <w:p w14:paraId="5C069BC5">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A、点声源的几何发散衰减</w:t>
      </w:r>
    </w:p>
    <w:p w14:paraId="12205A6C">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无指向性点声源几何发散衰减的基本公式是</w:t>
      </w:r>
    </w:p>
    <w:p w14:paraId="1812054E">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1727200" cy="203200"/>
            <wp:effectExtent l="0" t="0" r="635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727200" cy="2032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.7）</w:t>
      </w:r>
    </w:p>
    <w:p w14:paraId="6754EA09">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公示（4）中第二项表示了点声源的几何发散衰减：</w:t>
      </w:r>
    </w:p>
    <w:p w14:paraId="31AC5A54">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1028700" cy="2286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.8）</w:t>
      </w:r>
    </w:p>
    <w:p w14:paraId="591A15D7">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如果已知点声源的倍频带声功率级Lw或A声功率级（L</w:t>
      </w:r>
      <w:r>
        <w:rPr>
          <w:rFonts w:ascii="Times New Roman" w:hAnsi="Times New Roman" w:eastAsia="宋体"/>
          <w:color w:val="auto"/>
          <w:highlight w:val="none"/>
          <w:vertAlign w:val="subscript"/>
        </w:rPr>
        <w:t>AW</w:t>
      </w:r>
      <w:r>
        <w:rPr>
          <w:rFonts w:ascii="Times New Roman" w:hAnsi="Times New Roman" w:eastAsia="宋体"/>
          <w:color w:val="auto"/>
          <w:highlight w:val="none"/>
        </w:rPr>
        <w:t>），且声源处于自由声场，则公式（4）等效为下列公式：</w:t>
      </w:r>
    </w:p>
    <w:p w14:paraId="3C2448B2">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1562100" cy="2032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562100" cy="2032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.9）</w:t>
      </w:r>
    </w:p>
    <w:p w14:paraId="0C05CB4F">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1612900" cy="203200"/>
            <wp:effectExtent l="0" t="0" r="635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612900" cy="2032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.10）</w:t>
      </w:r>
    </w:p>
    <w:p w14:paraId="38D66706">
      <w:pPr>
        <w:spacing w:line="500" w:lineRule="exact"/>
        <w:ind w:firstLine="480"/>
        <w:rPr>
          <w:rFonts w:hint="eastAsia" w:ascii="Times New Roman" w:hAnsi="Times New Roman" w:eastAsia="宋体"/>
          <w:color w:val="auto"/>
          <w:highlight w:val="none"/>
          <w:lang w:eastAsia="zh-CN"/>
        </w:rPr>
      </w:pPr>
      <w:r>
        <w:rPr>
          <w:rFonts w:ascii="Times New Roman" w:hAnsi="Times New Roman" w:eastAsia="宋体"/>
          <w:color w:val="auto"/>
          <w:highlight w:val="none"/>
        </w:rPr>
        <w:t>反射体引起的修正</w:t>
      </w:r>
      <w:r>
        <w:rPr>
          <w:rFonts w:hint="eastAsia"/>
          <w:color w:val="auto"/>
          <w:highlight w:val="none"/>
          <w:lang w:eastAsia="zh-CN"/>
        </w:rPr>
        <w:t>（</w:t>
      </w:r>
      <w:r>
        <w:rPr>
          <w:rFonts w:ascii="Times New Roman" w:hAnsi="Times New Roman" w:eastAsia="宋体"/>
          <w:color w:val="auto"/>
          <w:highlight w:val="none"/>
        </w:rPr>
        <w:t>ΔLr</w:t>
      </w:r>
      <w:r>
        <w:rPr>
          <w:rFonts w:hint="eastAsia"/>
          <w:color w:val="auto"/>
          <w:highlight w:val="none"/>
          <w:lang w:eastAsia="zh-CN"/>
        </w:rPr>
        <w:t>）</w:t>
      </w:r>
    </w:p>
    <w:p w14:paraId="166DABD4">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当点声源与预测点处在反射体同侧附近时，到达预测点的声级是直达声与反射声叠加的结果，从而使预测点声级增高。</w:t>
      </w:r>
    </w:p>
    <w:p w14:paraId="6B49FFC1">
      <w:pPr>
        <w:spacing w:line="500" w:lineRule="exact"/>
        <w:ind w:firstLine="480"/>
        <w:rPr>
          <w:rFonts w:hint="eastAsia" w:ascii="Times New Roman" w:hAnsi="Times New Roman" w:eastAsia="宋体"/>
          <w:color w:val="auto"/>
          <w:highlight w:val="none"/>
          <w:lang w:eastAsia="zh-CN"/>
        </w:rPr>
      </w:pPr>
      <w:r>
        <w:rPr>
          <w:rFonts w:ascii="Times New Roman" w:hAnsi="Times New Roman" w:eastAsia="宋体"/>
          <w:color w:val="auto"/>
          <w:highlight w:val="none"/>
        </w:rPr>
        <w:t>B、线声源的几何发散衰减</w:t>
      </w:r>
      <w:r>
        <w:rPr>
          <w:rFonts w:hint="eastAsia"/>
          <w:color w:val="auto"/>
          <w:highlight w:val="none"/>
          <w:lang w:eastAsia="zh-CN"/>
        </w:rPr>
        <w:t>（</w:t>
      </w:r>
      <w:r>
        <w:rPr>
          <w:rFonts w:ascii="Times New Roman" w:hAnsi="Times New Roman" w:eastAsia="宋体"/>
          <w:color w:val="auto"/>
          <w:highlight w:val="none"/>
        </w:rPr>
        <w:t>Adiv</w:t>
      </w:r>
      <w:r>
        <w:rPr>
          <w:rFonts w:hint="eastAsia"/>
          <w:color w:val="auto"/>
          <w:highlight w:val="none"/>
          <w:lang w:eastAsia="zh-CN"/>
        </w:rPr>
        <w:t>）</w:t>
      </w:r>
    </w:p>
    <w:p w14:paraId="5CF89F0A">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a.无限长线声源</w:t>
      </w:r>
    </w:p>
    <w:p w14:paraId="532AE85B">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无限长线声源几何发散衰减的基本公式是：</w:t>
      </w:r>
    </w:p>
    <w:p w14:paraId="5FCEFBD1">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1574800" cy="381000"/>
            <wp:effectExtent l="0" t="0" r="635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574800" cy="3810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.11）</w:t>
      </w:r>
    </w:p>
    <w:p w14:paraId="5FC32D10">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上式中的第二项表示了无限长线声源的几何发散衰减：</w:t>
      </w:r>
    </w:p>
    <w:p w14:paraId="2FC09879">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1028700" cy="2286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.12）</w:t>
      </w:r>
    </w:p>
    <w:p w14:paraId="20E34E56">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b.有限长线声源</w:t>
      </w:r>
    </w:p>
    <w:p w14:paraId="14F1D905">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38112" behindDoc="0" locked="0" layoutInCell="1" allowOverlap="1">
            <wp:simplePos x="0" y="0"/>
            <wp:positionH relativeFrom="column">
              <wp:posOffset>1257300</wp:posOffset>
            </wp:positionH>
            <wp:positionV relativeFrom="paragraph">
              <wp:posOffset>572770</wp:posOffset>
            </wp:positionV>
            <wp:extent cx="2152650" cy="428625"/>
            <wp:effectExtent l="0" t="0" r="0" b="9525"/>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52650" cy="428625"/>
                    </a:xfrm>
                    <a:prstGeom prst="rect">
                      <a:avLst/>
                    </a:prstGeom>
                    <a:noFill/>
                    <a:ln>
                      <a:noFill/>
                    </a:ln>
                  </pic:spPr>
                </pic:pic>
              </a:graphicData>
            </a:graphic>
          </wp:anchor>
        </w:drawing>
      </w:r>
      <w:r>
        <w:rPr>
          <w:rFonts w:ascii="Times New Roman" w:hAnsi="Times New Roman" w:eastAsia="宋体"/>
          <w:color w:val="auto"/>
          <w:highlight w:val="none"/>
        </w:rPr>
        <w:t>设线声源长度为l0，单位长度线声源辐射的倍频带声功率级为Lw。在线声源垂直平分线上距声源r处的声压级为：</w:t>
      </w:r>
    </w:p>
    <w:p w14:paraId="4714EABA">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.13）</w:t>
      </w:r>
    </w:p>
    <w:p w14:paraId="0B4AD24B">
      <w:pPr>
        <w:spacing w:line="500" w:lineRule="exact"/>
        <w:ind w:firstLine="480"/>
        <w:rPr>
          <w:rFonts w:hint="eastAsia" w:ascii="Times New Roman" w:hAnsi="Times New Roman" w:eastAsia="宋体"/>
          <w:color w:val="auto"/>
          <w:highlight w:val="none"/>
          <w:lang w:eastAsia="zh-CN"/>
        </w:rPr>
      </w:pPr>
      <w:r>
        <w:rPr>
          <w:rFonts w:ascii="Times New Roman" w:hAnsi="Times New Roman" w:eastAsia="宋体"/>
          <w:color w:val="auto"/>
          <w:highlight w:val="none"/>
        </w:rPr>
        <w:drawing>
          <wp:anchor distT="0" distB="0" distL="114300" distR="114300" simplePos="0" relativeHeight="251737088" behindDoc="0" locked="0" layoutInCell="1" allowOverlap="1">
            <wp:simplePos x="0" y="0"/>
            <wp:positionH relativeFrom="column">
              <wp:posOffset>1028700</wp:posOffset>
            </wp:positionH>
            <wp:positionV relativeFrom="paragraph">
              <wp:posOffset>153670</wp:posOffset>
            </wp:positionV>
            <wp:extent cx="2305050" cy="80010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305050" cy="800100"/>
                    </a:xfrm>
                    <a:prstGeom prst="rect">
                      <a:avLst/>
                    </a:prstGeom>
                    <a:noFill/>
                    <a:ln>
                      <a:noFill/>
                    </a:ln>
                  </pic:spPr>
                </pic:pic>
              </a:graphicData>
            </a:graphic>
          </wp:anchor>
        </w:drawing>
      </w:r>
      <w:r>
        <w:rPr>
          <w:rFonts w:ascii="Times New Roman" w:hAnsi="Times New Roman" w:eastAsia="宋体"/>
          <w:color w:val="auto"/>
          <w:highlight w:val="none"/>
        </w:rPr>
        <w:t>或</w:t>
      </w:r>
    </w:p>
    <w:p w14:paraId="2999DFF9">
      <w:pPr>
        <w:spacing w:line="500" w:lineRule="exact"/>
        <w:ind w:firstLine="480"/>
        <w:rPr>
          <w:rFonts w:hint="eastAsia" w:ascii="Times New Roman" w:hAnsi="Times New Roman" w:eastAsia="宋体"/>
          <w:color w:val="auto"/>
          <w:highlight w:val="none"/>
          <w:lang w:eastAsia="zh-CN"/>
        </w:rPr>
      </w:pPr>
    </w:p>
    <w:p w14:paraId="178FC306">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.14）</w:t>
      </w:r>
    </w:p>
    <w:p w14:paraId="7DCD470C">
      <w:pPr>
        <w:ind w:firstLine="480"/>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44256" behindDoc="0" locked="0" layoutInCell="1" allowOverlap="1">
            <wp:simplePos x="0" y="0"/>
            <wp:positionH relativeFrom="column">
              <wp:posOffset>1183640</wp:posOffset>
            </wp:positionH>
            <wp:positionV relativeFrom="paragraph">
              <wp:posOffset>208915</wp:posOffset>
            </wp:positionV>
            <wp:extent cx="1571625" cy="390525"/>
            <wp:effectExtent l="0" t="0" r="9525" b="952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571625" cy="390525"/>
                    </a:xfrm>
                    <a:prstGeom prst="rect">
                      <a:avLst/>
                    </a:prstGeom>
                    <a:noFill/>
                    <a:ln>
                      <a:noFill/>
                    </a:ln>
                  </pic:spPr>
                </pic:pic>
              </a:graphicData>
            </a:graphic>
          </wp:anchor>
        </w:drawing>
      </w:r>
      <w:r>
        <w:rPr>
          <w:rFonts w:ascii="Times New Roman" w:hAnsi="Times New Roman" w:eastAsia="宋体"/>
          <w:color w:val="auto"/>
          <w:highlight w:val="none"/>
        </w:rPr>
        <w:t>当r＞l0且r0＞l0时，上式可近似简化为：</w:t>
      </w:r>
    </w:p>
    <w:p w14:paraId="4EEC031F">
      <w:pPr>
        <w:ind w:firstLine="5016" w:firstLineChars="2200"/>
        <w:rPr>
          <w:rFonts w:ascii="Times New Roman" w:hAnsi="Times New Roman" w:eastAsia="宋体"/>
          <w:color w:val="auto"/>
          <w:highlight w:val="none"/>
        </w:rPr>
      </w:pPr>
      <w:r>
        <w:rPr>
          <w:rFonts w:ascii="Times New Roman" w:hAnsi="Times New Roman" w:eastAsia="宋体"/>
          <w:color w:val="auto"/>
          <w:spacing w:val="-6"/>
          <w:highlight w:val="none"/>
        </w:rPr>
        <w:t>………………………（</w:t>
      </w:r>
      <w:r>
        <w:rPr>
          <w:rFonts w:hint="eastAsia" w:ascii="Times New Roman" w:hAnsi="Times New Roman" w:eastAsia="宋体"/>
          <w:color w:val="auto"/>
          <w:spacing w:val="-6"/>
          <w:highlight w:val="none"/>
        </w:rPr>
        <w:t>A</w:t>
      </w:r>
      <w:r>
        <w:rPr>
          <w:rFonts w:ascii="Times New Roman" w:hAnsi="Times New Roman" w:eastAsia="宋体"/>
          <w:color w:val="auto"/>
          <w:spacing w:val="-6"/>
          <w:highlight w:val="none"/>
        </w:rPr>
        <w:t>.</w:t>
      </w:r>
      <w:r>
        <w:rPr>
          <w:rFonts w:ascii="Times New Roman" w:hAnsi="Times New Roman" w:eastAsia="宋体"/>
          <w:color w:val="auto"/>
          <w:highlight w:val="none"/>
        </w:rPr>
        <w:t>15）</w:t>
      </w:r>
    </w:p>
    <w:p w14:paraId="1A1FB596">
      <w:pPr>
        <w:ind w:firstLine="480"/>
        <w:rPr>
          <w:rFonts w:ascii="Times New Roman" w:hAnsi="Times New Roman" w:eastAsia="宋体"/>
          <w:color w:val="auto"/>
          <w:highlight w:val="none"/>
        </w:rPr>
      </w:pPr>
      <w:r>
        <w:rPr>
          <w:rFonts w:ascii="Times New Roman" w:hAnsi="Times New Roman" w:eastAsia="宋体"/>
          <w:color w:val="auto"/>
          <w:highlight w:val="none"/>
        </w:rPr>
        <w:t>即在近场区，有限长线声源可当作点声源处理。</w:t>
      </w:r>
    </w:p>
    <w:p w14:paraId="7ED97EB3">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39136" behindDoc="0" locked="0" layoutInCell="1" allowOverlap="1">
            <wp:simplePos x="0" y="0"/>
            <wp:positionH relativeFrom="column">
              <wp:posOffset>1371600</wp:posOffset>
            </wp:positionH>
            <wp:positionV relativeFrom="paragraph">
              <wp:posOffset>271780</wp:posOffset>
            </wp:positionV>
            <wp:extent cx="1571625" cy="390525"/>
            <wp:effectExtent l="0" t="0" r="9525" b="9525"/>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571625" cy="390525"/>
                    </a:xfrm>
                    <a:prstGeom prst="rect">
                      <a:avLst/>
                    </a:prstGeom>
                    <a:noFill/>
                    <a:ln>
                      <a:noFill/>
                    </a:ln>
                  </pic:spPr>
                </pic:pic>
              </a:graphicData>
            </a:graphic>
          </wp:anchor>
        </w:drawing>
      </w:r>
      <w:r>
        <w:rPr>
          <w:rFonts w:ascii="Times New Roman" w:hAnsi="Times New Roman" w:eastAsia="宋体"/>
          <w:color w:val="auto"/>
          <w:highlight w:val="none"/>
        </w:rPr>
        <w:t>当r＜l0/3且r0＜l0/3时，该式可近似简化为：</w:t>
      </w:r>
    </w:p>
    <w:p w14:paraId="2027B631">
      <w:pPr>
        <w:ind w:firstLine="5472" w:firstLineChars="2400"/>
        <w:rPr>
          <w:rFonts w:ascii="Times New Roman" w:hAnsi="Times New Roman" w:eastAsia="宋体"/>
          <w:color w:val="auto"/>
          <w:highlight w:val="none"/>
        </w:rPr>
      </w:pPr>
      <w:r>
        <w:rPr>
          <w:rFonts w:ascii="Times New Roman" w:hAnsi="Times New Roman" w:eastAsia="宋体"/>
          <w:color w:val="auto"/>
          <w:spacing w:val="-6"/>
          <w:highlight w:val="none"/>
        </w:rPr>
        <w:t>……………………（</w:t>
      </w:r>
      <w:r>
        <w:rPr>
          <w:rFonts w:hint="eastAsia" w:ascii="Times New Roman" w:hAnsi="Times New Roman" w:eastAsia="宋体"/>
          <w:color w:val="auto"/>
          <w:spacing w:val="-6"/>
          <w:highlight w:val="none"/>
        </w:rPr>
        <w:t>A</w:t>
      </w:r>
      <w:r>
        <w:rPr>
          <w:rFonts w:ascii="Times New Roman" w:hAnsi="Times New Roman" w:eastAsia="宋体"/>
          <w:color w:val="auto"/>
          <w:spacing w:val="-6"/>
          <w:highlight w:val="none"/>
        </w:rPr>
        <w:t>.</w:t>
      </w:r>
      <w:r>
        <w:rPr>
          <w:rFonts w:ascii="Times New Roman" w:hAnsi="Times New Roman" w:eastAsia="宋体"/>
          <w:color w:val="auto"/>
          <w:highlight w:val="none"/>
        </w:rPr>
        <w:t>16）</w:t>
      </w:r>
    </w:p>
    <w:p w14:paraId="0B89915A">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即在近场区，有限长线声源可当作无限长线声源处理。</w:t>
      </w:r>
    </w:p>
    <w:p w14:paraId="386A861D">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当l0/3＜r＜l0且l0/3＜r</w:t>
      </w:r>
      <w:r>
        <w:rPr>
          <w:rFonts w:ascii="Times New Roman" w:hAnsi="Times New Roman" w:eastAsia="宋体"/>
          <w:color w:val="auto"/>
          <w:highlight w:val="none"/>
          <w:vertAlign w:val="subscript"/>
        </w:rPr>
        <w:t>0</w:t>
      </w:r>
      <w:r>
        <w:rPr>
          <w:rFonts w:ascii="Times New Roman" w:hAnsi="Times New Roman" w:eastAsia="宋体"/>
          <w:color w:val="auto"/>
          <w:highlight w:val="none"/>
        </w:rPr>
        <w:t>＜l0时，该式可近似简化为：</w:t>
      </w:r>
    </w:p>
    <w:p w14:paraId="6E3F75A9">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40160" behindDoc="0" locked="0" layoutInCell="1" allowOverlap="1">
            <wp:simplePos x="0" y="0"/>
            <wp:positionH relativeFrom="column">
              <wp:posOffset>1485900</wp:posOffset>
            </wp:positionH>
            <wp:positionV relativeFrom="paragraph">
              <wp:posOffset>0</wp:posOffset>
            </wp:positionV>
            <wp:extent cx="1571625" cy="390525"/>
            <wp:effectExtent l="0" t="0" r="9525" b="952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571625" cy="390525"/>
                    </a:xfrm>
                    <a:prstGeom prst="rect">
                      <a:avLst/>
                    </a:prstGeom>
                    <a:noFill/>
                    <a:ln>
                      <a:noFill/>
                    </a:ln>
                  </pic:spPr>
                </pic:pic>
              </a:graphicData>
            </a:graphic>
          </wp:anchor>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.17）</w:t>
      </w:r>
    </w:p>
    <w:p w14:paraId="6A9B60D5">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C、面声源的几何发散衰减</w:t>
      </w:r>
    </w:p>
    <w:p w14:paraId="0E6D6833">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一个大型机器设备的振动表面，车间透声的墙壁，均可以认为是面声源。如果已知面声源单位面积的声功率为W，各面积元噪声的位相是随机的，面声源可看作由无数点声源连续分布组合而成，其合成声级可按能量叠加法求出。</w:t>
      </w:r>
    </w:p>
    <w:p w14:paraId="69FAB312">
      <w:pPr>
        <w:spacing w:line="500" w:lineRule="exact"/>
        <w:ind w:firstLine="480"/>
        <w:rPr>
          <w:rFonts w:hint="eastAsia" w:ascii="Times New Roman" w:hAnsi="Times New Roman" w:eastAsia="宋体"/>
          <w:color w:val="auto"/>
          <w:highlight w:val="none"/>
          <w:lang w:eastAsia="zh-CN"/>
        </w:rPr>
      </w:pPr>
      <w:bookmarkStart w:id="199" w:name="_Toc2292"/>
      <w:bookmarkStart w:id="200" w:name="_Toc32354"/>
      <w:r>
        <w:rPr>
          <w:rFonts w:hint="eastAsia" w:ascii="Times New Roman" w:hAnsi="Times New Roman" w:eastAsia="宋体" w:cs="宋体"/>
          <w:color w:val="auto"/>
          <w:highlight w:val="none"/>
        </w:rPr>
        <w:t>②</w:t>
      </w:r>
      <w:r>
        <w:rPr>
          <w:rFonts w:ascii="Times New Roman" w:hAnsi="Times New Roman" w:eastAsia="宋体"/>
          <w:color w:val="auto"/>
          <w:highlight w:val="none"/>
        </w:rPr>
        <w:t>空气吸收引起的衰减</w:t>
      </w:r>
      <w:r>
        <w:rPr>
          <w:rFonts w:hint="eastAsia"/>
          <w:color w:val="auto"/>
          <w:highlight w:val="none"/>
          <w:lang w:eastAsia="zh-CN"/>
        </w:rPr>
        <w:t>（</w:t>
      </w:r>
      <w:r>
        <w:rPr>
          <w:rFonts w:ascii="Times New Roman" w:hAnsi="Times New Roman" w:eastAsia="宋体"/>
          <w:color w:val="auto"/>
          <w:highlight w:val="none"/>
        </w:rPr>
        <w:t>Aatm</w:t>
      </w:r>
      <w:bookmarkEnd w:id="199"/>
      <w:bookmarkEnd w:id="200"/>
      <w:r>
        <w:rPr>
          <w:rFonts w:hint="eastAsia"/>
          <w:color w:val="auto"/>
          <w:highlight w:val="none"/>
          <w:lang w:eastAsia="zh-CN"/>
        </w:rPr>
        <w:t>）</w:t>
      </w:r>
    </w:p>
    <w:p w14:paraId="66F41658">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空气吸收引起的衰减按下列公式计算：</w:t>
      </w:r>
    </w:p>
    <w:p w14:paraId="5DD3956B">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41184" behindDoc="0" locked="0" layoutInCell="1" allowOverlap="1">
            <wp:simplePos x="0" y="0"/>
            <wp:positionH relativeFrom="column">
              <wp:posOffset>2133600</wp:posOffset>
            </wp:positionH>
            <wp:positionV relativeFrom="paragraph">
              <wp:posOffset>40640</wp:posOffset>
            </wp:positionV>
            <wp:extent cx="1019175" cy="390525"/>
            <wp:effectExtent l="0" t="0" r="9525" b="952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019175" cy="390525"/>
                    </a:xfrm>
                    <a:prstGeom prst="rect">
                      <a:avLst/>
                    </a:prstGeom>
                    <a:noFill/>
                    <a:ln>
                      <a:noFill/>
                    </a:ln>
                  </pic:spPr>
                </pic:pic>
              </a:graphicData>
            </a:graphic>
          </wp:anchor>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.18）</w:t>
      </w:r>
    </w:p>
    <w:p w14:paraId="36C16EA1">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14:paraId="61E377AC">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α为温度、湿度和声波频率的函数，预测计算中一般根据建设项目所处区域常年平均气温和湿度选择相应的空气吸收系数（见表5.2-</w:t>
      </w:r>
      <w:r>
        <w:rPr>
          <w:rFonts w:hint="eastAsia" w:ascii="Times New Roman" w:hAnsi="Times New Roman" w:eastAsia="宋体"/>
          <w:color w:val="auto"/>
          <w:highlight w:val="none"/>
          <w:lang w:val="en-US" w:eastAsia="zh-CN"/>
        </w:rPr>
        <w:t>16</w:t>
      </w:r>
      <w:r>
        <w:rPr>
          <w:rFonts w:ascii="Times New Roman" w:hAnsi="Times New Roman" w:eastAsia="宋体"/>
          <w:color w:val="auto"/>
          <w:highlight w:val="none"/>
        </w:rPr>
        <w:t>）。</w:t>
      </w:r>
    </w:p>
    <w:p w14:paraId="58D5C7D7">
      <w:pPr>
        <w:pStyle w:val="150"/>
        <w:ind w:firstLine="480"/>
        <w:rPr>
          <w:rFonts w:ascii="Times New Roman" w:hAnsi="Times New Roman" w:eastAsia="宋体"/>
          <w:b/>
          <w:bCs/>
          <w:color w:val="auto"/>
          <w:highlight w:val="none"/>
        </w:rPr>
      </w:pPr>
      <w:r>
        <w:rPr>
          <w:rFonts w:ascii="Times New Roman" w:hAnsi="Times New Roman" w:eastAsia="宋体"/>
          <w:b/>
          <w:bCs/>
          <w:color w:val="auto"/>
          <w:highlight w:val="none"/>
        </w:rPr>
        <w:t>表5.2-</w:t>
      </w:r>
      <w:r>
        <w:rPr>
          <w:rFonts w:hint="eastAsia" w:ascii="Times New Roman" w:hAnsi="Times New Roman" w:eastAsia="宋体"/>
          <w:b/>
          <w:bCs/>
          <w:color w:val="auto"/>
          <w:highlight w:val="none"/>
          <w:lang w:val="en-US" w:eastAsia="zh-CN"/>
        </w:rPr>
        <w:t>16</w:t>
      </w:r>
      <w:r>
        <w:rPr>
          <w:rFonts w:ascii="Times New Roman" w:hAnsi="Times New Roman" w:eastAsia="宋体"/>
          <w:b/>
          <w:bCs/>
          <w:color w:val="auto"/>
          <w:highlight w:val="none"/>
        </w:rPr>
        <w:t>倍频带噪声的大气吸收衰减系数α</w:t>
      </w:r>
    </w:p>
    <w:tbl>
      <w:tblPr>
        <w:tblStyle w:val="34"/>
        <w:tblW w:w="4999"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852"/>
        <w:gridCol w:w="1127"/>
        <w:gridCol w:w="764"/>
        <w:gridCol w:w="803"/>
        <w:gridCol w:w="803"/>
        <w:gridCol w:w="803"/>
        <w:gridCol w:w="854"/>
        <w:gridCol w:w="854"/>
        <w:gridCol w:w="854"/>
        <w:gridCol w:w="806"/>
      </w:tblGrid>
      <w:tr w14:paraId="0DC351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vMerge w:val="restart"/>
            <w:tcBorders>
              <w:tl2br w:val="nil"/>
              <w:tr2bl w:val="nil"/>
            </w:tcBorders>
            <w:shd w:val="clear" w:color="auto" w:fill="auto"/>
            <w:vAlign w:val="center"/>
          </w:tcPr>
          <w:p w14:paraId="51F2A9C8">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温度</w:t>
            </w:r>
            <w:r>
              <w:rPr>
                <w:rFonts w:hint="eastAsia" w:ascii="Times New Roman" w:hAnsi="Times New Roman" w:eastAsia="宋体"/>
                <w:b w:val="0"/>
                <w:bCs w:val="0"/>
                <w:color w:val="auto"/>
                <w:szCs w:val="21"/>
                <w:highlight w:val="none"/>
              </w:rPr>
              <w:t>℃</w:t>
            </w:r>
          </w:p>
        </w:tc>
        <w:tc>
          <w:tcPr>
            <w:tcW w:w="661" w:type="pct"/>
            <w:vMerge w:val="restart"/>
            <w:tcBorders>
              <w:tl2br w:val="nil"/>
              <w:tr2bl w:val="nil"/>
            </w:tcBorders>
            <w:shd w:val="clear" w:color="auto" w:fill="auto"/>
            <w:vAlign w:val="center"/>
          </w:tcPr>
          <w:p w14:paraId="68F53D71">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相对湿度%</w:t>
            </w:r>
          </w:p>
        </w:tc>
        <w:tc>
          <w:tcPr>
            <w:tcW w:w="3837" w:type="pct"/>
            <w:gridSpan w:val="8"/>
            <w:tcBorders>
              <w:tl2br w:val="nil"/>
              <w:tr2bl w:val="nil"/>
            </w:tcBorders>
            <w:shd w:val="clear" w:color="auto" w:fill="auto"/>
            <w:vAlign w:val="center"/>
          </w:tcPr>
          <w:p w14:paraId="66F588CE">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大气吸收衰减系数α，dB/km</w:t>
            </w:r>
          </w:p>
        </w:tc>
      </w:tr>
      <w:tr w14:paraId="50C8D6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vMerge w:val="continue"/>
            <w:tcBorders>
              <w:tl2br w:val="nil"/>
              <w:tr2bl w:val="nil"/>
            </w:tcBorders>
            <w:shd w:val="clear" w:color="auto" w:fill="auto"/>
            <w:vAlign w:val="center"/>
          </w:tcPr>
          <w:p w14:paraId="0EB2789D">
            <w:pPr>
              <w:pStyle w:val="144"/>
              <w:spacing w:line="240" w:lineRule="auto"/>
              <w:ind w:firstLine="0" w:firstLineChars="0"/>
              <w:jc w:val="center"/>
              <w:rPr>
                <w:rFonts w:ascii="Times New Roman" w:hAnsi="Times New Roman" w:eastAsia="宋体"/>
                <w:b w:val="0"/>
                <w:bCs w:val="0"/>
                <w:color w:val="auto"/>
                <w:szCs w:val="21"/>
                <w:highlight w:val="none"/>
              </w:rPr>
            </w:pPr>
          </w:p>
        </w:tc>
        <w:tc>
          <w:tcPr>
            <w:tcW w:w="661" w:type="pct"/>
            <w:vMerge w:val="continue"/>
            <w:tcBorders>
              <w:tl2br w:val="nil"/>
              <w:tr2bl w:val="nil"/>
            </w:tcBorders>
            <w:shd w:val="clear" w:color="auto" w:fill="auto"/>
            <w:vAlign w:val="center"/>
          </w:tcPr>
          <w:p w14:paraId="5C868B95">
            <w:pPr>
              <w:pStyle w:val="144"/>
              <w:spacing w:line="240" w:lineRule="auto"/>
              <w:ind w:firstLine="0" w:firstLineChars="0"/>
              <w:jc w:val="center"/>
              <w:rPr>
                <w:rFonts w:ascii="Times New Roman" w:hAnsi="Times New Roman" w:eastAsia="宋体"/>
                <w:b w:val="0"/>
                <w:bCs w:val="0"/>
                <w:color w:val="auto"/>
                <w:szCs w:val="21"/>
                <w:highlight w:val="none"/>
              </w:rPr>
            </w:pPr>
          </w:p>
        </w:tc>
        <w:tc>
          <w:tcPr>
            <w:tcW w:w="3837" w:type="pct"/>
            <w:gridSpan w:val="8"/>
            <w:tcBorders>
              <w:tl2br w:val="nil"/>
              <w:tr2bl w:val="nil"/>
            </w:tcBorders>
            <w:shd w:val="clear" w:color="auto" w:fill="auto"/>
            <w:vAlign w:val="center"/>
          </w:tcPr>
          <w:p w14:paraId="1A41B037">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倍频带中心频率Hz</w:t>
            </w:r>
          </w:p>
        </w:tc>
      </w:tr>
      <w:tr w14:paraId="5FB494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vMerge w:val="continue"/>
            <w:tcBorders>
              <w:tl2br w:val="nil"/>
              <w:tr2bl w:val="nil"/>
            </w:tcBorders>
            <w:shd w:val="clear" w:color="auto" w:fill="auto"/>
            <w:vAlign w:val="center"/>
          </w:tcPr>
          <w:p w14:paraId="3306029C">
            <w:pPr>
              <w:pStyle w:val="144"/>
              <w:spacing w:line="240" w:lineRule="auto"/>
              <w:ind w:firstLine="0" w:firstLineChars="0"/>
              <w:jc w:val="center"/>
              <w:rPr>
                <w:rFonts w:ascii="Times New Roman" w:hAnsi="Times New Roman" w:eastAsia="宋体"/>
                <w:b w:val="0"/>
                <w:bCs w:val="0"/>
                <w:color w:val="auto"/>
                <w:szCs w:val="21"/>
                <w:highlight w:val="none"/>
              </w:rPr>
            </w:pPr>
          </w:p>
        </w:tc>
        <w:tc>
          <w:tcPr>
            <w:tcW w:w="661" w:type="pct"/>
            <w:vMerge w:val="continue"/>
            <w:tcBorders>
              <w:tl2br w:val="nil"/>
              <w:tr2bl w:val="nil"/>
            </w:tcBorders>
            <w:shd w:val="clear" w:color="auto" w:fill="auto"/>
            <w:vAlign w:val="center"/>
          </w:tcPr>
          <w:p w14:paraId="2A837214">
            <w:pPr>
              <w:pStyle w:val="144"/>
              <w:spacing w:line="240" w:lineRule="auto"/>
              <w:ind w:firstLine="0" w:firstLineChars="0"/>
              <w:jc w:val="center"/>
              <w:rPr>
                <w:rFonts w:ascii="Times New Roman" w:hAnsi="Times New Roman" w:eastAsia="宋体"/>
                <w:b w:val="0"/>
                <w:bCs w:val="0"/>
                <w:color w:val="auto"/>
                <w:szCs w:val="21"/>
                <w:highlight w:val="none"/>
              </w:rPr>
            </w:pPr>
          </w:p>
        </w:tc>
        <w:tc>
          <w:tcPr>
            <w:tcW w:w="448" w:type="pct"/>
            <w:tcBorders>
              <w:tl2br w:val="nil"/>
              <w:tr2bl w:val="nil"/>
            </w:tcBorders>
            <w:shd w:val="clear" w:color="auto" w:fill="auto"/>
            <w:vAlign w:val="center"/>
          </w:tcPr>
          <w:p w14:paraId="2D4C764D">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63</w:t>
            </w:r>
          </w:p>
        </w:tc>
        <w:tc>
          <w:tcPr>
            <w:tcW w:w="471" w:type="pct"/>
            <w:tcBorders>
              <w:tl2br w:val="nil"/>
              <w:tr2bl w:val="nil"/>
            </w:tcBorders>
            <w:shd w:val="clear" w:color="auto" w:fill="auto"/>
            <w:vAlign w:val="center"/>
          </w:tcPr>
          <w:p w14:paraId="001F7859">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125</w:t>
            </w:r>
          </w:p>
        </w:tc>
        <w:tc>
          <w:tcPr>
            <w:tcW w:w="471" w:type="pct"/>
            <w:tcBorders>
              <w:tl2br w:val="nil"/>
              <w:tr2bl w:val="nil"/>
            </w:tcBorders>
            <w:shd w:val="clear" w:color="auto" w:fill="auto"/>
            <w:vAlign w:val="center"/>
          </w:tcPr>
          <w:p w14:paraId="490C0108">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250</w:t>
            </w:r>
          </w:p>
        </w:tc>
        <w:tc>
          <w:tcPr>
            <w:tcW w:w="471" w:type="pct"/>
            <w:tcBorders>
              <w:tl2br w:val="nil"/>
              <w:tr2bl w:val="nil"/>
            </w:tcBorders>
            <w:shd w:val="clear" w:color="auto" w:fill="auto"/>
            <w:vAlign w:val="center"/>
          </w:tcPr>
          <w:p w14:paraId="3F53B56C">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500</w:t>
            </w:r>
          </w:p>
        </w:tc>
        <w:tc>
          <w:tcPr>
            <w:tcW w:w="501" w:type="pct"/>
            <w:tcBorders>
              <w:tl2br w:val="nil"/>
              <w:tr2bl w:val="nil"/>
            </w:tcBorders>
            <w:shd w:val="clear" w:color="auto" w:fill="auto"/>
            <w:vAlign w:val="center"/>
          </w:tcPr>
          <w:p w14:paraId="79DB39C1">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1000</w:t>
            </w:r>
          </w:p>
        </w:tc>
        <w:tc>
          <w:tcPr>
            <w:tcW w:w="501" w:type="pct"/>
            <w:tcBorders>
              <w:tl2br w:val="nil"/>
              <w:tr2bl w:val="nil"/>
            </w:tcBorders>
            <w:shd w:val="clear" w:color="auto" w:fill="auto"/>
            <w:vAlign w:val="center"/>
          </w:tcPr>
          <w:p w14:paraId="24F19052">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2000</w:t>
            </w:r>
          </w:p>
        </w:tc>
        <w:tc>
          <w:tcPr>
            <w:tcW w:w="501" w:type="pct"/>
            <w:tcBorders>
              <w:tl2br w:val="nil"/>
              <w:tr2bl w:val="nil"/>
            </w:tcBorders>
            <w:shd w:val="clear" w:color="auto" w:fill="auto"/>
            <w:vAlign w:val="center"/>
          </w:tcPr>
          <w:p w14:paraId="1E06C95D">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4000</w:t>
            </w:r>
          </w:p>
        </w:tc>
        <w:tc>
          <w:tcPr>
            <w:tcW w:w="469" w:type="pct"/>
            <w:tcBorders>
              <w:tl2br w:val="nil"/>
              <w:tr2bl w:val="nil"/>
            </w:tcBorders>
            <w:shd w:val="clear" w:color="auto" w:fill="auto"/>
            <w:vAlign w:val="center"/>
          </w:tcPr>
          <w:p w14:paraId="13A39927">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8000</w:t>
            </w:r>
          </w:p>
        </w:tc>
      </w:tr>
      <w:tr w14:paraId="3A16E1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14:paraId="7BD76008">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w:t>
            </w:r>
          </w:p>
        </w:tc>
        <w:tc>
          <w:tcPr>
            <w:tcW w:w="661" w:type="pct"/>
            <w:tcBorders>
              <w:tl2br w:val="nil"/>
              <w:tr2bl w:val="nil"/>
            </w:tcBorders>
            <w:shd w:val="clear" w:color="auto" w:fill="auto"/>
            <w:vAlign w:val="center"/>
          </w:tcPr>
          <w:p w14:paraId="71C707E2">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70</w:t>
            </w:r>
          </w:p>
        </w:tc>
        <w:tc>
          <w:tcPr>
            <w:tcW w:w="448" w:type="pct"/>
            <w:tcBorders>
              <w:tl2br w:val="nil"/>
              <w:tr2bl w:val="nil"/>
            </w:tcBorders>
            <w:shd w:val="clear" w:color="auto" w:fill="auto"/>
            <w:vAlign w:val="center"/>
          </w:tcPr>
          <w:p w14:paraId="492772DB">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0.1</w:t>
            </w:r>
          </w:p>
        </w:tc>
        <w:tc>
          <w:tcPr>
            <w:tcW w:w="471" w:type="pct"/>
            <w:tcBorders>
              <w:tl2br w:val="nil"/>
              <w:tr2bl w:val="nil"/>
            </w:tcBorders>
            <w:shd w:val="clear" w:color="auto" w:fill="auto"/>
            <w:vAlign w:val="center"/>
          </w:tcPr>
          <w:p w14:paraId="1433F478">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0.4</w:t>
            </w:r>
          </w:p>
        </w:tc>
        <w:tc>
          <w:tcPr>
            <w:tcW w:w="471" w:type="pct"/>
            <w:tcBorders>
              <w:tl2br w:val="nil"/>
              <w:tr2bl w:val="nil"/>
            </w:tcBorders>
            <w:shd w:val="clear" w:color="auto" w:fill="auto"/>
            <w:vAlign w:val="center"/>
          </w:tcPr>
          <w:p w14:paraId="4274D526">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w:t>
            </w:r>
          </w:p>
        </w:tc>
        <w:tc>
          <w:tcPr>
            <w:tcW w:w="471" w:type="pct"/>
            <w:tcBorders>
              <w:tl2br w:val="nil"/>
              <w:tr2bl w:val="nil"/>
            </w:tcBorders>
            <w:shd w:val="clear" w:color="auto" w:fill="auto"/>
            <w:vAlign w:val="center"/>
          </w:tcPr>
          <w:p w14:paraId="3BCB361E">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1.9</w:t>
            </w:r>
          </w:p>
        </w:tc>
        <w:tc>
          <w:tcPr>
            <w:tcW w:w="501" w:type="pct"/>
            <w:tcBorders>
              <w:tl2br w:val="nil"/>
              <w:tr2bl w:val="nil"/>
            </w:tcBorders>
            <w:shd w:val="clear" w:color="auto" w:fill="auto"/>
            <w:vAlign w:val="center"/>
          </w:tcPr>
          <w:p w14:paraId="7E3EA331">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3.7</w:t>
            </w:r>
          </w:p>
        </w:tc>
        <w:tc>
          <w:tcPr>
            <w:tcW w:w="501" w:type="pct"/>
            <w:tcBorders>
              <w:tl2br w:val="nil"/>
              <w:tr2bl w:val="nil"/>
            </w:tcBorders>
            <w:shd w:val="clear" w:color="auto" w:fill="auto"/>
            <w:vAlign w:val="center"/>
          </w:tcPr>
          <w:p w14:paraId="4D3E2620">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9.7</w:t>
            </w:r>
          </w:p>
        </w:tc>
        <w:tc>
          <w:tcPr>
            <w:tcW w:w="501" w:type="pct"/>
            <w:tcBorders>
              <w:tl2br w:val="nil"/>
              <w:tr2bl w:val="nil"/>
            </w:tcBorders>
            <w:shd w:val="clear" w:color="auto" w:fill="auto"/>
            <w:vAlign w:val="center"/>
          </w:tcPr>
          <w:p w14:paraId="77FC6EC2">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32.8</w:t>
            </w:r>
          </w:p>
        </w:tc>
        <w:tc>
          <w:tcPr>
            <w:tcW w:w="469" w:type="pct"/>
            <w:tcBorders>
              <w:tl2br w:val="nil"/>
              <w:tr2bl w:val="nil"/>
            </w:tcBorders>
            <w:shd w:val="clear" w:color="auto" w:fill="auto"/>
            <w:vAlign w:val="center"/>
          </w:tcPr>
          <w:p w14:paraId="3FAB5D92">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117.0</w:t>
            </w:r>
          </w:p>
        </w:tc>
      </w:tr>
      <w:tr w14:paraId="051E49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14:paraId="2A153BB8">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20</w:t>
            </w:r>
          </w:p>
        </w:tc>
        <w:tc>
          <w:tcPr>
            <w:tcW w:w="661" w:type="pct"/>
            <w:tcBorders>
              <w:tl2br w:val="nil"/>
              <w:tr2bl w:val="nil"/>
            </w:tcBorders>
            <w:shd w:val="clear" w:color="auto" w:fill="auto"/>
            <w:vAlign w:val="center"/>
          </w:tcPr>
          <w:p w14:paraId="21F7899E">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70</w:t>
            </w:r>
          </w:p>
        </w:tc>
        <w:tc>
          <w:tcPr>
            <w:tcW w:w="448" w:type="pct"/>
            <w:tcBorders>
              <w:tl2br w:val="nil"/>
              <w:tr2bl w:val="nil"/>
            </w:tcBorders>
            <w:shd w:val="clear" w:color="auto" w:fill="auto"/>
            <w:vAlign w:val="center"/>
          </w:tcPr>
          <w:p w14:paraId="3193EEF0">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0.1</w:t>
            </w:r>
          </w:p>
        </w:tc>
        <w:tc>
          <w:tcPr>
            <w:tcW w:w="471" w:type="pct"/>
            <w:tcBorders>
              <w:tl2br w:val="nil"/>
              <w:tr2bl w:val="nil"/>
            </w:tcBorders>
            <w:shd w:val="clear" w:color="auto" w:fill="auto"/>
            <w:vAlign w:val="center"/>
          </w:tcPr>
          <w:p w14:paraId="5C5103E1">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0.3</w:t>
            </w:r>
          </w:p>
        </w:tc>
        <w:tc>
          <w:tcPr>
            <w:tcW w:w="471" w:type="pct"/>
            <w:tcBorders>
              <w:tl2br w:val="nil"/>
              <w:tr2bl w:val="nil"/>
            </w:tcBorders>
            <w:shd w:val="clear" w:color="auto" w:fill="auto"/>
            <w:vAlign w:val="center"/>
          </w:tcPr>
          <w:p w14:paraId="0DB2C57D">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1.1</w:t>
            </w:r>
          </w:p>
        </w:tc>
        <w:tc>
          <w:tcPr>
            <w:tcW w:w="471" w:type="pct"/>
            <w:tcBorders>
              <w:tl2br w:val="nil"/>
              <w:tr2bl w:val="nil"/>
            </w:tcBorders>
            <w:shd w:val="clear" w:color="auto" w:fill="auto"/>
            <w:vAlign w:val="center"/>
          </w:tcPr>
          <w:p w14:paraId="7F727B47">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2.8</w:t>
            </w:r>
          </w:p>
        </w:tc>
        <w:tc>
          <w:tcPr>
            <w:tcW w:w="501" w:type="pct"/>
            <w:tcBorders>
              <w:tl2br w:val="nil"/>
              <w:tr2bl w:val="nil"/>
            </w:tcBorders>
            <w:shd w:val="clear" w:color="auto" w:fill="auto"/>
            <w:vAlign w:val="center"/>
          </w:tcPr>
          <w:p w14:paraId="413951FC">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5.0</w:t>
            </w:r>
          </w:p>
        </w:tc>
        <w:tc>
          <w:tcPr>
            <w:tcW w:w="501" w:type="pct"/>
            <w:tcBorders>
              <w:tl2br w:val="nil"/>
              <w:tr2bl w:val="nil"/>
            </w:tcBorders>
            <w:shd w:val="clear" w:color="auto" w:fill="auto"/>
            <w:vAlign w:val="center"/>
          </w:tcPr>
          <w:p w14:paraId="108274DC">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9.0</w:t>
            </w:r>
          </w:p>
        </w:tc>
        <w:tc>
          <w:tcPr>
            <w:tcW w:w="501" w:type="pct"/>
            <w:tcBorders>
              <w:tl2br w:val="nil"/>
              <w:tr2bl w:val="nil"/>
            </w:tcBorders>
            <w:shd w:val="clear" w:color="auto" w:fill="auto"/>
            <w:vAlign w:val="center"/>
          </w:tcPr>
          <w:p w14:paraId="46C4B523">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22.9</w:t>
            </w:r>
          </w:p>
        </w:tc>
        <w:tc>
          <w:tcPr>
            <w:tcW w:w="469" w:type="pct"/>
            <w:tcBorders>
              <w:tl2br w:val="nil"/>
              <w:tr2bl w:val="nil"/>
            </w:tcBorders>
            <w:shd w:val="clear" w:color="auto" w:fill="auto"/>
            <w:vAlign w:val="center"/>
          </w:tcPr>
          <w:p w14:paraId="0BA726A3">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76.6</w:t>
            </w:r>
          </w:p>
        </w:tc>
      </w:tr>
      <w:tr w14:paraId="4EE1BB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14:paraId="11C2108A">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30</w:t>
            </w:r>
          </w:p>
        </w:tc>
        <w:tc>
          <w:tcPr>
            <w:tcW w:w="661" w:type="pct"/>
            <w:tcBorders>
              <w:tl2br w:val="nil"/>
              <w:tr2bl w:val="nil"/>
            </w:tcBorders>
            <w:shd w:val="clear" w:color="auto" w:fill="auto"/>
            <w:vAlign w:val="center"/>
          </w:tcPr>
          <w:p w14:paraId="348166B5">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70</w:t>
            </w:r>
          </w:p>
        </w:tc>
        <w:tc>
          <w:tcPr>
            <w:tcW w:w="448" w:type="pct"/>
            <w:tcBorders>
              <w:tl2br w:val="nil"/>
              <w:tr2bl w:val="nil"/>
            </w:tcBorders>
            <w:shd w:val="clear" w:color="auto" w:fill="auto"/>
            <w:vAlign w:val="center"/>
          </w:tcPr>
          <w:p w14:paraId="7140D45E">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0.1</w:t>
            </w:r>
          </w:p>
        </w:tc>
        <w:tc>
          <w:tcPr>
            <w:tcW w:w="471" w:type="pct"/>
            <w:tcBorders>
              <w:tl2br w:val="nil"/>
              <w:tr2bl w:val="nil"/>
            </w:tcBorders>
            <w:shd w:val="clear" w:color="auto" w:fill="auto"/>
            <w:vAlign w:val="center"/>
          </w:tcPr>
          <w:p w14:paraId="64BDE3FE">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0.3</w:t>
            </w:r>
          </w:p>
        </w:tc>
        <w:tc>
          <w:tcPr>
            <w:tcW w:w="471" w:type="pct"/>
            <w:tcBorders>
              <w:tl2br w:val="nil"/>
              <w:tr2bl w:val="nil"/>
            </w:tcBorders>
            <w:shd w:val="clear" w:color="auto" w:fill="auto"/>
            <w:vAlign w:val="center"/>
          </w:tcPr>
          <w:p w14:paraId="188002E2">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w:t>
            </w:r>
          </w:p>
        </w:tc>
        <w:tc>
          <w:tcPr>
            <w:tcW w:w="471" w:type="pct"/>
            <w:tcBorders>
              <w:tl2br w:val="nil"/>
              <w:tr2bl w:val="nil"/>
            </w:tcBorders>
            <w:shd w:val="clear" w:color="auto" w:fill="auto"/>
            <w:vAlign w:val="center"/>
          </w:tcPr>
          <w:p w14:paraId="4D831C86">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3.1</w:t>
            </w:r>
          </w:p>
        </w:tc>
        <w:tc>
          <w:tcPr>
            <w:tcW w:w="501" w:type="pct"/>
            <w:tcBorders>
              <w:tl2br w:val="nil"/>
              <w:tr2bl w:val="nil"/>
            </w:tcBorders>
            <w:shd w:val="clear" w:color="auto" w:fill="auto"/>
            <w:vAlign w:val="center"/>
          </w:tcPr>
          <w:p w14:paraId="2604A8A6">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7.4</w:t>
            </w:r>
          </w:p>
        </w:tc>
        <w:tc>
          <w:tcPr>
            <w:tcW w:w="501" w:type="pct"/>
            <w:tcBorders>
              <w:tl2br w:val="nil"/>
              <w:tr2bl w:val="nil"/>
            </w:tcBorders>
            <w:shd w:val="clear" w:color="auto" w:fill="auto"/>
            <w:vAlign w:val="center"/>
          </w:tcPr>
          <w:p w14:paraId="552863AA">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12.7</w:t>
            </w:r>
          </w:p>
        </w:tc>
        <w:tc>
          <w:tcPr>
            <w:tcW w:w="501" w:type="pct"/>
            <w:tcBorders>
              <w:tl2br w:val="nil"/>
              <w:tr2bl w:val="nil"/>
            </w:tcBorders>
            <w:shd w:val="clear" w:color="auto" w:fill="auto"/>
            <w:vAlign w:val="center"/>
          </w:tcPr>
          <w:p w14:paraId="6F1D27B9">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23.1</w:t>
            </w:r>
          </w:p>
        </w:tc>
        <w:tc>
          <w:tcPr>
            <w:tcW w:w="469" w:type="pct"/>
            <w:tcBorders>
              <w:tl2br w:val="nil"/>
              <w:tr2bl w:val="nil"/>
            </w:tcBorders>
            <w:shd w:val="clear" w:color="auto" w:fill="auto"/>
            <w:vAlign w:val="center"/>
          </w:tcPr>
          <w:p w14:paraId="7205471F">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59.3</w:t>
            </w:r>
          </w:p>
        </w:tc>
      </w:tr>
      <w:tr w14:paraId="2B2109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14:paraId="2BA8B120">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15</w:t>
            </w:r>
          </w:p>
        </w:tc>
        <w:tc>
          <w:tcPr>
            <w:tcW w:w="661" w:type="pct"/>
            <w:tcBorders>
              <w:tl2br w:val="nil"/>
              <w:tr2bl w:val="nil"/>
            </w:tcBorders>
            <w:shd w:val="clear" w:color="auto" w:fill="auto"/>
            <w:vAlign w:val="center"/>
          </w:tcPr>
          <w:p w14:paraId="41484A0C">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20</w:t>
            </w:r>
          </w:p>
        </w:tc>
        <w:tc>
          <w:tcPr>
            <w:tcW w:w="448" w:type="pct"/>
            <w:tcBorders>
              <w:tl2br w:val="nil"/>
              <w:tr2bl w:val="nil"/>
            </w:tcBorders>
            <w:shd w:val="clear" w:color="auto" w:fill="auto"/>
            <w:vAlign w:val="center"/>
          </w:tcPr>
          <w:p w14:paraId="17525FC4">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0.3</w:t>
            </w:r>
          </w:p>
        </w:tc>
        <w:tc>
          <w:tcPr>
            <w:tcW w:w="471" w:type="pct"/>
            <w:tcBorders>
              <w:tl2br w:val="nil"/>
              <w:tr2bl w:val="nil"/>
            </w:tcBorders>
            <w:shd w:val="clear" w:color="auto" w:fill="auto"/>
            <w:vAlign w:val="center"/>
          </w:tcPr>
          <w:p w14:paraId="25F69F80">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0.6</w:t>
            </w:r>
          </w:p>
        </w:tc>
        <w:tc>
          <w:tcPr>
            <w:tcW w:w="471" w:type="pct"/>
            <w:tcBorders>
              <w:tl2br w:val="nil"/>
              <w:tr2bl w:val="nil"/>
            </w:tcBorders>
            <w:shd w:val="clear" w:color="auto" w:fill="auto"/>
            <w:vAlign w:val="center"/>
          </w:tcPr>
          <w:p w14:paraId="20ED04FF">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1.2</w:t>
            </w:r>
          </w:p>
        </w:tc>
        <w:tc>
          <w:tcPr>
            <w:tcW w:w="471" w:type="pct"/>
            <w:tcBorders>
              <w:tl2br w:val="nil"/>
              <w:tr2bl w:val="nil"/>
            </w:tcBorders>
            <w:shd w:val="clear" w:color="auto" w:fill="auto"/>
            <w:vAlign w:val="center"/>
          </w:tcPr>
          <w:p w14:paraId="034DAE58">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2.7</w:t>
            </w:r>
          </w:p>
        </w:tc>
        <w:tc>
          <w:tcPr>
            <w:tcW w:w="501" w:type="pct"/>
            <w:tcBorders>
              <w:tl2br w:val="nil"/>
              <w:tr2bl w:val="nil"/>
            </w:tcBorders>
            <w:shd w:val="clear" w:color="auto" w:fill="auto"/>
            <w:vAlign w:val="center"/>
          </w:tcPr>
          <w:p w14:paraId="5CF0F5C8">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8.2</w:t>
            </w:r>
          </w:p>
        </w:tc>
        <w:tc>
          <w:tcPr>
            <w:tcW w:w="501" w:type="pct"/>
            <w:tcBorders>
              <w:tl2br w:val="nil"/>
              <w:tr2bl w:val="nil"/>
            </w:tcBorders>
            <w:shd w:val="clear" w:color="auto" w:fill="auto"/>
            <w:vAlign w:val="center"/>
          </w:tcPr>
          <w:p w14:paraId="4CDB635E">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28.2</w:t>
            </w:r>
          </w:p>
        </w:tc>
        <w:tc>
          <w:tcPr>
            <w:tcW w:w="501" w:type="pct"/>
            <w:tcBorders>
              <w:tl2br w:val="nil"/>
              <w:tr2bl w:val="nil"/>
            </w:tcBorders>
            <w:shd w:val="clear" w:color="auto" w:fill="auto"/>
            <w:vAlign w:val="center"/>
          </w:tcPr>
          <w:p w14:paraId="7464372A">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28.8</w:t>
            </w:r>
          </w:p>
        </w:tc>
        <w:tc>
          <w:tcPr>
            <w:tcW w:w="469" w:type="pct"/>
            <w:tcBorders>
              <w:tl2br w:val="nil"/>
              <w:tr2bl w:val="nil"/>
            </w:tcBorders>
            <w:shd w:val="clear" w:color="auto" w:fill="auto"/>
            <w:vAlign w:val="center"/>
          </w:tcPr>
          <w:p w14:paraId="6F00C9DD">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202.0</w:t>
            </w:r>
          </w:p>
        </w:tc>
      </w:tr>
      <w:tr w14:paraId="693988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14:paraId="078ECDCC">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15</w:t>
            </w:r>
          </w:p>
        </w:tc>
        <w:tc>
          <w:tcPr>
            <w:tcW w:w="661" w:type="pct"/>
            <w:tcBorders>
              <w:tl2br w:val="nil"/>
              <w:tr2bl w:val="nil"/>
            </w:tcBorders>
            <w:shd w:val="clear" w:color="auto" w:fill="auto"/>
            <w:vAlign w:val="center"/>
          </w:tcPr>
          <w:p w14:paraId="1211B61E">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50</w:t>
            </w:r>
          </w:p>
        </w:tc>
        <w:tc>
          <w:tcPr>
            <w:tcW w:w="448" w:type="pct"/>
            <w:tcBorders>
              <w:tl2br w:val="nil"/>
              <w:tr2bl w:val="nil"/>
            </w:tcBorders>
            <w:shd w:val="clear" w:color="auto" w:fill="auto"/>
            <w:vAlign w:val="center"/>
          </w:tcPr>
          <w:p w14:paraId="0F6CFE14">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0.1</w:t>
            </w:r>
          </w:p>
        </w:tc>
        <w:tc>
          <w:tcPr>
            <w:tcW w:w="471" w:type="pct"/>
            <w:tcBorders>
              <w:tl2br w:val="nil"/>
              <w:tr2bl w:val="nil"/>
            </w:tcBorders>
            <w:shd w:val="clear" w:color="auto" w:fill="auto"/>
            <w:vAlign w:val="center"/>
          </w:tcPr>
          <w:p w14:paraId="52AB0B09">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0.5</w:t>
            </w:r>
          </w:p>
        </w:tc>
        <w:tc>
          <w:tcPr>
            <w:tcW w:w="471" w:type="pct"/>
            <w:tcBorders>
              <w:tl2br w:val="nil"/>
              <w:tr2bl w:val="nil"/>
            </w:tcBorders>
            <w:shd w:val="clear" w:color="auto" w:fill="auto"/>
            <w:vAlign w:val="center"/>
          </w:tcPr>
          <w:p w14:paraId="4DEF0973">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1.2</w:t>
            </w:r>
          </w:p>
        </w:tc>
        <w:tc>
          <w:tcPr>
            <w:tcW w:w="471" w:type="pct"/>
            <w:tcBorders>
              <w:tl2br w:val="nil"/>
              <w:tr2bl w:val="nil"/>
            </w:tcBorders>
            <w:shd w:val="clear" w:color="auto" w:fill="auto"/>
            <w:vAlign w:val="center"/>
          </w:tcPr>
          <w:p w14:paraId="4F510029">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2.2</w:t>
            </w:r>
          </w:p>
        </w:tc>
        <w:tc>
          <w:tcPr>
            <w:tcW w:w="501" w:type="pct"/>
            <w:tcBorders>
              <w:tl2br w:val="nil"/>
              <w:tr2bl w:val="nil"/>
            </w:tcBorders>
            <w:shd w:val="clear" w:color="auto" w:fill="auto"/>
            <w:vAlign w:val="center"/>
          </w:tcPr>
          <w:p w14:paraId="7F0F253D">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4.2</w:t>
            </w:r>
          </w:p>
        </w:tc>
        <w:tc>
          <w:tcPr>
            <w:tcW w:w="501" w:type="pct"/>
            <w:tcBorders>
              <w:tl2br w:val="nil"/>
              <w:tr2bl w:val="nil"/>
            </w:tcBorders>
            <w:shd w:val="clear" w:color="auto" w:fill="auto"/>
            <w:vAlign w:val="center"/>
          </w:tcPr>
          <w:p w14:paraId="73C3DE9E">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10.8</w:t>
            </w:r>
          </w:p>
        </w:tc>
        <w:tc>
          <w:tcPr>
            <w:tcW w:w="501" w:type="pct"/>
            <w:tcBorders>
              <w:tl2br w:val="nil"/>
              <w:tr2bl w:val="nil"/>
            </w:tcBorders>
            <w:shd w:val="clear" w:color="auto" w:fill="auto"/>
            <w:vAlign w:val="center"/>
          </w:tcPr>
          <w:p w14:paraId="3DF88AF5">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36.2</w:t>
            </w:r>
          </w:p>
        </w:tc>
        <w:tc>
          <w:tcPr>
            <w:tcW w:w="469" w:type="pct"/>
            <w:tcBorders>
              <w:tl2br w:val="nil"/>
              <w:tr2bl w:val="nil"/>
            </w:tcBorders>
            <w:shd w:val="clear" w:color="auto" w:fill="auto"/>
            <w:vAlign w:val="center"/>
          </w:tcPr>
          <w:p w14:paraId="4975D4A8">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129.0</w:t>
            </w:r>
          </w:p>
        </w:tc>
      </w:tr>
      <w:tr w14:paraId="1A2D92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500" w:type="pct"/>
            <w:tcBorders>
              <w:tl2br w:val="nil"/>
              <w:tr2bl w:val="nil"/>
            </w:tcBorders>
            <w:shd w:val="clear" w:color="auto" w:fill="auto"/>
            <w:vAlign w:val="center"/>
          </w:tcPr>
          <w:p w14:paraId="617B1C06">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15</w:t>
            </w:r>
          </w:p>
        </w:tc>
        <w:tc>
          <w:tcPr>
            <w:tcW w:w="661" w:type="pct"/>
            <w:tcBorders>
              <w:tl2br w:val="nil"/>
              <w:tr2bl w:val="nil"/>
            </w:tcBorders>
            <w:shd w:val="clear" w:color="auto" w:fill="auto"/>
            <w:vAlign w:val="center"/>
          </w:tcPr>
          <w:p w14:paraId="3FF934E2">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80</w:t>
            </w:r>
          </w:p>
        </w:tc>
        <w:tc>
          <w:tcPr>
            <w:tcW w:w="448" w:type="pct"/>
            <w:tcBorders>
              <w:tl2br w:val="nil"/>
              <w:tr2bl w:val="nil"/>
            </w:tcBorders>
            <w:shd w:val="clear" w:color="auto" w:fill="auto"/>
            <w:vAlign w:val="center"/>
          </w:tcPr>
          <w:p w14:paraId="5D941CFD">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0.1</w:t>
            </w:r>
          </w:p>
        </w:tc>
        <w:tc>
          <w:tcPr>
            <w:tcW w:w="471" w:type="pct"/>
            <w:tcBorders>
              <w:tl2br w:val="nil"/>
              <w:tr2bl w:val="nil"/>
            </w:tcBorders>
            <w:shd w:val="clear" w:color="auto" w:fill="auto"/>
            <w:vAlign w:val="center"/>
          </w:tcPr>
          <w:p w14:paraId="0D7BB1CA">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0.3</w:t>
            </w:r>
          </w:p>
        </w:tc>
        <w:tc>
          <w:tcPr>
            <w:tcW w:w="471" w:type="pct"/>
            <w:tcBorders>
              <w:tl2br w:val="nil"/>
              <w:tr2bl w:val="nil"/>
            </w:tcBorders>
            <w:shd w:val="clear" w:color="auto" w:fill="auto"/>
            <w:vAlign w:val="center"/>
          </w:tcPr>
          <w:p w14:paraId="53380CE0">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1.1</w:t>
            </w:r>
          </w:p>
        </w:tc>
        <w:tc>
          <w:tcPr>
            <w:tcW w:w="471" w:type="pct"/>
            <w:tcBorders>
              <w:tl2br w:val="nil"/>
              <w:tr2bl w:val="nil"/>
            </w:tcBorders>
            <w:shd w:val="clear" w:color="auto" w:fill="auto"/>
            <w:vAlign w:val="center"/>
          </w:tcPr>
          <w:p w14:paraId="1B3782E8">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2.4</w:t>
            </w:r>
          </w:p>
        </w:tc>
        <w:tc>
          <w:tcPr>
            <w:tcW w:w="501" w:type="pct"/>
            <w:tcBorders>
              <w:tl2br w:val="nil"/>
              <w:tr2bl w:val="nil"/>
            </w:tcBorders>
            <w:shd w:val="clear" w:color="auto" w:fill="auto"/>
            <w:vAlign w:val="center"/>
          </w:tcPr>
          <w:p w14:paraId="4D81B6FD">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4.1</w:t>
            </w:r>
          </w:p>
        </w:tc>
        <w:tc>
          <w:tcPr>
            <w:tcW w:w="501" w:type="pct"/>
            <w:tcBorders>
              <w:tl2br w:val="nil"/>
              <w:tr2bl w:val="nil"/>
            </w:tcBorders>
            <w:shd w:val="clear" w:color="auto" w:fill="auto"/>
            <w:vAlign w:val="center"/>
          </w:tcPr>
          <w:p w14:paraId="737CF9A4">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8.3</w:t>
            </w:r>
          </w:p>
        </w:tc>
        <w:tc>
          <w:tcPr>
            <w:tcW w:w="501" w:type="pct"/>
            <w:tcBorders>
              <w:tl2br w:val="nil"/>
              <w:tr2bl w:val="nil"/>
            </w:tcBorders>
            <w:shd w:val="clear" w:color="auto" w:fill="auto"/>
            <w:vAlign w:val="center"/>
          </w:tcPr>
          <w:p w14:paraId="274AC5F2">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23.7</w:t>
            </w:r>
          </w:p>
        </w:tc>
        <w:tc>
          <w:tcPr>
            <w:tcW w:w="469" w:type="pct"/>
            <w:tcBorders>
              <w:tl2br w:val="nil"/>
              <w:tr2bl w:val="nil"/>
            </w:tcBorders>
            <w:shd w:val="clear" w:color="auto" w:fill="auto"/>
            <w:vAlign w:val="center"/>
          </w:tcPr>
          <w:p w14:paraId="069AAFBE">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82.8</w:t>
            </w:r>
          </w:p>
        </w:tc>
      </w:tr>
    </w:tbl>
    <w:p w14:paraId="2717C140">
      <w:pPr>
        <w:spacing w:line="500" w:lineRule="exact"/>
        <w:ind w:firstLine="480"/>
        <w:rPr>
          <w:rFonts w:hint="eastAsia" w:ascii="Times New Roman" w:hAnsi="Times New Roman" w:eastAsia="宋体"/>
          <w:color w:val="auto"/>
          <w:highlight w:val="none"/>
          <w:lang w:eastAsia="zh-CN"/>
        </w:rPr>
      </w:pPr>
      <w:r>
        <w:rPr>
          <w:rFonts w:hint="eastAsia" w:ascii="Times New Roman" w:hAnsi="Times New Roman" w:eastAsia="宋体" w:cs="宋体"/>
          <w:color w:val="auto"/>
          <w:highlight w:val="none"/>
        </w:rPr>
        <w:t>③</w:t>
      </w:r>
      <w:r>
        <w:rPr>
          <w:rFonts w:ascii="Times New Roman" w:hAnsi="Times New Roman" w:eastAsia="宋体"/>
          <w:color w:val="auto"/>
          <w:highlight w:val="none"/>
        </w:rPr>
        <w:t>地面效应衰减</w:t>
      </w:r>
      <w:r>
        <w:rPr>
          <w:rFonts w:hint="eastAsia"/>
          <w:color w:val="auto"/>
          <w:highlight w:val="none"/>
          <w:lang w:eastAsia="zh-CN"/>
        </w:rPr>
        <w:t>（</w:t>
      </w:r>
      <w:r>
        <w:rPr>
          <w:rFonts w:ascii="Times New Roman" w:hAnsi="Times New Roman" w:eastAsia="宋体"/>
          <w:color w:val="auto"/>
          <w:highlight w:val="none"/>
        </w:rPr>
        <w:t>Agr</w:t>
      </w:r>
      <w:r>
        <w:rPr>
          <w:rFonts w:hint="eastAsia"/>
          <w:color w:val="auto"/>
          <w:highlight w:val="none"/>
          <w:lang w:eastAsia="zh-CN"/>
        </w:rPr>
        <w:t>）</w:t>
      </w:r>
    </w:p>
    <w:p w14:paraId="2E72D82F">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地面类型可分为：</w:t>
      </w:r>
    </w:p>
    <w:p w14:paraId="1554E03C">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A、坚实地面，包括铺筑过的路面、水面、冰面以及夯实地面。</w:t>
      </w:r>
    </w:p>
    <w:p w14:paraId="7C57C383">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B、疏松地面，包括被草或其他植物覆盖的地面，以及农田等适合于植物生长的地面。</w:t>
      </w:r>
    </w:p>
    <w:p w14:paraId="08153E12">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C、混合地面，由坚实地面和疏松地面组成。</w:t>
      </w:r>
    </w:p>
    <w:p w14:paraId="6FBD07AE">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声波越过疏松地面传播时，或大部分为疏松地面的混合地面，在预测点仅计算A声级前提下，地面效应引起的倍频带衰减可用下列公式计算。</w:t>
      </w:r>
    </w:p>
    <w:p w14:paraId="097412E1">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43232" behindDoc="0" locked="0" layoutInCell="1" allowOverlap="1">
            <wp:simplePos x="0" y="0"/>
            <wp:positionH relativeFrom="column">
              <wp:posOffset>1345565</wp:posOffset>
            </wp:positionH>
            <wp:positionV relativeFrom="paragraph">
              <wp:posOffset>34925</wp:posOffset>
            </wp:positionV>
            <wp:extent cx="1914525" cy="428625"/>
            <wp:effectExtent l="0" t="0" r="9525" b="9525"/>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914525" cy="428625"/>
                    </a:xfrm>
                    <a:prstGeom prst="rect">
                      <a:avLst/>
                    </a:prstGeom>
                    <a:noFill/>
                    <a:ln>
                      <a:noFill/>
                    </a:ln>
                  </pic:spPr>
                </pic:pic>
              </a:graphicData>
            </a:graphic>
          </wp:anchor>
        </w:drawing>
      </w:r>
    </w:p>
    <w:p w14:paraId="0B0484D0">
      <w:pPr>
        <w:spacing w:line="500" w:lineRule="exact"/>
        <w:ind w:firstLine="480"/>
        <w:jc w:val="right"/>
        <w:rPr>
          <w:rFonts w:ascii="Times New Roman" w:hAnsi="Times New Roman" w:eastAsia="宋体"/>
          <w:color w:val="auto"/>
          <w:highlight w:val="none"/>
        </w:rPr>
      </w:pPr>
      <w:bookmarkStart w:id="201" w:name="_Toc2094"/>
      <w:bookmarkStart w:id="202" w:name="_Toc1070"/>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.19）</w:t>
      </w:r>
      <w:bookmarkEnd w:id="201"/>
      <w:bookmarkEnd w:id="202"/>
    </w:p>
    <w:p w14:paraId="48A4AAF3">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14:paraId="7C09F54A">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r--声源到预测点的距离，m；</w:t>
      </w:r>
    </w:p>
    <w:p w14:paraId="24D5F91B">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hm--传播路径的平均离地高度，m；hm=F/r；F：面积，m2；r，m；</w:t>
      </w:r>
    </w:p>
    <w:p w14:paraId="7F011FBC">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若A</w:t>
      </w:r>
      <w:r>
        <w:rPr>
          <w:rFonts w:ascii="Times New Roman" w:hAnsi="Times New Roman" w:eastAsia="宋体"/>
          <w:color w:val="auto"/>
          <w:highlight w:val="none"/>
          <w:vertAlign w:val="subscript"/>
        </w:rPr>
        <w:t>gr</w:t>
      </w:r>
      <w:r>
        <w:rPr>
          <w:rFonts w:ascii="Times New Roman" w:hAnsi="Times New Roman" w:eastAsia="宋体"/>
          <w:color w:val="auto"/>
          <w:highlight w:val="none"/>
        </w:rPr>
        <w:t>计算出负值，则A</w:t>
      </w:r>
      <w:r>
        <w:rPr>
          <w:rFonts w:ascii="Times New Roman" w:hAnsi="Times New Roman" w:eastAsia="宋体"/>
          <w:color w:val="auto"/>
          <w:highlight w:val="none"/>
          <w:vertAlign w:val="subscript"/>
        </w:rPr>
        <w:t>gr</w:t>
      </w:r>
      <w:r>
        <w:rPr>
          <w:rFonts w:ascii="Times New Roman" w:hAnsi="Times New Roman" w:eastAsia="宋体"/>
          <w:color w:val="auto"/>
          <w:highlight w:val="none"/>
        </w:rPr>
        <w:t>可用</w:t>
      </w:r>
      <w:r>
        <w:rPr>
          <w:rFonts w:hint="eastAsia"/>
          <w:color w:val="auto"/>
          <w:highlight w:val="none"/>
          <w:lang w:eastAsia="zh-CN"/>
        </w:rPr>
        <w:t>”</w:t>
      </w:r>
      <w:r>
        <w:rPr>
          <w:rFonts w:ascii="Times New Roman" w:hAnsi="Times New Roman" w:eastAsia="宋体"/>
          <w:color w:val="auto"/>
          <w:highlight w:val="none"/>
        </w:rPr>
        <w:t>0</w:t>
      </w:r>
      <w:r>
        <w:rPr>
          <w:rFonts w:hint="eastAsia"/>
          <w:color w:val="auto"/>
          <w:highlight w:val="none"/>
          <w:lang w:eastAsia="zh-CN"/>
        </w:rPr>
        <w:t>”</w:t>
      </w:r>
      <w:r>
        <w:rPr>
          <w:rFonts w:ascii="Times New Roman" w:hAnsi="Times New Roman" w:eastAsia="宋体"/>
          <w:color w:val="auto"/>
          <w:highlight w:val="none"/>
        </w:rPr>
        <w:t>代替。</w:t>
      </w:r>
    </w:p>
    <w:p w14:paraId="6288E94C">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其他情况可参照GB/T17247.2进行计算。</w:t>
      </w:r>
    </w:p>
    <w:p w14:paraId="2FFD46B0">
      <w:pPr>
        <w:spacing w:line="500" w:lineRule="exact"/>
        <w:ind w:firstLine="480"/>
        <w:rPr>
          <w:rFonts w:hint="eastAsia" w:ascii="Times New Roman" w:hAnsi="Times New Roman" w:eastAsia="宋体"/>
          <w:color w:val="auto"/>
          <w:highlight w:val="none"/>
          <w:lang w:eastAsia="zh-CN"/>
        </w:rPr>
      </w:pPr>
      <w:r>
        <w:rPr>
          <w:rFonts w:hint="eastAsia" w:ascii="Times New Roman" w:hAnsi="Times New Roman" w:eastAsia="宋体" w:cs="宋体"/>
          <w:color w:val="auto"/>
          <w:highlight w:val="none"/>
        </w:rPr>
        <w:t>④</w:t>
      </w:r>
      <w:r>
        <w:rPr>
          <w:rFonts w:ascii="Times New Roman" w:hAnsi="Times New Roman" w:eastAsia="宋体"/>
          <w:color w:val="auto"/>
          <w:highlight w:val="none"/>
        </w:rPr>
        <w:t>屏障引起的衰减</w:t>
      </w:r>
      <w:r>
        <w:rPr>
          <w:rFonts w:hint="eastAsia"/>
          <w:color w:val="auto"/>
          <w:highlight w:val="none"/>
          <w:lang w:eastAsia="zh-CN"/>
        </w:rPr>
        <w:t>（</w:t>
      </w:r>
      <w:r>
        <w:rPr>
          <w:rFonts w:ascii="Times New Roman" w:hAnsi="Times New Roman" w:eastAsia="宋体"/>
          <w:color w:val="auto"/>
          <w:highlight w:val="none"/>
        </w:rPr>
        <w:t>A</w:t>
      </w:r>
      <w:r>
        <w:rPr>
          <w:rFonts w:ascii="Times New Roman" w:hAnsi="Times New Roman" w:eastAsia="宋体"/>
          <w:color w:val="auto"/>
          <w:highlight w:val="none"/>
          <w:vertAlign w:val="subscript"/>
        </w:rPr>
        <w:t>bar</w:t>
      </w:r>
      <w:r>
        <w:rPr>
          <w:rFonts w:hint="eastAsia"/>
          <w:color w:val="auto"/>
          <w:highlight w:val="none"/>
          <w:lang w:eastAsia="zh-CN"/>
        </w:rPr>
        <w:t>）</w:t>
      </w:r>
    </w:p>
    <w:p w14:paraId="47E7AD21">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位于声源和预测点之间的实体障碍物，如围墙、建筑物、土坡或地堑等起声屏障作用，从而引起声能量的较大衰减。在环境影响评价中，可将各种形式的屏障简化为具有一定高度的薄屏障。</w:t>
      </w:r>
    </w:p>
    <w:p w14:paraId="40D8D19A">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S、O、P三点在同一平面内且垂直于地面。</w:t>
      </w:r>
    </w:p>
    <w:p w14:paraId="4DD8F481">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定义δ=SO＋OP－SP为声程差，N=2δ/λ为菲涅尔数，其中λ为声波波长。</w:t>
      </w:r>
    </w:p>
    <w:p w14:paraId="6ED56DDF">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在噪声预测中，声屏障插入损失的计算方法应需要根据实际情况作简化处理。</w:t>
      </w:r>
    </w:p>
    <w:p w14:paraId="6076A902">
      <w:pPr>
        <w:spacing w:line="500" w:lineRule="exact"/>
        <w:ind w:firstLine="480"/>
        <w:rPr>
          <w:rFonts w:ascii="Times New Roman" w:hAnsi="Times New Roman" w:eastAsia="宋体"/>
          <w:color w:val="auto"/>
          <w:highlight w:val="none"/>
        </w:rPr>
      </w:pPr>
      <w:bookmarkStart w:id="203" w:name="_Toc20959"/>
      <w:bookmarkStart w:id="204" w:name="_Toc26353"/>
      <w:r>
        <w:rPr>
          <w:rFonts w:ascii="Times New Roman" w:hAnsi="Times New Roman" w:eastAsia="宋体"/>
          <w:color w:val="auto"/>
          <w:highlight w:val="none"/>
        </w:rPr>
        <w:t>A、有限长薄屏障在点声源声场中引起的衰减计算</w:t>
      </w:r>
      <w:bookmarkEnd w:id="203"/>
      <w:bookmarkEnd w:id="204"/>
    </w:p>
    <w:p w14:paraId="03BA9042">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首先计算三个传播途径的声程差δ1、δ2、δ3和相应的菲涅尔数N1、N2、N3；声屏障引起的衰减公式为：</w:t>
      </w:r>
    </w:p>
    <w:p w14:paraId="4721BED6">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pict>
          <v:shape id="Picture 4366" o:spid="_x0000_s2074" o:spt="75" type="#_x0000_t75" style="position:absolute;left:0pt;margin-left:117pt;margin-top:-4.8pt;height:37.5pt;width:197.25pt;z-index:251726848;mso-width-relative:page;mso-height-relative:page;" o:ole="t" fillcolor="#000005" filled="f" o:preferrelative="t" stroked="f" coordsize="21600,21600">
            <v:path/>
            <v:fill on="f" focussize="0,0"/>
            <v:stroke on="f" joinstyle="miter"/>
            <v:imagedata r:id="rId81" o:title=""/>
            <o:lock v:ext="edit" aspectratio="t"/>
          </v:shape>
          <o:OLEObject Type="Embed" ProgID="Equation.3" ShapeID="Picture 4366" DrawAspect="Content" ObjectID="_1468075738" r:id="rId80">
            <o:LockedField>false</o:LockedField>
          </o:OLEObject>
        </w:pict>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.20）</w:t>
      </w:r>
    </w:p>
    <w:p w14:paraId="13F0A1DF">
      <w:pPr>
        <w:spacing w:line="500" w:lineRule="exact"/>
        <w:ind w:firstLine="480"/>
        <w:rPr>
          <w:rFonts w:ascii="Times New Roman" w:hAnsi="Times New Roman" w:eastAsia="宋体"/>
          <w:color w:val="auto"/>
          <w:highlight w:val="none"/>
        </w:rPr>
      </w:pPr>
      <w:bookmarkStart w:id="205" w:name="_Toc14662"/>
      <w:bookmarkStart w:id="206" w:name="_Toc16443"/>
      <w:r>
        <w:rPr>
          <w:rFonts w:ascii="Times New Roman" w:hAnsi="Times New Roman" w:eastAsia="宋体"/>
          <w:color w:val="auto"/>
          <w:highlight w:val="none"/>
        </w:rPr>
        <w:t>B、双绕射计算</w:t>
      </w:r>
      <w:bookmarkEnd w:id="205"/>
      <w:bookmarkEnd w:id="206"/>
    </w:p>
    <w:p w14:paraId="1820A552">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对于双绕射情景，可由下列公式计算绕射声与直达声之间的声程差δ：</w:t>
      </w:r>
    </w:p>
    <w:p w14:paraId="3B6FA7C8">
      <w:pPr>
        <w:spacing w:line="500" w:lineRule="exact"/>
        <w:ind w:firstLine="480"/>
        <w:jc w:val="right"/>
        <w:rPr>
          <w:rFonts w:ascii="Times New Roman" w:hAnsi="Times New Roman" w:eastAsia="宋体"/>
          <w:color w:val="auto"/>
          <w:highlight w:val="none"/>
        </w:rPr>
      </w:pPr>
      <w:r>
        <w:rPr>
          <w:rFonts w:ascii="Times New Roman" w:hAnsi="Times New Roman" w:eastAsia="宋体"/>
          <w:color w:val="auto"/>
          <w:highlight w:val="none"/>
        </w:rPr>
        <w:drawing>
          <wp:anchor distT="0" distB="0" distL="114300" distR="114300" simplePos="0" relativeHeight="251742208" behindDoc="0" locked="0" layoutInCell="1" allowOverlap="1">
            <wp:simplePos x="0" y="0"/>
            <wp:positionH relativeFrom="column">
              <wp:posOffset>2051685</wp:posOffset>
            </wp:positionH>
            <wp:positionV relativeFrom="paragraph">
              <wp:posOffset>100965</wp:posOffset>
            </wp:positionV>
            <wp:extent cx="1819275" cy="314325"/>
            <wp:effectExtent l="0" t="0" r="9525" b="9525"/>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819275" cy="314325"/>
                    </a:xfrm>
                    <a:prstGeom prst="rect">
                      <a:avLst/>
                    </a:prstGeom>
                    <a:noFill/>
                    <a:ln>
                      <a:noFill/>
                    </a:ln>
                  </pic:spPr>
                </pic:pic>
              </a:graphicData>
            </a:graphic>
          </wp:anchor>
        </w:drawing>
      </w:r>
      <w:r>
        <w:rPr>
          <w:rFonts w:ascii="Times New Roman" w:hAnsi="Times New Roman" w:eastAsia="宋体"/>
          <w:color w:val="auto"/>
          <w:highlight w:val="none"/>
        </w:rPr>
        <w:t>………（</w:t>
      </w:r>
      <w:r>
        <w:rPr>
          <w:rFonts w:hint="eastAsia" w:ascii="Times New Roman" w:hAnsi="Times New Roman" w:eastAsia="宋体"/>
          <w:color w:val="auto"/>
          <w:highlight w:val="none"/>
        </w:rPr>
        <w:t>A</w:t>
      </w:r>
      <w:r>
        <w:rPr>
          <w:rFonts w:ascii="Times New Roman" w:hAnsi="Times New Roman" w:eastAsia="宋体"/>
          <w:color w:val="auto"/>
          <w:highlight w:val="none"/>
        </w:rPr>
        <w:t>.21）</w:t>
      </w:r>
    </w:p>
    <w:p w14:paraId="0A30CEEB">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式中：</w:t>
      </w:r>
    </w:p>
    <w:p w14:paraId="42D5AF7F">
      <w:pPr>
        <w:spacing w:line="500" w:lineRule="exact"/>
        <w:ind w:firstLine="991" w:firstLineChars="413"/>
        <w:rPr>
          <w:rFonts w:ascii="Times New Roman" w:hAnsi="Times New Roman" w:eastAsia="宋体"/>
          <w:color w:val="auto"/>
          <w:highlight w:val="none"/>
        </w:rPr>
      </w:pPr>
      <w:r>
        <w:rPr>
          <w:rFonts w:ascii="Times New Roman" w:hAnsi="Times New Roman" w:eastAsia="宋体"/>
          <w:color w:val="auto"/>
          <w:highlight w:val="none"/>
        </w:rPr>
        <w:t>a--声源和接收点之间的距离在平行于屏障上边界的投影长度，m。</w:t>
      </w:r>
    </w:p>
    <w:p w14:paraId="4FBFC8C2">
      <w:pPr>
        <w:spacing w:line="500" w:lineRule="exact"/>
        <w:ind w:firstLine="991" w:firstLineChars="413"/>
        <w:rPr>
          <w:rFonts w:ascii="Times New Roman" w:hAnsi="Times New Roman" w:eastAsia="宋体"/>
          <w:color w:val="auto"/>
          <w:highlight w:val="none"/>
        </w:rPr>
      </w:pPr>
      <w:r>
        <w:rPr>
          <w:rFonts w:ascii="Times New Roman" w:hAnsi="Times New Roman" w:eastAsia="宋体"/>
          <w:color w:val="auto"/>
          <w:highlight w:val="none"/>
        </w:rPr>
        <w:t>d</w:t>
      </w:r>
      <w:r>
        <w:rPr>
          <w:rFonts w:ascii="Times New Roman" w:hAnsi="Times New Roman" w:eastAsia="宋体"/>
          <w:color w:val="auto"/>
          <w:highlight w:val="none"/>
          <w:vertAlign w:val="subscript"/>
        </w:rPr>
        <w:t>ss</w:t>
      </w:r>
      <w:r>
        <w:rPr>
          <w:rFonts w:ascii="Times New Roman" w:hAnsi="Times New Roman" w:eastAsia="宋体"/>
          <w:color w:val="auto"/>
          <w:highlight w:val="none"/>
        </w:rPr>
        <w:t>--声源到第一绕射边的距离，m。</w:t>
      </w:r>
    </w:p>
    <w:p w14:paraId="5C653047">
      <w:pPr>
        <w:spacing w:line="500" w:lineRule="exact"/>
        <w:ind w:firstLine="991" w:firstLineChars="413"/>
        <w:rPr>
          <w:rFonts w:ascii="Times New Roman" w:hAnsi="Times New Roman" w:eastAsia="宋体"/>
          <w:color w:val="auto"/>
          <w:highlight w:val="none"/>
        </w:rPr>
      </w:pPr>
      <w:r>
        <w:rPr>
          <w:rFonts w:ascii="Times New Roman" w:hAnsi="Times New Roman" w:eastAsia="宋体"/>
          <w:color w:val="auto"/>
          <w:highlight w:val="none"/>
        </w:rPr>
        <w:t>d</w:t>
      </w:r>
      <w:r>
        <w:rPr>
          <w:rFonts w:ascii="Times New Roman" w:hAnsi="Times New Roman" w:eastAsia="宋体"/>
          <w:color w:val="auto"/>
          <w:highlight w:val="none"/>
          <w:vertAlign w:val="subscript"/>
        </w:rPr>
        <w:t>sr</w:t>
      </w:r>
      <w:r>
        <w:rPr>
          <w:rFonts w:ascii="Times New Roman" w:hAnsi="Times New Roman" w:eastAsia="宋体"/>
          <w:color w:val="auto"/>
          <w:highlight w:val="none"/>
        </w:rPr>
        <w:t>--（第二）绕射边到接收点的距离，m。</w:t>
      </w:r>
    </w:p>
    <w:p w14:paraId="24074399">
      <w:pPr>
        <w:spacing w:line="500" w:lineRule="exact"/>
        <w:ind w:firstLine="991" w:firstLineChars="413"/>
        <w:rPr>
          <w:rFonts w:ascii="Times New Roman" w:hAnsi="Times New Roman" w:eastAsia="宋体"/>
          <w:color w:val="auto"/>
          <w:highlight w:val="none"/>
        </w:rPr>
      </w:pPr>
      <w:r>
        <w:rPr>
          <w:rFonts w:ascii="Times New Roman" w:hAnsi="Times New Roman" w:eastAsia="宋体"/>
          <w:color w:val="auto"/>
          <w:highlight w:val="none"/>
        </w:rPr>
        <w:t>e--在双绕射情况下两个绕射边界之间的距离，m。</w:t>
      </w:r>
    </w:p>
    <w:p w14:paraId="20E69524">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屏障衰减A</w:t>
      </w:r>
      <w:r>
        <w:rPr>
          <w:rFonts w:ascii="Times New Roman" w:hAnsi="Times New Roman" w:eastAsia="宋体"/>
          <w:color w:val="auto"/>
          <w:highlight w:val="none"/>
          <w:vertAlign w:val="subscript"/>
        </w:rPr>
        <w:t>bar</w:t>
      </w:r>
      <w:r>
        <w:rPr>
          <w:rFonts w:ascii="Times New Roman" w:hAnsi="Times New Roman" w:eastAsia="宋体"/>
          <w:color w:val="auto"/>
          <w:highlight w:val="none"/>
        </w:rPr>
        <w:t>（相当于GB/T17247.2中的DZ）参照GB/T17247.2进行计算。</w:t>
      </w:r>
    </w:p>
    <w:p w14:paraId="5930356F">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在任何频带上，屏障衰减A</w:t>
      </w:r>
      <w:r>
        <w:rPr>
          <w:rFonts w:ascii="Times New Roman" w:hAnsi="Times New Roman" w:eastAsia="宋体"/>
          <w:color w:val="auto"/>
          <w:highlight w:val="none"/>
          <w:vertAlign w:val="subscript"/>
        </w:rPr>
        <w:t>bar</w:t>
      </w:r>
      <w:r>
        <w:rPr>
          <w:rFonts w:ascii="Times New Roman" w:hAnsi="Times New Roman" w:eastAsia="宋体"/>
          <w:color w:val="auto"/>
          <w:highlight w:val="none"/>
        </w:rPr>
        <w:t>在单绕射（即薄屏障）情况，衰减最大取20dB；屏障衰减A</w:t>
      </w:r>
      <w:r>
        <w:rPr>
          <w:rFonts w:ascii="Times New Roman" w:hAnsi="Times New Roman" w:eastAsia="宋体"/>
          <w:color w:val="auto"/>
          <w:highlight w:val="none"/>
          <w:vertAlign w:val="subscript"/>
        </w:rPr>
        <w:t>bar</w:t>
      </w:r>
      <w:r>
        <w:rPr>
          <w:rFonts w:ascii="Times New Roman" w:hAnsi="Times New Roman" w:eastAsia="宋体"/>
          <w:color w:val="auto"/>
          <w:highlight w:val="none"/>
        </w:rPr>
        <w:t>在双绕射（即厚屏障）情况，衰减最大取25dB。</w:t>
      </w:r>
    </w:p>
    <w:p w14:paraId="0BA5C792">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计算了屏障衰减后，不再考虑地面效应衰减。</w:t>
      </w:r>
    </w:p>
    <w:p w14:paraId="78385913">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3、防治措施</w:t>
      </w:r>
    </w:p>
    <w:p w14:paraId="08C06AA2">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（1）在设备选型上，应引进质量过关、通过质量认定的低噪声生产设备，主要设备要标明噪声的标准值，使其噪声控制在80-85dB（A）以下；</w:t>
      </w:r>
    </w:p>
    <w:p w14:paraId="27BEE7C0">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（2）新增设施基础加减振装置，以控制设备振动噪声；</w:t>
      </w:r>
    </w:p>
    <w:p w14:paraId="5153C16F">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（3）养殖中心内合理布局，使高噪声机泵远离厂界。</w:t>
      </w:r>
    </w:p>
    <w:p w14:paraId="5B826E5F">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4、预测结果及结论</w:t>
      </w:r>
    </w:p>
    <w:p w14:paraId="3F6BB967">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（1）预测结果</w:t>
      </w:r>
    </w:p>
    <w:p w14:paraId="588708CC">
      <w:pPr>
        <w:spacing w:line="500" w:lineRule="exact"/>
        <w:ind w:firstLine="504"/>
        <w:rPr>
          <w:rFonts w:ascii="Times New Roman" w:hAnsi="Times New Roman" w:eastAsia="宋体"/>
          <w:color w:val="auto"/>
          <w:spacing w:val="6"/>
          <w:highlight w:val="none"/>
        </w:rPr>
      </w:pPr>
      <w:r>
        <w:rPr>
          <w:rFonts w:ascii="Times New Roman" w:hAnsi="Times New Roman" w:eastAsia="宋体"/>
          <w:color w:val="auto"/>
          <w:spacing w:val="6"/>
          <w:highlight w:val="none"/>
        </w:rPr>
        <w:t>在采取防治措施情况下，</w:t>
      </w:r>
      <w:r>
        <w:rPr>
          <w:rFonts w:hint="eastAsia" w:ascii="Times New Roman" w:hAnsi="Times New Roman" w:eastAsia="宋体"/>
          <w:color w:val="auto"/>
          <w:spacing w:val="6"/>
          <w:highlight w:val="none"/>
        </w:rPr>
        <w:t>本项目运营期间</w:t>
      </w:r>
      <w:r>
        <w:rPr>
          <w:rFonts w:ascii="Times New Roman" w:hAnsi="Times New Roman" w:eastAsia="宋体"/>
          <w:color w:val="auto"/>
          <w:spacing w:val="6"/>
          <w:highlight w:val="none"/>
        </w:rPr>
        <w:t>噪声</w:t>
      </w:r>
      <w:r>
        <w:rPr>
          <w:rFonts w:hint="eastAsia" w:ascii="Times New Roman" w:hAnsi="Times New Roman" w:eastAsia="宋体"/>
          <w:color w:val="auto"/>
          <w:spacing w:val="6"/>
          <w:highlight w:val="none"/>
        </w:rPr>
        <w:t>对</w:t>
      </w:r>
      <w:r>
        <w:rPr>
          <w:rFonts w:ascii="Times New Roman" w:hAnsi="Times New Roman" w:eastAsia="宋体"/>
          <w:color w:val="auto"/>
          <w:spacing w:val="6"/>
          <w:highlight w:val="none"/>
        </w:rPr>
        <w:t>厂界噪声贡献</w:t>
      </w:r>
      <w:r>
        <w:rPr>
          <w:rFonts w:hint="eastAsia" w:ascii="Times New Roman" w:hAnsi="Times New Roman" w:eastAsia="宋体"/>
          <w:color w:val="auto"/>
          <w:spacing w:val="6"/>
          <w:highlight w:val="none"/>
        </w:rPr>
        <w:t>值按有限线声源公式附录A</w:t>
      </w:r>
      <w:r>
        <w:rPr>
          <w:rFonts w:ascii="Times New Roman" w:hAnsi="Times New Roman" w:eastAsia="宋体"/>
          <w:color w:val="auto"/>
          <w:spacing w:val="6"/>
          <w:highlight w:val="none"/>
        </w:rPr>
        <w:t>.14</w:t>
      </w:r>
      <w:r>
        <w:rPr>
          <w:rFonts w:hint="eastAsia" w:ascii="Times New Roman" w:hAnsi="Times New Roman" w:eastAsia="宋体"/>
          <w:color w:val="auto"/>
          <w:spacing w:val="6"/>
          <w:highlight w:val="none"/>
        </w:rPr>
        <w:t>计算:</w:t>
      </w:r>
    </w:p>
    <w:p w14:paraId="560E7A4F">
      <w:pPr>
        <w:spacing w:line="240" w:lineRule="auto"/>
        <w:ind w:firstLine="480"/>
        <w:rPr>
          <w:rFonts w:ascii="Times New Roman" w:hAnsi="Times New Roman" w:eastAsia="宋体"/>
          <w:color w:val="auto"/>
          <w:spacing w:val="6"/>
          <w:highlight w:val="none"/>
        </w:rPr>
      </w:pPr>
      <w:r>
        <w:rPr>
          <w:rFonts w:ascii="Times New Roman" w:hAnsi="Times New Roman" w:eastAsia="宋体"/>
          <w:color w:val="auto"/>
          <w:highlight w:val="none"/>
        </w:rPr>
        <w:drawing>
          <wp:inline distT="0" distB="0" distL="0" distR="0">
            <wp:extent cx="4836160" cy="468630"/>
            <wp:effectExtent l="0" t="0" r="254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83"/>
                    <a:stretch>
                      <a:fillRect/>
                    </a:stretch>
                  </pic:blipFill>
                  <pic:spPr>
                    <a:xfrm>
                      <a:off x="0" y="0"/>
                      <a:ext cx="4904681" cy="475352"/>
                    </a:xfrm>
                    <a:prstGeom prst="rect">
                      <a:avLst/>
                    </a:prstGeom>
                  </pic:spPr>
                </pic:pic>
              </a:graphicData>
            </a:graphic>
          </wp:inline>
        </w:drawing>
      </w:r>
    </w:p>
    <w:p w14:paraId="131CC28E">
      <w:pPr>
        <w:spacing w:line="500" w:lineRule="exact"/>
        <w:ind w:firstLine="504"/>
        <w:rPr>
          <w:rFonts w:ascii="Times New Roman" w:hAnsi="Times New Roman" w:eastAsia="宋体"/>
          <w:color w:val="auto"/>
          <w:spacing w:val="6"/>
          <w:highlight w:val="none"/>
        </w:rPr>
      </w:pPr>
      <w:r>
        <w:rPr>
          <w:rFonts w:hint="eastAsia" w:ascii="Times New Roman" w:hAnsi="Times New Roman" w:eastAsia="宋体"/>
          <w:color w:val="auto"/>
          <w:spacing w:val="6"/>
          <w:highlight w:val="none"/>
        </w:rPr>
        <w:t>计算结果</w:t>
      </w:r>
      <w:r>
        <w:rPr>
          <w:rFonts w:ascii="Times New Roman" w:hAnsi="Times New Roman" w:eastAsia="宋体"/>
          <w:color w:val="auto"/>
          <w:spacing w:val="6"/>
          <w:highlight w:val="none"/>
        </w:rPr>
        <w:t>见表5.2-</w:t>
      </w:r>
      <w:r>
        <w:rPr>
          <w:rFonts w:hint="eastAsia" w:ascii="Times New Roman" w:hAnsi="Times New Roman" w:eastAsia="宋体"/>
          <w:color w:val="auto"/>
          <w:spacing w:val="6"/>
          <w:highlight w:val="none"/>
          <w:lang w:val="en-US" w:eastAsia="zh-CN"/>
        </w:rPr>
        <w:t>17</w:t>
      </w:r>
      <w:r>
        <w:rPr>
          <w:rFonts w:hint="eastAsia" w:ascii="Times New Roman" w:hAnsi="Times New Roman" w:eastAsia="宋体"/>
          <w:color w:val="auto"/>
          <w:spacing w:val="6"/>
          <w:highlight w:val="none"/>
        </w:rPr>
        <w:t>。</w:t>
      </w:r>
    </w:p>
    <w:p w14:paraId="549DC2AF">
      <w:pPr>
        <w:pStyle w:val="150"/>
        <w:ind w:firstLine="480"/>
        <w:rPr>
          <w:rFonts w:ascii="Times New Roman" w:hAnsi="Times New Roman" w:eastAsia="宋体"/>
          <w:b/>
          <w:bCs/>
          <w:color w:val="auto"/>
          <w:highlight w:val="none"/>
        </w:rPr>
      </w:pPr>
      <w:r>
        <w:rPr>
          <w:rFonts w:ascii="Times New Roman" w:hAnsi="Times New Roman" w:eastAsia="宋体"/>
          <w:b/>
          <w:bCs/>
          <w:color w:val="auto"/>
          <w:highlight w:val="none"/>
        </w:rPr>
        <w:t>表5.2-</w:t>
      </w:r>
      <w:r>
        <w:rPr>
          <w:rFonts w:hint="eastAsia" w:ascii="Times New Roman" w:hAnsi="Times New Roman" w:eastAsia="宋体"/>
          <w:b/>
          <w:bCs/>
          <w:color w:val="auto"/>
          <w:highlight w:val="none"/>
          <w:lang w:val="en-US" w:eastAsia="zh-CN"/>
        </w:rPr>
        <w:t>17</w:t>
      </w:r>
      <w:r>
        <w:rPr>
          <w:rFonts w:hint="eastAsia" w:ascii="Times New Roman" w:hAnsi="Times New Roman" w:eastAsia="宋体"/>
          <w:b/>
          <w:bCs/>
          <w:color w:val="auto"/>
          <w:highlight w:val="none"/>
        </w:rPr>
        <w:t>运营期</w:t>
      </w:r>
      <w:r>
        <w:rPr>
          <w:rFonts w:ascii="Times New Roman" w:hAnsi="Times New Roman" w:eastAsia="宋体"/>
          <w:b/>
          <w:bCs/>
          <w:color w:val="auto"/>
          <w:highlight w:val="none"/>
        </w:rPr>
        <w:t>厂界噪声预测值[dB</w:t>
      </w:r>
      <w:r>
        <w:rPr>
          <w:rFonts w:hint="eastAsia" w:eastAsia="宋体"/>
          <w:b/>
          <w:bCs/>
          <w:color w:val="auto"/>
          <w:highlight w:val="none"/>
          <w:lang w:eastAsia="zh-CN"/>
        </w:rPr>
        <w:t>（</w:t>
      </w:r>
      <w:r>
        <w:rPr>
          <w:rFonts w:ascii="Times New Roman" w:hAnsi="Times New Roman" w:eastAsia="宋体"/>
          <w:b/>
          <w:bCs/>
          <w:color w:val="auto"/>
          <w:highlight w:val="none"/>
        </w:rPr>
        <w:t>A</w:t>
      </w:r>
      <w:r>
        <w:rPr>
          <w:rFonts w:hint="eastAsia" w:eastAsia="宋体"/>
          <w:b/>
          <w:bCs/>
          <w:color w:val="auto"/>
          <w:highlight w:val="none"/>
          <w:lang w:eastAsia="zh-CN"/>
        </w:rPr>
        <w:t>）</w:t>
      </w:r>
      <w:r>
        <w:rPr>
          <w:rFonts w:ascii="Times New Roman" w:hAnsi="Times New Roman" w:eastAsia="宋体"/>
          <w:b/>
          <w:bCs/>
          <w:color w:val="auto"/>
          <w:highlight w:val="none"/>
        </w:rPr>
        <w:t>]</w:t>
      </w:r>
    </w:p>
    <w:tbl>
      <w:tblPr>
        <w:tblStyle w:val="34"/>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033"/>
        <w:gridCol w:w="1147"/>
        <w:gridCol w:w="1164"/>
        <w:gridCol w:w="1459"/>
        <w:gridCol w:w="1600"/>
        <w:gridCol w:w="2119"/>
      </w:tblGrid>
      <w:tr w14:paraId="7AC04A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85" w:hRule="atLeast"/>
          <w:jc w:val="center"/>
        </w:trPr>
        <w:tc>
          <w:tcPr>
            <w:tcW w:w="606" w:type="pct"/>
            <w:tcBorders>
              <w:tl2br w:val="nil"/>
              <w:tr2bl w:val="nil"/>
            </w:tcBorders>
            <w:shd w:val="clear" w:color="auto" w:fill="auto"/>
            <w:vAlign w:val="center"/>
          </w:tcPr>
          <w:p w14:paraId="6BC9B00B">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序号</w:t>
            </w:r>
          </w:p>
        </w:tc>
        <w:tc>
          <w:tcPr>
            <w:tcW w:w="673" w:type="pct"/>
            <w:tcBorders>
              <w:tl2br w:val="nil"/>
              <w:tr2bl w:val="nil"/>
            </w:tcBorders>
            <w:shd w:val="clear" w:color="auto" w:fill="auto"/>
            <w:vAlign w:val="center"/>
          </w:tcPr>
          <w:p w14:paraId="70536954">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时段</w:t>
            </w:r>
          </w:p>
        </w:tc>
        <w:tc>
          <w:tcPr>
            <w:tcW w:w="683" w:type="pct"/>
            <w:tcBorders>
              <w:tl2br w:val="nil"/>
              <w:tr2bl w:val="nil"/>
            </w:tcBorders>
            <w:vAlign w:val="center"/>
          </w:tcPr>
          <w:p w14:paraId="13948990">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源强</w:t>
            </w:r>
          </w:p>
        </w:tc>
        <w:tc>
          <w:tcPr>
            <w:tcW w:w="856" w:type="pct"/>
            <w:tcBorders>
              <w:tl2br w:val="nil"/>
              <w:tr2bl w:val="nil"/>
            </w:tcBorders>
            <w:vAlign w:val="center"/>
          </w:tcPr>
          <w:p w14:paraId="05C655E7">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l</w:t>
            </w:r>
            <w:r>
              <w:rPr>
                <w:rFonts w:ascii="Times New Roman" w:hAnsi="Times New Roman" w:eastAsia="宋体"/>
                <w:b w:val="0"/>
                <w:bCs w:val="0"/>
                <w:color w:val="auto"/>
                <w:szCs w:val="21"/>
                <w:highlight w:val="none"/>
                <w:vertAlign w:val="subscript"/>
              </w:rPr>
              <w:t>0</w:t>
            </w:r>
          </w:p>
        </w:tc>
        <w:tc>
          <w:tcPr>
            <w:tcW w:w="939" w:type="pct"/>
            <w:tcBorders>
              <w:tl2br w:val="nil"/>
              <w:tr2bl w:val="nil"/>
            </w:tcBorders>
            <w:vAlign w:val="center"/>
          </w:tcPr>
          <w:p w14:paraId="6ECBAC8C">
            <w:pPr>
              <w:pStyle w:val="144"/>
              <w:spacing w:line="240" w:lineRule="auto"/>
              <w:ind w:firstLine="0" w:firstLineChars="0"/>
              <w:jc w:val="center"/>
              <w:rPr>
                <w:rFonts w:hint="eastAsia" w:ascii="Times New Roman" w:hAnsi="Times New Roman" w:eastAsia="宋体"/>
                <w:b w:val="0"/>
                <w:bCs w:val="0"/>
                <w:color w:val="auto"/>
                <w:szCs w:val="21"/>
                <w:highlight w:val="none"/>
                <w:lang w:eastAsia="zh-CN"/>
              </w:rPr>
            </w:pPr>
            <w:r>
              <w:rPr>
                <w:rFonts w:hint="eastAsia" w:ascii="Times New Roman" w:hAnsi="Times New Roman" w:eastAsia="宋体"/>
                <w:b w:val="0"/>
                <w:bCs w:val="0"/>
                <w:color w:val="auto"/>
                <w:szCs w:val="21"/>
                <w:highlight w:val="none"/>
              </w:rPr>
              <w:t>距离</w:t>
            </w:r>
            <w:r>
              <w:rPr>
                <w:rFonts w:hint="eastAsia"/>
                <w:b w:val="0"/>
                <w:bCs w:val="0"/>
                <w:color w:val="auto"/>
                <w:szCs w:val="21"/>
                <w:highlight w:val="none"/>
                <w:lang w:eastAsia="zh-CN"/>
              </w:rPr>
              <w:t>（</w:t>
            </w:r>
            <w:r>
              <w:rPr>
                <w:rFonts w:ascii="Times New Roman" w:hAnsi="Times New Roman" w:eastAsia="宋体"/>
                <w:b w:val="0"/>
                <w:bCs w:val="0"/>
                <w:color w:val="auto"/>
                <w:szCs w:val="21"/>
                <w:highlight w:val="none"/>
              </w:rPr>
              <w:t>r</w:t>
            </w:r>
            <w:r>
              <w:rPr>
                <w:rFonts w:hint="eastAsia"/>
                <w:b w:val="0"/>
                <w:bCs w:val="0"/>
                <w:color w:val="auto"/>
                <w:szCs w:val="21"/>
                <w:highlight w:val="none"/>
                <w:lang w:eastAsia="zh-CN"/>
              </w:rPr>
              <w:t>）</w:t>
            </w:r>
          </w:p>
        </w:tc>
        <w:tc>
          <w:tcPr>
            <w:tcW w:w="1243" w:type="pct"/>
            <w:tcBorders>
              <w:tl2br w:val="nil"/>
              <w:tr2bl w:val="nil"/>
            </w:tcBorders>
            <w:shd w:val="clear" w:color="auto" w:fill="auto"/>
            <w:vAlign w:val="center"/>
          </w:tcPr>
          <w:p w14:paraId="50FE3F6D">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贡献值</w:t>
            </w:r>
          </w:p>
        </w:tc>
      </w:tr>
      <w:tr w14:paraId="64D554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606" w:type="pct"/>
            <w:tcBorders>
              <w:tl2br w:val="nil"/>
              <w:tr2bl w:val="nil"/>
            </w:tcBorders>
            <w:shd w:val="clear" w:color="auto" w:fill="auto"/>
            <w:vAlign w:val="center"/>
          </w:tcPr>
          <w:p w14:paraId="38CAE1D2">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北厂界</w:t>
            </w:r>
          </w:p>
        </w:tc>
        <w:tc>
          <w:tcPr>
            <w:tcW w:w="673" w:type="pct"/>
            <w:tcBorders>
              <w:tl2br w:val="nil"/>
              <w:tr2bl w:val="nil"/>
            </w:tcBorders>
            <w:shd w:val="clear" w:color="auto" w:fill="auto"/>
            <w:vAlign w:val="center"/>
          </w:tcPr>
          <w:p w14:paraId="4CA3C6CF">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r>
              <w:rPr>
                <w:rFonts w:hint="eastAsia" w:ascii="Times New Roman" w:hAnsi="Times New Roman" w:eastAsia="宋体"/>
                <w:b w:val="0"/>
                <w:bCs w:val="0"/>
                <w:color w:val="auto"/>
                <w:szCs w:val="21"/>
                <w:highlight w:val="none"/>
              </w:rPr>
              <w:t>、夜</w:t>
            </w:r>
          </w:p>
        </w:tc>
        <w:tc>
          <w:tcPr>
            <w:tcW w:w="683" w:type="pct"/>
            <w:tcBorders>
              <w:tl2br w:val="nil"/>
              <w:tr2bl w:val="nil"/>
            </w:tcBorders>
            <w:vAlign w:val="center"/>
          </w:tcPr>
          <w:p w14:paraId="47D1D38E">
            <w:pPr>
              <w:pStyle w:val="144"/>
              <w:spacing w:line="240" w:lineRule="auto"/>
              <w:ind w:firstLine="0" w:firstLineChars="0"/>
              <w:jc w:val="center"/>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val="en-US" w:eastAsia="zh-CN"/>
              </w:rPr>
              <w:t>60</w:t>
            </w:r>
          </w:p>
        </w:tc>
        <w:tc>
          <w:tcPr>
            <w:tcW w:w="856" w:type="pct"/>
            <w:tcBorders>
              <w:tl2br w:val="nil"/>
              <w:tr2bl w:val="nil"/>
            </w:tcBorders>
            <w:vAlign w:val="center"/>
          </w:tcPr>
          <w:p w14:paraId="1D014603">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5</w:t>
            </w:r>
            <w:r>
              <w:rPr>
                <w:rFonts w:ascii="Times New Roman" w:hAnsi="Times New Roman" w:eastAsia="宋体"/>
                <w:b w:val="0"/>
                <w:bCs w:val="0"/>
                <w:color w:val="auto"/>
                <w:szCs w:val="21"/>
                <w:highlight w:val="none"/>
              </w:rPr>
              <w:t>0</w:t>
            </w:r>
          </w:p>
        </w:tc>
        <w:tc>
          <w:tcPr>
            <w:tcW w:w="939" w:type="pct"/>
            <w:tcBorders>
              <w:tl2br w:val="nil"/>
              <w:tr2bl w:val="nil"/>
            </w:tcBorders>
            <w:vAlign w:val="center"/>
          </w:tcPr>
          <w:p w14:paraId="654A5502">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w:t>
            </w:r>
          </w:p>
        </w:tc>
        <w:tc>
          <w:tcPr>
            <w:tcW w:w="1243" w:type="pct"/>
            <w:tcBorders>
              <w:tl2br w:val="nil"/>
              <w:tr2bl w:val="nil"/>
            </w:tcBorders>
            <w:shd w:val="clear" w:color="auto" w:fill="auto"/>
            <w:vAlign w:val="center"/>
          </w:tcPr>
          <w:p w14:paraId="6FC25AA7">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54.54</w:t>
            </w:r>
          </w:p>
        </w:tc>
      </w:tr>
      <w:tr w14:paraId="089B4F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606" w:type="pct"/>
            <w:tcBorders>
              <w:tl2br w:val="nil"/>
              <w:tr2bl w:val="nil"/>
            </w:tcBorders>
            <w:shd w:val="clear" w:color="auto" w:fill="auto"/>
            <w:vAlign w:val="center"/>
          </w:tcPr>
          <w:p w14:paraId="27F58DCF">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西厂界</w:t>
            </w:r>
          </w:p>
        </w:tc>
        <w:tc>
          <w:tcPr>
            <w:tcW w:w="673" w:type="pct"/>
            <w:tcBorders>
              <w:tl2br w:val="nil"/>
              <w:tr2bl w:val="nil"/>
            </w:tcBorders>
            <w:shd w:val="clear" w:color="auto" w:fill="auto"/>
            <w:vAlign w:val="center"/>
          </w:tcPr>
          <w:p w14:paraId="0CC161CE">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r>
              <w:rPr>
                <w:rFonts w:hint="eastAsia" w:ascii="Times New Roman" w:hAnsi="Times New Roman" w:eastAsia="宋体"/>
                <w:b w:val="0"/>
                <w:bCs w:val="0"/>
                <w:color w:val="auto"/>
                <w:szCs w:val="21"/>
                <w:highlight w:val="none"/>
              </w:rPr>
              <w:t>、夜</w:t>
            </w:r>
          </w:p>
        </w:tc>
        <w:tc>
          <w:tcPr>
            <w:tcW w:w="683" w:type="pct"/>
            <w:tcBorders>
              <w:tl2br w:val="nil"/>
              <w:tr2bl w:val="nil"/>
            </w:tcBorders>
            <w:vAlign w:val="center"/>
          </w:tcPr>
          <w:p w14:paraId="50C62307">
            <w:pPr>
              <w:pStyle w:val="144"/>
              <w:spacing w:line="240" w:lineRule="auto"/>
              <w:ind w:firstLine="0" w:firstLineChars="0"/>
              <w:jc w:val="center"/>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val="en-US" w:eastAsia="zh-CN"/>
              </w:rPr>
              <w:t>60</w:t>
            </w:r>
          </w:p>
        </w:tc>
        <w:tc>
          <w:tcPr>
            <w:tcW w:w="856" w:type="pct"/>
            <w:tcBorders>
              <w:tl2br w:val="nil"/>
              <w:tr2bl w:val="nil"/>
            </w:tcBorders>
            <w:vAlign w:val="center"/>
          </w:tcPr>
          <w:p w14:paraId="2B4B1237">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240</w:t>
            </w:r>
          </w:p>
        </w:tc>
        <w:tc>
          <w:tcPr>
            <w:tcW w:w="939" w:type="pct"/>
            <w:tcBorders>
              <w:tl2br w:val="nil"/>
              <w:tr2bl w:val="nil"/>
            </w:tcBorders>
            <w:vAlign w:val="center"/>
          </w:tcPr>
          <w:p w14:paraId="7A82323E">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20</w:t>
            </w:r>
          </w:p>
        </w:tc>
        <w:tc>
          <w:tcPr>
            <w:tcW w:w="1243" w:type="pct"/>
            <w:tcBorders>
              <w:tl2br w:val="nil"/>
              <w:tr2bl w:val="nil"/>
            </w:tcBorders>
            <w:shd w:val="clear" w:color="auto" w:fill="auto"/>
            <w:vAlign w:val="center"/>
          </w:tcPr>
          <w:p w14:paraId="704A516C">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53.05</w:t>
            </w:r>
          </w:p>
        </w:tc>
      </w:tr>
      <w:tr w14:paraId="56F464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606" w:type="pct"/>
            <w:tcBorders>
              <w:tl2br w:val="nil"/>
              <w:tr2bl w:val="nil"/>
            </w:tcBorders>
            <w:shd w:val="clear" w:color="auto" w:fill="auto"/>
            <w:vAlign w:val="center"/>
          </w:tcPr>
          <w:p w14:paraId="7B6869C6">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南厂界</w:t>
            </w:r>
          </w:p>
        </w:tc>
        <w:tc>
          <w:tcPr>
            <w:tcW w:w="673" w:type="pct"/>
            <w:tcBorders>
              <w:tl2br w:val="nil"/>
              <w:tr2bl w:val="nil"/>
            </w:tcBorders>
            <w:shd w:val="clear" w:color="auto" w:fill="auto"/>
            <w:vAlign w:val="center"/>
          </w:tcPr>
          <w:p w14:paraId="6FEBDC53">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r>
              <w:rPr>
                <w:rFonts w:hint="eastAsia" w:ascii="Times New Roman" w:hAnsi="Times New Roman" w:eastAsia="宋体"/>
                <w:b w:val="0"/>
                <w:bCs w:val="0"/>
                <w:color w:val="auto"/>
                <w:szCs w:val="21"/>
                <w:highlight w:val="none"/>
              </w:rPr>
              <w:t>、夜</w:t>
            </w:r>
          </w:p>
        </w:tc>
        <w:tc>
          <w:tcPr>
            <w:tcW w:w="683" w:type="pct"/>
            <w:tcBorders>
              <w:tl2br w:val="nil"/>
              <w:tr2bl w:val="nil"/>
            </w:tcBorders>
            <w:vAlign w:val="center"/>
          </w:tcPr>
          <w:p w14:paraId="7C186E4A">
            <w:pPr>
              <w:pStyle w:val="144"/>
              <w:spacing w:line="240" w:lineRule="auto"/>
              <w:ind w:firstLine="0" w:firstLineChars="0"/>
              <w:jc w:val="center"/>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val="en-US" w:eastAsia="zh-CN"/>
              </w:rPr>
              <w:t>60</w:t>
            </w:r>
          </w:p>
        </w:tc>
        <w:tc>
          <w:tcPr>
            <w:tcW w:w="856" w:type="pct"/>
            <w:tcBorders>
              <w:tl2br w:val="nil"/>
              <w:tr2bl w:val="nil"/>
            </w:tcBorders>
            <w:vAlign w:val="center"/>
          </w:tcPr>
          <w:p w14:paraId="724EFD4A">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5</w:t>
            </w:r>
            <w:r>
              <w:rPr>
                <w:rFonts w:ascii="Times New Roman" w:hAnsi="Times New Roman" w:eastAsia="宋体"/>
                <w:b w:val="0"/>
                <w:bCs w:val="0"/>
                <w:color w:val="auto"/>
                <w:szCs w:val="21"/>
                <w:highlight w:val="none"/>
              </w:rPr>
              <w:t>0</w:t>
            </w:r>
          </w:p>
        </w:tc>
        <w:tc>
          <w:tcPr>
            <w:tcW w:w="939" w:type="pct"/>
            <w:tcBorders>
              <w:tl2br w:val="nil"/>
              <w:tr2bl w:val="nil"/>
            </w:tcBorders>
            <w:vAlign w:val="center"/>
          </w:tcPr>
          <w:p w14:paraId="4E8AAD32">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120</w:t>
            </w:r>
          </w:p>
        </w:tc>
        <w:tc>
          <w:tcPr>
            <w:tcW w:w="1243" w:type="pct"/>
            <w:tcBorders>
              <w:tl2br w:val="nil"/>
              <w:tr2bl w:val="nil"/>
            </w:tcBorders>
            <w:shd w:val="clear" w:color="auto" w:fill="auto"/>
            <w:vAlign w:val="center"/>
          </w:tcPr>
          <w:p w14:paraId="2F671354">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36.92</w:t>
            </w:r>
          </w:p>
        </w:tc>
      </w:tr>
      <w:tr w14:paraId="4926B4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606" w:type="pct"/>
            <w:tcBorders>
              <w:tl2br w:val="nil"/>
              <w:tr2bl w:val="nil"/>
            </w:tcBorders>
            <w:shd w:val="clear" w:color="auto" w:fill="auto"/>
            <w:vAlign w:val="center"/>
          </w:tcPr>
          <w:p w14:paraId="05C287D9">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东厂界</w:t>
            </w:r>
          </w:p>
        </w:tc>
        <w:tc>
          <w:tcPr>
            <w:tcW w:w="673" w:type="pct"/>
            <w:tcBorders>
              <w:tl2br w:val="nil"/>
              <w:tr2bl w:val="nil"/>
            </w:tcBorders>
            <w:shd w:val="clear" w:color="auto" w:fill="auto"/>
            <w:vAlign w:val="center"/>
          </w:tcPr>
          <w:p w14:paraId="31866A1C">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r>
              <w:rPr>
                <w:rFonts w:hint="eastAsia" w:ascii="Times New Roman" w:hAnsi="Times New Roman" w:eastAsia="宋体"/>
                <w:b w:val="0"/>
                <w:bCs w:val="0"/>
                <w:color w:val="auto"/>
                <w:szCs w:val="21"/>
                <w:highlight w:val="none"/>
              </w:rPr>
              <w:t>、夜</w:t>
            </w:r>
          </w:p>
        </w:tc>
        <w:tc>
          <w:tcPr>
            <w:tcW w:w="683" w:type="pct"/>
            <w:tcBorders>
              <w:tl2br w:val="nil"/>
              <w:tr2bl w:val="nil"/>
            </w:tcBorders>
            <w:vAlign w:val="center"/>
          </w:tcPr>
          <w:p w14:paraId="47B8FE8F">
            <w:pPr>
              <w:pStyle w:val="144"/>
              <w:spacing w:line="240" w:lineRule="auto"/>
              <w:ind w:firstLine="0" w:firstLineChars="0"/>
              <w:jc w:val="center"/>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val="en-US" w:eastAsia="zh-CN"/>
              </w:rPr>
              <w:t>60</w:t>
            </w:r>
          </w:p>
        </w:tc>
        <w:tc>
          <w:tcPr>
            <w:tcW w:w="856" w:type="pct"/>
            <w:tcBorders>
              <w:tl2br w:val="nil"/>
              <w:tr2bl w:val="nil"/>
            </w:tcBorders>
            <w:vAlign w:val="center"/>
          </w:tcPr>
          <w:p w14:paraId="0954A08C">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2</w:t>
            </w:r>
            <w:r>
              <w:rPr>
                <w:rFonts w:ascii="Times New Roman" w:hAnsi="Times New Roman" w:eastAsia="宋体"/>
                <w:b w:val="0"/>
                <w:bCs w:val="0"/>
                <w:color w:val="auto"/>
                <w:szCs w:val="21"/>
                <w:highlight w:val="none"/>
              </w:rPr>
              <w:t>40</w:t>
            </w:r>
          </w:p>
        </w:tc>
        <w:tc>
          <w:tcPr>
            <w:tcW w:w="939" w:type="pct"/>
            <w:tcBorders>
              <w:tl2br w:val="nil"/>
              <w:tr2bl w:val="nil"/>
            </w:tcBorders>
            <w:vAlign w:val="center"/>
          </w:tcPr>
          <w:p w14:paraId="3C349844">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10</w:t>
            </w:r>
          </w:p>
        </w:tc>
        <w:tc>
          <w:tcPr>
            <w:tcW w:w="1243" w:type="pct"/>
            <w:tcBorders>
              <w:tl2br w:val="nil"/>
              <w:tr2bl w:val="nil"/>
            </w:tcBorders>
            <w:shd w:val="clear" w:color="auto" w:fill="auto"/>
            <w:vAlign w:val="center"/>
          </w:tcPr>
          <w:p w14:paraId="62432203">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54.91</w:t>
            </w:r>
          </w:p>
        </w:tc>
      </w:tr>
    </w:tbl>
    <w:p w14:paraId="71DBFCDE">
      <w:pPr>
        <w:spacing w:line="500" w:lineRule="exact"/>
        <w:ind w:firstLine="504"/>
        <w:rPr>
          <w:rFonts w:ascii="Times New Roman" w:hAnsi="Times New Roman" w:eastAsia="宋体"/>
          <w:color w:val="auto"/>
          <w:spacing w:val="6"/>
          <w:highlight w:val="none"/>
        </w:rPr>
      </w:pPr>
      <w:r>
        <w:rPr>
          <w:rFonts w:hint="eastAsia" w:ascii="Times New Roman" w:hAnsi="Times New Roman" w:eastAsia="宋体"/>
          <w:color w:val="auto"/>
          <w:spacing w:val="6"/>
          <w:highlight w:val="none"/>
        </w:rPr>
        <w:t>施工期厂界噪声预测值按点声源半自由场A</w:t>
      </w:r>
      <w:r>
        <w:rPr>
          <w:rFonts w:ascii="Times New Roman" w:hAnsi="Times New Roman" w:eastAsia="宋体"/>
          <w:color w:val="auto"/>
          <w:spacing w:val="6"/>
          <w:highlight w:val="none"/>
        </w:rPr>
        <w:t>.9</w:t>
      </w:r>
      <w:r>
        <w:rPr>
          <w:rFonts w:hint="eastAsia" w:ascii="Times New Roman" w:hAnsi="Times New Roman" w:eastAsia="宋体"/>
          <w:color w:val="auto"/>
          <w:spacing w:val="6"/>
          <w:highlight w:val="none"/>
        </w:rPr>
        <w:t>计算：</w:t>
      </w:r>
    </w:p>
    <w:p w14:paraId="19E91686">
      <w:pPr>
        <w:spacing w:line="240" w:lineRule="auto"/>
        <w:ind w:firstLine="480"/>
        <w:jc w:val="center"/>
        <w:rPr>
          <w:rFonts w:ascii="Times New Roman" w:hAnsi="Times New Roman" w:eastAsia="宋体"/>
          <w:color w:val="auto"/>
          <w:spacing w:val="6"/>
          <w:highlight w:val="none"/>
        </w:rPr>
      </w:pPr>
      <w:r>
        <w:rPr>
          <w:rFonts w:ascii="Times New Roman" w:hAnsi="Times New Roman" w:eastAsia="宋体"/>
          <w:color w:val="auto"/>
          <w:spacing w:val="6"/>
          <w:highlight w:val="none"/>
        </w:rPr>
        <w:drawing>
          <wp:inline distT="0" distB="0" distL="0" distR="0">
            <wp:extent cx="3573145" cy="354965"/>
            <wp:effectExtent l="0" t="0" r="8255"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3716380" cy="369132"/>
                    </a:xfrm>
                    <a:prstGeom prst="rect">
                      <a:avLst/>
                    </a:prstGeom>
                  </pic:spPr>
                </pic:pic>
              </a:graphicData>
            </a:graphic>
          </wp:inline>
        </w:drawing>
      </w:r>
    </w:p>
    <w:p w14:paraId="58ED54EE">
      <w:pPr>
        <w:spacing w:line="500" w:lineRule="exact"/>
        <w:ind w:firstLine="504"/>
        <w:rPr>
          <w:rFonts w:ascii="Times New Roman" w:hAnsi="Times New Roman" w:eastAsia="宋体"/>
          <w:color w:val="auto"/>
          <w:highlight w:val="none"/>
        </w:rPr>
      </w:pPr>
      <w:r>
        <w:rPr>
          <w:rFonts w:hint="eastAsia" w:ascii="Times New Roman" w:hAnsi="Times New Roman" w:eastAsia="宋体"/>
          <w:color w:val="auto"/>
          <w:spacing w:val="6"/>
          <w:highlight w:val="none"/>
        </w:rPr>
        <w:t>见表5</w:t>
      </w:r>
      <w:r>
        <w:rPr>
          <w:rFonts w:ascii="Times New Roman" w:hAnsi="Times New Roman" w:eastAsia="宋体"/>
          <w:color w:val="auto"/>
          <w:spacing w:val="6"/>
          <w:highlight w:val="none"/>
        </w:rPr>
        <w:t>.2-</w:t>
      </w:r>
      <w:r>
        <w:rPr>
          <w:rFonts w:hint="eastAsia" w:ascii="Times New Roman" w:hAnsi="Times New Roman" w:eastAsia="宋体"/>
          <w:color w:val="auto"/>
          <w:spacing w:val="6"/>
          <w:highlight w:val="none"/>
          <w:lang w:val="en-US" w:eastAsia="zh-CN"/>
        </w:rPr>
        <w:t>18</w:t>
      </w:r>
      <w:r>
        <w:rPr>
          <w:rFonts w:ascii="Times New Roman" w:hAnsi="Times New Roman" w:eastAsia="宋体"/>
          <w:color w:val="auto"/>
          <w:spacing w:val="6"/>
          <w:highlight w:val="none"/>
        </w:rPr>
        <w:t>。</w:t>
      </w:r>
    </w:p>
    <w:p w14:paraId="2CEDA1A7">
      <w:pPr>
        <w:pStyle w:val="150"/>
        <w:ind w:firstLine="480"/>
        <w:rPr>
          <w:rFonts w:ascii="Times New Roman" w:hAnsi="Times New Roman" w:eastAsia="宋体"/>
          <w:b/>
          <w:bCs/>
          <w:color w:val="auto"/>
          <w:highlight w:val="none"/>
        </w:rPr>
      </w:pPr>
      <w:r>
        <w:rPr>
          <w:rFonts w:ascii="Times New Roman" w:hAnsi="Times New Roman" w:eastAsia="宋体"/>
          <w:b/>
          <w:bCs/>
          <w:color w:val="auto"/>
          <w:highlight w:val="none"/>
        </w:rPr>
        <w:t>表5.2-</w:t>
      </w:r>
      <w:r>
        <w:rPr>
          <w:rFonts w:hint="eastAsia" w:ascii="Times New Roman" w:hAnsi="Times New Roman" w:eastAsia="宋体"/>
          <w:b/>
          <w:bCs/>
          <w:color w:val="auto"/>
          <w:highlight w:val="none"/>
          <w:lang w:val="en-US" w:eastAsia="zh-CN"/>
        </w:rPr>
        <w:t>18</w:t>
      </w:r>
      <w:r>
        <w:rPr>
          <w:rFonts w:hint="eastAsia" w:ascii="Times New Roman" w:hAnsi="Times New Roman" w:eastAsia="宋体"/>
          <w:b/>
          <w:bCs/>
          <w:color w:val="auto"/>
          <w:highlight w:val="none"/>
        </w:rPr>
        <w:t>施工期</w:t>
      </w:r>
      <w:r>
        <w:rPr>
          <w:rFonts w:ascii="Times New Roman" w:hAnsi="Times New Roman" w:eastAsia="宋体"/>
          <w:b/>
          <w:bCs/>
          <w:color w:val="auto"/>
          <w:highlight w:val="none"/>
        </w:rPr>
        <w:t>厂界噪声预测值[dB</w:t>
      </w:r>
      <w:r>
        <w:rPr>
          <w:rFonts w:hint="eastAsia" w:eastAsia="宋体"/>
          <w:b/>
          <w:bCs/>
          <w:color w:val="auto"/>
          <w:highlight w:val="none"/>
          <w:lang w:eastAsia="zh-CN"/>
        </w:rPr>
        <w:t>（</w:t>
      </w:r>
      <w:r>
        <w:rPr>
          <w:rFonts w:ascii="Times New Roman" w:hAnsi="Times New Roman" w:eastAsia="宋体"/>
          <w:b/>
          <w:bCs/>
          <w:color w:val="auto"/>
          <w:highlight w:val="none"/>
        </w:rPr>
        <w:t>A</w:t>
      </w:r>
      <w:r>
        <w:rPr>
          <w:rFonts w:hint="eastAsia" w:eastAsia="宋体"/>
          <w:b/>
          <w:bCs/>
          <w:color w:val="auto"/>
          <w:highlight w:val="none"/>
          <w:lang w:eastAsia="zh-CN"/>
        </w:rPr>
        <w:t>）</w:t>
      </w:r>
      <w:r>
        <w:rPr>
          <w:rFonts w:ascii="Times New Roman" w:hAnsi="Times New Roman" w:eastAsia="宋体"/>
          <w:b/>
          <w:bCs/>
          <w:color w:val="auto"/>
          <w:highlight w:val="none"/>
        </w:rPr>
        <w:t>]</w:t>
      </w:r>
    </w:p>
    <w:tbl>
      <w:tblPr>
        <w:tblStyle w:val="34"/>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69"/>
        <w:gridCol w:w="2240"/>
        <w:gridCol w:w="1704"/>
        <w:gridCol w:w="1704"/>
        <w:gridCol w:w="1705"/>
      </w:tblGrid>
      <w:tr w14:paraId="0FCA2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5" w:hRule="atLeast"/>
          <w:jc w:val="center"/>
        </w:trPr>
        <w:tc>
          <w:tcPr>
            <w:tcW w:w="686" w:type="pct"/>
            <w:tcBorders>
              <w:tl2br w:val="nil"/>
              <w:tr2bl w:val="nil"/>
            </w:tcBorders>
            <w:shd w:val="clear" w:color="auto" w:fill="auto"/>
            <w:vAlign w:val="center"/>
          </w:tcPr>
          <w:p w14:paraId="07490F20">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序号</w:t>
            </w:r>
          </w:p>
        </w:tc>
        <w:tc>
          <w:tcPr>
            <w:tcW w:w="1314" w:type="pct"/>
            <w:tcBorders>
              <w:tl2br w:val="nil"/>
              <w:tr2bl w:val="nil"/>
            </w:tcBorders>
            <w:shd w:val="clear" w:color="auto" w:fill="auto"/>
            <w:vAlign w:val="center"/>
          </w:tcPr>
          <w:p w14:paraId="069A9145">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时段</w:t>
            </w:r>
          </w:p>
        </w:tc>
        <w:tc>
          <w:tcPr>
            <w:tcW w:w="1000" w:type="pct"/>
            <w:tcBorders>
              <w:tl2br w:val="nil"/>
              <w:tr2bl w:val="nil"/>
            </w:tcBorders>
            <w:vAlign w:val="center"/>
          </w:tcPr>
          <w:p w14:paraId="320A905F">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源强</w:t>
            </w:r>
          </w:p>
        </w:tc>
        <w:tc>
          <w:tcPr>
            <w:tcW w:w="1000" w:type="pct"/>
            <w:tcBorders>
              <w:tl2br w:val="nil"/>
              <w:tr2bl w:val="nil"/>
            </w:tcBorders>
            <w:vAlign w:val="center"/>
          </w:tcPr>
          <w:p w14:paraId="5AA40A48">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距离</w:t>
            </w:r>
          </w:p>
        </w:tc>
        <w:tc>
          <w:tcPr>
            <w:tcW w:w="1000" w:type="pct"/>
            <w:tcBorders>
              <w:tl2br w:val="nil"/>
              <w:tr2bl w:val="nil"/>
            </w:tcBorders>
            <w:shd w:val="clear" w:color="auto" w:fill="auto"/>
            <w:vAlign w:val="center"/>
          </w:tcPr>
          <w:p w14:paraId="11E9B28D">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贡献值</w:t>
            </w:r>
          </w:p>
        </w:tc>
      </w:tr>
      <w:tr w14:paraId="0F499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686" w:type="pct"/>
            <w:tcBorders>
              <w:tl2br w:val="nil"/>
              <w:tr2bl w:val="nil"/>
            </w:tcBorders>
            <w:shd w:val="clear" w:color="auto" w:fill="auto"/>
            <w:vAlign w:val="center"/>
          </w:tcPr>
          <w:p w14:paraId="74CBC88E">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北厂界</w:t>
            </w:r>
          </w:p>
        </w:tc>
        <w:tc>
          <w:tcPr>
            <w:tcW w:w="1314" w:type="pct"/>
            <w:tcBorders>
              <w:tl2br w:val="nil"/>
              <w:tr2bl w:val="nil"/>
            </w:tcBorders>
            <w:shd w:val="clear" w:color="auto" w:fill="auto"/>
            <w:vAlign w:val="center"/>
          </w:tcPr>
          <w:p w14:paraId="6B48ED66">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p>
        </w:tc>
        <w:tc>
          <w:tcPr>
            <w:tcW w:w="1000" w:type="pct"/>
            <w:tcBorders>
              <w:tl2br w:val="nil"/>
              <w:tr2bl w:val="nil"/>
            </w:tcBorders>
          </w:tcPr>
          <w:p w14:paraId="02F0C08A">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7</w:t>
            </w:r>
            <w:r>
              <w:rPr>
                <w:rFonts w:ascii="Times New Roman" w:hAnsi="Times New Roman" w:eastAsia="宋体"/>
                <w:b w:val="0"/>
                <w:bCs w:val="0"/>
                <w:color w:val="auto"/>
                <w:szCs w:val="21"/>
                <w:highlight w:val="none"/>
              </w:rPr>
              <w:t>0</w:t>
            </w:r>
          </w:p>
        </w:tc>
        <w:tc>
          <w:tcPr>
            <w:tcW w:w="1000" w:type="pct"/>
            <w:tcBorders>
              <w:tl2br w:val="nil"/>
              <w:tr2bl w:val="nil"/>
            </w:tcBorders>
          </w:tcPr>
          <w:p w14:paraId="269F65CF">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35</w:t>
            </w:r>
          </w:p>
        </w:tc>
        <w:tc>
          <w:tcPr>
            <w:tcW w:w="1000" w:type="pct"/>
            <w:tcBorders>
              <w:tl2br w:val="nil"/>
              <w:tr2bl w:val="nil"/>
            </w:tcBorders>
            <w:shd w:val="clear" w:color="auto" w:fill="auto"/>
          </w:tcPr>
          <w:p w14:paraId="3A8161D0">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3</w:t>
            </w:r>
            <w:r>
              <w:rPr>
                <w:rFonts w:ascii="Times New Roman" w:hAnsi="Times New Roman" w:eastAsia="宋体"/>
                <w:b w:val="0"/>
                <w:bCs w:val="0"/>
                <w:color w:val="auto"/>
                <w:szCs w:val="21"/>
                <w:highlight w:val="none"/>
              </w:rPr>
              <w:t>1.12</w:t>
            </w:r>
          </w:p>
        </w:tc>
      </w:tr>
      <w:tr w14:paraId="73A14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686" w:type="pct"/>
            <w:tcBorders>
              <w:tl2br w:val="nil"/>
              <w:tr2bl w:val="nil"/>
            </w:tcBorders>
            <w:shd w:val="clear" w:color="auto" w:fill="auto"/>
            <w:vAlign w:val="center"/>
          </w:tcPr>
          <w:p w14:paraId="7A449CBE">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西厂界</w:t>
            </w:r>
          </w:p>
        </w:tc>
        <w:tc>
          <w:tcPr>
            <w:tcW w:w="1314" w:type="pct"/>
            <w:tcBorders>
              <w:tl2br w:val="nil"/>
              <w:tr2bl w:val="nil"/>
            </w:tcBorders>
            <w:shd w:val="clear" w:color="auto" w:fill="auto"/>
            <w:vAlign w:val="center"/>
          </w:tcPr>
          <w:p w14:paraId="0ACC3D91">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p>
        </w:tc>
        <w:tc>
          <w:tcPr>
            <w:tcW w:w="1000" w:type="pct"/>
            <w:tcBorders>
              <w:tl2br w:val="nil"/>
              <w:tr2bl w:val="nil"/>
            </w:tcBorders>
          </w:tcPr>
          <w:p w14:paraId="3C0769BA">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7</w:t>
            </w:r>
            <w:r>
              <w:rPr>
                <w:rFonts w:ascii="Times New Roman" w:hAnsi="Times New Roman" w:eastAsia="宋体"/>
                <w:b w:val="0"/>
                <w:bCs w:val="0"/>
                <w:color w:val="auto"/>
                <w:szCs w:val="21"/>
                <w:highlight w:val="none"/>
              </w:rPr>
              <w:t>0</w:t>
            </w:r>
          </w:p>
        </w:tc>
        <w:tc>
          <w:tcPr>
            <w:tcW w:w="1000" w:type="pct"/>
            <w:tcBorders>
              <w:tl2br w:val="nil"/>
              <w:tr2bl w:val="nil"/>
            </w:tcBorders>
          </w:tcPr>
          <w:p w14:paraId="5C2CB627">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25</w:t>
            </w:r>
          </w:p>
        </w:tc>
        <w:tc>
          <w:tcPr>
            <w:tcW w:w="1000" w:type="pct"/>
            <w:tcBorders>
              <w:tl2br w:val="nil"/>
              <w:tr2bl w:val="nil"/>
            </w:tcBorders>
            <w:shd w:val="clear" w:color="auto" w:fill="auto"/>
          </w:tcPr>
          <w:p w14:paraId="66D45BE3">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3</w:t>
            </w:r>
            <w:r>
              <w:rPr>
                <w:rFonts w:ascii="Times New Roman" w:hAnsi="Times New Roman" w:eastAsia="宋体"/>
                <w:b w:val="0"/>
                <w:bCs w:val="0"/>
                <w:color w:val="auto"/>
                <w:szCs w:val="21"/>
                <w:highlight w:val="none"/>
              </w:rPr>
              <w:t>4.04</w:t>
            </w:r>
          </w:p>
        </w:tc>
      </w:tr>
      <w:tr w14:paraId="5C861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686" w:type="pct"/>
            <w:tcBorders>
              <w:tl2br w:val="nil"/>
              <w:tr2bl w:val="nil"/>
            </w:tcBorders>
            <w:shd w:val="clear" w:color="auto" w:fill="auto"/>
            <w:vAlign w:val="center"/>
          </w:tcPr>
          <w:p w14:paraId="1D694C81">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南厂界</w:t>
            </w:r>
          </w:p>
        </w:tc>
        <w:tc>
          <w:tcPr>
            <w:tcW w:w="1314" w:type="pct"/>
            <w:tcBorders>
              <w:tl2br w:val="nil"/>
              <w:tr2bl w:val="nil"/>
            </w:tcBorders>
            <w:shd w:val="clear" w:color="auto" w:fill="auto"/>
            <w:vAlign w:val="center"/>
          </w:tcPr>
          <w:p w14:paraId="6048141F">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p>
        </w:tc>
        <w:tc>
          <w:tcPr>
            <w:tcW w:w="1000" w:type="pct"/>
            <w:tcBorders>
              <w:tl2br w:val="nil"/>
              <w:tr2bl w:val="nil"/>
            </w:tcBorders>
          </w:tcPr>
          <w:p w14:paraId="6B3A883F">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7</w:t>
            </w:r>
            <w:r>
              <w:rPr>
                <w:rFonts w:ascii="Times New Roman" w:hAnsi="Times New Roman" w:eastAsia="宋体"/>
                <w:b w:val="0"/>
                <w:bCs w:val="0"/>
                <w:color w:val="auto"/>
                <w:szCs w:val="21"/>
                <w:highlight w:val="none"/>
              </w:rPr>
              <w:t>0</w:t>
            </w:r>
          </w:p>
        </w:tc>
        <w:tc>
          <w:tcPr>
            <w:tcW w:w="1000" w:type="pct"/>
            <w:tcBorders>
              <w:tl2br w:val="nil"/>
              <w:tr2bl w:val="nil"/>
            </w:tcBorders>
          </w:tcPr>
          <w:p w14:paraId="49980080">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35</w:t>
            </w:r>
          </w:p>
        </w:tc>
        <w:tc>
          <w:tcPr>
            <w:tcW w:w="1000" w:type="pct"/>
            <w:tcBorders>
              <w:tl2br w:val="nil"/>
              <w:tr2bl w:val="nil"/>
            </w:tcBorders>
            <w:shd w:val="clear" w:color="auto" w:fill="auto"/>
          </w:tcPr>
          <w:p w14:paraId="53B6091A">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3</w:t>
            </w:r>
            <w:r>
              <w:rPr>
                <w:rFonts w:ascii="Times New Roman" w:hAnsi="Times New Roman" w:eastAsia="宋体"/>
                <w:b w:val="0"/>
                <w:bCs w:val="0"/>
                <w:color w:val="auto"/>
                <w:szCs w:val="21"/>
                <w:highlight w:val="none"/>
              </w:rPr>
              <w:t>1.12</w:t>
            </w:r>
          </w:p>
        </w:tc>
      </w:tr>
      <w:tr w14:paraId="37989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686" w:type="pct"/>
            <w:tcBorders>
              <w:tl2br w:val="nil"/>
              <w:tr2bl w:val="nil"/>
            </w:tcBorders>
            <w:shd w:val="clear" w:color="auto" w:fill="auto"/>
            <w:vAlign w:val="center"/>
          </w:tcPr>
          <w:p w14:paraId="18DBB0F7">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东厂界</w:t>
            </w:r>
          </w:p>
        </w:tc>
        <w:tc>
          <w:tcPr>
            <w:tcW w:w="1314" w:type="pct"/>
            <w:tcBorders>
              <w:tl2br w:val="nil"/>
              <w:tr2bl w:val="nil"/>
            </w:tcBorders>
            <w:shd w:val="clear" w:color="auto" w:fill="auto"/>
            <w:vAlign w:val="center"/>
          </w:tcPr>
          <w:p w14:paraId="7FBEDF81">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昼</w:t>
            </w:r>
          </w:p>
        </w:tc>
        <w:tc>
          <w:tcPr>
            <w:tcW w:w="1000" w:type="pct"/>
            <w:tcBorders>
              <w:tl2br w:val="nil"/>
              <w:tr2bl w:val="nil"/>
            </w:tcBorders>
          </w:tcPr>
          <w:p w14:paraId="3E77559A">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7</w:t>
            </w:r>
            <w:r>
              <w:rPr>
                <w:rFonts w:ascii="Times New Roman" w:hAnsi="Times New Roman" w:eastAsia="宋体"/>
                <w:b w:val="0"/>
                <w:bCs w:val="0"/>
                <w:color w:val="auto"/>
                <w:szCs w:val="21"/>
                <w:highlight w:val="none"/>
              </w:rPr>
              <w:t>0</w:t>
            </w:r>
          </w:p>
        </w:tc>
        <w:tc>
          <w:tcPr>
            <w:tcW w:w="1000" w:type="pct"/>
            <w:tcBorders>
              <w:tl2br w:val="nil"/>
              <w:tr2bl w:val="nil"/>
            </w:tcBorders>
          </w:tcPr>
          <w:p w14:paraId="7B69328E">
            <w:pPr>
              <w:pStyle w:val="144"/>
              <w:spacing w:line="240" w:lineRule="auto"/>
              <w:ind w:firstLine="0" w:firstLineChars="0"/>
              <w:jc w:val="center"/>
              <w:rPr>
                <w:rFonts w:ascii="Times New Roman" w:hAnsi="Times New Roman" w:eastAsia="宋体"/>
                <w:b w:val="0"/>
                <w:bCs w:val="0"/>
                <w:color w:val="auto"/>
                <w:szCs w:val="21"/>
                <w:highlight w:val="none"/>
              </w:rPr>
            </w:pPr>
            <w:r>
              <w:rPr>
                <w:rFonts w:ascii="Times New Roman" w:hAnsi="Times New Roman" w:eastAsia="宋体"/>
                <w:b w:val="0"/>
                <w:bCs w:val="0"/>
                <w:color w:val="auto"/>
                <w:szCs w:val="21"/>
                <w:highlight w:val="none"/>
              </w:rPr>
              <w:t>35</w:t>
            </w:r>
          </w:p>
        </w:tc>
        <w:tc>
          <w:tcPr>
            <w:tcW w:w="1000" w:type="pct"/>
            <w:tcBorders>
              <w:tl2br w:val="nil"/>
              <w:tr2bl w:val="nil"/>
            </w:tcBorders>
            <w:shd w:val="clear" w:color="auto" w:fill="auto"/>
          </w:tcPr>
          <w:p w14:paraId="36DE3DC0">
            <w:pPr>
              <w:pStyle w:val="144"/>
              <w:spacing w:line="240" w:lineRule="auto"/>
              <w:ind w:firstLine="0" w:firstLineChars="0"/>
              <w:jc w:val="center"/>
              <w:rPr>
                <w:rFonts w:ascii="Times New Roman" w:hAnsi="Times New Roman" w:eastAsia="宋体"/>
                <w:b w:val="0"/>
                <w:bCs w:val="0"/>
                <w:color w:val="auto"/>
                <w:szCs w:val="21"/>
                <w:highlight w:val="none"/>
              </w:rPr>
            </w:pPr>
            <w:r>
              <w:rPr>
                <w:rFonts w:hint="eastAsia" w:ascii="Times New Roman" w:hAnsi="Times New Roman" w:eastAsia="宋体"/>
                <w:b w:val="0"/>
                <w:bCs w:val="0"/>
                <w:color w:val="auto"/>
                <w:szCs w:val="21"/>
                <w:highlight w:val="none"/>
              </w:rPr>
              <w:t>3</w:t>
            </w:r>
            <w:r>
              <w:rPr>
                <w:rFonts w:ascii="Times New Roman" w:hAnsi="Times New Roman" w:eastAsia="宋体"/>
                <w:b w:val="0"/>
                <w:bCs w:val="0"/>
                <w:color w:val="auto"/>
                <w:szCs w:val="21"/>
                <w:highlight w:val="none"/>
              </w:rPr>
              <w:t>1.12</w:t>
            </w:r>
          </w:p>
        </w:tc>
      </w:tr>
    </w:tbl>
    <w:p w14:paraId="45DDB064">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（2）结论</w:t>
      </w:r>
    </w:p>
    <w:p w14:paraId="1BC9B116">
      <w:pPr>
        <w:spacing w:line="500" w:lineRule="exact"/>
        <w:ind w:firstLine="480"/>
        <w:rPr>
          <w:rFonts w:ascii="Times New Roman" w:hAnsi="Times New Roman" w:eastAsia="宋体"/>
          <w:color w:val="auto"/>
          <w:highlight w:val="none"/>
        </w:rPr>
      </w:pPr>
      <w:r>
        <w:rPr>
          <w:rFonts w:ascii="Times New Roman" w:hAnsi="Times New Roman" w:eastAsia="宋体"/>
          <w:color w:val="auto"/>
          <w:highlight w:val="none"/>
        </w:rPr>
        <w:t>根据预测结果，项目</w:t>
      </w:r>
      <w:r>
        <w:rPr>
          <w:rFonts w:hint="eastAsia" w:ascii="Times New Roman" w:hAnsi="Times New Roman" w:eastAsia="宋体"/>
          <w:color w:val="auto"/>
          <w:highlight w:val="none"/>
        </w:rPr>
        <w:t>厂界</w:t>
      </w:r>
      <w:r>
        <w:rPr>
          <w:rFonts w:ascii="Times New Roman" w:hAnsi="Times New Roman" w:eastAsia="宋体"/>
          <w:color w:val="auto"/>
          <w:highlight w:val="none"/>
        </w:rPr>
        <w:t>环境噪声能够满足</w:t>
      </w:r>
      <w:r>
        <w:rPr>
          <w:rFonts w:hint="eastAsia" w:ascii="Times New Roman" w:hAnsi="Times New Roman" w:eastAsia="宋体"/>
          <w:color w:val="auto"/>
          <w:highlight w:val="none"/>
        </w:rPr>
        <w:t>《工业企业厂界环境噪声排放标准》（GB12348-2008）表1中的</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类声环境功能区标准限值</w:t>
      </w:r>
      <w:r>
        <w:rPr>
          <w:rFonts w:ascii="Times New Roman" w:hAnsi="Times New Roman" w:eastAsia="宋体"/>
          <w:color w:val="auto"/>
          <w:highlight w:val="none"/>
        </w:rPr>
        <w:t>要求</w:t>
      </w:r>
      <w:r>
        <w:rPr>
          <w:rFonts w:hint="eastAsia" w:ascii="Times New Roman" w:hAnsi="Times New Roman" w:eastAsia="宋体"/>
          <w:color w:val="auto"/>
          <w:highlight w:val="none"/>
        </w:rPr>
        <w:t>及《建筑施工厂界环境噪声排放标准》（GB12523-2011）</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类声环境功能区标准限值</w:t>
      </w:r>
      <w:r>
        <w:rPr>
          <w:rFonts w:ascii="Times New Roman" w:hAnsi="Times New Roman" w:eastAsia="宋体"/>
          <w:color w:val="auto"/>
          <w:highlight w:val="none"/>
        </w:rPr>
        <w:t>要求。</w:t>
      </w:r>
    </w:p>
    <w:p w14:paraId="261AC9D2">
      <w:pPr>
        <w:pStyle w:val="5"/>
        <w:rPr>
          <w:rFonts w:ascii="Times New Roman" w:hAnsi="Times New Roman" w:eastAsia="宋体"/>
          <w:color w:val="auto"/>
          <w:highlight w:val="none"/>
        </w:rPr>
      </w:pPr>
      <w:bookmarkStart w:id="207" w:name="_Toc106663503"/>
      <w:r>
        <w:rPr>
          <w:rFonts w:hint="eastAsia" w:ascii="Times New Roman" w:hAnsi="Times New Roman" w:eastAsia="宋体"/>
          <w:color w:val="auto"/>
          <w:highlight w:val="none"/>
        </w:rPr>
        <w:t>5.2.4固体废弃物影响分析</w:t>
      </w:r>
      <w:bookmarkEnd w:id="207"/>
    </w:p>
    <w:p w14:paraId="40018AC6">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本项目产生的固体废物主要为鸡粪及散落羽毛、病死鸡只、废弃包装物、生活垃圾、医疗废物。各类固体废物如果收集、贮放等处理不当，会造成土壤、地下水等污染，从而形成二次污染问题。因此，必须对固体废物做到妥善的管理和处置。</w:t>
      </w:r>
    </w:p>
    <w:p w14:paraId="104A772D">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宋体"/>
          <w:color w:val="auto"/>
          <w:spacing w:val="0"/>
          <w:kern w:val="0"/>
          <w:sz w:val="24"/>
          <w:szCs w:val="24"/>
          <w:highlight w:val="none"/>
          <w:lang w:val="en-US" w:eastAsia="zh-CN"/>
        </w:rPr>
      </w:pP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1</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鸡粪</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散落羽毛</w:t>
      </w:r>
      <w:r>
        <w:rPr>
          <w:rFonts w:hint="eastAsia" w:cs="宋体"/>
          <w:color w:val="auto"/>
          <w:spacing w:val="0"/>
          <w:kern w:val="0"/>
          <w:sz w:val="24"/>
          <w:szCs w:val="24"/>
          <w:highlight w:val="none"/>
          <w:lang w:val="en-US" w:eastAsia="zh-CN"/>
        </w:rPr>
        <w:t>鸡污泥</w:t>
      </w:r>
    </w:p>
    <w:p w14:paraId="17556652">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鸡舍每日产生的鸡粪及散落羽毛日产日清，采用密封清粪车运输，</w:t>
      </w:r>
      <w:r>
        <w:rPr>
          <w:rFonts w:hint="eastAsia" w:cs="宋体"/>
          <w:color w:val="auto"/>
          <w:spacing w:val="0"/>
          <w:kern w:val="0"/>
          <w:sz w:val="24"/>
          <w:szCs w:val="24"/>
          <w:highlight w:val="none"/>
          <w:lang w:val="en-US" w:eastAsia="zh-CN"/>
        </w:rPr>
        <w:t>与废水收集池污泥一同</w:t>
      </w:r>
      <w:r>
        <w:rPr>
          <w:rFonts w:ascii="Times New Roman" w:hAnsi="Times New Roman" w:eastAsia="宋体" w:cs="宋体"/>
          <w:color w:val="auto"/>
          <w:spacing w:val="0"/>
          <w:kern w:val="0"/>
          <w:sz w:val="24"/>
          <w:szCs w:val="24"/>
          <w:highlight w:val="none"/>
        </w:rPr>
        <w:t>外售有机肥厂生产有机肥。</w:t>
      </w:r>
    </w:p>
    <w:p w14:paraId="0FB425D6">
      <w:pPr>
        <w:keepNext w:val="0"/>
        <w:keepLines w:val="0"/>
        <w:pageBreakBefore w:val="0"/>
        <w:widowControl w:val="0"/>
        <w:kinsoku/>
        <w:wordWrap/>
        <w:overflowPunct/>
        <w:topLinePunct w:val="0"/>
        <w:autoSpaceDE/>
        <w:autoSpaceDN/>
        <w:bidi w:val="0"/>
        <w:adjustRightInd/>
        <w:snapToGrid/>
        <w:spacing w:line="360" w:lineRule="auto"/>
        <w:ind w:left="0" w:right="0" w:firstLine="476"/>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鸡粪必须按照《畜禽粪便无害化处理技术规范》</w:t>
      </w: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GB/T36195-2018</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中要求，采取以下污染防治措施：</w:t>
      </w:r>
    </w:p>
    <w:p w14:paraId="477C16FA">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a.</w:t>
      </w:r>
      <w:r>
        <w:rPr>
          <w:rFonts w:ascii="Times New Roman" w:hAnsi="Times New Roman" w:eastAsia="宋体" w:cs="宋体"/>
          <w:color w:val="auto"/>
          <w:spacing w:val="0"/>
          <w:kern w:val="0"/>
          <w:sz w:val="24"/>
          <w:szCs w:val="24"/>
          <w:highlight w:val="none"/>
        </w:rPr>
        <w:t>铲车密闭设置，定期对铲车进行检查，减轻因铲车造成的渗漏；</w:t>
      </w:r>
    </w:p>
    <w:p w14:paraId="23519DEC">
      <w:pPr>
        <w:keepNext w:val="0"/>
        <w:keepLines w:val="0"/>
        <w:pageBreakBefore w:val="0"/>
        <w:widowControl w:val="0"/>
        <w:kinsoku/>
        <w:wordWrap/>
        <w:overflowPunct/>
        <w:topLinePunct w:val="0"/>
        <w:autoSpaceDE/>
        <w:autoSpaceDN/>
        <w:bidi w:val="0"/>
        <w:adjustRightInd/>
        <w:snapToGrid/>
        <w:spacing w:line="360" w:lineRule="auto"/>
        <w:ind w:left="0" w:right="0" w:firstLine="47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b.</w:t>
      </w:r>
      <w:r>
        <w:rPr>
          <w:rFonts w:ascii="Times New Roman" w:hAnsi="Times New Roman" w:eastAsia="宋体" w:cs="宋体"/>
          <w:color w:val="auto"/>
          <w:spacing w:val="0"/>
          <w:kern w:val="0"/>
          <w:sz w:val="24"/>
          <w:szCs w:val="24"/>
          <w:highlight w:val="none"/>
        </w:rPr>
        <w:t>粪便运输至有机肥半成品生产车间后，必须当日用于生产有机肥，禁止在有机肥半成品生产车间内堆放过夜。</w:t>
      </w:r>
    </w:p>
    <w:p w14:paraId="5B1E2DA2">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c.</w:t>
      </w:r>
      <w:r>
        <w:rPr>
          <w:rFonts w:ascii="Times New Roman" w:hAnsi="Times New Roman" w:eastAsia="宋体" w:cs="宋体"/>
          <w:color w:val="auto"/>
          <w:spacing w:val="0"/>
          <w:kern w:val="0"/>
          <w:sz w:val="24"/>
          <w:szCs w:val="24"/>
          <w:highlight w:val="none"/>
        </w:rPr>
        <w:t>粪便经密闭铲车输送过程中不得出现</w:t>
      </w:r>
      <w:r>
        <w:rPr>
          <w:rFonts w:hint="eastAsia" w:cs="Times New Roman"/>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洒、落、渗、漏</w:t>
      </w:r>
      <w:r>
        <w:rPr>
          <w:rFonts w:hint="eastAsia" w:cs="Times New Roman"/>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现象，不得中途随意倾倒粪便，在输送粪便的途中发现有洒落的情况时，及时清扫，避免洒落的粪便被雨水冲刷污染土壤和地下水。</w:t>
      </w:r>
    </w:p>
    <w:p w14:paraId="0184B69E">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2</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病死鸡只</w:t>
      </w:r>
    </w:p>
    <w:p w14:paraId="46BE62A5">
      <w:pPr>
        <w:keepNext w:val="0"/>
        <w:keepLines w:val="0"/>
        <w:pageBreakBefore w:val="0"/>
        <w:widowControl w:val="0"/>
        <w:kinsoku/>
        <w:wordWrap/>
        <w:overflowPunct/>
        <w:topLinePunct w:val="0"/>
        <w:autoSpaceDE/>
        <w:autoSpaceDN/>
        <w:bidi w:val="0"/>
        <w:adjustRightInd/>
        <w:snapToGrid/>
        <w:spacing w:line="360" w:lineRule="auto"/>
        <w:ind w:left="0" w:right="0" w:firstLine="475"/>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病死鸡只的危害性则要看具体死因，若因为鸡只抗病性弱、开放性外伤、感冒、发烧等常见疾病死亡的鸡只，企业按《畜禽养殖业污染防治技术规范》</w:t>
      </w: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HJ/T81-2001</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等有关规定由企业自行作无害化处理。若因为鸡瘟、新城疫等传染性疾病死亡的鸡只，则属于严控废物。企业按照制定的《防疫检疫制度》上报上级部门进行检查处理，并由上级部门制定处理方案，交由防疫部门处置。不得在场内自行处理，否则可能会对饲养人员的健康产生危害，甚至发生疫情。</w:t>
      </w:r>
    </w:p>
    <w:p w14:paraId="31289AB3">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根据环办函</w:t>
      </w:r>
      <w:r>
        <w:rPr>
          <w:rFonts w:ascii="Times New Roman" w:hAnsi="Times New Roman" w:eastAsia="宋体" w:cs="Times New Roman"/>
          <w:color w:val="auto"/>
          <w:spacing w:val="0"/>
          <w:kern w:val="0"/>
          <w:sz w:val="24"/>
          <w:szCs w:val="24"/>
          <w:highlight w:val="none"/>
        </w:rPr>
        <w:t>[2014]789</w:t>
      </w:r>
      <w:r>
        <w:rPr>
          <w:rFonts w:ascii="Times New Roman" w:hAnsi="Times New Roman" w:eastAsia="宋体" w:cs="宋体"/>
          <w:color w:val="auto"/>
          <w:spacing w:val="0"/>
          <w:kern w:val="0"/>
          <w:sz w:val="24"/>
          <w:szCs w:val="24"/>
          <w:highlight w:val="none"/>
        </w:rPr>
        <w:t>号文《关于病害动物无害化处理有关意见的复函》：</w:t>
      </w:r>
      <w:r>
        <w:rPr>
          <w:rFonts w:hint="eastAsia" w:cs="Times New Roman"/>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病害动物无害化处理项目由农业部门按照有关法律法规和技术规范进行监管，可以实现病害动物无害化处理和环境污染防控的目的，不宜再认定为危险废物集中处置项目。病害动物的无害化处理应执行《中华人民共和国动物防疫法》</w:t>
      </w:r>
      <w:r>
        <w:rPr>
          <w:rFonts w:hint="eastAsia" w:cs="Times New Roman"/>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w:t>
      </w:r>
    </w:p>
    <w:p w14:paraId="21476F11">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根据《畜禽养殖业污染防治技术规范》</w:t>
      </w: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HJ/T81-2001</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和《病死及病害动物无害化处理技术规范》</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农医发</w:t>
      </w:r>
      <w:r>
        <w:rPr>
          <w:rFonts w:ascii="Times New Roman" w:hAnsi="Times New Roman" w:eastAsia="宋体" w:cs="Times New Roman"/>
          <w:color w:val="auto"/>
          <w:spacing w:val="0"/>
          <w:kern w:val="0"/>
          <w:sz w:val="24"/>
          <w:szCs w:val="24"/>
          <w:highlight w:val="none"/>
        </w:rPr>
        <w:t>[2017]25</w:t>
      </w:r>
      <w:r>
        <w:rPr>
          <w:rFonts w:ascii="Times New Roman" w:hAnsi="Times New Roman" w:eastAsia="宋体" w:cs="宋体"/>
          <w:color w:val="auto"/>
          <w:spacing w:val="0"/>
          <w:kern w:val="0"/>
          <w:sz w:val="24"/>
          <w:szCs w:val="24"/>
          <w:highlight w:val="none"/>
        </w:rPr>
        <w:t>号</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中无害化处置要求，养殖场应设置安全填埋井，用于处置饲养过程中因疾病等原因死亡而产生的死尸。在项目区东北角设置</w:t>
      </w:r>
      <w:r>
        <w:rPr>
          <w:rFonts w:hint="eastAsia" w:cs="Times New Roman"/>
          <w:color w:val="auto"/>
          <w:spacing w:val="0"/>
          <w:kern w:val="0"/>
          <w:sz w:val="24"/>
          <w:szCs w:val="24"/>
          <w:highlight w:val="none"/>
          <w:lang w:eastAsia="zh-CN"/>
        </w:rPr>
        <w:t>9口</w:t>
      </w:r>
      <w:r>
        <w:rPr>
          <w:rFonts w:ascii="Times New Roman" w:hAnsi="Times New Roman" w:eastAsia="宋体" w:cs="宋体"/>
          <w:color w:val="auto"/>
          <w:spacing w:val="0"/>
          <w:kern w:val="0"/>
          <w:sz w:val="24"/>
          <w:szCs w:val="24"/>
          <w:highlight w:val="none"/>
        </w:rPr>
        <w:t>安全填埋井，填埋井应为混凝土结构，做好防渗工作，深度大于</w:t>
      </w:r>
      <w:r>
        <w:rPr>
          <w:rFonts w:ascii="Times New Roman" w:hAnsi="Times New Roman" w:eastAsia="宋体" w:cs="Times New Roman"/>
          <w:color w:val="auto"/>
          <w:spacing w:val="0"/>
          <w:kern w:val="0"/>
          <w:sz w:val="24"/>
          <w:szCs w:val="24"/>
          <w:highlight w:val="none"/>
        </w:rPr>
        <w:t>3m</w:t>
      </w:r>
      <w:r>
        <w:rPr>
          <w:rFonts w:ascii="Times New Roman" w:hAnsi="Times New Roman" w:eastAsia="宋体" w:cs="宋体"/>
          <w:color w:val="auto"/>
          <w:spacing w:val="0"/>
          <w:kern w:val="0"/>
          <w:sz w:val="24"/>
          <w:szCs w:val="24"/>
          <w:highlight w:val="none"/>
        </w:rPr>
        <w:t>、直径</w:t>
      </w:r>
      <w:r>
        <w:rPr>
          <w:rFonts w:ascii="Times New Roman" w:hAnsi="Times New Roman" w:eastAsia="宋体" w:cs="Times New Roman"/>
          <w:color w:val="auto"/>
          <w:spacing w:val="0"/>
          <w:kern w:val="0"/>
          <w:sz w:val="24"/>
          <w:szCs w:val="24"/>
          <w:highlight w:val="none"/>
        </w:rPr>
        <w:t>1m</w:t>
      </w:r>
      <w:r>
        <w:rPr>
          <w:rFonts w:ascii="Times New Roman" w:hAnsi="Times New Roman" w:eastAsia="宋体" w:cs="宋体"/>
          <w:color w:val="auto"/>
          <w:spacing w:val="0"/>
          <w:kern w:val="0"/>
          <w:sz w:val="24"/>
          <w:szCs w:val="24"/>
          <w:highlight w:val="none"/>
        </w:rPr>
        <w:t>以上，井口加盖密封。进行填埋时，在每次投入死尸后，应覆盖一层厚度大于</w:t>
      </w:r>
      <w:r>
        <w:rPr>
          <w:rFonts w:ascii="Times New Roman" w:hAnsi="Times New Roman" w:eastAsia="宋体" w:cs="Times New Roman"/>
          <w:color w:val="auto"/>
          <w:spacing w:val="0"/>
          <w:kern w:val="0"/>
          <w:sz w:val="24"/>
          <w:szCs w:val="24"/>
          <w:highlight w:val="none"/>
        </w:rPr>
        <w:t>10cm</w:t>
      </w:r>
      <w:r>
        <w:rPr>
          <w:rFonts w:ascii="Times New Roman" w:hAnsi="Times New Roman" w:eastAsia="宋体" w:cs="宋体"/>
          <w:color w:val="auto"/>
          <w:spacing w:val="0"/>
          <w:kern w:val="0"/>
          <w:sz w:val="24"/>
          <w:szCs w:val="24"/>
          <w:highlight w:val="none"/>
        </w:rPr>
        <w:t>的熟石灰。井填满后，须用粘土填埋压实并封口。</w:t>
      </w:r>
    </w:p>
    <w:p w14:paraId="05FCE7D5">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3</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废弃包装物</w:t>
      </w:r>
    </w:p>
    <w:p w14:paraId="663D852E">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本项目外购饲料会产生废包装袋，废饲料包装袋集中收集后进行外售。</w:t>
      </w:r>
    </w:p>
    <w:p w14:paraId="756FDBB3">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4</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生活垃圾</w:t>
      </w:r>
    </w:p>
    <w:p w14:paraId="31D991BB">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本项目职工人数为</w:t>
      </w:r>
      <w:r>
        <w:rPr>
          <w:rFonts w:ascii="Times New Roman" w:hAnsi="Times New Roman" w:eastAsia="宋体" w:cs="Times New Roman"/>
          <w:color w:val="auto"/>
          <w:spacing w:val="0"/>
          <w:kern w:val="0"/>
          <w:sz w:val="24"/>
          <w:szCs w:val="24"/>
          <w:highlight w:val="none"/>
        </w:rPr>
        <w:t>20</w:t>
      </w:r>
      <w:r>
        <w:rPr>
          <w:rFonts w:ascii="Times New Roman" w:hAnsi="Times New Roman" w:eastAsia="宋体" w:cs="宋体"/>
          <w:color w:val="auto"/>
          <w:spacing w:val="0"/>
          <w:kern w:val="0"/>
          <w:sz w:val="24"/>
          <w:szCs w:val="24"/>
          <w:highlight w:val="none"/>
        </w:rPr>
        <w:t>人，年工作</w:t>
      </w:r>
      <w:r>
        <w:rPr>
          <w:rFonts w:ascii="Times New Roman" w:hAnsi="Times New Roman" w:eastAsia="宋体" w:cs="Times New Roman"/>
          <w:color w:val="auto"/>
          <w:spacing w:val="0"/>
          <w:kern w:val="0"/>
          <w:sz w:val="24"/>
          <w:szCs w:val="24"/>
          <w:highlight w:val="none"/>
        </w:rPr>
        <w:t>365</w:t>
      </w:r>
      <w:r>
        <w:rPr>
          <w:rFonts w:ascii="Times New Roman" w:hAnsi="Times New Roman" w:eastAsia="宋体" w:cs="宋体"/>
          <w:color w:val="auto"/>
          <w:spacing w:val="0"/>
          <w:kern w:val="0"/>
          <w:sz w:val="24"/>
          <w:szCs w:val="24"/>
          <w:highlight w:val="none"/>
        </w:rPr>
        <w:t>天，生活垃圾按</w:t>
      </w:r>
      <w:r>
        <w:rPr>
          <w:rFonts w:ascii="Times New Roman" w:hAnsi="Times New Roman" w:eastAsia="宋体" w:cs="Times New Roman"/>
          <w:color w:val="auto"/>
          <w:spacing w:val="0"/>
          <w:kern w:val="0"/>
          <w:sz w:val="24"/>
          <w:szCs w:val="24"/>
          <w:highlight w:val="none"/>
        </w:rPr>
        <w:t>0.5kg/</w:t>
      </w:r>
      <w:r>
        <w:rPr>
          <w:rFonts w:ascii="Times New Roman" w:hAnsi="Times New Roman" w:eastAsia="宋体" w:cs="宋体"/>
          <w:color w:val="auto"/>
          <w:spacing w:val="0"/>
          <w:kern w:val="0"/>
          <w:sz w:val="24"/>
          <w:szCs w:val="24"/>
          <w:highlight w:val="none"/>
        </w:rPr>
        <w:t>人</w:t>
      </w:r>
      <w:r>
        <w:rPr>
          <w:rFonts w:ascii="Times New Roman" w:hAnsi="Times New Roman" w:eastAsia="宋体" w:cs="Times New Roman"/>
          <w:color w:val="auto"/>
          <w:spacing w:val="0"/>
          <w:kern w:val="0"/>
          <w:sz w:val="24"/>
          <w:szCs w:val="24"/>
          <w:highlight w:val="none"/>
        </w:rPr>
        <w:t>·d</w:t>
      </w:r>
      <w:r>
        <w:rPr>
          <w:rFonts w:ascii="Times New Roman" w:hAnsi="Times New Roman" w:eastAsia="宋体" w:cs="宋体"/>
          <w:color w:val="auto"/>
          <w:spacing w:val="0"/>
          <w:kern w:val="0"/>
          <w:sz w:val="24"/>
          <w:szCs w:val="24"/>
          <w:highlight w:val="none"/>
        </w:rPr>
        <w:t>计，生活垃圾产生量为</w:t>
      </w:r>
      <w:r>
        <w:rPr>
          <w:rFonts w:ascii="Times New Roman" w:hAnsi="Times New Roman" w:eastAsia="宋体" w:cs="Times New Roman"/>
          <w:color w:val="auto"/>
          <w:spacing w:val="0"/>
          <w:kern w:val="0"/>
          <w:sz w:val="24"/>
          <w:szCs w:val="24"/>
          <w:highlight w:val="none"/>
        </w:rPr>
        <w:t>10kg/d</w:t>
      </w:r>
      <w:r>
        <w:rPr>
          <w:rFonts w:ascii="Times New Roman" w:hAnsi="Times New Roman" w:eastAsia="宋体" w:cs="宋体"/>
          <w:color w:val="auto"/>
          <w:spacing w:val="0"/>
          <w:kern w:val="0"/>
          <w:sz w:val="24"/>
          <w:szCs w:val="24"/>
          <w:highlight w:val="none"/>
        </w:rPr>
        <w:t>，即</w:t>
      </w:r>
      <w:r>
        <w:rPr>
          <w:rFonts w:ascii="Times New Roman" w:hAnsi="Times New Roman" w:eastAsia="宋体" w:cs="Times New Roman"/>
          <w:color w:val="auto"/>
          <w:spacing w:val="0"/>
          <w:kern w:val="0"/>
          <w:sz w:val="24"/>
          <w:szCs w:val="24"/>
          <w:highlight w:val="none"/>
        </w:rPr>
        <w:t>3.65t/a</w:t>
      </w:r>
      <w:r>
        <w:rPr>
          <w:rFonts w:ascii="Times New Roman" w:hAnsi="Times New Roman" w:eastAsia="宋体" w:cs="宋体"/>
          <w:color w:val="auto"/>
          <w:spacing w:val="0"/>
          <w:kern w:val="0"/>
          <w:sz w:val="24"/>
          <w:szCs w:val="24"/>
          <w:highlight w:val="none"/>
        </w:rPr>
        <w:t>。生活垃圾集中收集由当地环卫部门处置。</w:t>
      </w:r>
    </w:p>
    <w:p w14:paraId="3BA6E3A7">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hint="eastAsia" w:cs="宋体"/>
          <w:color w:val="auto"/>
          <w:spacing w:val="0"/>
          <w:kern w:val="0"/>
          <w:sz w:val="24"/>
          <w:szCs w:val="24"/>
          <w:highlight w:val="none"/>
          <w:lang w:eastAsia="zh-CN"/>
        </w:rPr>
        <w:t>（</w:t>
      </w:r>
      <w:r>
        <w:rPr>
          <w:rFonts w:ascii="Times New Roman" w:hAnsi="Times New Roman" w:eastAsia="宋体" w:cs="Times New Roman"/>
          <w:color w:val="auto"/>
          <w:spacing w:val="0"/>
          <w:kern w:val="0"/>
          <w:sz w:val="24"/>
          <w:szCs w:val="24"/>
          <w:highlight w:val="none"/>
        </w:rPr>
        <w:t>5</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医疗废物</w:t>
      </w:r>
    </w:p>
    <w:p w14:paraId="14752E82">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本项目对蛋鸡进行防疫、治疗过程中产生少量废弃药品、废针管等，产生量约为</w:t>
      </w:r>
      <w:r>
        <w:rPr>
          <w:rFonts w:ascii="Times New Roman" w:hAnsi="Times New Roman" w:eastAsia="宋体" w:cs="Times New Roman"/>
          <w:color w:val="auto"/>
          <w:spacing w:val="0"/>
          <w:kern w:val="0"/>
          <w:sz w:val="24"/>
          <w:szCs w:val="24"/>
          <w:highlight w:val="none"/>
        </w:rPr>
        <w:t>0.03t/a</w:t>
      </w:r>
      <w:r>
        <w:rPr>
          <w:rFonts w:ascii="Times New Roman" w:hAnsi="Times New Roman" w:eastAsia="宋体" w:cs="宋体"/>
          <w:color w:val="auto"/>
          <w:spacing w:val="0"/>
          <w:kern w:val="0"/>
          <w:sz w:val="24"/>
          <w:szCs w:val="24"/>
          <w:highlight w:val="none"/>
        </w:rPr>
        <w:t>，医疗废物属于</w:t>
      </w:r>
      <w:r>
        <w:rPr>
          <w:rFonts w:ascii="Times New Roman" w:hAnsi="Times New Roman" w:eastAsia="宋体" w:cs="Times New Roman"/>
          <w:color w:val="auto"/>
          <w:spacing w:val="0"/>
          <w:kern w:val="0"/>
          <w:sz w:val="24"/>
          <w:szCs w:val="24"/>
          <w:highlight w:val="none"/>
        </w:rPr>
        <w:t>HW01</w:t>
      </w:r>
      <w:r>
        <w:rPr>
          <w:rFonts w:ascii="Times New Roman" w:hAnsi="Times New Roman" w:eastAsia="宋体" w:cs="宋体"/>
          <w:color w:val="auto"/>
          <w:spacing w:val="0"/>
          <w:kern w:val="0"/>
          <w:sz w:val="24"/>
          <w:szCs w:val="24"/>
          <w:highlight w:val="none"/>
        </w:rPr>
        <w:t>类危险废物，储存于</w:t>
      </w:r>
      <w:r>
        <w:rPr>
          <w:rFonts w:hint="eastAsia" w:cs="宋体"/>
          <w:color w:val="auto"/>
          <w:spacing w:val="0"/>
          <w:kern w:val="0"/>
          <w:sz w:val="24"/>
          <w:szCs w:val="24"/>
          <w:highlight w:val="none"/>
          <w:lang w:eastAsia="zh-CN"/>
        </w:rPr>
        <w:t>医疗废物暂存间</w:t>
      </w:r>
      <w:r>
        <w:rPr>
          <w:rFonts w:ascii="Times New Roman" w:hAnsi="Times New Roman" w:eastAsia="宋体" w:cs="宋体"/>
          <w:color w:val="auto"/>
          <w:spacing w:val="0"/>
          <w:kern w:val="0"/>
          <w:sz w:val="24"/>
          <w:szCs w:val="24"/>
          <w:highlight w:val="none"/>
        </w:rPr>
        <w:t>，交由有资质的单位进行处置。</w:t>
      </w:r>
    </w:p>
    <w:p w14:paraId="39C86214">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根据《医疗废物集中处置技术规范</w:t>
      </w:r>
      <w:r>
        <w:rPr>
          <w:rFonts w:hint="eastAsia" w:cs="Times New Roman"/>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试行</w:t>
      </w:r>
      <w:r>
        <w:rPr>
          <w:rFonts w:hint="eastAsia" w:cs="Times New Roman"/>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》、《医疗废物管理条例》</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国务院令第</w:t>
      </w:r>
      <w:r>
        <w:rPr>
          <w:rFonts w:ascii="Times New Roman" w:hAnsi="Times New Roman" w:eastAsia="宋体" w:cs="Times New Roman"/>
          <w:color w:val="auto"/>
          <w:spacing w:val="0"/>
          <w:kern w:val="0"/>
          <w:sz w:val="24"/>
          <w:szCs w:val="24"/>
          <w:highlight w:val="none"/>
        </w:rPr>
        <w:t>380</w:t>
      </w:r>
      <w:r>
        <w:rPr>
          <w:rFonts w:ascii="Times New Roman" w:hAnsi="Times New Roman" w:eastAsia="宋体" w:cs="宋体"/>
          <w:color w:val="auto"/>
          <w:spacing w:val="0"/>
          <w:kern w:val="0"/>
          <w:sz w:val="24"/>
          <w:szCs w:val="24"/>
          <w:highlight w:val="none"/>
        </w:rPr>
        <w:t>号</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和《医疗卫生机构医疗废物管理办法》</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卫生部令</w:t>
      </w:r>
      <w:r>
        <w:rPr>
          <w:rFonts w:ascii="Times New Roman" w:hAnsi="Times New Roman" w:eastAsia="宋体" w:cs="Times New Roman"/>
          <w:color w:val="auto"/>
          <w:spacing w:val="0"/>
          <w:kern w:val="0"/>
          <w:sz w:val="24"/>
          <w:szCs w:val="24"/>
          <w:highlight w:val="none"/>
        </w:rPr>
        <w:t>36</w:t>
      </w:r>
      <w:r>
        <w:rPr>
          <w:rFonts w:ascii="Times New Roman" w:hAnsi="Times New Roman" w:eastAsia="宋体" w:cs="宋体"/>
          <w:color w:val="auto"/>
          <w:spacing w:val="0"/>
          <w:kern w:val="0"/>
          <w:sz w:val="24"/>
          <w:szCs w:val="24"/>
          <w:highlight w:val="none"/>
        </w:rPr>
        <w:t>号</w:t>
      </w:r>
      <w:r>
        <w:rPr>
          <w:rFonts w:hint="eastAsia" w:cs="宋体"/>
          <w:color w:val="auto"/>
          <w:spacing w:val="0"/>
          <w:kern w:val="0"/>
          <w:sz w:val="24"/>
          <w:szCs w:val="24"/>
          <w:highlight w:val="none"/>
          <w:lang w:eastAsia="zh-CN"/>
        </w:rPr>
        <w:t>）</w:t>
      </w:r>
      <w:r>
        <w:rPr>
          <w:rFonts w:ascii="Times New Roman" w:hAnsi="Times New Roman" w:eastAsia="宋体" w:cs="宋体"/>
          <w:color w:val="auto"/>
          <w:spacing w:val="0"/>
          <w:kern w:val="0"/>
          <w:sz w:val="24"/>
          <w:szCs w:val="24"/>
          <w:highlight w:val="none"/>
        </w:rPr>
        <w:t>和《危险废物贮存污染控制标准》</w:t>
      </w:r>
      <w:r>
        <w:rPr>
          <w:rFonts w:hint="eastAsia" w:cs="Times New Roman"/>
          <w:color w:val="auto"/>
          <w:spacing w:val="0"/>
          <w:kern w:val="0"/>
          <w:sz w:val="24"/>
          <w:szCs w:val="24"/>
          <w:highlight w:val="none"/>
          <w:lang w:eastAsia="zh-CN"/>
        </w:rPr>
        <w:t>（GB18597-2023）</w:t>
      </w:r>
      <w:r>
        <w:rPr>
          <w:rFonts w:ascii="Times New Roman" w:hAnsi="Times New Roman" w:eastAsia="宋体" w:cs="宋体"/>
          <w:color w:val="auto"/>
          <w:spacing w:val="0"/>
          <w:kern w:val="0"/>
          <w:sz w:val="24"/>
          <w:szCs w:val="24"/>
          <w:highlight w:val="none"/>
        </w:rPr>
        <w:t>中相关要求，本次评价要求建设单位按照相关规定要求做到以下几点：</w:t>
      </w:r>
    </w:p>
    <w:p w14:paraId="77B34891">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①医疗废物收集要求</w:t>
      </w:r>
    </w:p>
    <w:p w14:paraId="2A087AE8">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A</w:t>
      </w:r>
      <w:r>
        <w:rPr>
          <w:rFonts w:ascii="Times New Roman" w:hAnsi="Times New Roman" w:eastAsia="宋体" w:cs="宋体"/>
          <w:color w:val="auto"/>
          <w:spacing w:val="0"/>
          <w:kern w:val="0"/>
          <w:sz w:val="24"/>
          <w:szCs w:val="24"/>
          <w:highlight w:val="none"/>
        </w:rPr>
        <w:t>、根据医疗废物的类别，将医疗废物分置于符合《医疗废物专用包装物、容器的标准和警示标识的规定》的包装物或者容器内；在每个容器上应当说明医疗废物产生单位、产生日期、类别及特别说明等；</w:t>
      </w:r>
    </w:p>
    <w:p w14:paraId="15614423">
      <w:pPr>
        <w:keepNext w:val="0"/>
        <w:keepLines w:val="0"/>
        <w:pageBreakBefore w:val="0"/>
        <w:widowControl w:val="0"/>
        <w:kinsoku/>
        <w:wordWrap/>
        <w:overflowPunct/>
        <w:topLinePunct w:val="0"/>
        <w:autoSpaceDE/>
        <w:autoSpaceDN/>
        <w:bidi w:val="0"/>
        <w:adjustRightInd/>
        <w:snapToGrid/>
        <w:spacing w:line="360" w:lineRule="auto"/>
        <w:ind w:left="0" w:right="0" w:firstLine="474"/>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B</w:t>
      </w:r>
      <w:r>
        <w:rPr>
          <w:rFonts w:ascii="Times New Roman" w:hAnsi="Times New Roman" w:eastAsia="宋体" w:cs="宋体"/>
          <w:color w:val="auto"/>
          <w:spacing w:val="0"/>
          <w:kern w:val="0"/>
          <w:sz w:val="24"/>
          <w:szCs w:val="24"/>
          <w:highlight w:val="none"/>
        </w:rPr>
        <w:t>、在盛装医疗废物前，应当对医疗废物包装物或者容器进行认真检查，确保无破损、渗漏和其它缺陷；</w:t>
      </w:r>
    </w:p>
    <w:p w14:paraId="411251E7">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C</w:t>
      </w:r>
      <w:r>
        <w:rPr>
          <w:rFonts w:ascii="Times New Roman" w:hAnsi="Times New Roman" w:eastAsia="宋体" w:cs="宋体"/>
          <w:color w:val="auto"/>
          <w:spacing w:val="0"/>
          <w:kern w:val="0"/>
          <w:sz w:val="24"/>
          <w:szCs w:val="24"/>
          <w:highlight w:val="none"/>
        </w:rPr>
        <w:t>、感染性废物、药物性废物不能混合收集；少量的药物性废物可以混入感染性废物，但应当在标签上注明；</w:t>
      </w:r>
    </w:p>
    <w:p w14:paraId="52194776">
      <w:pPr>
        <w:keepNext w:val="0"/>
        <w:keepLines w:val="0"/>
        <w:pageBreakBefore w:val="0"/>
        <w:widowControl w:val="0"/>
        <w:kinsoku/>
        <w:wordWrap/>
        <w:overflowPunct/>
        <w:topLinePunct w:val="0"/>
        <w:autoSpaceDE/>
        <w:autoSpaceDN/>
        <w:bidi w:val="0"/>
        <w:adjustRightInd/>
        <w:snapToGrid/>
        <w:spacing w:line="360" w:lineRule="auto"/>
        <w:ind w:left="0" w:right="0" w:firstLine="475"/>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D</w:t>
      </w:r>
      <w:r>
        <w:rPr>
          <w:rFonts w:ascii="Times New Roman" w:hAnsi="Times New Roman" w:eastAsia="宋体" w:cs="宋体"/>
          <w:color w:val="auto"/>
          <w:spacing w:val="0"/>
          <w:kern w:val="0"/>
          <w:sz w:val="24"/>
          <w:szCs w:val="24"/>
          <w:highlight w:val="none"/>
        </w:rPr>
        <w:t>、对于能够刺伤或割伤人体的废弃医用锐器，按照类别分置于防渗漏、防锐器穿透的专用密闭的容器内，设置有明显的标识，防止转运人员被锐器割伤引起疾病感染；</w:t>
      </w:r>
    </w:p>
    <w:p w14:paraId="672EA4DE">
      <w:pPr>
        <w:keepNext w:val="0"/>
        <w:keepLines w:val="0"/>
        <w:pageBreakBefore w:val="0"/>
        <w:widowControl w:val="0"/>
        <w:kinsoku/>
        <w:wordWrap/>
        <w:overflowPunct/>
        <w:topLinePunct w:val="0"/>
        <w:autoSpaceDE/>
        <w:autoSpaceDN/>
        <w:bidi w:val="0"/>
        <w:adjustRightInd/>
        <w:snapToGrid/>
        <w:spacing w:line="360" w:lineRule="auto"/>
        <w:ind w:left="0" w:right="0" w:firstLine="475"/>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E</w:t>
      </w:r>
      <w:r>
        <w:rPr>
          <w:rFonts w:ascii="Times New Roman" w:hAnsi="Times New Roman" w:eastAsia="宋体" w:cs="宋体"/>
          <w:color w:val="auto"/>
          <w:spacing w:val="0"/>
          <w:kern w:val="0"/>
          <w:sz w:val="24"/>
          <w:szCs w:val="24"/>
          <w:highlight w:val="none"/>
        </w:rPr>
        <w:t>、医疗废物收集袋的颜色为黄色，印有医疗废物的文字说明和警示标示，根据盛装的医疗废物达到</w:t>
      </w:r>
      <w:r>
        <w:rPr>
          <w:rFonts w:ascii="Times New Roman" w:hAnsi="Times New Roman" w:eastAsia="宋体" w:cs="Times New Roman"/>
          <w:color w:val="auto"/>
          <w:spacing w:val="0"/>
          <w:kern w:val="0"/>
          <w:sz w:val="24"/>
          <w:szCs w:val="24"/>
          <w:highlight w:val="none"/>
        </w:rPr>
        <w:t>3/4</w:t>
      </w:r>
      <w:r>
        <w:rPr>
          <w:rFonts w:ascii="Times New Roman" w:hAnsi="Times New Roman" w:eastAsia="宋体" w:cs="宋体"/>
          <w:color w:val="auto"/>
          <w:spacing w:val="0"/>
          <w:kern w:val="0"/>
          <w:sz w:val="24"/>
          <w:szCs w:val="24"/>
          <w:highlight w:val="none"/>
        </w:rPr>
        <w:t>时，应当使用有效的封口方式，清运至医疗废物暂存桶。</w:t>
      </w:r>
    </w:p>
    <w:p w14:paraId="2CBA45F3">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宋体"/>
          <w:color w:val="auto"/>
          <w:spacing w:val="0"/>
          <w:kern w:val="0"/>
          <w:sz w:val="24"/>
          <w:szCs w:val="24"/>
          <w:highlight w:val="none"/>
        </w:rPr>
        <w:t>②医疗废物暂存要求</w:t>
      </w:r>
    </w:p>
    <w:p w14:paraId="37E94D0B">
      <w:pPr>
        <w:keepNext w:val="0"/>
        <w:keepLines w:val="0"/>
        <w:pageBreakBefore w:val="0"/>
        <w:widowControl w:val="0"/>
        <w:kinsoku/>
        <w:wordWrap/>
        <w:overflowPunct/>
        <w:topLinePunct w:val="0"/>
        <w:autoSpaceDE/>
        <w:autoSpaceDN/>
        <w:bidi w:val="0"/>
        <w:adjustRightInd/>
        <w:snapToGrid/>
        <w:spacing w:line="360" w:lineRule="auto"/>
        <w:ind w:left="0" w:right="0" w:firstLine="472"/>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A</w:t>
      </w:r>
      <w:r>
        <w:rPr>
          <w:rFonts w:ascii="Times New Roman" w:hAnsi="Times New Roman" w:eastAsia="宋体" w:cs="宋体"/>
          <w:color w:val="auto"/>
          <w:spacing w:val="0"/>
          <w:kern w:val="0"/>
          <w:sz w:val="24"/>
          <w:szCs w:val="24"/>
          <w:highlight w:val="none"/>
        </w:rPr>
        <w:t>、医疗卫生机构应当建立医疗废物的暂时贮存设施、设备，不得露天存放医疗废物；</w:t>
      </w:r>
    </w:p>
    <w:p w14:paraId="06A45F7E">
      <w:pPr>
        <w:keepNext w:val="0"/>
        <w:keepLines w:val="0"/>
        <w:pageBreakBefore w:val="0"/>
        <w:widowControl w:val="0"/>
        <w:kinsoku/>
        <w:wordWrap/>
        <w:overflowPunct/>
        <w:topLinePunct w:val="0"/>
        <w:autoSpaceDE/>
        <w:autoSpaceDN/>
        <w:bidi w:val="0"/>
        <w:adjustRightInd/>
        <w:snapToGrid/>
        <w:spacing w:line="360" w:lineRule="auto"/>
        <w:ind w:left="0" w:right="0" w:firstLine="459"/>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B</w:t>
      </w:r>
      <w:r>
        <w:rPr>
          <w:rFonts w:ascii="Times New Roman" w:hAnsi="Times New Roman" w:eastAsia="宋体" w:cs="宋体"/>
          <w:color w:val="auto"/>
          <w:spacing w:val="0"/>
          <w:kern w:val="0"/>
          <w:sz w:val="24"/>
          <w:szCs w:val="24"/>
          <w:highlight w:val="none"/>
        </w:rPr>
        <w:t>、医疗废物的暂时贮存设施、设备，应当远离医疗区、食品加工区和人员活动区以及生活垃圾存放场所，并设置明显的警示标识和防渗漏、防鼠、防蚊蝇、防蟑螂、防盗以及预防儿童接触等安全措施；</w:t>
      </w:r>
    </w:p>
    <w:p w14:paraId="6C2FCB21">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C</w:t>
      </w:r>
      <w:r>
        <w:rPr>
          <w:rFonts w:ascii="Times New Roman" w:hAnsi="Times New Roman" w:eastAsia="宋体" w:cs="宋体"/>
          <w:color w:val="auto"/>
          <w:spacing w:val="0"/>
          <w:kern w:val="0"/>
          <w:sz w:val="24"/>
          <w:szCs w:val="24"/>
          <w:highlight w:val="none"/>
        </w:rPr>
        <w:t>、医疗废物转交出去后，应当对暂时贮存地点、设施及时进行清洁和消毒处理，冲洗暂存地点和设施的废水必须经过消毒池处理后排放；</w:t>
      </w:r>
    </w:p>
    <w:p w14:paraId="35C1CE6E">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Times New Roman" w:hAnsi="Times New Roman" w:eastAsia="宋体" w:cs="宋体"/>
          <w:color w:val="auto"/>
          <w:spacing w:val="0"/>
          <w:kern w:val="0"/>
          <w:sz w:val="24"/>
          <w:szCs w:val="24"/>
          <w:highlight w:val="none"/>
        </w:rPr>
      </w:pPr>
      <w:r>
        <w:rPr>
          <w:rFonts w:ascii="Times New Roman" w:hAnsi="Times New Roman" w:eastAsia="宋体" w:cs="Times New Roman"/>
          <w:color w:val="auto"/>
          <w:spacing w:val="0"/>
          <w:kern w:val="0"/>
          <w:sz w:val="24"/>
          <w:szCs w:val="24"/>
          <w:highlight w:val="none"/>
        </w:rPr>
        <w:t>D</w:t>
      </w:r>
      <w:r>
        <w:rPr>
          <w:rFonts w:ascii="Times New Roman" w:hAnsi="Times New Roman" w:eastAsia="宋体" w:cs="宋体"/>
          <w:color w:val="auto"/>
          <w:spacing w:val="0"/>
          <w:kern w:val="0"/>
          <w:sz w:val="24"/>
          <w:szCs w:val="24"/>
          <w:highlight w:val="none"/>
        </w:rPr>
        <w:t>、医疗废物暂时贮存的时间不得超过</w:t>
      </w:r>
      <w:r>
        <w:rPr>
          <w:rFonts w:ascii="Times New Roman" w:hAnsi="Times New Roman" w:eastAsia="宋体" w:cs="Times New Roman"/>
          <w:color w:val="auto"/>
          <w:spacing w:val="0"/>
          <w:kern w:val="0"/>
          <w:sz w:val="24"/>
          <w:szCs w:val="24"/>
          <w:highlight w:val="none"/>
        </w:rPr>
        <w:t>2</w:t>
      </w:r>
      <w:r>
        <w:rPr>
          <w:rFonts w:ascii="Times New Roman" w:hAnsi="Times New Roman" w:eastAsia="宋体" w:cs="宋体"/>
          <w:color w:val="auto"/>
          <w:spacing w:val="0"/>
          <w:kern w:val="0"/>
          <w:sz w:val="24"/>
          <w:szCs w:val="24"/>
          <w:highlight w:val="none"/>
        </w:rPr>
        <w:t>天，尽量做到日产日清。</w:t>
      </w:r>
    </w:p>
    <w:p w14:paraId="0B831559">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olor w:val="auto"/>
          <w:spacing w:val="0"/>
          <w:kern w:val="0"/>
          <w:sz w:val="24"/>
          <w:highlight w:val="none"/>
        </w:rPr>
      </w:pPr>
      <w:r>
        <w:rPr>
          <w:rFonts w:ascii="Times New Roman" w:hAnsi="Times New Roman" w:eastAsia="宋体" w:cs="宋体"/>
          <w:color w:val="auto"/>
          <w:spacing w:val="0"/>
          <w:kern w:val="0"/>
          <w:sz w:val="24"/>
          <w:szCs w:val="24"/>
          <w:highlight w:val="none"/>
        </w:rPr>
        <w:t>综上所述，本项目产生的固体废物在采取上述处置措施后，均得到合理处置与利用，对周围环境影响较小。</w:t>
      </w:r>
    </w:p>
    <w:p w14:paraId="3101E25A">
      <w:pPr>
        <w:pStyle w:val="5"/>
        <w:rPr>
          <w:rFonts w:ascii="Times New Roman" w:hAnsi="Times New Roman" w:eastAsia="宋体"/>
          <w:color w:val="auto"/>
          <w:highlight w:val="none"/>
        </w:rPr>
      </w:pPr>
      <w:bookmarkStart w:id="208" w:name="_Toc106663504"/>
      <w:r>
        <w:rPr>
          <w:rFonts w:hint="eastAsia" w:ascii="Times New Roman" w:hAnsi="Times New Roman" w:eastAsia="宋体"/>
          <w:color w:val="auto"/>
          <w:highlight w:val="none"/>
        </w:rPr>
        <w:t>5.2.5土壤环境影响分析</w:t>
      </w:r>
      <w:bookmarkEnd w:id="208"/>
    </w:p>
    <w:p w14:paraId="0C176F48">
      <w:pPr>
        <w:pStyle w:val="6"/>
        <w:ind w:firstLine="0" w:firstLineChars="0"/>
        <w:rPr>
          <w:rFonts w:ascii="Times New Roman" w:hAnsi="Times New Roman" w:eastAsia="宋体"/>
          <w:color w:val="auto"/>
          <w:highlight w:val="none"/>
        </w:rPr>
      </w:pPr>
      <w:r>
        <w:rPr>
          <w:rFonts w:ascii="Times New Roman" w:hAnsi="Times New Roman" w:eastAsia="宋体"/>
          <w:color w:val="auto"/>
          <w:highlight w:val="none"/>
        </w:rPr>
        <w:t>5.2.5.1</w:t>
      </w:r>
      <w:r>
        <w:rPr>
          <w:rFonts w:hint="eastAsia" w:ascii="Times New Roman" w:hAnsi="Times New Roman" w:eastAsia="宋体"/>
          <w:color w:val="auto"/>
          <w:highlight w:val="none"/>
        </w:rPr>
        <w:t>土壤现状</w:t>
      </w:r>
    </w:p>
    <w:p w14:paraId="177F1572">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.2.</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.1土壤区域性质简述</w:t>
      </w:r>
    </w:p>
    <w:p w14:paraId="31560CE7">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土质以轻壤、中壤为主，其次是沙壤、重壤、粘土等，土壤有机质含量为</w:t>
      </w:r>
      <w:r>
        <w:rPr>
          <w:rFonts w:ascii="Times New Roman" w:hAnsi="Times New Roman" w:eastAsia="宋体" w:cs="Times New Roman"/>
          <w:color w:val="auto"/>
          <w:spacing w:val="0"/>
          <w:sz w:val="24"/>
          <w:szCs w:val="24"/>
          <w:highlight w:val="none"/>
        </w:rPr>
        <w:t>2.39%</w:t>
      </w:r>
      <w:r>
        <w:rPr>
          <w:rFonts w:ascii="Times New Roman" w:hAnsi="Times New Roman" w:eastAsia="宋体" w:cs="宋体"/>
          <w:color w:val="auto"/>
          <w:spacing w:val="0"/>
          <w:sz w:val="24"/>
          <w:szCs w:val="24"/>
          <w:highlight w:val="none"/>
        </w:rPr>
        <w:t>，含氮</w:t>
      </w:r>
      <w:r>
        <w:rPr>
          <w:rFonts w:ascii="Times New Roman" w:hAnsi="Times New Roman" w:eastAsia="宋体" w:cs="Times New Roman"/>
          <w:color w:val="auto"/>
          <w:spacing w:val="0"/>
          <w:sz w:val="24"/>
          <w:szCs w:val="24"/>
          <w:highlight w:val="none"/>
        </w:rPr>
        <w:t>0.14%</w:t>
      </w:r>
      <w:r>
        <w:rPr>
          <w:rFonts w:ascii="Times New Roman" w:hAnsi="Times New Roman" w:eastAsia="宋体" w:cs="宋体"/>
          <w:color w:val="auto"/>
          <w:spacing w:val="0"/>
          <w:sz w:val="24"/>
          <w:szCs w:val="24"/>
          <w:highlight w:val="none"/>
        </w:rPr>
        <w:t>、含磷</w:t>
      </w:r>
      <w:r>
        <w:rPr>
          <w:rFonts w:ascii="Times New Roman" w:hAnsi="Times New Roman" w:eastAsia="宋体" w:cs="Times New Roman"/>
          <w:color w:val="auto"/>
          <w:spacing w:val="0"/>
          <w:sz w:val="24"/>
          <w:szCs w:val="24"/>
          <w:highlight w:val="none"/>
        </w:rPr>
        <w:t>0.18%</w:t>
      </w:r>
      <w:r>
        <w:rPr>
          <w:rFonts w:ascii="Times New Roman" w:hAnsi="Times New Roman" w:eastAsia="宋体" w:cs="宋体"/>
          <w:color w:val="auto"/>
          <w:spacing w:val="0"/>
          <w:sz w:val="24"/>
          <w:szCs w:val="24"/>
          <w:highlight w:val="none"/>
        </w:rPr>
        <w:t>、碳酸钙</w:t>
      </w:r>
      <w:r>
        <w:rPr>
          <w:rFonts w:ascii="Times New Roman" w:hAnsi="Times New Roman" w:eastAsia="宋体" w:cs="Times New Roman"/>
          <w:color w:val="auto"/>
          <w:spacing w:val="0"/>
          <w:sz w:val="24"/>
          <w:szCs w:val="24"/>
          <w:highlight w:val="none"/>
        </w:rPr>
        <w:t>14.9%</w:t>
      </w:r>
      <w:r>
        <w:rPr>
          <w:rFonts w:ascii="Times New Roman" w:hAnsi="Times New Roman" w:eastAsia="宋体" w:cs="宋体"/>
          <w:color w:val="auto"/>
          <w:spacing w:val="0"/>
          <w:sz w:val="24"/>
          <w:szCs w:val="24"/>
          <w:highlight w:val="none"/>
        </w:rPr>
        <w:t>，土壤</w:t>
      </w:r>
      <w:r>
        <w:rPr>
          <w:rFonts w:ascii="Times New Roman" w:hAnsi="Times New Roman" w:eastAsia="宋体" w:cs="Times New Roman"/>
          <w:color w:val="auto"/>
          <w:spacing w:val="0"/>
          <w:sz w:val="24"/>
          <w:szCs w:val="24"/>
          <w:highlight w:val="none"/>
        </w:rPr>
        <w:t>PH</w:t>
      </w:r>
      <w:r>
        <w:rPr>
          <w:rFonts w:ascii="Times New Roman" w:hAnsi="Times New Roman" w:eastAsia="宋体" w:cs="宋体"/>
          <w:color w:val="auto"/>
          <w:spacing w:val="0"/>
          <w:sz w:val="24"/>
          <w:szCs w:val="24"/>
          <w:highlight w:val="none"/>
        </w:rPr>
        <w:t>值为</w:t>
      </w:r>
      <w:r>
        <w:rPr>
          <w:rFonts w:ascii="Times New Roman" w:hAnsi="Times New Roman" w:eastAsia="宋体" w:cs="Times New Roman"/>
          <w:color w:val="auto"/>
          <w:spacing w:val="0"/>
          <w:sz w:val="24"/>
          <w:szCs w:val="24"/>
          <w:highlight w:val="none"/>
        </w:rPr>
        <w:t>5.5</w:t>
      </w:r>
      <w:r>
        <w:rPr>
          <w:rFonts w:ascii="Times New Roman" w:hAnsi="Times New Roman" w:eastAsia="宋体" w:cs="宋体"/>
          <w:color w:val="auto"/>
          <w:spacing w:val="0"/>
          <w:sz w:val="24"/>
          <w:szCs w:val="24"/>
          <w:highlight w:val="none"/>
        </w:rPr>
        <w:t>~</w:t>
      </w:r>
      <w:r>
        <w:rPr>
          <w:rFonts w:ascii="Times New Roman" w:hAnsi="Times New Roman" w:eastAsia="宋体" w:cs="Times New Roman"/>
          <w:color w:val="auto"/>
          <w:spacing w:val="0"/>
          <w:sz w:val="24"/>
          <w:szCs w:val="24"/>
          <w:highlight w:val="none"/>
        </w:rPr>
        <w:t>6.5</w:t>
      </w:r>
      <w:r>
        <w:rPr>
          <w:rFonts w:ascii="Times New Roman" w:hAnsi="Times New Roman" w:eastAsia="宋体" w:cs="宋体"/>
          <w:color w:val="auto"/>
          <w:spacing w:val="0"/>
          <w:sz w:val="24"/>
          <w:szCs w:val="24"/>
          <w:highlight w:val="none"/>
        </w:rPr>
        <w:t>。土壤理化和生物性能良好，土质宜农宜牧。</w:t>
      </w:r>
    </w:p>
    <w:p w14:paraId="6D2816C5">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.2.</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.2土壤环境质量现状评价</w:t>
      </w:r>
    </w:p>
    <w:p w14:paraId="4DD4F5F1">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hint="default" w:ascii="Times New Roman" w:hAnsi="Times New Roman" w:eastAsia="宋体" w:cs="宋体"/>
          <w:color w:val="auto"/>
          <w:spacing w:val="0"/>
          <w:sz w:val="24"/>
          <w:szCs w:val="24"/>
          <w:highlight w:val="none"/>
          <w:lang w:val="en-US" w:eastAsia="zh-CN"/>
        </w:rPr>
      </w:pPr>
      <w:r>
        <w:rPr>
          <w:rFonts w:ascii="Times New Roman" w:hAnsi="Times New Roman" w:eastAsia="宋体" w:cs="宋体"/>
          <w:color w:val="auto"/>
          <w:spacing w:val="0"/>
          <w:sz w:val="24"/>
          <w:szCs w:val="24"/>
          <w:highlight w:val="none"/>
        </w:rPr>
        <w:t>本项目土壤现状监测设置3个点位，项目土壤各监测因子浓度均满足《土壤环境质量农用地土壤污染风险管控标准</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试行</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GB15618-2018</w:t>
      </w:r>
      <w:r>
        <w:rPr>
          <w:rFonts w:hint="eastAsia" w:cs="宋体"/>
          <w:color w:val="auto"/>
          <w:spacing w:val="0"/>
          <w:sz w:val="24"/>
          <w:szCs w:val="24"/>
          <w:highlight w:val="none"/>
          <w:lang w:eastAsia="zh-CN"/>
        </w:rPr>
        <w:t>）</w:t>
      </w:r>
      <w:r>
        <w:rPr>
          <w:rFonts w:ascii="Times New Roman" w:hAnsi="Times New Roman" w:eastAsia="宋体" w:cs="宋体"/>
          <w:color w:val="auto"/>
          <w:spacing w:val="0"/>
          <w:sz w:val="24"/>
          <w:szCs w:val="24"/>
          <w:highlight w:val="none"/>
        </w:rPr>
        <w:t>中其他用地风险筛选值，当地土壤环境质量较好。</w:t>
      </w:r>
    </w:p>
    <w:p w14:paraId="70CF852B">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.2.</w:t>
      </w:r>
      <w:r>
        <w:rPr>
          <w:rFonts w:hint="eastAsia" w:ascii="Times New Roman" w:hAnsi="Times New Roman" w:eastAsia="宋体"/>
          <w:color w:val="auto"/>
          <w:highlight w:val="none"/>
          <w:lang w:val="en-US" w:eastAsia="zh-CN"/>
        </w:rPr>
        <w:t>5</w:t>
      </w:r>
      <w:r>
        <w:rPr>
          <w:rFonts w:ascii="Times New Roman" w:hAnsi="Times New Roman" w:eastAsia="宋体"/>
          <w:color w:val="auto"/>
          <w:highlight w:val="none"/>
        </w:rPr>
        <w:t>.3土壤影响分析</w:t>
      </w:r>
    </w:p>
    <w:p w14:paraId="1B9A717E">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本项目造成土壤影响的污染源主要来鸡粪及散落羽毛、废水，鸡粪含有植物生长必须的营养元素，是一种很好的资源，能改善土壤的理化性质，增强土壤的保肥性，提高土壤的生态肥力，对土壤环境产生有利影响。畜禽养殖主要问题之一是对土壤环境和农产品质量造成威胁。一方面，部分地区畜禽养殖量无序增加，废弃物排放量严重超过土地消纳能力，造成农田土壤污染。</w:t>
      </w:r>
    </w:p>
    <w:p w14:paraId="3BB68106">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项目区产生的鸡粪采用自动清粪系统清理后拉运至有机肥生产公司作为有机肥生产的原料，由其负责定期清运工作；生活污水直接排入下水管网，最终进入玛纳斯县城污水处理厂；鸡舍冲洗废水排入</w:t>
      </w:r>
      <w:r>
        <w:rPr>
          <w:rFonts w:hint="eastAsia" w:cs="宋体"/>
          <w:color w:val="auto"/>
          <w:spacing w:val="0"/>
          <w:sz w:val="24"/>
          <w:szCs w:val="24"/>
          <w:highlight w:val="none"/>
          <w:lang w:eastAsia="zh-CN"/>
        </w:rPr>
        <w:t>废水收集池</w:t>
      </w:r>
      <w:r>
        <w:rPr>
          <w:rFonts w:hint="eastAsia" w:cs="宋体"/>
          <w:color w:val="auto"/>
          <w:spacing w:val="0"/>
          <w:sz w:val="24"/>
          <w:szCs w:val="24"/>
          <w:highlight w:val="none"/>
          <w:lang w:val="en-US" w:eastAsia="zh-CN"/>
        </w:rPr>
        <w:t>经预处理后用作农肥</w:t>
      </w:r>
      <w:r>
        <w:rPr>
          <w:rFonts w:ascii="Times New Roman" w:hAnsi="Times New Roman" w:eastAsia="宋体" w:cs="宋体"/>
          <w:color w:val="auto"/>
          <w:spacing w:val="0"/>
          <w:sz w:val="24"/>
          <w:szCs w:val="24"/>
          <w:highlight w:val="none"/>
        </w:rPr>
        <w:t>。通过评价分析，本项目产生的鸡粪以及废水不会对土壤环境造成大的影响。</w:t>
      </w:r>
    </w:p>
    <w:p w14:paraId="3EE1B957">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因此企业要严格实施环评提及的各项废水、固废防治措施治理，实现污水、固废的零排放，使其对周围土壤环境影响降至最低。</w:t>
      </w:r>
    </w:p>
    <w:p w14:paraId="2E5705CF">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Times New Roman" w:hAnsi="Times New Roman" w:eastAsia="宋体" w:cs="宋体"/>
          <w:color w:val="auto"/>
          <w:spacing w:val="0"/>
          <w:sz w:val="24"/>
          <w:szCs w:val="24"/>
          <w:highlight w:val="none"/>
        </w:rPr>
      </w:pPr>
      <w:r>
        <w:rPr>
          <w:rFonts w:ascii="Times New Roman" w:hAnsi="Times New Roman" w:eastAsia="宋体" w:cs="宋体"/>
          <w:color w:val="auto"/>
          <w:spacing w:val="0"/>
          <w:sz w:val="24"/>
          <w:szCs w:val="24"/>
          <w:highlight w:val="none"/>
        </w:rPr>
        <w:t>土壤环境影响评价自查表见表</w:t>
      </w:r>
      <w:r>
        <w:rPr>
          <w:rFonts w:hint="eastAsia" w:ascii="Times New Roman" w:hAnsi="Times New Roman" w:eastAsia="宋体" w:cs="宋体"/>
          <w:color w:val="auto"/>
          <w:spacing w:val="0"/>
          <w:sz w:val="24"/>
          <w:szCs w:val="24"/>
          <w:highlight w:val="none"/>
          <w:lang w:val="en-US" w:eastAsia="zh-CN"/>
        </w:rPr>
        <w:t>5</w:t>
      </w:r>
      <w:r>
        <w:rPr>
          <w:rFonts w:ascii="Times New Roman" w:hAnsi="Times New Roman" w:eastAsia="宋体" w:cs="宋体"/>
          <w:color w:val="auto"/>
          <w:spacing w:val="0"/>
          <w:sz w:val="24"/>
          <w:szCs w:val="24"/>
          <w:highlight w:val="none"/>
        </w:rPr>
        <w:t>.2-1</w:t>
      </w:r>
      <w:r>
        <w:rPr>
          <w:rFonts w:hint="eastAsia" w:ascii="Times New Roman" w:hAnsi="Times New Roman" w:eastAsia="宋体" w:cs="宋体"/>
          <w:color w:val="auto"/>
          <w:spacing w:val="0"/>
          <w:sz w:val="24"/>
          <w:szCs w:val="24"/>
          <w:highlight w:val="none"/>
          <w:lang w:val="en-US" w:eastAsia="zh-CN"/>
        </w:rPr>
        <w:t>9</w:t>
      </w:r>
      <w:r>
        <w:rPr>
          <w:rFonts w:ascii="Times New Roman" w:hAnsi="Times New Roman" w:eastAsia="宋体" w:cs="宋体"/>
          <w:color w:val="auto"/>
          <w:spacing w:val="0"/>
          <w:sz w:val="24"/>
          <w:szCs w:val="24"/>
          <w:highlight w:val="none"/>
        </w:rPr>
        <w:t>。</w:t>
      </w:r>
    </w:p>
    <w:p w14:paraId="074EF88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b/>
          <w:bCs/>
          <w:color w:val="auto"/>
          <w:spacing w:val="0"/>
          <w:sz w:val="24"/>
          <w:szCs w:val="24"/>
          <w:highlight w:val="none"/>
        </w:rPr>
      </w:pPr>
      <w:r>
        <w:rPr>
          <w:rFonts w:ascii="Times New Roman" w:hAnsi="Times New Roman" w:eastAsia="宋体" w:cs="宋体"/>
          <w:b/>
          <w:bCs/>
          <w:color w:val="auto"/>
          <w:spacing w:val="0"/>
          <w:sz w:val="24"/>
          <w:szCs w:val="24"/>
          <w:highlight w:val="none"/>
        </w:rPr>
        <w:t>表</w:t>
      </w:r>
      <w:r>
        <w:rPr>
          <w:rFonts w:hint="eastAsia" w:ascii="Times New Roman" w:hAnsi="Times New Roman" w:eastAsia="宋体" w:cs="宋体"/>
          <w:b/>
          <w:bCs/>
          <w:color w:val="auto"/>
          <w:spacing w:val="0"/>
          <w:sz w:val="24"/>
          <w:szCs w:val="24"/>
          <w:highlight w:val="none"/>
          <w:lang w:val="en-US" w:eastAsia="zh-CN"/>
        </w:rPr>
        <w:t>5</w:t>
      </w:r>
      <w:r>
        <w:rPr>
          <w:rFonts w:ascii="Times New Roman" w:hAnsi="Times New Roman" w:eastAsia="宋体" w:cs="宋体"/>
          <w:b/>
          <w:bCs/>
          <w:color w:val="auto"/>
          <w:spacing w:val="0"/>
          <w:sz w:val="24"/>
          <w:szCs w:val="24"/>
          <w:highlight w:val="none"/>
        </w:rPr>
        <w:t>.2-1</w:t>
      </w:r>
      <w:r>
        <w:rPr>
          <w:rFonts w:hint="eastAsia" w:ascii="Times New Roman" w:hAnsi="Times New Roman" w:eastAsia="宋体" w:cs="宋体"/>
          <w:b/>
          <w:bCs/>
          <w:color w:val="auto"/>
          <w:spacing w:val="0"/>
          <w:sz w:val="24"/>
          <w:szCs w:val="24"/>
          <w:highlight w:val="none"/>
          <w:lang w:val="en-US" w:eastAsia="zh-CN"/>
        </w:rPr>
        <w:t>9</w:t>
      </w:r>
      <w:r>
        <w:rPr>
          <w:rFonts w:ascii="Times New Roman" w:hAnsi="Times New Roman" w:eastAsia="宋体" w:cs="宋体"/>
          <w:b/>
          <w:bCs/>
          <w:color w:val="auto"/>
          <w:spacing w:val="0"/>
          <w:sz w:val="24"/>
          <w:szCs w:val="24"/>
          <w:highlight w:val="none"/>
        </w:rPr>
        <w:t>土壤环境影响评价自查表</w:t>
      </w:r>
    </w:p>
    <w:tbl>
      <w:tblPr>
        <w:tblStyle w:val="17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95"/>
        <w:gridCol w:w="1484"/>
        <w:gridCol w:w="1248"/>
        <w:gridCol w:w="1351"/>
        <w:gridCol w:w="954"/>
        <w:gridCol w:w="382"/>
        <w:gridCol w:w="1376"/>
        <w:gridCol w:w="1020"/>
      </w:tblGrid>
      <w:tr w14:paraId="30802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190" w:type="pct"/>
            <w:gridSpan w:val="2"/>
            <w:tcBorders>
              <w:tl2br w:val="nil"/>
              <w:tr2bl w:val="nil"/>
            </w:tcBorders>
            <w:vAlign w:val="center"/>
          </w:tcPr>
          <w:p w14:paraId="4EBCB54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工作内容</w:t>
            </w:r>
          </w:p>
        </w:tc>
        <w:tc>
          <w:tcPr>
            <w:tcW w:w="3196" w:type="pct"/>
            <w:gridSpan w:val="5"/>
            <w:tcBorders>
              <w:tl2br w:val="nil"/>
              <w:tr2bl w:val="nil"/>
            </w:tcBorders>
            <w:vAlign w:val="center"/>
          </w:tcPr>
          <w:p w14:paraId="1D32D72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完成情况</w:t>
            </w:r>
          </w:p>
        </w:tc>
        <w:tc>
          <w:tcPr>
            <w:tcW w:w="613" w:type="pct"/>
            <w:tcBorders>
              <w:tl2br w:val="nil"/>
              <w:tr2bl w:val="nil"/>
            </w:tcBorders>
            <w:vAlign w:val="center"/>
          </w:tcPr>
          <w:p w14:paraId="190FAEF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备注</w:t>
            </w:r>
          </w:p>
        </w:tc>
      </w:tr>
      <w:tr w14:paraId="7ABFB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jc w:val="center"/>
        </w:trPr>
        <w:tc>
          <w:tcPr>
            <w:tcW w:w="297" w:type="pct"/>
            <w:vMerge w:val="restart"/>
            <w:tcBorders>
              <w:tl2br w:val="nil"/>
              <w:tr2bl w:val="nil"/>
            </w:tcBorders>
            <w:textDirection w:val="tbRlV"/>
            <w:vAlign w:val="center"/>
          </w:tcPr>
          <w:p w14:paraId="5378E12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影响识别</w:t>
            </w:r>
          </w:p>
        </w:tc>
        <w:tc>
          <w:tcPr>
            <w:tcW w:w="892" w:type="pct"/>
            <w:tcBorders>
              <w:tl2br w:val="nil"/>
              <w:tr2bl w:val="nil"/>
            </w:tcBorders>
            <w:vAlign w:val="center"/>
          </w:tcPr>
          <w:p w14:paraId="52BE0BF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影响类型</w:t>
            </w:r>
          </w:p>
        </w:tc>
        <w:tc>
          <w:tcPr>
            <w:tcW w:w="3196" w:type="pct"/>
            <w:gridSpan w:val="5"/>
            <w:tcBorders>
              <w:tl2br w:val="nil"/>
              <w:tr2bl w:val="nil"/>
            </w:tcBorders>
            <w:vAlign w:val="center"/>
          </w:tcPr>
          <w:p w14:paraId="27BFC20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污染影响型</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；生态影响型</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；两种兼有</w:t>
            </w:r>
            <w:r>
              <w:rPr>
                <w:rFonts w:ascii="Times New Roman" w:hAnsi="Times New Roman" w:eastAsia="宋体" w:cs="Times New Roman"/>
                <w:color w:val="auto"/>
                <w:spacing w:val="0"/>
                <w:position w:val="0"/>
                <w:sz w:val="21"/>
                <w:szCs w:val="21"/>
                <w:highlight w:val="none"/>
              </w:rPr>
              <w:t>□</w:t>
            </w:r>
          </w:p>
        </w:tc>
        <w:tc>
          <w:tcPr>
            <w:tcW w:w="613" w:type="pct"/>
            <w:tcBorders>
              <w:tl2br w:val="nil"/>
              <w:tr2bl w:val="nil"/>
            </w:tcBorders>
            <w:vAlign w:val="center"/>
          </w:tcPr>
          <w:p w14:paraId="2DFA0DE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69C14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2BE69BB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5968FCD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土地利用类型</w:t>
            </w:r>
          </w:p>
        </w:tc>
        <w:tc>
          <w:tcPr>
            <w:tcW w:w="3196" w:type="pct"/>
            <w:gridSpan w:val="5"/>
            <w:tcBorders>
              <w:tl2br w:val="nil"/>
              <w:tr2bl w:val="nil"/>
            </w:tcBorders>
            <w:vAlign w:val="center"/>
          </w:tcPr>
          <w:p w14:paraId="1CD5424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建设用地</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；农用地</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；未利用地</w:t>
            </w:r>
            <w:r>
              <w:rPr>
                <w:rFonts w:ascii="Times New Roman" w:hAnsi="Times New Roman" w:eastAsia="宋体" w:cs="Times New Roman"/>
                <w:color w:val="auto"/>
                <w:spacing w:val="0"/>
                <w:position w:val="0"/>
                <w:sz w:val="21"/>
                <w:szCs w:val="21"/>
                <w:highlight w:val="none"/>
              </w:rPr>
              <w:t>□</w:t>
            </w:r>
          </w:p>
        </w:tc>
        <w:tc>
          <w:tcPr>
            <w:tcW w:w="613" w:type="pct"/>
            <w:tcBorders>
              <w:tl2br w:val="nil"/>
              <w:tr2bl w:val="nil"/>
            </w:tcBorders>
            <w:vAlign w:val="center"/>
          </w:tcPr>
          <w:p w14:paraId="2867C17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5BAAD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97" w:type="pct"/>
            <w:vMerge w:val="continue"/>
            <w:tcBorders>
              <w:tl2br w:val="nil"/>
              <w:tr2bl w:val="nil"/>
            </w:tcBorders>
            <w:textDirection w:val="tbRlV"/>
            <w:vAlign w:val="center"/>
          </w:tcPr>
          <w:p w14:paraId="20126E0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266AE86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占地规模</w:t>
            </w:r>
          </w:p>
        </w:tc>
        <w:tc>
          <w:tcPr>
            <w:tcW w:w="3196" w:type="pct"/>
            <w:gridSpan w:val="5"/>
            <w:tcBorders>
              <w:tl2br w:val="nil"/>
              <w:tr2bl w:val="nil"/>
            </w:tcBorders>
            <w:vAlign w:val="center"/>
          </w:tcPr>
          <w:p w14:paraId="0F128CE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cs="宋体"/>
                <w:color w:val="auto"/>
                <w:spacing w:val="0"/>
                <w:position w:val="0"/>
                <w:sz w:val="21"/>
                <w:szCs w:val="21"/>
                <w:highlight w:val="none"/>
                <w:lang w:eastAsia="zh-CN"/>
              </w:rPr>
              <w:t>（</w:t>
            </w:r>
            <w:r>
              <w:rPr>
                <w:rFonts w:hint="eastAsia" w:ascii="Times New Roman" w:hAnsi="Times New Roman" w:eastAsia="宋体" w:cs="宋体"/>
                <w:color w:val="auto"/>
                <w:spacing w:val="0"/>
                <w:position w:val="0"/>
                <w:sz w:val="21"/>
                <w:szCs w:val="21"/>
                <w:highlight w:val="none"/>
                <w:lang w:val="en-US" w:eastAsia="zh-CN"/>
              </w:rPr>
              <w:t>7.01</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hm</w:t>
            </w:r>
            <w:r>
              <w:rPr>
                <w:rFonts w:ascii="Times New Roman" w:hAnsi="Times New Roman" w:eastAsia="宋体" w:cs="Times New Roman"/>
                <w:color w:val="auto"/>
                <w:spacing w:val="0"/>
                <w:position w:val="0"/>
                <w:sz w:val="21"/>
                <w:szCs w:val="21"/>
                <w:highlight w:val="none"/>
                <w:vertAlign w:val="superscript"/>
              </w:rPr>
              <w:t>2</w:t>
            </w:r>
          </w:p>
        </w:tc>
        <w:tc>
          <w:tcPr>
            <w:tcW w:w="613" w:type="pct"/>
            <w:tcBorders>
              <w:tl2br w:val="nil"/>
              <w:tr2bl w:val="nil"/>
            </w:tcBorders>
            <w:vAlign w:val="center"/>
          </w:tcPr>
          <w:p w14:paraId="2734DA8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4640D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542DB8F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2850F7C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敏感目标信息</w:t>
            </w:r>
          </w:p>
        </w:tc>
        <w:tc>
          <w:tcPr>
            <w:tcW w:w="3196" w:type="pct"/>
            <w:gridSpan w:val="5"/>
            <w:tcBorders>
              <w:tl2br w:val="nil"/>
              <w:tr2bl w:val="nil"/>
            </w:tcBorders>
            <w:vAlign w:val="center"/>
          </w:tcPr>
          <w:p w14:paraId="5B1F129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敏感目标</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耕地</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、方位</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周围</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、距离</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最近5m</w:t>
            </w:r>
            <w:r>
              <w:rPr>
                <w:rFonts w:hint="eastAsia" w:cs="宋体"/>
                <w:color w:val="auto"/>
                <w:spacing w:val="0"/>
                <w:position w:val="0"/>
                <w:sz w:val="21"/>
                <w:szCs w:val="21"/>
                <w:highlight w:val="none"/>
                <w:lang w:eastAsia="zh-CN"/>
              </w:rPr>
              <w:t>）</w:t>
            </w:r>
          </w:p>
        </w:tc>
        <w:tc>
          <w:tcPr>
            <w:tcW w:w="613" w:type="pct"/>
            <w:tcBorders>
              <w:tl2br w:val="nil"/>
              <w:tr2bl w:val="nil"/>
            </w:tcBorders>
            <w:vAlign w:val="center"/>
          </w:tcPr>
          <w:p w14:paraId="5103EBD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1979C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97" w:type="pct"/>
            <w:vMerge w:val="continue"/>
            <w:tcBorders>
              <w:tl2br w:val="nil"/>
              <w:tr2bl w:val="nil"/>
            </w:tcBorders>
            <w:textDirection w:val="tbRlV"/>
            <w:vAlign w:val="center"/>
          </w:tcPr>
          <w:p w14:paraId="3CD7A66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33D895A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影响途径</w:t>
            </w:r>
          </w:p>
        </w:tc>
        <w:tc>
          <w:tcPr>
            <w:tcW w:w="3196" w:type="pct"/>
            <w:gridSpan w:val="5"/>
            <w:tcBorders>
              <w:tl2br w:val="nil"/>
              <w:tr2bl w:val="nil"/>
            </w:tcBorders>
            <w:vAlign w:val="center"/>
          </w:tcPr>
          <w:p w14:paraId="2C550ED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大气沉降</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；地面漫流</w:t>
            </w:r>
            <w:r>
              <w:rPr>
                <w:rFonts w:ascii="Times New Roman" w:hAnsi="Times New Roman" w:eastAsia="宋体" w:cs="Segoe UI Symbol"/>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；垂直入渗</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；地下水位</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；其他</w:t>
            </w:r>
            <w:r>
              <w:rPr>
                <w:rFonts w:hint="eastAsia" w:cs="宋体"/>
                <w:color w:val="auto"/>
                <w:spacing w:val="0"/>
                <w:position w:val="0"/>
                <w:sz w:val="21"/>
                <w:szCs w:val="21"/>
                <w:highlight w:val="none"/>
                <w:lang w:eastAsia="zh-CN"/>
              </w:rPr>
              <w:t>（）</w:t>
            </w:r>
          </w:p>
        </w:tc>
        <w:tc>
          <w:tcPr>
            <w:tcW w:w="613" w:type="pct"/>
            <w:tcBorders>
              <w:tl2br w:val="nil"/>
              <w:tr2bl w:val="nil"/>
            </w:tcBorders>
            <w:vAlign w:val="center"/>
          </w:tcPr>
          <w:p w14:paraId="464DF77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573B7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97" w:type="pct"/>
            <w:vMerge w:val="continue"/>
            <w:tcBorders>
              <w:tl2br w:val="nil"/>
              <w:tr2bl w:val="nil"/>
            </w:tcBorders>
            <w:textDirection w:val="tbRlV"/>
            <w:vAlign w:val="center"/>
          </w:tcPr>
          <w:p w14:paraId="4359018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4C1DCC0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全部污染物</w:t>
            </w:r>
          </w:p>
        </w:tc>
        <w:tc>
          <w:tcPr>
            <w:tcW w:w="3196" w:type="pct"/>
            <w:gridSpan w:val="5"/>
            <w:tcBorders>
              <w:tl2br w:val="nil"/>
              <w:tr2bl w:val="nil"/>
            </w:tcBorders>
            <w:vAlign w:val="center"/>
          </w:tcPr>
          <w:p w14:paraId="30B1418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镉、汞、砷、铅、铬、铜、镍、锌、</w:t>
            </w:r>
            <w:r>
              <w:rPr>
                <w:rFonts w:ascii="Times New Roman" w:hAnsi="Times New Roman" w:eastAsia="宋体" w:cs="Times New Roman"/>
                <w:color w:val="auto"/>
                <w:spacing w:val="0"/>
                <w:position w:val="0"/>
                <w:sz w:val="21"/>
                <w:szCs w:val="21"/>
                <w:highlight w:val="none"/>
              </w:rPr>
              <w:t>PH</w:t>
            </w:r>
            <w:r>
              <w:rPr>
                <w:rFonts w:ascii="Times New Roman" w:hAnsi="Times New Roman" w:eastAsia="宋体" w:cs="宋体"/>
                <w:color w:val="auto"/>
                <w:spacing w:val="0"/>
                <w:position w:val="0"/>
                <w:sz w:val="21"/>
                <w:szCs w:val="21"/>
                <w:highlight w:val="none"/>
              </w:rPr>
              <w:t>、六六六、滴滴涕</w:t>
            </w:r>
          </w:p>
        </w:tc>
        <w:tc>
          <w:tcPr>
            <w:tcW w:w="613" w:type="pct"/>
            <w:tcBorders>
              <w:tl2br w:val="nil"/>
              <w:tr2bl w:val="nil"/>
            </w:tcBorders>
            <w:vAlign w:val="center"/>
          </w:tcPr>
          <w:p w14:paraId="0027A21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6443C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297" w:type="pct"/>
            <w:vMerge w:val="continue"/>
            <w:tcBorders>
              <w:tl2br w:val="nil"/>
              <w:tr2bl w:val="nil"/>
            </w:tcBorders>
            <w:textDirection w:val="tbRlV"/>
            <w:vAlign w:val="center"/>
          </w:tcPr>
          <w:p w14:paraId="13BFDB6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0949936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特征因子</w:t>
            </w:r>
          </w:p>
        </w:tc>
        <w:tc>
          <w:tcPr>
            <w:tcW w:w="3196" w:type="pct"/>
            <w:gridSpan w:val="5"/>
            <w:tcBorders>
              <w:tl2br w:val="nil"/>
              <w:tr2bl w:val="nil"/>
            </w:tcBorders>
            <w:vAlign w:val="center"/>
          </w:tcPr>
          <w:p w14:paraId="584010B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镉、汞、砷、铅、铬、铜、镍、锌、</w:t>
            </w:r>
            <w:r>
              <w:rPr>
                <w:rFonts w:ascii="Times New Roman" w:hAnsi="Times New Roman" w:eastAsia="宋体" w:cs="Times New Roman"/>
                <w:color w:val="auto"/>
                <w:spacing w:val="0"/>
                <w:position w:val="0"/>
                <w:sz w:val="21"/>
                <w:szCs w:val="21"/>
                <w:highlight w:val="none"/>
              </w:rPr>
              <w:t>PH</w:t>
            </w:r>
            <w:r>
              <w:rPr>
                <w:rFonts w:ascii="Times New Roman" w:hAnsi="Times New Roman" w:eastAsia="宋体" w:cs="宋体"/>
                <w:color w:val="auto"/>
                <w:spacing w:val="0"/>
                <w:position w:val="0"/>
                <w:sz w:val="21"/>
                <w:szCs w:val="21"/>
                <w:highlight w:val="none"/>
              </w:rPr>
              <w:t>、六六六、滴滴涕</w:t>
            </w:r>
          </w:p>
        </w:tc>
        <w:tc>
          <w:tcPr>
            <w:tcW w:w="613" w:type="pct"/>
            <w:tcBorders>
              <w:tl2br w:val="nil"/>
              <w:tr2bl w:val="nil"/>
            </w:tcBorders>
            <w:vAlign w:val="center"/>
          </w:tcPr>
          <w:p w14:paraId="432D40D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71C05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jc w:val="center"/>
        </w:trPr>
        <w:tc>
          <w:tcPr>
            <w:tcW w:w="297" w:type="pct"/>
            <w:vMerge w:val="continue"/>
            <w:tcBorders>
              <w:tl2br w:val="nil"/>
              <w:tr2bl w:val="nil"/>
            </w:tcBorders>
            <w:textDirection w:val="tbRlV"/>
            <w:vAlign w:val="center"/>
          </w:tcPr>
          <w:p w14:paraId="43BB8BE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27AEF83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所属土壤环境</w:t>
            </w:r>
          </w:p>
          <w:p w14:paraId="1CB92DF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影响评价项目</w:t>
            </w:r>
          </w:p>
          <w:p w14:paraId="69A2FC8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类别</w:t>
            </w:r>
          </w:p>
        </w:tc>
        <w:tc>
          <w:tcPr>
            <w:tcW w:w="3196" w:type="pct"/>
            <w:gridSpan w:val="5"/>
            <w:tcBorders>
              <w:tl2br w:val="nil"/>
              <w:tr2bl w:val="nil"/>
            </w:tcBorders>
            <w:vAlign w:val="center"/>
          </w:tcPr>
          <w:p w14:paraId="0229F0A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p w14:paraId="26ED998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Ⅰ类</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；Ⅱ类</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；Ⅲ类</w:t>
            </w:r>
            <w:r>
              <w:rPr>
                <w:rFonts w:ascii="Times New Roman" w:hAnsi="Times New Roman" w:eastAsia="宋体" w:cs="Segoe UI Symbol"/>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；Ⅳ类</w:t>
            </w:r>
            <w:r>
              <w:rPr>
                <w:rFonts w:ascii="Times New Roman" w:hAnsi="Times New Roman" w:eastAsia="宋体" w:cs="Times New Roman"/>
                <w:color w:val="auto"/>
                <w:spacing w:val="0"/>
                <w:position w:val="0"/>
                <w:sz w:val="21"/>
                <w:szCs w:val="21"/>
                <w:highlight w:val="none"/>
              </w:rPr>
              <w:t>□</w:t>
            </w:r>
          </w:p>
        </w:tc>
        <w:tc>
          <w:tcPr>
            <w:tcW w:w="613" w:type="pct"/>
            <w:tcBorders>
              <w:tl2br w:val="nil"/>
              <w:tr2bl w:val="nil"/>
            </w:tcBorders>
            <w:vAlign w:val="center"/>
          </w:tcPr>
          <w:p w14:paraId="067EA18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19D95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5E00AE8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173794A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敏感程度</w:t>
            </w:r>
          </w:p>
        </w:tc>
        <w:tc>
          <w:tcPr>
            <w:tcW w:w="3196" w:type="pct"/>
            <w:gridSpan w:val="5"/>
            <w:tcBorders>
              <w:tl2br w:val="nil"/>
              <w:tr2bl w:val="nil"/>
            </w:tcBorders>
            <w:vAlign w:val="center"/>
          </w:tcPr>
          <w:p w14:paraId="2E96F0A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敏感</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；较敏感</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；不敏感</w:t>
            </w:r>
            <w:r>
              <w:rPr>
                <w:rFonts w:ascii="Times New Roman" w:hAnsi="Times New Roman" w:eastAsia="宋体" w:cs="Times New Roman"/>
                <w:color w:val="auto"/>
                <w:spacing w:val="0"/>
                <w:position w:val="0"/>
                <w:sz w:val="21"/>
                <w:szCs w:val="21"/>
                <w:highlight w:val="none"/>
              </w:rPr>
              <w:t>□</w:t>
            </w:r>
          </w:p>
        </w:tc>
        <w:tc>
          <w:tcPr>
            <w:tcW w:w="613" w:type="pct"/>
            <w:tcBorders>
              <w:tl2br w:val="nil"/>
              <w:tr2bl w:val="nil"/>
            </w:tcBorders>
            <w:vAlign w:val="center"/>
          </w:tcPr>
          <w:p w14:paraId="60E506E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0160F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190" w:type="pct"/>
            <w:gridSpan w:val="2"/>
            <w:tcBorders>
              <w:tl2br w:val="nil"/>
              <w:tr2bl w:val="nil"/>
            </w:tcBorders>
            <w:vAlign w:val="center"/>
          </w:tcPr>
          <w:p w14:paraId="4E68166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评价工作等级</w:t>
            </w:r>
          </w:p>
        </w:tc>
        <w:tc>
          <w:tcPr>
            <w:tcW w:w="3196" w:type="pct"/>
            <w:gridSpan w:val="5"/>
            <w:tcBorders>
              <w:tl2br w:val="nil"/>
              <w:tr2bl w:val="nil"/>
            </w:tcBorders>
            <w:vAlign w:val="center"/>
          </w:tcPr>
          <w:p w14:paraId="061B7C3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Segoe UI Symbol"/>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一级</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；二级</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；三级</w:t>
            </w:r>
            <w:r>
              <w:rPr>
                <w:rFonts w:ascii="Times New Roman" w:hAnsi="Times New Roman" w:eastAsia="宋体" w:cs="Segoe UI Symbol"/>
                <w:color w:val="auto"/>
                <w:spacing w:val="0"/>
                <w:position w:val="0"/>
                <w:sz w:val="21"/>
                <w:szCs w:val="21"/>
                <w:highlight w:val="none"/>
              </w:rPr>
              <w:t>☑</w:t>
            </w:r>
          </w:p>
        </w:tc>
        <w:tc>
          <w:tcPr>
            <w:tcW w:w="613" w:type="pct"/>
            <w:tcBorders>
              <w:tl2br w:val="nil"/>
              <w:tr2bl w:val="nil"/>
            </w:tcBorders>
            <w:vAlign w:val="center"/>
          </w:tcPr>
          <w:p w14:paraId="19227F7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1FE2F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97" w:type="pct"/>
            <w:vMerge w:val="restart"/>
            <w:tcBorders>
              <w:tl2br w:val="nil"/>
              <w:tr2bl w:val="nil"/>
            </w:tcBorders>
            <w:textDirection w:val="tbRlV"/>
            <w:vAlign w:val="center"/>
          </w:tcPr>
          <w:p w14:paraId="253B93C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现状调查内容</w:t>
            </w:r>
          </w:p>
        </w:tc>
        <w:tc>
          <w:tcPr>
            <w:tcW w:w="892" w:type="pct"/>
            <w:tcBorders>
              <w:tl2br w:val="nil"/>
              <w:tr2bl w:val="nil"/>
            </w:tcBorders>
            <w:vAlign w:val="center"/>
          </w:tcPr>
          <w:p w14:paraId="6CCF462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资料收集</w:t>
            </w:r>
          </w:p>
        </w:tc>
        <w:tc>
          <w:tcPr>
            <w:tcW w:w="3196" w:type="pct"/>
            <w:gridSpan w:val="5"/>
            <w:tcBorders>
              <w:tl2br w:val="nil"/>
              <w:tr2bl w:val="nil"/>
            </w:tcBorders>
            <w:vAlign w:val="center"/>
          </w:tcPr>
          <w:p w14:paraId="478ACC5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MS Gothic"/>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a</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b</w:t>
            </w:r>
            <w:r>
              <w:rPr>
                <w:rFonts w:hint="eastAsia" w:cs="宋体"/>
                <w:color w:val="auto"/>
                <w:spacing w:val="0"/>
                <w:position w:val="0"/>
                <w:sz w:val="21"/>
                <w:szCs w:val="21"/>
                <w:highlight w:val="none"/>
                <w:lang w:eastAsia="zh-CN"/>
              </w:rPr>
              <w:t>）</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c</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d</w:t>
            </w:r>
            <w:r>
              <w:rPr>
                <w:rFonts w:hint="eastAsia" w:cs="宋体"/>
                <w:color w:val="auto"/>
                <w:spacing w:val="0"/>
                <w:position w:val="0"/>
                <w:sz w:val="21"/>
                <w:szCs w:val="21"/>
                <w:highlight w:val="none"/>
                <w:lang w:eastAsia="zh-CN"/>
              </w:rPr>
              <w:t>）</w:t>
            </w:r>
            <w:r>
              <w:rPr>
                <w:rFonts w:ascii="Times New Roman" w:hAnsi="Times New Roman" w:eastAsia="宋体" w:cs="MS Gothic"/>
                <w:color w:val="auto"/>
                <w:spacing w:val="0"/>
                <w:position w:val="0"/>
                <w:sz w:val="21"/>
                <w:szCs w:val="21"/>
                <w:highlight w:val="none"/>
              </w:rPr>
              <w:t>☑</w:t>
            </w:r>
          </w:p>
        </w:tc>
        <w:tc>
          <w:tcPr>
            <w:tcW w:w="613" w:type="pct"/>
            <w:tcBorders>
              <w:tl2br w:val="nil"/>
              <w:tr2bl w:val="nil"/>
            </w:tcBorders>
            <w:vAlign w:val="center"/>
          </w:tcPr>
          <w:p w14:paraId="685106A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5629D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297" w:type="pct"/>
            <w:vMerge w:val="continue"/>
            <w:tcBorders>
              <w:tl2br w:val="nil"/>
              <w:tr2bl w:val="nil"/>
            </w:tcBorders>
            <w:textDirection w:val="tbRlV"/>
            <w:vAlign w:val="center"/>
          </w:tcPr>
          <w:p w14:paraId="3E5F6A9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42986D4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理化特性</w:t>
            </w:r>
          </w:p>
        </w:tc>
        <w:tc>
          <w:tcPr>
            <w:tcW w:w="3196" w:type="pct"/>
            <w:gridSpan w:val="5"/>
            <w:tcBorders>
              <w:tl2br w:val="nil"/>
              <w:tr2bl w:val="nil"/>
            </w:tcBorders>
            <w:vAlign w:val="center"/>
          </w:tcPr>
          <w:p w14:paraId="0FE3EDE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无酸化或碱化的中度盐化土</w:t>
            </w:r>
          </w:p>
        </w:tc>
        <w:tc>
          <w:tcPr>
            <w:tcW w:w="613" w:type="pct"/>
            <w:tcBorders>
              <w:tl2br w:val="nil"/>
              <w:tr2bl w:val="nil"/>
            </w:tcBorders>
            <w:vAlign w:val="center"/>
          </w:tcPr>
          <w:p w14:paraId="7880D46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同附录</w:t>
            </w:r>
            <w:r>
              <w:rPr>
                <w:rFonts w:ascii="Times New Roman" w:hAnsi="Times New Roman" w:eastAsia="宋体" w:cs="Times New Roman"/>
                <w:color w:val="auto"/>
                <w:spacing w:val="0"/>
                <w:position w:val="0"/>
                <w:sz w:val="21"/>
                <w:szCs w:val="21"/>
                <w:highlight w:val="none"/>
              </w:rPr>
              <w:t>C</w:t>
            </w:r>
          </w:p>
        </w:tc>
      </w:tr>
      <w:tr w14:paraId="261B2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63456C1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vMerge w:val="restart"/>
            <w:tcBorders>
              <w:tl2br w:val="nil"/>
              <w:tr2bl w:val="nil"/>
            </w:tcBorders>
            <w:vAlign w:val="center"/>
          </w:tcPr>
          <w:p w14:paraId="24E29EE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p w14:paraId="65D80BB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现状监测点位</w:t>
            </w:r>
          </w:p>
        </w:tc>
        <w:tc>
          <w:tcPr>
            <w:tcW w:w="751" w:type="pct"/>
            <w:tcBorders>
              <w:tl2br w:val="nil"/>
              <w:tr2bl w:val="nil"/>
            </w:tcBorders>
            <w:vAlign w:val="center"/>
          </w:tcPr>
          <w:p w14:paraId="000E5C3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13" w:type="pct"/>
            <w:tcBorders>
              <w:tl2br w:val="nil"/>
              <w:tr2bl w:val="nil"/>
            </w:tcBorders>
            <w:vAlign w:val="center"/>
          </w:tcPr>
          <w:p w14:paraId="6F0682B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占地范围内</w:t>
            </w:r>
          </w:p>
        </w:tc>
        <w:tc>
          <w:tcPr>
            <w:tcW w:w="804" w:type="pct"/>
            <w:gridSpan w:val="2"/>
            <w:tcBorders>
              <w:tl2br w:val="nil"/>
              <w:tr2bl w:val="nil"/>
            </w:tcBorders>
            <w:vAlign w:val="center"/>
          </w:tcPr>
          <w:p w14:paraId="28482A2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占地范围外</w:t>
            </w:r>
          </w:p>
        </w:tc>
        <w:tc>
          <w:tcPr>
            <w:tcW w:w="826" w:type="pct"/>
            <w:tcBorders>
              <w:tl2br w:val="nil"/>
              <w:tr2bl w:val="nil"/>
            </w:tcBorders>
            <w:vAlign w:val="center"/>
          </w:tcPr>
          <w:p w14:paraId="5DB37E2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深度</w:t>
            </w:r>
          </w:p>
        </w:tc>
        <w:tc>
          <w:tcPr>
            <w:tcW w:w="613" w:type="pct"/>
            <w:vMerge w:val="restart"/>
            <w:tcBorders>
              <w:tl2br w:val="nil"/>
              <w:tr2bl w:val="nil"/>
            </w:tcBorders>
            <w:vAlign w:val="center"/>
          </w:tcPr>
          <w:p w14:paraId="60E53BA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点位布置图</w:t>
            </w:r>
          </w:p>
        </w:tc>
      </w:tr>
      <w:tr w14:paraId="6CEE7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97" w:type="pct"/>
            <w:vMerge w:val="continue"/>
            <w:tcBorders>
              <w:tl2br w:val="nil"/>
              <w:tr2bl w:val="nil"/>
            </w:tcBorders>
            <w:textDirection w:val="tbRlV"/>
            <w:vAlign w:val="center"/>
          </w:tcPr>
          <w:p w14:paraId="7330F4C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vMerge w:val="continue"/>
            <w:tcBorders>
              <w:tl2br w:val="nil"/>
              <w:tr2bl w:val="nil"/>
            </w:tcBorders>
            <w:vAlign w:val="center"/>
          </w:tcPr>
          <w:p w14:paraId="132A8A1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751" w:type="pct"/>
            <w:tcBorders>
              <w:tl2br w:val="nil"/>
              <w:tr2bl w:val="nil"/>
            </w:tcBorders>
            <w:vAlign w:val="center"/>
          </w:tcPr>
          <w:p w14:paraId="0939AFA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表层样点数</w:t>
            </w:r>
          </w:p>
        </w:tc>
        <w:tc>
          <w:tcPr>
            <w:tcW w:w="813" w:type="pct"/>
            <w:tcBorders>
              <w:tl2br w:val="nil"/>
              <w:tr2bl w:val="nil"/>
            </w:tcBorders>
            <w:vAlign w:val="center"/>
          </w:tcPr>
          <w:p w14:paraId="373B680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w:t>
            </w:r>
          </w:p>
        </w:tc>
        <w:tc>
          <w:tcPr>
            <w:tcW w:w="804" w:type="pct"/>
            <w:gridSpan w:val="2"/>
            <w:tcBorders>
              <w:tl2br w:val="nil"/>
              <w:tr2bl w:val="nil"/>
            </w:tcBorders>
            <w:vAlign w:val="center"/>
          </w:tcPr>
          <w:p w14:paraId="2C6D084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26" w:type="pct"/>
            <w:tcBorders>
              <w:tl2br w:val="nil"/>
              <w:tr2bl w:val="nil"/>
            </w:tcBorders>
            <w:vAlign w:val="center"/>
          </w:tcPr>
          <w:p w14:paraId="72845E8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0.2m</w:t>
            </w:r>
          </w:p>
        </w:tc>
        <w:tc>
          <w:tcPr>
            <w:tcW w:w="613" w:type="pct"/>
            <w:vMerge w:val="continue"/>
            <w:tcBorders>
              <w:tl2br w:val="nil"/>
              <w:tr2bl w:val="nil"/>
            </w:tcBorders>
            <w:vAlign w:val="center"/>
          </w:tcPr>
          <w:p w14:paraId="305058B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77839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26690B7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vMerge w:val="continue"/>
            <w:tcBorders>
              <w:tl2br w:val="nil"/>
              <w:tr2bl w:val="nil"/>
            </w:tcBorders>
            <w:vAlign w:val="center"/>
          </w:tcPr>
          <w:p w14:paraId="0C89F6A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751" w:type="pct"/>
            <w:tcBorders>
              <w:tl2br w:val="nil"/>
              <w:tr2bl w:val="nil"/>
            </w:tcBorders>
            <w:vAlign w:val="center"/>
          </w:tcPr>
          <w:p w14:paraId="09B018A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柱状样点数</w:t>
            </w:r>
          </w:p>
        </w:tc>
        <w:tc>
          <w:tcPr>
            <w:tcW w:w="813" w:type="pct"/>
            <w:tcBorders>
              <w:tl2br w:val="nil"/>
              <w:tr2bl w:val="nil"/>
            </w:tcBorders>
            <w:vAlign w:val="center"/>
          </w:tcPr>
          <w:p w14:paraId="1EEEC01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04" w:type="pct"/>
            <w:gridSpan w:val="2"/>
            <w:tcBorders>
              <w:tl2br w:val="nil"/>
              <w:tr2bl w:val="nil"/>
            </w:tcBorders>
            <w:vAlign w:val="center"/>
          </w:tcPr>
          <w:p w14:paraId="5C062E7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26" w:type="pct"/>
            <w:tcBorders>
              <w:tl2br w:val="nil"/>
              <w:tr2bl w:val="nil"/>
            </w:tcBorders>
            <w:vAlign w:val="center"/>
          </w:tcPr>
          <w:p w14:paraId="686FEB0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613" w:type="pct"/>
            <w:vMerge w:val="continue"/>
            <w:tcBorders>
              <w:tl2br w:val="nil"/>
              <w:tr2bl w:val="nil"/>
            </w:tcBorders>
            <w:vAlign w:val="center"/>
          </w:tcPr>
          <w:p w14:paraId="38E8DBA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6AF86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297" w:type="pct"/>
            <w:vMerge w:val="continue"/>
            <w:tcBorders>
              <w:tl2br w:val="nil"/>
              <w:tr2bl w:val="nil"/>
            </w:tcBorders>
            <w:textDirection w:val="tbRlV"/>
            <w:vAlign w:val="center"/>
          </w:tcPr>
          <w:p w14:paraId="6EC9494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5DE4842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现状监测因子</w:t>
            </w:r>
          </w:p>
        </w:tc>
        <w:tc>
          <w:tcPr>
            <w:tcW w:w="3196" w:type="pct"/>
            <w:gridSpan w:val="5"/>
            <w:tcBorders>
              <w:tl2br w:val="nil"/>
              <w:tr2bl w:val="nil"/>
            </w:tcBorders>
            <w:vAlign w:val="center"/>
          </w:tcPr>
          <w:p w14:paraId="58D7264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宋体"/>
                <w:color w:val="auto"/>
                <w:spacing w:val="0"/>
                <w:position w:val="0"/>
                <w:sz w:val="21"/>
                <w:szCs w:val="21"/>
                <w:highlight w:val="none"/>
                <w:lang w:val="en-US" w:eastAsia="zh-CN"/>
              </w:rPr>
            </w:pPr>
            <w:r>
              <w:rPr>
                <w:rFonts w:hint="eastAsia" w:ascii="Times New Roman" w:hAnsi="Times New Roman" w:eastAsia="宋体" w:cs="宋体"/>
                <w:color w:val="auto"/>
                <w:spacing w:val="0"/>
                <w:position w:val="0"/>
                <w:sz w:val="21"/>
                <w:szCs w:val="21"/>
                <w:highlight w:val="none"/>
                <w:lang w:val="en-US" w:eastAsia="zh-CN"/>
              </w:rPr>
              <w:t>四十五全项</w:t>
            </w:r>
          </w:p>
        </w:tc>
        <w:tc>
          <w:tcPr>
            <w:tcW w:w="613" w:type="pct"/>
            <w:tcBorders>
              <w:tl2br w:val="nil"/>
              <w:tr2bl w:val="nil"/>
            </w:tcBorders>
            <w:vAlign w:val="center"/>
          </w:tcPr>
          <w:p w14:paraId="2207D4C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3E9D9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297" w:type="pct"/>
            <w:vMerge w:val="restart"/>
            <w:tcBorders>
              <w:tl2br w:val="nil"/>
              <w:tr2bl w:val="nil"/>
            </w:tcBorders>
            <w:textDirection w:val="tbRlV"/>
            <w:vAlign w:val="center"/>
          </w:tcPr>
          <w:p w14:paraId="0E343CA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现状评价</w:t>
            </w:r>
          </w:p>
        </w:tc>
        <w:tc>
          <w:tcPr>
            <w:tcW w:w="892" w:type="pct"/>
            <w:tcBorders>
              <w:tl2br w:val="nil"/>
              <w:tr2bl w:val="nil"/>
            </w:tcBorders>
            <w:vAlign w:val="center"/>
          </w:tcPr>
          <w:p w14:paraId="7DF424E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评价因子</w:t>
            </w:r>
          </w:p>
        </w:tc>
        <w:tc>
          <w:tcPr>
            <w:tcW w:w="3196" w:type="pct"/>
            <w:gridSpan w:val="5"/>
            <w:tcBorders>
              <w:tl2br w:val="nil"/>
              <w:tr2bl w:val="nil"/>
            </w:tcBorders>
            <w:vAlign w:val="center"/>
          </w:tcPr>
          <w:p w14:paraId="3E18D1C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镉、汞、砷、铅、铬、铜、镍、锌、</w:t>
            </w:r>
            <w:r>
              <w:rPr>
                <w:rFonts w:ascii="Times New Roman" w:hAnsi="Times New Roman" w:eastAsia="宋体" w:cs="Times New Roman"/>
                <w:color w:val="auto"/>
                <w:spacing w:val="0"/>
                <w:position w:val="0"/>
                <w:sz w:val="21"/>
                <w:szCs w:val="21"/>
                <w:highlight w:val="none"/>
              </w:rPr>
              <w:t>PH</w:t>
            </w:r>
            <w:r>
              <w:rPr>
                <w:rFonts w:ascii="Times New Roman" w:hAnsi="Times New Roman" w:eastAsia="宋体" w:cs="宋体"/>
                <w:color w:val="auto"/>
                <w:spacing w:val="0"/>
                <w:position w:val="0"/>
                <w:sz w:val="21"/>
                <w:szCs w:val="21"/>
                <w:highlight w:val="none"/>
              </w:rPr>
              <w:t>、六六六、滴滴涕</w:t>
            </w:r>
          </w:p>
        </w:tc>
        <w:tc>
          <w:tcPr>
            <w:tcW w:w="613" w:type="pct"/>
            <w:tcBorders>
              <w:tl2br w:val="nil"/>
              <w:tr2bl w:val="nil"/>
            </w:tcBorders>
            <w:vAlign w:val="center"/>
          </w:tcPr>
          <w:p w14:paraId="09032B8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1BA9D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97" w:type="pct"/>
            <w:vMerge w:val="continue"/>
            <w:tcBorders>
              <w:tl2br w:val="nil"/>
              <w:tr2bl w:val="nil"/>
            </w:tcBorders>
            <w:textDirection w:val="tbRlV"/>
            <w:vAlign w:val="center"/>
          </w:tcPr>
          <w:p w14:paraId="77A8651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4A49345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评价标准</w:t>
            </w:r>
          </w:p>
        </w:tc>
        <w:tc>
          <w:tcPr>
            <w:tcW w:w="3196" w:type="pct"/>
            <w:gridSpan w:val="5"/>
            <w:tcBorders>
              <w:tl2br w:val="nil"/>
              <w:tr2bl w:val="nil"/>
            </w:tcBorders>
            <w:vAlign w:val="center"/>
          </w:tcPr>
          <w:p w14:paraId="70BC0A7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GB15618</w:t>
            </w:r>
            <w:r>
              <w:rPr>
                <w:rFonts w:ascii="Times New Roman" w:hAnsi="Times New Roman" w:eastAsia="宋体" w:cs="MS Gothic"/>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GB36600□</w:t>
            </w:r>
            <w:r>
              <w:rPr>
                <w:rFonts w:ascii="Times New Roman" w:hAnsi="Times New Roman" w:eastAsia="宋体" w:cs="宋体"/>
                <w:color w:val="auto"/>
                <w:spacing w:val="0"/>
                <w:position w:val="0"/>
                <w:sz w:val="21"/>
                <w:szCs w:val="21"/>
                <w:highlight w:val="none"/>
              </w:rPr>
              <w:t>；表</w:t>
            </w:r>
            <w:r>
              <w:rPr>
                <w:rFonts w:ascii="Times New Roman" w:hAnsi="Times New Roman" w:eastAsia="宋体" w:cs="Times New Roman"/>
                <w:color w:val="auto"/>
                <w:spacing w:val="0"/>
                <w:position w:val="0"/>
                <w:sz w:val="21"/>
                <w:szCs w:val="21"/>
                <w:highlight w:val="none"/>
              </w:rPr>
              <w:t>D.1□</w:t>
            </w:r>
            <w:r>
              <w:rPr>
                <w:rFonts w:ascii="Times New Roman" w:hAnsi="Times New Roman" w:eastAsia="宋体" w:cs="宋体"/>
                <w:color w:val="auto"/>
                <w:spacing w:val="0"/>
                <w:position w:val="0"/>
                <w:sz w:val="21"/>
                <w:szCs w:val="21"/>
                <w:highlight w:val="none"/>
              </w:rPr>
              <w:t>；表</w:t>
            </w:r>
            <w:r>
              <w:rPr>
                <w:rFonts w:ascii="Times New Roman" w:hAnsi="Times New Roman" w:eastAsia="宋体" w:cs="Times New Roman"/>
                <w:color w:val="auto"/>
                <w:spacing w:val="0"/>
                <w:position w:val="0"/>
                <w:sz w:val="21"/>
                <w:szCs w:val="21"/>
                <w:highlight w:val="none"/>
              </w:rPr>
              <w:t>D.2□</w:t>
            </w:r>
            <w:r>
              <w:rPr>
                <w:rFonts w:ascii="Times New Roman" w:hAnsi="Times New Roman" w:eastAsia="宋体" w:cs="宋体"/>
                <w:color w:val="auto"/>
                <w:spacing w:val="0"/>
                <w:position w:val="0"/>
                <w:sz w:val="21"/>
                <w:szCs w:val="21"/>
                <w:highlight w:val="none"/>
              </w:rPr>
              <w:t>；其他</w:t>
            </w:r>
          </w:p>
          <w:p w14:paraId="1E8D897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HJ568-2010</w:t>
            </w:r>
            <w:r>
              <w:rPr>
                <w:rFonts w:hint="eastAsia" w:cs="宋体"/>
                <w:color w:val="auto"/>
                <w:spacing w:val="0"/>
                <w:position w:val="0"/>
                <w:sz w:val="21"/>
                <w:szCs w:val="21"/>
                <w:highlight w:val="none"/>
                <w:lang w:eastAsia="zh-CN"/>
              </w:rPr>
              <w:t>）</w:t>
            </w:r>
          </w:p>
        </w:tc>
        <w:tc>
          <w:tcPr>
            <w:tcW w:w="613" w:type="pct"/>
            <w:tcBorders>
              <w:tl2br w:val="nil"/>
              <w:tr2bl w:val="nil"/>
            </w:tcBorders>
            <w:vAlign w:val="center"/>
          </w:tcPr>
          <w:p w14:paraId="20BFC37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71EEB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jc w:val="center"/>
        </w:trPr>
        <w:tc>
          <w:tcPr>
            <w:tcW w:w="297" w:type="pct"/>
            <w:vMerge w:val="continue"/>
            <w:tcBorders>
              <w:tl2br w:val="nil"/>
              <w:tr2bl w:val="nil"/>
            </w:tcBorders>
            <w:textDirection w:val="tbRlV"/>
            <w:vAlign w:val="center"/>
          </w:tcPr>
          <w:p w14:paraId="38414D1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5EF9A42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现状评价结论</w:t>
            </w:r>
          </w:p>
        </w:tc>
        <w:tc>
          <w:tcPr>
            <w:tcW w:w="3196" w:type="pct"/>
            <w:gridSpan w:val="5"/>
            <w:tcBorders>
              <w:tl2br w:val="nil"/>
              <w:tr2bl w:val="nil"/>
            </w:tcBorders>
            <w:vAlign w:val="center"/>
          </w:tcPr>
          <w:p w14:paraId="5B53A66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项目区周边各监测点各监测因子浓度均满足《土壤环境质量农用地土壤污染风险管控标准</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试行</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GB15618-2018</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风险筛选值和《畜禽养殖产地环境评价规范》</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HJ568-2010</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中表</w:t>
            </w:r>
            <w:r>
              <w:rPr>
                <w:rFonts w:ascii="Times New Roman" w:hAnsi="Times New Roman" w:eastAsia="宋体" w:cs="Times New Roman"/>
                <w:color w:val="auto"/>
                <w:spacing w:val="0"/>
                <w:position w:val="0"/>
                <w:sz w:val="21"/>
                <w:szCs w:val="21"/>
                <w:highlight w:val="none"/>
              </w:rPr>
              <w:t>4</w:t>
            </w:r>
            <w:r>
              <w:rPr>
                <w:rFonts w:ascii="Times New Roman" w:hAnsi="Times New Roman" w:eastAsia="宋体" w:cs="宋体"/>
                <w:color w:val="auto"/>
                <w:spacing w:val="0"/>
                <w:position w:val="0"/>
                <w:sz w:val="21"/>
                <w:szCs w:val="21"/>
                <w:highlight w:val="none"/>
              </w:rPr>
              <w:t>限值要求</w:t>
            </w:r>
          </w:p>
        </w:tc>
        <w:tc>
          <w:tcPr>
            <w:tcW w:w="613" w:type="pct"/>
            <w:tcBorders>
              <w:tl2br w:val="nil"/>
              <w:tr2bl w:val="nil"/>
            </w:tcBorders>
            <w:vAlign w:val="center"/>
          </w:tcPr>
          <w:p w14:paraId="01B9B1D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37CFB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restart"/>
            <w:tcBorders>
              <w:tl2br w:val="nil"/>
              <w:tr2bl w:val="nil"/>
            </w:tcBorders>
            <w:vAlign w:val="center"/>
          </w:tcPr>
          <w:p w14:paraId="51B47AE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影响</w:t>
            </w:r>
          </w:p>
          <w:p w14:paraId="7233F31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w:t>
            </w:r>
          </w:p>
        </w:tc>
        <w:tc>
          <w:tcPr>
            <w:tcW w:w="892" w:type="pct"/>
            <w:tcBorders>
              <w:tl2br w:val="nil"/>
              <w:tr2bl w:val="nil"/>
            </w:tcBorders>
            <w:vAlign w:val="center"/>
          </w:tcPr>
          <w:p w14:paraId="125A29F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预测因子</w:t>
            </w:r>
          </w:p>
        </w:tc>
        <w:tc>
          <w:tcPr>
            <w:tcW w:w="3196" w:type="pct"/>
            <w:gridSpan w:val="5"/>
            <w:tcBorders>
              <w:tl2br w:val="nil"/>
              <w:tr2bl w:val="nil"/>
            </w:tcBorders>
            <w:vAlign w:val="center"/>
          </w:tcPr>
          <w:p w14:paraId="1362F67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613" w:type="pct"/>
            <w:tcBorders>
              <w:tl2br w:val="nil"/>
              <w:tr2bl w:val="nil"/>
            </w:tcBorders>
            <w:vAlign w:val="center"/>
          </w:tcPr>
          <w:p w14:paraId="446DCAF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38B30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44B026B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665A67C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预测方法</w:t>
            </w:r>
          </w:p>
        </w:tc>
        <w:tc>
          <w:tcPr>
            <w:tcW w:w="3196" w:type="pct"/>
            <w:gridSpan w:val="5"/>
            <w:tcBorders>
              <w:tl2br w:val="nil"/>
              <w:tr2bl w:val="nil"/>
            </w:tcBorders>
            <w:vAlign w:val="center"/>
          </w:tcPr>
          <w:p w14:paraId="0EA02CF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Segoe UI Symbol"/>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附录</w:t>
            </w:r>
            <w:r>
              <w:rPr>
                <w:rFonts w:ascii="Times New Roman" w:hAnsi="Times New Roman" w:eastAsia="宋体" w:cs="Times New Roman"/>
                <w:color w:val="auto"/>
                <w:spacing w:val="0"/>
                <w:position w:val="0"/>
                <w:sz w:val="21"/>
                <w:szCs w:val="21"/>
                <w:highlight w:val="none"/>
              </w:rPr>
              <w:t>E□</w:t>
            </w:r>
            <w:r>
              <w:rPr>
                <w:rFonts w:ascii="Times New Roman" w:hAnsi="Times New Roman" w:eastAsia="宋体" w:cs="宋体"/>
                <w:color w:val="auto"/>
                <w:spacing w:val="0"/>
                <w:position w:val="0"/>
                <w:sz w:val="21"/>
                <w:szCs w:val="21"/>
                <w:highlight w:val="none"/>
              </w:rPr>
              <w:t>；附录</w:t>
            </w:r>
            <w:r>
              <w:rPr>
                <w:rFonts w:ascii="Times New Roman" w:hAnsi="Times New Roman" w:eastAsia="宋体" w:cs="Times New Roman"/>
                <w:color w:val="auto"/>
                <w:spacing w:val="0"/>
                <w:position w:val="0"/>
                <w:sz w:val="21"/>
                <w:szCs w:val="21"/>
                <w:highlight w:val="none"/>
              </w:rPr>
              <w:t>F□</w:t>
            </w:r>
            <w:r>
              <w:rPr>
                <w:rFonts w:ascii="Times New Roman" w:hAnsi="Times New Roman" w:eastAsia="宋体" w:cs="宋体"/>
                <w:color w:val="auto"/>
                <w:spacing w:val="0"/>
                <w:position w:val="0"/>
                <w:sz w:val="21"/>
                <w:szCs w:val="21"/>
                <w:highlight w:val="none"/>
              </w:rPr>
              <w:t>；其他</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类比法</w:t>
            </w:r>
            <w:r>
              <w:rPr>
                <w:rFonts w:hint="eastAsia" w:cs="宋体"/>
                <w:color w:val="auto"/>
                <w:spacing w:val="0"/>
                <w:position w:val="0"/>
                <w:sz w:val="21"/>
                <w:szCs w:val="21"/>
                <w:highlight w:val="none"/>
                <w:lang w:eastAsia="zh-CN"/>
              </w:rPr>
              <w:t>）</w:t>
            </w:r>
            <w:r>
              <w:rPr>
                <w:rFonts w:ascii="Times New Roman" w:hAnsi="Times New Roman" w:eastAsia="宋体" w:cs="Segoe UI Symbol"/>
                <w:color w:val="auto"/>
                <w:spacing w:val="0"/>
                <w:position w:val="0"/>
                <w:sz w:val="21"/>
                <w:szCs w:val="21"/>
                <w:highlight w:val="none"/>
              </w:rPr>
              <w:t>☑</w:t>
            </w:r>
          </w:p>
        </w:tc>
        <w:tc>
          <w:tcPr>
            <w:tcW w:w="613" w:type="pct"/>
            <w:tcBorders>
              <w:tl2br w:val="nil"/>
              <w:tr2bl w:val="nil"/>
            </w:tcBorders>
            <w:vAlign w:val="center"/>
          </w:tcPr>
          <w:p w14:paraId="0C76A48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3FCD8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297" w:type="pct"/>
            <w:vMerge w:val="continue"/>
            <w:tcBorders>
              <w:tl2br w:val="nil"/>
              <w:tr2bl w:val="nil"/>
            </w:tcBorders>
            <w:textDirection w:val="tbRlV"/>
            <w:vAlign w:val="center"/>
          </w:tcPr>
          <w:p w14:paraId="1FD8CAB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6496A15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预测分析内容</w:t>
            </w:r>
          </w:p>
        </w:tc>
        <w:tc>
          <w:tcPr>
            <w:tcW w:w="3196" w:type="pct"/>
            <w:gridSpan w:val="5"/>
            <w:tcBorders>
              <w:tl2br w:val="nil"/>
              <w:tr2bl w:val="nil"/>
            </w:tcBorders>
            <w:vAlign w:val="center"/>
          </w:tcPr>
          <w:p w14:paraId="58EA068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影响范围</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厂界外</w:t>
            </w:r>
            <w:r>
              <w:rPr>
                <w:rFonts w:ascii="Times New Roman" w:hAnsi="Times New Roman" w:eastAsia="宋体" w:cs="Times New Roman"/>
                <w:color w:val="auto"/>
                <w:spacing w:val="0"/>
                <w:position w:val="0"/>
                <w:sz w:val="21"/>
                <w:szCs w:val="21"/>
                <w:highlight w:val="none"/>
              </w:rPr>
              <w:t>50m</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；影响程度</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较小</w:t>
            </w:r>
            <w:r>
              <w:rPr>
                <w:rFonts w:hint="eastAsia" w:cs="宋体"/>
                <w:color w:val="auto"/>
                <w:spacing w:val="0"/>
                <w:position w:val="0"/>
                <w:sz w:val="21"/>
                <w:szCs w:val="21"/>
                <w:highlight w:val="none"/>
                <w:lang w:eastAsia="zh-CN"/>
              </w:rPr>
              <w:t>）</w:t>
            </w:r>
          </w:p>
        </w:tc>
        <w:tc>
          <w:tcPr>
            <w:tcW w:w="613" w:type="pct"/>
            <w:tcBorders>
              <w:tl2br w:val="nil"/>
              <w:tr2bl w:val="nil"/>
            </w:tcBorders>
            <w:vAlign w:val="center"/>
          </w:tcPr>
          <w:p w14:paraId="1BECC78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0ACC0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297" w:type="pct"/>
            <w:vMerge w:val="continue"/>
            <w:tcBorders>
              <w:tl2br w:val="nil"/>
              <w:tr2bl w:val="nil"/>
            </w:tcBorders>
            <w:textDirection w:val="tbRlV"/>
            <w:vAlign w:val="center"/>
          </w:tcPr>
          <w:p w14:paraId="5D29C2D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p>
        </w:tc>
        <w:tc>
          <w:tcPr>
            <w:tcW w:w="892" w:type="pct"/>
            <w:tcBorders>
              <w:tl2br w:val="nil"/>
              <w:tr2bl w:val="nil"/>
            </w:tcBorders>
            <w:vAlign w:val="center"/>
          </w:tcPr>
          <w:p w14:paraId="523C461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预测结论</w:t>
            </w:r>
          </w:p>
        </w:tc>
        <w:tc>
          <w:tcPr>
            <w:tcW w:w="3196" w:type="pct"/>
            <w:gridSpan w:val="5"/>
            <w:tcBorders>
              <w:tl2br w:val="nil"/>
              <w:tr2bl w:val="nil"/>
            </w:tcBorders>
            <w:vAlign w:val="center"/>
          </w:tcPr>
          <w:p w14:paraId="5F0161D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达标结论：</w:t>
            </w:r>
            <w:r>
              <w:rPr>
                <w:rFonts w:ascii="Times New Roman" w:hAnsi="Times New Roman" w:eastAsia="宋体" w:cs="Times New Roman"/>
                <w:color w:val="auto"/>
                <w:spacing w:val="0"/>
                <w:position w:val="0"/>
                <w:sz w:val="21"/>
                <w:szCs w:val="21"/>
                <w:highlight w:val="none"/>
              </w:rPr>
              <w:t>a</w:t>
            </w:r>
            <w:r>
              <w:rPr>
                <w:rFonts w:hint="eastAsia" w:cs="宋体"/>
                <w:color w:val="auto"/>
                <w:spacing w:val="0"/>
                <w:position w:val="0"/>
                <w:sz w:val="21"/>
                <w:szCs w:val="21"/>
                <w:highlight w:val="none"/>
                <w:lang w:eastAsia="zh-CN"/>
              </w:rPr>
              <w:t>）</w:t>
            </w:r>
            <w:r>
              <w:rPr>
                <w:rFonts w:ascii="Times New Roman" w:hAnsi="Times New Roman" w:eastAsia="宋体" w:cs="Segoe UI Symbol"/>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b</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c</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不达标结论：</w:t>
            </w:r>
            <w:r>
              <w:rPr>
                <w:rFonts w:ascii="Times New Roman" w:hAnsi="Times New Roman" w:eastAsia="宋体" w:cs="Times New Roman"/>
                <w:color w:val="auto"/>
                <w:spacing w:val="0"/>
                <w:position w:val="0"/>
                <w:sz w:val="21"/>
                <w:szCs w:val="21"/>
                <w:highlight w:val="none"/>
              </w:rPr>
              <w:t>a</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b</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p>
        </w:tc>
        <w:tc>
          <w:tcPr>
            <w:tcW w:w="613" w:type="pct"/>
            <w:tcBorders>
              <w:tl2br w:val="nil"/>
              <w:tr2bl w:val="nil"/>
            </w:tcBorders>
            <w:vAlign w:val="center"/>
          </w:tcPr>
          <w:p w14:paraId="7502BDC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2357F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97" w:type="pct"/>
            <w:vMerge w:val="restart"/>
            <w:tcBorders>
              <w:tl2br w:val="nil"/>
              <w:tr2bl w:val="nil"/>
            </w:tcBorders>
            <w:textDirection w:val="tbRlV"/>
            <w:vAlign w:val="center"/>
          </w:tcPr>
          <w:p w14:paraId="21AA7A4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防治措施</w:t>
            </w:r>
          </w:p>
        </w:tc>
        <w:tc>
          <w:tcPr>
            <w:tcW w:w="892" w:type="pct"/>
            <w:tcBorders>
              <w:tl2br w:val="nil"/>
              <w:tr2bl w:val="nil"/>
            </w:tcBorders>
            <w:vAlign w:val="center"/>
          </w:tcPr>
          <w:p w14:paraId="1D513AA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防控措施</w:t>
            </w:r>
          </w:p>
        </w:tc>
        <w:tc>
          <w:tcPr>
            <w:tcW w:w="3196" w:type="pct"/>
            <w:gridSpan w:val="5"/>
            <w:tcBorders>
              <w:tl2br w:val="nil"/>
              <w:tr2bl w:val="nil"/>
            </w:tcBorders>
            <w:vAlign w:val="center"/>
          </w:tcPr>
          <w:p w14:paraId="2AAD19B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土壤环境质量现状保障</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；源头控制</w:t>
            </w:r>
            <w:r>
              <w:rPr>
                <w:rFonts w:ascii="Times New Roman" w:hAnsi="Times New Roman" w:eastAsia="宋体" w:cs="Segoe UI Symbol"/>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；过程防控</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；其他</w:t>
            </w:r>
            <w:r>
              <w:rPr>
                <w:rFonts w:hint="eastAsia" w:cs="宋体"/>
                <w:color w:val="auto"/>
                <w:spacing w:val="0"/>
                <w:position w:val="0"/>
                <w:sz w:val="21"/>
                <w:szCs w:val="21"/>
                <w:highlight w:val="none"/>
                <w:lang w:eastAsia="zh-CN"/>
              </w:rPr>
              <w:t>（））</w:t>
            </w:r>
          </w:p>
        </w:tc>
        <w:tc>
          <w:tcPr>
            <w:tcW w:w="613" w:type="pct"/>
            <w:tcBorders>
              <w:tl2br w:val="nil"/>
              <w:tr2bl w:val="nil"/>
            </w:tcBorders>
            <w:vAlign w:val="center"/>
          </w:tcPr>
          <w:p w14:paraId="7D41FB3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69A80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97" w:type="pct"/>
            <w:vMerge w:val="continue"/>
            <w:tcBorders>
              <w:tl2br w:val="nil"/>
              <w:tr2bl w:val="nil"/>
            </w:tcBorders>
            <w:textDirection w:val="tbRlV"/>
            <w:vAlign w:val="center"/>
          </w:tcPr>
          <w:p w14:paraId="5948C73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vMerge w:val="restart"/>
            <w:tcBorders>
              <w:tl2br w:val="nil"/>
              <w:tr2bl w:val="nil"/>
            </w:tcBorders>
            <w:vAlign w:val="center"/>
          </w:tcPr>
          <w:p w14:paraId="4907C8C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跟踪监测</w:t>
            </w:r>
          </w:p>
        </w:tc>
        <w:tc>
          <w:tcPr>
            <w:tcW w:w="751" w:type="pct"/>
            <w:tcBorders>
              <w:tl2br w:val="nil"/>
              <w:tr2bl w:val="nil"/>
            </w:tcBorders>
            <w:vAlign w:val="center"/>
          </w:tcPr>
          <w:p w14:paraId="797C0BA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监测点数</w:t>
            </w:r>
          </w:p>
        </w:tc>
        <w:tc>
          <w:tcPr>
            <w:tcW w:w="1387" w:type="pct"/>
            <w:gridSpan w:val="2"/>
            <w:tcBorders>
              <w:tl2br w:val="nil"/>
              <w:tr2bl w:val="nil"/>
            </w:tcBorders>
            <w:vAlign w:val="center"/>
          </w:tcPr>
          <w:p w14:paraId="3015FF1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监测指标</w:t>
            </w:r>
          </w:p>
        </w:tc>
        <w:tc>
          <w:tcPr>
            <w:tcW w:w="1057" w:type="pct"/>
            <w:gridSpan w:val="2"/>
            <w:tcBorders>
              <w:tl2br w:val="nil"/>
              <w:tr2bl w:val="nil"/>
            </w:tcBorders>
            <w:vAlign w:val="center"/>
          </w:tcPr>
          <w:p w14:paraId="16AB699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监测频次</w:t>
            </w:r>
          </w:p>
        </w:tc>
        <w:tc>
          <w:tcPr>
            <w:tcW w:w="613" w:type="pct"/>
            <w:vMerge w:val="restart"/>
            <w:tcBorders>
              <w:tl2br w:val="nil"/>
              <w:tr2bl w:val="nil"/>
            </w:tcBorders>
            <w:vAlign w:val="center"/>
          </w:tcPr>
          <w:p w14:paraId="346DB62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09EE8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97" w:type="pct"/>
            <w:vMerge w:val="continue"/>
            <w:tcBorders>
              <w:tl2br w:val="nil"/>
              <w:tr2bl w:val="nil"/>
            </w:tcBorders>
            <w:textDirection w:val="tbRlV"/>
            <w:vAlign w:val="center"/>
          </w:tcPr>
          <w:p w14:paraId="05EC29F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vMerge w:val="continue"/>
            <w:tcBorders>
              <w:tl2br w:val="nil"/>
              <w:tr2bl w:val="nil"/>
            </w:tcBorders>
            <w:vAlign w:val="center"/>
          </w:tcPr>
          <w:p w14:paraId="6E26C7E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751" w:type="pct"/>
            <w:tcBorders>
              <w:tl2br w:val="nil"/>
              <w:tr2bl w:val="nil"/>
            </w:tcBorders>
            <w:vAlign w:val="center"/>
          </w:tcPr>
          <w:p w14:paraId="346DDA8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1387" w:type="pct"/>
            <w:gridSpan w:val="2"/>
            <w:tcBorders>
              <w:tl2br w:val="nil"/>
              <w:tr2bl w:val="nil"/>
            </w:tcBorders>
            <w:vAlign w:val="center"/>
          </w:tcPr>
          <w:p w14:paraId="70129B3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1057" w:type="pct"/>
            <w:gridSpan w:val="2"/>
            <w:tcBorders>
              <w:tl2br w:val="nil"/>
              <w:tr2bl w:val="nil"/>
            </w:tcBorders>
            <w:vAlign w:val="center"/>
          </w:tcPr>
          <w:p w14:paraId="2F4E918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613" w:type="pct"/>
            <w:vMerge w:val="continue"/>
            <w:tcBorders>
              <w:tl2br w:val="nil"/>
              <w:tr2bl w:val="nil"/>
            </w:tcBorders>
            <w:vAlign w:val="center"/>
          </w:tcPr>
          <w:p w14:paraId="3A45B26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71AEB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jc w:val="center"/>
        </w:trPr>
        <w:tc>
          <w:tcPr>
            <w:tcW w:w="297" w:type="pct"/>
            <w:vMerge w:val="continue"/>
            <w:tcBorders>
              <w:tl2br w:val="nil"/>
              <w:tr2bl w:val="nil"/>
            </w:tcBorders>
            <w:textDirection w:val="tbRlV"/>
            <w:vAlign w:val="center"/>
          </w:tcPr>
          <w:p w14:paraId="6CEB768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892" w:type="pct"/>
            <w:tcBorders>
              <w:tl2br w:val="nil"/>
              <w:tr2bl w:val="nil"/>
            </w:tcBorders>
            <w:vAlign w:val="center"/>
          </w:tcPr>
          <w:p w14:paraId="7A6659C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信息公开指标</w:t>
            </w:r>
          </w:p>
        </w:tc>
        <w:tc>
          <w:tcPr>
            <w:tcW w:w="3196" w:type="pct"/>
            <w:gridSpan w:val="5"/>
            <w:tcBorders>
              <w:tl2br w:val="nil"/>
              <w:tr2bl w:val="nil"/>
            </w:tcBorders>
            <w:vAlign w:val="center"/>
          </w:tcPr>
          <w:p w14:paraId="4FABFEF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613" w:type="pct"/>
            <w:vMerge w:val="continue"/>
            <w:tcBorders>
              <w:tl2br w:val="nil"/>
              <w:tr2bl w:val="nil"/>
            </w:tcBorders>
            <w:vAlign w:val="center"/>
          </w:tcPr>
          <w:p w14:paraId="31D84D9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3B7ED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190" w:type="pct"/>
            <w:gridSpan w:val="2"/>
            <w:tcBorders>
              <w:tl2br w:val="nil"/>
              <w:tr2bl w:val="nil"/>
            </w:tcBorders>
            <w:vAlign w:val="center"/>
          </w:tcPr>
          <w:p w14:paraId="5C043F9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评价结论</w:t>
            </w:r>
          </w:p>
        </w:tc>
        <w:tc>
          <w:tcPr>
            <w:tcW w:w="3196" w:type="pct"/>
            <w:gridSpan w:val="5"/>
            <w:tcBorders>
              <w:tl2br w:val="nil"/>
              <w:tr2bl w:val="nil"/>
            </w:tcBorders>
            <w:vAlign w:val="center"/>
          </w:tcPr>
          <w:p w14:paraId="7981683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项目建设对土壤环境影响可接受</w:t>
            </w:r>
          </w:p>
        </w:tc>
        <w:tc>
          <w:tcPr>
            <w:tcW w:w="613" w:type="pct"/>
            <w:tcBorders>
              <w:tl2br w:val="nil"/>
              <w:tr2bl w:val="nil"/>
            </w:tcBorders>
            <w:vAlign w:val="center"/>
          </w:tcPr>
          <w:p w14:paraId="64F89BE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r>
      <w:tr w14:paraId="7B24A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5000" w:type="pct"/>
            <w:gridSpan w:val="8"/>
            <w:tcBorders>
              <w:tl2br w:val="nil"/>
              <w:tr2bl w:val="nil"/>
            </w:tcBorders>
            <w:vAlign w:val="center"/>
          </w:tcPr>
          <w:p w14:paraId="033426D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注</w:t>
            </w:r>
            <w:r>
              <w:rPr>
                <w:rFonts w:ascii="Times New Roman" w:hAnsi="Times New Roman" w:eastAsia="宋体" w:cs="Times New Roman"/>
                <w:color w:val="auto"/>
                <w:spacing w:val="0"/>
                <w:position w:val="0"/>
                <w:sz w:val="21"/>
                <w:szCs w:val="21"/>
                <w:highlight w:val="none"/>
              </w:rPr>
              <w:t>1</w:t>
            </w:r>
            <w:r>
              <w:rPr>
                <w:rFonts w:ascii="Times New Roman" w:hAnsi="Times New Roman" w:eastAsia="宋体" w:cs="宋体"/>
                <w:color w:val="auto"/>
                <w:spacing w:val="0"/>
                <w:position w:val="0"/>
                <w:sz w:val="21"/>
                <w:szCs w:val="21"/>
                <w:highlight w:val="none"/>
              </w:rPr>
              <w:t>：</w:t>
            </w:r>
            <w:r>
              <w:rPr>
                <w:rFonts w:hint="eastAsia" w:cs="Times New Roman"/>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为勾选项，可</w:t>
            </w:r>
            <w:r>
              <w:rPr>
                <w:rFonts w:ascii="Times New Roman" w:hAnsi="Times New Roman" w:eastAsia="宋体" w:cs="Times New Roman"/>
                <w:color w:val="auto"/>
                <w:spacing w:val="0"/>
                <w:position w:val="0"/>
                <w:sz w:val="21"/>
                <w:szCs w:val="21"/>
                <w:highlight w:val="none"/>
              </w:rPr>
              <w:t>√</w:t>
            </w:r>
            <w:r>
              <w:rPr>
                <w:rFonts w:ascii="Times New Roman" w:hAnsi="Times New Roman" w:eastAsia="宋体" w:cs="宋体"/>
                <w:color w:val="auto"/>
                <w:spacing w:val="0"/>
                <w:position w:val="0"/>
                <w:sz w:val="21"/>
                <w:szCs w:val="21"/>
                <w:highlight w:val="none"/>
              </w:rPr>
              <w:t>；</w:t>
            </w:r>
            <w:r>
              <w:rPr>
                <w:rFonts w:hint="eastAsia" w:cs="Times New Roman"/>
                <w:color w:val="auto"/>
                <w:spacing w:val="0"/>
                <w:position w:val="0"/>
                <w:sz w:val="21"/>
                <w:szCs w:val="21"/>
                <w:highlight w:val="none"/>
                <w:lang w:eastAsia="zh-CN"/>
              </w:rPr>
              <w:t>”</w:t>
            </w:r>
            <w:r>
              <w:rPr>
                <w:rFonts w:hint="eastAsia" w:cs="宋体"/>
                <w:color w:val="auto"/>
                <w:spacing w:val="0"/>
                <w:position w:val="0"/>
                <w:sz w:val="21"/>
                <w:szCs w:val="21"/>
                <w:highlight w:val="none"/>
                <w:lang w:eastAsia="zh-CN"/>
              </w:rPr>
              <w:t>（）</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为内容填写项；</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备注</w:t>
            </w:r>
            <w:r>
              <w:rPr>
                <w:rFonts w:hint="eastAsia" w:cs="Times New Roman"/>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为其他补充内容。注</w:t>
            </w:r>
            <w:r>
              <w:rPr>
                <w:rFonts w:ascii="Times New Roman" w:hAnsi="Times New Roman" w:eastAsia="宋体" w:cs="Times New Roman"/>
                <w:color w:val="auto"/>
                <w:spacing w:val="0"/>
                <w:position w:val="0"/>
                <w:sz w:val="21"/>
                <w:szCs w:val="21"/>
                <w:highlight w:val="none"/>
              </w:rPr>
              <w:t>2</w:t>
            </w:r>
            <w:r>
              <w:rPr>
                <w:rFonts w:ascii="Times New Roman" w:hAnsi="Times New Roman" w:eastAsia="宋体" w:cs="宋体"/>
                <w:color w:val="auto"/>
                <w:spacing w:val="0"/>
                <w:position w:val="0"/>
                <w:sz w:val="21"/>
                <w:szCs w:val="21"/>
                <w:highlight w:val="none"/>
              </w:rPr>
              <w:t>：需要分别开展土壤环境影响评级工作的，分别填写自查表。</w:t>
            </w:r>
          </w:p>
        </w:tc>
      </w:tr>
    </w:tbl>
    <w:p w14:paraId="7913F96F">
      <w:pPr>
        <w:pStyle w:val="5"/>
        <w:rPr>
          <w:rFonts w:ascii="Times New Roman" w:hAnsi="Times New Roman" w:eastAsia="宋体"/>
          <w:color w:val="auto"/>
          <w:highlight w:val="none"/>
        </w:rPr>
      </w:pPr>
      <w:bookmarkStart w:id="209" w:name="_Toc106663505"/>
      <w:r>
        <w:rPr>
          <w:rFonts w:hint="eastAsia" w:ascii="Times New Roman" w:hAnsi="Times New Roman" w:eastAsia="宋体"/>
          <w:color w:val="auto"/>
          <w:highlight w:val="none"/>
        </w:rPr>
        <w:t>5.2.6生态环境影响分析</w:t>
      </w:r>
      <w:bookmarkEnd w:id="209"/>
    </w:p>
    <w:p w14:paraId="1C7CA811">
      <w:pPr>
        <w:pStyle w:val="151"/>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ascii="Times New Roman" w:hAnsi="Times New Roman" w:eastAsia="宋体"/>
          <w:b w:val="0"/>
          <w:bCs/>
          <w:color w:val="auto"/>
          <w:sz w:val="24"/>
          <w:szCs w:val="18"/>
          <w:highlight w:val="none"/>
        </w:rPr>
      </w:pPr>
      <w:r>
        <w:rPr>
          <w:rFonts w:hint="eastAsia" w:ascii="Times New Roman" w:hAnsi="Times New Roman" w:eastAsia="宋体"/>
          <w:b w:val="0"/>
          <w:bCs/>
          <w:color w:val="auto"/>
          <w:sz w:val="24"/>
          <w:szCs w:val="18"/>
          <w:highlight w:val="none"/>
        </w:rPr>
        <w:t>1、评价等级</w:t>
      </w:r>
    </w:p>
    <w:p w14:paraId="19DE22F7">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根据《环境影响评价技术导则生态影响》（HJ1.9-2022），确定生态环境评价工作等级。根据生态影响评价工作等级划分内容。生态影响评价工作等级划分如下原则确定：</w:t>
      </w:r>
    </w:p>
    <w:p w14:paraId="570E1226">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b w:val="0"/>
          <w:color w:val="auto"/>
          <w:sz w:val="24"/>
          <w:highlight w:val="none"/>
          <w:lang w:val="en-US" w:eastAsia="zh-CN"/>
        </w:rPr>
        <w:t>a）</w:t>
      </w:r>
      <w:r>
        <w:rPr>
          <w:rFonts w:hint="eastAsia" w:ascii="Times New Roman" w:hAnsi="Times New Roman" w:eastAsia="宋体"/>
          <w:b w:val="0"/>
          <w:color w:val="auto"/>
          <w:sz w:val="24"/>
          <w:highlight w:val="none"/>
        </w:rPr>
        <w:t>涉及国家公园、自然保护区、世界自然遗产、重要生境时，评价等级为一级；</w:t>
      </w:r>
    </w:p>
    <w:p w14:paraId="08CAEB6C">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b）涉及自然公园时，评价等级为二级；</w:t>
      </w:r>
    </w:p>
    <w:p w14:paraId="076CFB15">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c）涉及生态保护红线时，评价等级不低于二级：</w:t>
      </w:r>
    </w:p>
    <w:p w14:paraId="2002EEDF">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d）根据HJ2.3判断属于水文要素影响型且地表水评价等级不低于二级的建设项目，生态影响评价等级不低于二级；</w:t>
      </w:r>
    </w:p>
    <w:p w14:paraId="68B0D21F">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e）根据HJ610、HJ964判断地下水水位或土壤影响范围内分布有天然林、公益林、湿地等生态保护目标的建设项目，生态影响评价等级不低于二级；</w:t>
      </w:r>
    </w:p>
    <w:p w14:paraId="203BE3A2">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f）当工程占地规模大于20km</w:t>
      </w:r>
      <w:r>
        <w:rPr>
          <w:rFonts w:ascii="Times New Roman" w:hAnsi="Times New Roman" w:eastAsia="宋体"/>
          <w:b w:val="0"/>
          <w:color w:val="auto"/>
          <w:sz w:val="24"/>
          <w:highlight w:val="none"/>
          <w:vertAlign w:val="superscript"/>
        </w:rPr>
        <w:t>2</w:t>
      </w:r>
      <w:r>
        <w:rPr>
          <w:rFonts w:hint="eastAsia" w:ascii="Times New Roman" w:hAnsi="Times New Roman" w:eastAsia="宋体"/>
          <w:b w:val="0"/>
          <w:color w:val="auto"/>
          <w:sz w:val="24"/>
          <w:highlight w:val="none"/>
        </w:rPr>
        <w:t>时（包括永久和临时占用陆域和水域），评价等级不低于二级：改扩建项目的占地范围以新增占地（包括陆域和水域）确定；</w:t>
      </w:r>
    </w:p>
    <w:p w14:paraId="59778FCC">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g）除本条a）、b）、c）、d）、e）、f）以外的情况，评价等级为三级；</w:t>
      </w:r>
    </w:p>
    <w:p w14:paraId="4F18ABB7">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h）当评价等级判定同时符合上述多种情况时，应采用其中最高的评价等级。</w:t>
      </w:r>
    </w:p>
    <w:p w14:paraId="679D812E">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（2）工程占地范围及环境敏感情况</w:t>
      </w:r>
    </w:p>
    <w:p w14:paraId="3BEA5384">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本项目总占地面积</w:t>
      </w:r>
      <w:r>
        <w:rPr>
          <w:rFonts w:hint="eastAsia" w:ascii="Times New Roman" w:hAnsi="Times New Roman" w:eastAsia="宋体"/>
          <w:b w:val="0"/>
          <w:color w:val="auto"/>
          <w:sz w:val="24"/>
          <w:highlight w:val="none"/>
          <w:lang w:eastAsia="zh-CN"/>
        </w:rPr>
        <w:t>70119.07</w:t>
      </w:r>
      <w:r>
        <w:rPr>
          <w:rFonts w:hint="eastAsia" w:ascii="Times New Roman" w:hAnsi="Times New Roman" w:eastAsia="宋体"/>
          <w:b w:val="0"/>
          <w:color w:val="auto"/>
          <w:sz w:val="24"/>
          <w:highlight w:val="none"/>
        </w:rPr>
        <w:t>m</w:t>
      </w:r>
      <w:r>
        <w:rPr>
          <w:rFonts w:hint="eastAsia" w:ascii="Times New Roman" w:hAnsi="Times New Roman" w:eastAsia="宋体"/>
          <w:b w:val="0"/>
          <w:color w:val="auto"/>
          <w:sz w:val="24"/>
          <w:highlight w:val="none"/>
          <w:vertAlign w:val="superscript"/>
        </w:rPr>
        <w:t>2</w:t>
      </w:r>
      <w:r>
        <w:rPr>
          <w:rFonts w:hint="eastAsia" w:ascii="Times New Roman" w:hAnsi="Times New Roman" w:eastAsia="宋体"/>
          <w:b w:val="0"/>
          <w:color w:val="auto"/>
          <w:sz w:val="24"/>
          <w:highlight w:val="none"/>
        </w:rPr>
        <w:t>（折</w:t>
      </w:r>
      <w:r>
        <w:rPr>
          <w:rFonts w:hint="eastAsia" w:ascii="Times New Roman" w:hAnsi="Times New Roman" w:eastAsia="宋体"/>
          <w:b w:val="0"/>
          <w:color w:val="auto"/>
          <w:sz w:val="24"/>
          <w:highlight w:val="none"/>
          <w:lang w:eastAsia="zh-CN"/>
        </w:rPr>
        <w:t>0.0701</w:t>
      </w:r>
      <w:r>
        <w:rPr>
          <w:rFonts w:hint="eastAsia" w:ascii="Times New Roman" w:hAnsi="Times New Roman" w:eastAsia="宋体"/>
          <w:b w:val="0"/>
          <w:color w:val="auto"/>
          <w:sz w:val="24"/>
          <w:highlight w:val="none"/>
        </w:rPr>
        <w:t>km</w:t>
      </w:r>
      <w:r>
        <w:rPr>
          <w:rFonts w:hint="eastAsia" w:ascii="Times New Roman" w:hAnsi="Times New Roman" w:eastAsia="宋体"/>
          <w:b w:val="0"/>
          <w:color w:val="auto"/>
          <w:sz w:val="24"/>
          <w:highlight w:val="none"/>
          <w:vertAlign w:val="superscript"/>
        </w:rPr>
        <w:t>2</w:t>
      </w:r>
      <w:r>
        <w:rPr>
          <w:rFonts w:hint="eastAsia" w:ascii="Times New Roman" w:hAnsi="Times New Roman" w:eastAsia="宋体"/>
          <w:b w:val="0"/>
          <w:color w:val="auto"/>
          <w:sz w:val="24"/>
          <w:highlight w:val="none"/>
        </w:rPr>
        <w:t>），小于2</w:t>
      </w:r>
      <w:r>
        <w:rPr>
          <w:rFonts w:ascii="Times New Roman" w:hAnsi="Times New Roman" w:eastAsia="宋体"/>
          <w:b w:val="0"/>
          <w:color w:val="auto"/>
          <w:sz w:val="24"/>
          <w:highlight w:val="none"/>
        </w:rPr>
        <w:t>0</w:t>
      </w:r>
      <w:r>
        <w:rPr>
          <w:rFonts w:hint="eastAsia" w:ascii="Times New Roman" w:hAnsi="Times New Roman" w:eastAsia="宋体"/>
          <w:b w:val="0"/>
          <w:color w:val="auto"/>
          <w:sz w:val="24"/>
          <w:highlight w:val="none"/>
        </w:rPr>
        <w:t>km</w:t>
      </w:r>
      <w:r>
        <w:rPr>
          <w:rFonts w:hint="eastAsia" w:ascii="Times New Roman" w:hAnsi="Times New Roman" w:eastAsia="宋体"/>
          <w:b w:val="0"/>
          <w:color w:val="auto"/>
          <w:sz w:val="24"/>
          <w:highlight w:val="none"/>
          <w:vertAlign w:val="superscript"/>
        </w:rPr>
        <w:t>2</w:t>
      </w:r>
      <w:r>
        <w:rPr>
          <w:rFonts w:hint="eastAsia" w:ascii="Times New Roman" w:hAnsi="Times New Roman" w:eastAsia="宋体"/>
          <w:b w:val="0"/>
          <w:color w:val="auto"/>
          <w:sz w:val="24"/>
          <w:highlight w:val="none"/>
        </w:rPr>
        <w:t>。本项目周边不涉及国家公园、自然保护区、世界自然遗产、重要生境时，不涉及自然公园，不涉及生态保护红线。</w:t>
      </w:r>
    </w:p>
    <w:p w14:paraId="1060E88A">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综上所述，本项目生态影响评价等级为三级。</w:t>
      </w:r>
    </w:p>
    <w:p w14:paraId="3DF12EEF">
      <w:pPr>
        <w:pStyle w:val="151"/>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ascii="Times New Roman" w:hAnsi="Times New Roman" w:eastAsia="宋体"/>
          <w:b w:val="0"/>
          <w:bCs/>
          <w:color w:val="auto"/>
          <w:sz w:val="24"/>
          <w:szCs w:val="18"/>
          <w:highlight w:val="none"/>
        </w:rPr>
      </w:pPr>
      <w:r>
        <w:rPr>
          <w:rFonts w:ascii="Times New Roman" w:hAnsi="Times New Roman" w:eastAsia="宋体"/>
          <w:b w:val="0"/>
          <w:bCs/>
          <w:color w:val="auto"/>
          <w:sz w:val="24"/>
          <w:szCs w:val="18"/>
          <w:highlight w:val="none"/>
        </w:rPr>
        <w:t>2</w:t>
      </w:r>
      <w:r>
        <w:rPr>
          <w:rFonts w:hint="eastAsia" w:ascii="Times New Roman" w:hAnsi="Times New Roman" w:eastAsia="宋体"/>
          <w:b w:val="0"/>
          <w:bCs/>
          <w:color w:val="auto"/>
          <w:sz w:val="24"/>
          <w:szCs w:val="18"/>
          <w:highlight w:val="none"/>
        </w:rPr>
        <w:t>、</w:t>
      </w:r>
      <w:r>
        <w:rPr>
          <w:rFonts w:hint="eastAsia" w:ascii="Times New Roman" w:hAnsi="Times New Roman" w:eastAsia="宋体"/>
          <w:b w:val="0"/>
          <w:bCs/>
          <w:color w:val="auto"/>
          <w:sz w:val="24"/>
          <w:szCs w:val="21"/>
          <w:highlight w:val="none"/>
        </w:rPr>
        <w:t>生态环境</w:t>
      </w:r>
      <w:r>
        <w:rPr>
          <w:rFonts w:hint="eastAsia" w:ascii="Times New Roman" w:hAnsi="Times New Roman" w:eastAsia="宋体"/>
          <w:b w:val="0"/>
          <w:bCs/>
          <w:color w:val="auto"/>
          <w:sz w:val="24"/>
          <w:szCs w:val="18"/>
          <w:highlight w:val="none"/>
        </w:rPr>
        <w:t>影响评价</w:t>
      </w:r>
    </w:p>
    <w:p w14:paraId="0AC59089">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szCs w:val="16"/>
          <w:highlight w:val="none"/>
        </w:rPr>
        <w:t>本项目为三级评价，</w:t>
      </w:r>
      <w:r>
        <w:rPr>
          <w:rFonts w:hint="eastAsia" w:ascii="Times New Roman" w:hAnsi="Times New Roman" w:eastAsia="宋体"/>
          <w:b w:val="0"/>
          <w:color w:val="auto"/>
          <w:sz w:val="24"/>
          <w:highlight w:val="none"/>
        </w:rPr>
        <w:t>根据《环境影响评价技术导则生态影响》（HJ1.9-2022）采取生态机理分析法对本项目生态影响进行评价。</w:t>
      </w:r>
    </w:p>
    <w:p w14:paraId="5D619F47">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szCs w:val="16"/>
          <w:highlight w:val="none"/>
        </w:rPr>
      </w:pPr>
      <w:r>
        <w:rPr>
          <w:rFonts w:hint="eastAsia" w:ascii="Times New Roman" w:hAnsi="Times New Roman" w:eastAsia="宋体"/>
          <w:b w:val="0"/>
          <w:color w:val="auto"/>
          <w:sz w:val="24"/>
          <w:szCs w:val="16"/>
          <w:highlight w:val="none"/>
        </w:rPr>
        <w:t>1）环境背景现状调查</w:t>
      </w:r>
    </w:p>
    <w:p w14:paraId="6F26D5AE">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szCs w:val="16"/>
          <w:highlight w:val="none"/>
        </w:rPr>
      </w:pPr>
      <w:r>
        <w:rPr>
          <w:rFonts w:hint="eastAsia" w:ascii="Times New Roman" w:hAnsi="Times New Roman" w:eastAsia="宋体"/>
          <w:b w:val="0"/>
          <w:color w:val="auto"/>
          <w:sz w:val="24"/>
          <w:szCs w:val="16"/>
          <w:highlight w:val="none"/>
        </w:rPr>
        <w:t>项目拟建养殖场场地植物分布较为单一，没有珍稀植被，项目区建设前土地利用状况为</w:t>
      </w:r>
      <w:r>
        <w:rPr>
          <w:rFonts w:hint="eastAsia" w:ascii="Times New Roman" w:hAnsi="Times New Roman" w:eastAsia="宋体"/>
          <w:b w:val="0"/>
          <w:color w:val="auto"/>
          <w:sz w:val="24"/>
          <w:szCs w:val="16"/>
          <w:highlight w:val="none"/>
          <w:lang w:eastAsia="zh-CN"/>
        </w:rPr>
        <w:t>荒草地</w:t>
      </w:r>
      <w:r>
        <w:rPr>
          <w:rFonts w:hint="eastAsia" w:ascii="Times New Roman" w:hAnsi="Times New Roman" w:eastAsia="宋体"/>
          <w:b w:val="0"/>
          <w:color w:val="auto"/>
          <w:sz w:val="24"/>
          <w:szCs w:val="16"/>
          <w:highlight w:val="none"/>
        </w:rPr>
        <w:t>；</w:t>
      </w:r>
    </w:p>
    <w:p w14:paraId="03CD09FA">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szCs w:val="16"/>
          <w:highlight w:val="none"/>
        </w:rPr>
      </w:pPr>
      <w:r>
        <w:rPr>
          <w:rFonts w:hint="eastAsia" w:ascii="Times New Roman" w:hAnsi="Times New Roman" w:eastAsia="宋体"/>
          <w:b w:val="0"/>
          <w:color w:val="auto"/>
          <w:sz w:val="24"/>
          <w:szCs w:val="16"/>
          <w:highlight w:val="none"/>
        </w:rPr>
        <w:t>2）植物和动物分布</w:t>
      </w:r>
    </w:p>
    <w:p w14:paraId="05AE2938">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snapToGrid w:val="0"/>
          <w:color w:val="auto"/>
          <w:sz w:val="24"/>
          <w:szCs w:val="22"/>
          <w:highlight w:val="none"/>
        </w:rPr>
        <w:t>经</w:t>
      </w:r>
      <w:r>
        <w:rPr>
          <w:rFonts w:ascii="Times New Roman" w:hAnsi="Times New Roman" w:eastAsia="宋体"/>
          <w:b w:val="0"/>
          <w:snapToGrid w:val="0"/>
          <w:color w:val="auto"/>
          <w:sz w:val="24"/>
          <w:szCs w:val="22"/>
          <w:highlight w:val="none"/>
        </w:rPr>
        <w:t>实地调查，评价区</w:t>
      </w:r>
      <w:r>
        <w:rPr>
          <w:rFonts w:hint="eastAsia" w:ascii="Times New Roman" w:hAnsi="Times New Roman" w:eastAsia="宋体"/>
          <w:b w:val="0"/>
          <w:snapToGrid w:val="0"/>
          <w:color w:val="auto"/>
          <w:sz w:val="24"/>
          <w:szCs w:val="22"/>
          <w:highlight w:val="none"/>
        </w:rPr>
        <w:t>区域植被类型为温性荒漠类草原，植被主要有绢篙、猪毛菜、叉毛蓬等，植被长势良好。</w:t>
      </w:r>
    </w:p>
    <w:p w14:paraId="5CD2747A">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highlight w:val="none"/>
        </w:rPr>
        <w:t>本项目土地原有类型为</w:t>
      </w:r>
      <w:r>
        <w:rPr>
          <w:rFonts w:hint="eastAsia" w:ascii="Times New Roman" w:hAnsi="Times New Roman" w:eastAsia="宋体"/>
          <w:b w:val="0"/>
          <w:color w:val="auto"/>
          <w:sz w:val="24"/>
          <w:highlight w:val="none"/>
          <w:lang w:eastAsia="zh-CN"/>
        </w:rPr>
        <w:t>荒草地</w:t>
      </w:r>
      <w:r>
        <w:rPr>
          <w:rFonts w:hint="eastAsia" w:ascii="Times New Roman" w:hAnsi="Times New Roman" w:eastAsia="宋体"/>
          <w:b w:val="0"/>
          <w:color w:val="auto"/>
          <w:sz w:val="24"/>
          <w:highlight w:val="none"/>
        </w:rPr>
        <w:t>，由</w:t>
      </w:r>
      <w:r>
        <w:rPr>
          <w:rFonts w:hint="eastAsia" w:ascii="Times New Roman" w:hAnsi="Times New Roman" w:eastAsia="宋体"/>
          <w:b w:val="0"/>
          <w:color w:val="auto"/>
          <w:sz w:val="24"/>
          <w:highlight w:val="none"/>
          <w:lang w:eastAsia="zh-CN"/>
        </w:rPr>
        <w:t>昌吉玛纳斯县广东地乡广东地村区</w:t>
      </w:r>
      <w:r>
        <w:rPr>
          <w:rFonts w:hint="eastAsia" w:ascii="Times New Roman" w:hAnsi="Times New Roman" w:eastAsia="宋体"/>
          <w:b w:val="0"/>
          <w:color w:val="auto"/>
          <w:sz w:val="24"/>
          <w:highlight w:val="none"/>
        </w:rPr>
        <w:t>村委会使用，未承包到户。草原权属清楚、无争议。本项目所在地块已经在</w:t>
      </w:r>
      <w:r>
        <w:rPr>
          <w:rFonts w:hint="eastAsia" w:ascii="Times New Roman" w:hAnsi="Times New Roman" w:eastAsia="宋体"/>
          <w:b w:val="0"/>
          <w:color w:val="auto"/>
          <w:sz w:val="24"/>
          <w:highlight w:val="none"/>
          <w:lang w:eastAsia="zh-CN"/>
        </w:rPr>
        <w:t>玛纳斯县</w:t>
      </w:r>
      <w:r>
        <w:rPr>
          <w:rFonts w:hint="eastAsia" w:ascii="Times New Roman" w:hAnsi="Times New Roman" w:eastAsia="宋体"/>
          <w:b w:val="0"/>
          <w:color w:val="auto"/>
          <w:sz w:val="24"/>
          <w:highlight w:val="none"/>
        </w:rPr>
        <w:t>自然资源局办理相关了设施农用地备案手续，土地属性已转变为设施农业用地。本地块已交纳了草地补偿费和安置补偿费，对损失的草场生态量进行了异地补偿。</w:t>
      </w:r>
    </w:p>
    <w:p w14:paraId="07933871">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szCs w:val="16"/>
          <w:highlight w:val="none"/>
        </w:rPr>
      </w:pPr>
      <w:r>
        <w:rPr>
          <w:rFonts w:hint="eastAsia" w:ascii="Times New Roman" w:hAnsi="Times New Roman" w:eastAsia="宋体"/>
          <w:b w:val="0"/>
          <w:color w:val="auto"/>
          <w:sz w:val="24"/>
          <w:szCs w:val="16"/>
          <w:highlight w:val="none"/>
        </w:rPr>
        <w:t>本项目建成后，部分土地被硬化，植被破坏，对植物生态系统造成了一定程度的损坏，但项目完成后，在养殖场内部空地和场界四周加强绿化，绿化以乔、灌、草等相结合的形式，场界主要种植高大乔木辅以灌木，场内以灌木草坪为主，相对增加了植被生态系统的多样性。</w:t>
      </w:r>
    </w:p>
    <w:p w14:paraId="67049FB6">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szCs w:val="16"/>
          <w:highlight w:val="none"/>
        </w:rPr>
      </w:pPr>
      <w:r>
        <w:rPr>
          <w:rFonts w:hint="eastAsia" w:ascii="Times New Roman" w:hAnsi="Times New Roman" w:eastAsia="宋体"/>
          <w:b w:val="0"/>
          <w:color w:val="auto"/>
          <w:sz w:val="24"/>
          <w:szCs w:val="16"/>
          <w:highlight w:val="none"/>
        </w:rPr>
        <w:t>本项目实施后，产生的粪污可以生产农肥和沼肥。农肥施用于农田可减少化肥施用量，增加农肥施用量；无疑将提高土壤肥力，改变土壤理、化性质，增加下垫面的抗蚀能力，改善生态环境；沼肥含多种植物易吸收的营养养分，有利于作物生长；既节约了水资源，又减少了废水排放量，降低了对环境的污染，提高了水资源的利用率。</w:t>
      </w:r>
    </w:p>
    <w:p w14:paraId="2FBF3D05">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highlight w:val="none"/>
        </w:rPr>
      </w:pPr>
      <w:r>
        <w:rPr>
          <w:rFonts w:hint="eastAsia" w:ascii="Times New Roman" w:hAnsi="Times New Roman" w:eastAsia="宋体"/>
          <w:b w:val="0"/>
          <w:color w:val="auto"/>
          <w:sz w:val="24"/>
          <w:szCs w:val="16"/>
          <w:highlight w:val="none"/>
        </w:rPr>
        <w:t>综上，项目建设对于生态环境具有一定的环境影响，但影响在可接受范围内。经分析可知，本项目实施后对当地动植物生态环境影响不大。</w:t>
      </w:r>
    </w:p>
    <w:p w14:paraId="6197BC40">
      <w:pPr>
        <w:pStyle w:val="151"/>
        <w:keepNext w:val="0"/>
        <w:keepLines w:val="0"/>
        <w:pageBreakBefore w:val="0"/>
        <w:widowControl w:val="0"/>
        <w:kinsoku/>
        <w:wordWrap/>
        <w:overflowPunct/>
        <w:topLinePunct w:val="0"/>
        <w:autoSpaceDE/>
        <w:autoSpaceDN/>
        <w:bidi w:val="0"/>
        <w:adjustRightInd/>
        <w:snapToGrid/>
        <w:spacing w:line="360" w:lineRule="auto"/>
        <w:ind w:firstLine="480" w:firstLineChars="200"/>
        <w:outlineLvl w:val="9"/>
        <w:rPr>
          <w:rFonts w:ascii="Times New Roman" w:hAnsi="Times New Roman" w:eastAsia="宋体"/>
          <w:b w:val="0"/>
          <w:bCs/>
          <w:color w:val="auto"/>
          <w:sz w:val="24"/>
          <w:szCs w:val="21"/>
          <w:highlight w:val="none"/>
        </w:rPr>
      </w:pPr>
      <w:bookmarkStart w:id="210" w:name="_Toc86740209"/>
      <w:bookmarkStart w:id="211" w:name="_Toc106663506"/>
      <w:r>
        <w:rPr>
          <w:rFonts w:ascii="Times New Roman" w:hAnsi="Times New Roman" w:eastAsia="宋体"/>
          <w:b w:val="0"/>
          <w:bCs/>
          <w:color w:val="auto"/>
          <w:sz w:val="24"/>
          <w:szCs w:val="21"/>
          <w:highlight w:val="none"/>
        </w:rPr>
        <w:t>3</w:t>
      </w:r>
      <w:r>
        <w:rPr>
          <w:rFonts w:hint="eastAsia" w:ascii="Times New Roman" w:hAnsi="Times New Roman" w:eastAsia="宋体"/>
          <w:b w:val="0"/>
          <w:bCs/>
          <w:color w:val="auto"/>
          <w:sz w:val="24"/>
          <w:szCs w:val="21"/>
          <w:highlight w:val="none"/>
        </w:rPr>
        <w:t>、对景观生态的影响</w:t>
      </w:r>
      <w:bookmarkEnd w:id="210"/>
      <w:bookmarkEnd w:id="211"/>
    </w:p>
    <w:p w14:paraId="01AAFDD2">
      <w:pPr>
        <w:keepNext w:val="0"/>
        <w:keepLines w:val="0"/>
        <w:pageBreakBefore w:val="0"/>
        <w:widowControl w:val="0"/>
        <w:kinsoku/>
        <w:wordWrap/>
        <w:overflowPunct/>
        <w:topLinePunct w:val="0"/>
        <w:autoSpaceDE/>
        <w:autoSpaceDN/>
        <w:bidi w:val="0"/>
        <w:adjustRightInd/>
        <w:snapToGrid/>
        <w:ind w:firstLine="480" w:firstLineChars="200"/>
        <w:outlineLvl w:val="9"/>
        <w:rPr>
          <w:rFonts w:ascii="Times New Roman" w:hAnsi="Times New Roman" w:eastAsia="宋体"/>
          <w:b w:val="0"/>
          <w:color w:val="auto"/>
          <w:sz w:val="24"/>
          <w:szCs w:val="16"/>
          <w:highlight w:val="none"/>
        </w:rPr>
      </w:pPr>
      <w:r>
        <w:rPr>
          <w:rFonts w:hint="eastAsia" w:ascii="Times New Roman" w:hAnsi="Times New Roman" w:eastAsia="宋体"/>
          <w:b w:val="0"/>
          <w:color w:val="auto"/>
          <w:sz w:val="24"/>
          <w:szCs w:val="16"/>
          <w:highlight w:val="none"/>
        </w:rPr>
        <w:t>项目养殖场属于地上建筑，因此在设计时需考虑周边景观要求，加强对建构筑物及道路以外的空地进行绿化，植物配置以乡土物种为主，疏密适当，高低错落，形成一定的层次感；色彩丰富，主要以常绿树种作为</w:t>
      </w:r>
      <w:r>
        <w:rPr>
          <w:rFonts w:hint="eastAsia"/>
          <w:b w:val="0"/>
          <w:color w:val="auto"/>
          <w:sz w:val="24"/>
          <w:szCs w:val="16"/>
          <w:highlight w:val="none"/>
          <w:lang w:eastAsia="zh-CN"/>
        </w:rPr>
        <w:t>“</w:t>
      </w:r>
      <w:r>
        <w:rPr>
          <w:rFonts w:hint="eastAsia" w:ascii="Times New Roman" w:hAnsi="Times New Roman" w:eastAsia="宋体"/>
          <w:b w:val="0"/>
          <w:color w:val="auto"/>
          <w:sz w:val="24"/>
          <w:szCs w:val="16"/>
          <w:highlight w:val="none"/>
        </w:rPr>
        <w:t>背景</w:t>
      </w:r>
      <w:r>
        <w:rPr>
          <w:rFonts w:hint="eastAsia"/>
          <w:b w:val="0"/>
          <w:color w:val="auto"/>
          <w:sz w:val="24"/>
          <w:szCs w:val="16"/>
          <w:highlight w:val="none"/>
          <w:lang w:eastAsia="zh-CN"/>
        </w:rPr>
        <w:t>”</w:t>
      </w:r>
      <w:r>
        <w:rPr>
          <w:rFonts w:hint="eastAsia" w:ascii="Times New Roman" w:hAnsi="Times New Roman" w:eastAsia="宋体"/>
          <w:b w:val="0"/>
          <w:color w:val="auto"/>
          <w:sz w:val="24"/>
          <w:szCs w:val="16"/>
          <w:highlight w:val="none"/>
        </w:rPr>
        <w:t>，四季不同花色的花草灌木进行搭配。尽量避免裸露地面，广泛进行垂直绿化，以及各种灌木和草本类花卉、播撒草籽加以点缀，增加</w:t>
      </w:r>
      <w:r>
        <w:rPr>
          <w:rFonts w:ascii="Times New Roman" w:hAnsi="Times New Roman" w:eastAsia="宋体"/>
          <w:b w:val="0"/>
          <w:color w:val="auto"/>
          <w:sz w:val="24"/>
          <w:highlight w:val="none"/>
        </w:rPr>
        <w:t>绿化面积</w:t>
      </w:r>
      <w:r>
        <w:rPr>
          <w:rFonts w:hint="eastAsia" w:ascii="Times New Roman" w:hAnsi="Times New Roman" w:eastAsia="宋体"/>
          <w:b w:val="0"/>
          <w:color w:val="auto"/>
          <w:sz w:val="24"/>
          <w:highlight w:val="none"/>
        </w:rPr>
        <w:t>，</w:t>
      </w:r>
      <w:r>
        <w:rPr>
          <w:rFonts w:hint="eastAsia" w:ascii="Times New Roman" w:hAnsi="Times New Roman" w:eastAsia="宋体"/>
          <w:b w:val="0"/>
          <w:color w:val="auto"/>
          <w:sz w:val="24"/>
          <w:szCs w:val="16"/>
          <w:highlight w:val="none"/>
        </w:rPr>
        <w:t>尽可能的减轻了养殖场建设对周边景观的影响，对周边景观影响较小。</w:t>
      </w:r>
    </w:p>
    <w:p w14:paraId="706DB8D0">
      <w:pPr>
        <w:pStyle w:val="4"/>
        <w:rPr>
          <w:rFonts w:ascii="Times New Roman" w:hAnsi="Times New Roman" w:eastAsia="宋体"/>
          <w:color w:val="auto"/>
          <w:highlight w:val="none"/>
        </w:rPr>
      </w:pPr>
      <w:bookmarkStart w:id="212" w:name="_Toc106663507"/>
      <w:bookmarkStart w:id="213" w:name="_Toc89619345"/>
      <w:r>
        <w:rPr>
          <w:rFonts w:hint="eastAsia" w:ascii="Times New Roman" w:hAnsi="Times New Roman" w:eastAsia="宋体"/>
          <w:color w:val="auto"/>
          <w:highlight w:val="none"/>
        </w:rPr>
        <w:t>5.3、环境风险评价</w:t>
      </w:r>
      <w:bookmarkEnd w:id="212"/>
      <w:bookmarkEnd w:id="213"/>
    </w:p>
    <w:p w14:paraId="46ABB672">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14:paraId="1886FC58">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环境风险评价技术导则》（HJ169-2018）、《关于切实加强风险防范严格环境影响评价管理的通知》（环发[2012]98号）、《关于进一步加强环境影响评价管理防范环境风险的通知》（环发[2012]77号）等要求，对本项目进行环境风险评价，通过对建设项目的环境风险进行分析、预测和评估，提出环境风险预防、控制、减缓措施，明确环境风险监控及应急建议要求，为建设项目环境风险防控提出科学依据。</w:t>
      </w:r>
    </w:p>
    <w:p w14:paraId="69296107">
      <w:pPr>
        <w:pStyle w:val="5"/>
        <w:rPr>
          <w:rFonts w:ascii="Times New Roman" w:hAnsi="Times New Roman" w:eastAsia="宋体"/>
          <w:color w:val="auto"/>
          <w:highlight w:val="none"/>
        </w:rPr>
      </w:pPr>
      <w:bookmarkStart w:id="214" w:name="_Toc106663508"/>
      <w:r>
        <w:rPr>
          <w:rFonts w:hint="eastAsia" w:ascii="Times New Roman" w:hAnsi="Times New Roman" w:eastAsia="宋体"/>
          <w:color w:val="auto"/>
          <w:highlight w:val="none"/>
        </w:rPr>
        <w:t>5.3.1环境风险评价原则</w:t>
      </w:r>
      <w:bookmarkEnd w:id="214"/>
    </w:p>
    <w:p w14:paraId="2D605230">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4DC52ABC">
      <w:pPr>
        <w:pStyle w:val="5"/>
        <w:rPr>
          <w:rFonts w:ascii="Times New Roman" w:hAnsi="Times New Roman" w:eastAsia="宋体"/>
          <w:color w:val="auto"/>
          <w:highlight w:val="none"/>
        </w:rPr>
      </w:pPr>
      <w:bookmarkStart w:id="215" w:name="_Toc106663509"/>
      <w:r>
        <w:rPr>
          <w:rFonts w:hint="eastAsia" w:ascii="Times New Roman" w:hAnsi="Times New Roman" w:eastAsia="宋体"/>
          <w:color w:val="auto"/>
          <w:highlight w:val="none"/>
        </w:rPr>
        <w:t>5.3.2评价程序</w:t>
      </w:r>
      <w:bookmarkEnd w:id="215"/>
    </w:p>
    <w:p w14:paraId="1527A22E">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环境风险评价程序见图5.3-1。</w:t>
      </w:r>
    </w:p>
    <w:p w14:paraId="3265EDD7">
      <w:pPr>
        <w:spacing w:line="240" w:lineRule="auto"/>
        <w:ind w:firstLine="0" w:firstLineChars="0"/>
        <w:jc w:val="center"/>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5274310" cy="54292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5"/>
                    <a:stretch>
                      <a:fillRect/>
                    </a:stretch>
                  </pic:blipFill>
                  <pic:spPr>
                    <a:xfrm>
                      <a:off x="0" y="0"/>
                      <a:ext cx="5274310" cy="5429365"/>
                    </a:xfrm>
                    <a:prstGeom prst="rect">
                      <a:avLst/>
                    </a:prstGeom>
                  </pic:spPr>
                </pic:pic>
              </a:graphicData>
            </a:graphic>
          </wp:inline>
        </w:drawing>
      </w:r>
    </w:p>
    <w:p w14:paraId="5888A582">
      <w:pPr>
        <w:pStyle w:val="10"/>
        <w:rPr>
          <w:rFonts w:ascii="Times New Roman" w:hAnsi="Times New Roman" w:eastAsia="宋体"/>
          <w:color w:val="auto"/>
          <w:highlight w:val="none"/>
        </w:rPr>
      </w:pPr>
      <w:r>
        <w:rPr>
          <w:rFonts w:hint="eastAsia" w:ascii="Times New Roman" w:hAnsi="Times New Roman" w:eastAsia="宋体"/>
          <w:color w:val="auto"/>
          <w:highlight w:val="none"/>
        </w:rPr>
        <w:t>图5.3-1环境风险评价流程框图</w:t>
      </w:r>
    </w:p>
    <w:p w14:paraId="61087961">
      <w:pPr>
        <w:pStyle w:val="5"/>
        <w:rPr>
          <w:rFonts w:ascii="Times New Roman" w:hAnsi="Times New Roman" w:eastAsia="宋体"/>
          <w:color w:val="auto"/>
          <w:highlight w:val="none"/>
        </w:rPr>
      </w:pPr>
      <w:bookmarkStart w:id="216" w:name="_Toc106663510"/>
      <w:r>
        <w:rPr>
          <w:rFonts w:hint="eastAsia" w:ascii="Times New Roman" w:hAnsi="Times New Roman" w:eastAsia="宋体"/>
          <w:color w:val="auto"/>
          <w:highlight w:val="none"/>
        </w:rPr>
        <w:t>5.3.3风险调查</w:t>
      </w:r>
      <w:bookmarkEnd w:id="216"/>
    </w:p>
    <w:p w14:paraId="7133E21F">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5.3.3.1建设项目风险源调查</w:t>
      </w:r>
    </w:p>
    <w:p w14:paraId="6A76EACA">
      <w:pPr>
        <w:ind w:firstLine="480"/>
        <w:rPr>
          <w:rFonts w:ascii="Times New Roman" w:hAnsi="Times New Roman" w:eastAsia="宋体"/>
          <w:color w:val="auto"/>
          <w:highlight w:val="none"/>
        </w:rPr>
      </w:pPr>
      <w:r>
        <w:rPr>
          <w:rFonts w:ascii="Times New Roman" w:hAnsi="Times New Roman" w:eastAsia="宋体"/>
          <w:color w:val="auto"/>
          <w:highlight w:val="none"/>
        </w:rPr>
        <w:t>本项目为畜禽养殖项目，根据《建设项目环境风险评价技术导则》</w:t>
      </w:r>
      <w:r>
        <w:rPr>
          <w:rFonts w:hint="eastAsia"/>
          <w:color w:val="auto"/>
          <w:highlight w:val="none"/>
          <w:lang w:eastAsia="zh-CN"/>
        </w:rPr>
        <w:t>（</w:t>
      </w:r>
      <w:r>
        <w:rPr>
          <w:rFonts w:ascii="Times New Roman" w:hAnsi="Times New Roman" w:eastAsia="宋体"/>
          <w:color w:val="auto"/>
          <w:highlight w:val="none"/>
        </w:rPr>
        <w:t>HJ169-2018</w:t>
      </w:r>
      <w:r>
        <w:rPr>
          <w:rFonts w:hint="eastAsia"/>
          <w:color w:val="auto"/>
          <w:highlight w:val="none"/>
          <w:lang w:eastAsia="zh-CN"/>
        </w:rPr>
        <w:t>）</w:t>
      </w:r>
      <w:r>
        <w:rPr>
          <w:rFonts w:ascii="Times New Roman" w:hAnsi="Times New Roman" w:eastAsia="宋体"/>
          <w:color w:val="auto"/>
          <w:highlight w:val="none"/>
        </w:rPr>
        <w:t>中附录B判定，项目不涉及风险物质。</w:t>
      </w:r>
    </w:p>
    <w:p w14:paraId="50CE9608">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5.3.2.2环境敏感目标调查</w:t>
      </w:r>
    </w:p>
    <w:p w14:paraId="1872C4B4">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根据现场勘查及相关资料查阅，项目所属区域内无自然保护区、风景名胜区和文物古迹等需要特殊保护的敏感目标。</w:t>
      </w:r>
    </w:p>
    <w:p w14:paraId="0ECB962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表</w:t>
      </w:r>
      <w:r>
        <w:rPr>
          <w:rFonts w:hint="eastAsia" w:ascii="Times New Roman" w:hAnsi="Times New Roman" w:eastAsia="宋体" w:cs="Times New Roman"/>
          <w:b/>
          <w:bCs/>
          <w:color w:val="auto"/>
          <w:highlight w:val="none"/>
          <w:lang w:val="en-US" w:eastAsia="zh-CN"/>
        </w:rPr>
        <w:t>5</w:t>
      </w:r>
      <w:r>
        <w:rPr>
          <w:rFonts w:hint="eastAsia" w:ascii="Times New Roman" w:hAnsi="Times New Roman" w:eastAsia="宋体" w:cs="Times New Roman"/>
          <w:b/>
          <w:bCs/>
          <w:color w:val="auto"/>
          <w:highlight w:val="none"/>
        </w:rPr>
        <w:t>.3-1主要环境保护目标一览表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8"/>
        <w:gridCol w:w="1377"/>
        <w:gridCol w:w="818"/>
        <w:gridCol w:w="369"/>
        <w:gridCol w:w="760"/>
        <w:gridCol w:w="4307"/>
      </w:tblGrid>
      <w:tr w14:paraId="0903B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08" w:type="pct"/>
            <w:vAlign w:val="center"/>
          </w:tcPr>
          <w:p w14:paraId="57B5C41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环境要素</w:t>
            </w:r>
          </w:p>
        </w:tc>
        <w:tc>
          <w:tcPr>
            <w:tcW w:w="828" w:type="pct"/>
            <w:vAlign w:val="center"/>
          </w:tcPr>
          <w:p w14:paraId="6E5DFF3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环境保护目标</w:t>
            </w:r>
          </w:p>
        </w:tc>
        <w:tc>
          <w:tcPr>
            <w:tcW w:w="492" w:type="pct"/>
            <w:vAlign w:val="center"/>
          </w:tcPr>
          <w:p w14:paraId="4E6DFE0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距离</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km</w:t>
            </w:r>
            <w:r>
              <w:rPr>
                <w:rFonts w:hint="eastAsia" w:cs="宋体"/>
                <w:color w:val="auto"/>
                <w:spacing w:val="0"/>
                <w:sz w:val="21"/>
                <w:szCs w:val="21"/>
                <w:highlight w:val="none"/>
                <w:lang w:eastAsia="zh-CN"/>
              </w:rPr>
              <w:t>）</w:t>
            </w:r>
          </w:p>
        </w:tc>
        <w:tc>
          <w:tcPr>
            <w:tcW w:w="222" w:type="pct"/>
            <w:vAlign w:val="center"/>
          </w:tcPr>
          <w:p w14:paraId="6DAD1AF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方位</w:t>
            </w:r>
          </w:p>
        </w:tc>
        <w:tc>
          <w:tcPr>
            <w:tcW w:w="457" w:type="pct"/>
            <w:vAlign w:val="center"/>
          </w:tcPr>
          <w:p w14:paraId="6568908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sz w:val="21"/>
                <w:szCs w:val="21"/>
                <w:highlight w:val="none"/>
                <w:lang w:eastAsia="zh-CN"/>
              </w:rPr>
            </w:pPr>
            <w:r>
              <w:rPr>
                <w:rFonts w:ascii="Times New Roman" w:hAnsi="Times New Roman" w:eastAsia="宋体" w:cs="宋体"/>
                <w:color w:val="auto"/>
                <w:spacing w:val="0"/>
                <w:sz w:val="21"/>
                <w:szCs w:val="21"/>
                <w:highlight w:val="none"/>
              </w:rPr>
              <w:t>人数</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人</w:t>
            </w:r>
            <w:r>
              <w:rPr>
                <w:rFonts w:hint="eastAsia" w:cs="宋体"/>
                <w:color w:val="auto"/>
                <w:spacing w:val="0"/>
                <w:sz w:val="21"/>
                <w:szCs w:val="21"/>
                <w:highlight w:val="none"/>
                <w:lang w:eastAsia="zh-CN"/>
              </w:rPr>
              <w:t>）</w:t>
            </w:r>
          </w:p>
        </w:tc>
        <w:tc>
          <w:tcPr>
            <w:tcW w:w="2590" w:type="pct"/>
            <w:vAlign w:val="center"/>
          </w:tcPr>
          <w:p w14:paraId="7D64575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保护级别</w:t>
            </w:r>
          </w:p>
        </w:tc>
      </w:tr>
      <w:tr w14:paraId="07A0D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08" w:type="pct"/>
            <w:vAlign w:val="center"/>
          </w:tcPr>
          <w:p w14:paraId="7584960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大气环境</w:t>
            </w:r>
          </w:p>
        </w:tc>
        <w:tc>
          <w:tcPr>
            <w:tcW w:w="828" w:type="pct"/>
            <w:vAlign w:val="center"/>
          </w:tcPr>
          <w:p w14:paraId="46FF4C5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苇坝村</w:t>
            </w:r>
          </w:p>
        </w:tc>
        <w:tc>
          <w:tcPr>
            <w:tcW w:w="492" w:type="pct"/>
            <w:vAlign w:val="center"/>
          </w:tcPr>
          <w:p w14:paraId="09A0A05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18</w:t>
            </w:r>
          </w:p>
        </w:tc>
        <w:tc>
          <w:tcPr>
            <w:tcW w:w="222" w:type="pct"/>
            <w:vAlign w:val="center"/>
          </w:tcPr>
          <w:p w14:paraId="24C3E32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w:t>
            </w:r>
          </w:p>
        </w:tc>
        <w:tc>
          <w:tcPr>
            <w:tcW w:w="457" w:type="pct"/>
            <w:vAlign w:val="center"/>
          </w:tcPr>
          <w:p w14:paraId="333B74A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1455</w:t>
            </w:r>
          </w:p>
        </w:tc>
        <w:tc>
          <w:tcPr>
            <w:tcW w:w="2590" w:type="pct"/>
            <w:vAlign w:val="center"/>
          </w:tcPr>
          <w:p w14:paraId="4B8CAB1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《环境空气质量标准》</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GB3095-2012</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中二级标准</w:t>
            </w:r>
          </w:p>
        </w:tc>
      </w:tr>
      <w:tr w14:paraId="7EF39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08" w:type="pct"/>
            <w:vAlign w:val="center"/>
          </w:tcPr>
          <w:p w14:paraId="6B44DBB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地下水</w:t>
            </w:r>
          </w:p>
        </w:tc>
        <w:tc>
          <w:tcPr>
            <w:tcW w:w="828" w:type="pct"/>
            <w:vAlign w:val="center"/>
          </w:tcPr>
          <w:p w14:paraId="0F32797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项目区地下水环境</w:t>
            </w:r>
          </w:p>
        </w:tc>
        <w:tc>
          <w:tcPr>
            <w:tcW w:w="492" w:type="pct"/>
            <w:vAlign w:val="center"/>
          </w:tcPr>
          <w:p w14:paraId="0E3D7CF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c>
          <w:tcPr>
            <w:tcW w:w="222" w:type="pct"/>
            <w:vAlign w:val="center"/>
          </w:tcPr>
          <w:p w14:paraId="04E1A66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c>
          <w:tcPr>
            <w:tcW w:w="457" w:type="pct"/>
            <w:vAlign w:val="center"/>
          </w:tcPr>
          <w:p w14:paraId="1232388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c>
          <w:tcPr>
            <w:tcW w:w="2590" w:type="pct"/>
            <w:vAlign w:val="center"/>
          </w:tcPr>
          <w:p w14:paraId="4869D76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《地下水质量标准》</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GB/T14848-2017</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Ⅲ类标准</w:t>
            </w:r>
          </w:p>
        </w:tc>
      </w:tr>
      <w:tr w14:paraId="2704A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08" w:type="pct"/>
            <w:vAlign w:val="center"/>
          </w:tcPr>
          <w:p w14:paraId="79CA8C0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土壤环境</w:t>
            </w:r>
          </w:p>
        </w:tc>
        <w:tc>
          <w:tcPr>
            <w:tcW w:w="828" w:type="pct"/>
            <w:vAlign w:val="center"/>
          </w:tcPr>
          <w:p w14:paraId="2329CBC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耕地</w:t>
            </w:r>
          </w:p>
        </w:tc>
        <w:tc>
          <w:tcPr>
            <w:tcW w:w="492" w:type="pct"/>
            <w:vAlign w:val="center"/>
          </w:tcPr>
          <w:p w14:paraId="74D1AE9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0.005</w:t>
            </w:r>
          </w:p>
        </w:tc>
        <w:tc>
          <w:tcPr>
            <w:tcW w:w="222" w:type="pct"/>
            <w:vAlign w:val="center"/>
          </w:tcPr>
          <w:p w14:paraId="5F954A9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E</w:t>
            </w:r>
          </w:p>
        </w:tc>
        <w:tc>
          <w:tcPr>
            <w:tcW w:w="457" w:type="pct"/>
            <w:vAlign w:val="center"/>
          </w:tcPr>
          <w:p w14:paraId="2A6FB6B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w:t>
            </w:r>
          </w:p>
        </w:tc>
        <w:tc>
          <w:tcPr>
            <w:tcW w:w="2590" w:type="pct"/>
            <w:vAlign w:val="center"/>
          </w:tcPr>
          <w:p w14:paraId="7C26F05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《土壤环境质量农用地土壤污染风险管控标准</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试行</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GB15618-2018</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表</w:t>
            </w:r>
            <w:r>
              <w:rPr>
                <w:rFonts w:ascii="Times New Roman" w:hAnsi="Times New Roman" w:eastAsia="宋体" w:cs="Times New Roman"/>
                <w:color w:val="auto"/>
                <w:spacing w:val="0"/>
                <w:sz w:val="21"/>
                <w:szCs w:val="21"/>
                <w:highlight w:val="none"/>
              </w:rPr>
              <w:t>1</w:t>
            </w:r>
            <w:r>
              <w:rPr>
                <w:rFonts w:ascii="Times New Roman" w:hAnsi="Times New Roman" w:eastAsia="宋体" w:cs="宋体"/>
                <w:color w:val="auto"/>
                <w:spacing w:val="0"/>
                <w:sz w:val="21"/>
                <w:szCs w:val="21"/>
                <w:highlight w:val="none"/>
              </w:rPr>
              <w:t>、表</w:t>
            </w:r>
            <w:r>
              <w:rPr>
                <w:rFonts w:ascii="Times New Roman" w:hAnsi="Times New Roman" w:eastAsia="宋体" w:cs="Times New Roman"/>
                <w:color w:val="auto"/>
                <w:spacing w:val="0"/>
                <w:sz w:val="21"/>
                <w:szCs w:val="21"/>
                <w:highlight w:val="none"/>
              </w:rPr>
              <w:t>2</w:t>
            </w:r>
            <w:r>
              <w:rPr>
                <w:rFonts w:ascii="Times New Roman" w:hAnsi="Times New Roman" w:eastAsia="宋体" w:cs="宋体"/>
                <w:color w:val="auto"/>
                <w:spacing w:val="0"/>
                <w:sz w:val="21"/>
                <w:szCs w:val="21"/>
                <w:highlight w:val="none"/>
              </w:rPr>
              <w:t>中风险筛选值和《畜禽养殖产地环境评价规范》</w:t>
            </w: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HJ568-2010</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中表</w:t>
            </w:r>
            <w:r>
              <w:rPr>
                <w:rFonts w:ascii="Times New Roman" w:hAnsi="Times New Roman" w:eastAsia="宋体" w:cs="Times New Roman"/>
                <w:color w:val="auto"/>
                <w:spacing w:val="0"/>
                <w:sz w:val="21"/>
                <w:szCs w:val="21"/>
                <w:highlight w:val="none"/>
              </w:rPr>
              <w:t>4</w:t>
            </w:r>
            <w:r>
              <w:rPr>
                <w:rFonts w:ascii="Times New Roman" w:hAnsi="Times New Roman" w:eastAsia="宋体" w:cs="宋体"/>
                <w:color w:val="auto"/>
                <w:spacing w:val="0"/>
                <w:sz w:val="21"/>
                <w:szCs w:val="21"/>
                <w:highlight w:val="none"/>
              </w:rPr>
              <w:t>的要求</w:t>
            </w:r>
          </w:p>
        </w:tc>
      </w:tr>
    </w:tbl>
    <w:p w14:paraId="45DEE092">
      <w:pPr>
        <w:pStyle w:val="5"/>
        <w:rPr>
          <w:rFonts w:ascii="Times New Roman" w:hAnsi="Times New Roman" w:eastAsia="宋体"/>
          <w:color w:val="auto"/>
          <w:highlight w:val="none"/>
        </w:rPr>
      </w:pPr>
      <w:bookmarkStart w:id="217" w:name="_Toc106663511"/>
      <w:r>
        <w:rPr>
          <w:rFonts w:hint="eastAsia" w:ascii="Times New Roman" w:hAnsi="Times New Roman" w:eastAsia="宋体"/>
          <w:color w:val="auto"/>
          <w:highlight w:val="none"/>
        </w:rPr>
        <w:t>5.3.4环境风险潜势初判</w:t>
      </w:r>
      <w:bookmarkEnd w:id="217"/>
    </w:p>
    <w:p w14:paraId="361A196A">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环境风险评价技术导则》（HJ169-2018）中附录C的规定：计算项目所涉及的每种危险物质在厂界内的最大存在总量与其在附录B中对应临界量的比值Q。当只涉及一种危险物质时，计算该物质的总量与其临界量的比值，即为Q。单元内存在多种危险物质，重大危险源判定按下面公式进行，若满足下面公式，则定为重大危险源：</w:t>
      </w:r>
    </w:p>
    <w:p w14:paraId="59639C5F">
      <w:pPr>
        <w:spacing w:line="240" w:lineRule="auto"/>
        <w:ind w:firstLine="0" w:firstLineChars="0"/>
        <w:jc w:val="center"/>
        <w:rPr>
          <w:rFonts w:ascii="Times New Roman" w:hAnsi="Times New Roman" w:eastAsia="宋体"/>
          <w:color w:val="auto"/>
          <w:highlight w:val="none"/>
        </w:rPr>
      </w:pPr>
      <w:r>
        <w:rPr>
          <w:rFonts w:ascii="Times New Roman" w:hAnsi="Times New Roman" w:eastAsia="宋体"/>
          <w:color w:val="auto"/>
          <w:position w:val="-35"/>
          <w:highlight w:val="none"/>
        </w:rPr>
        <w:object>
          <v:shape id="_x0000_i1035" o:spt="75" type="#_x0000_t75" style="height:42.25pt;width:154.1pt;" o:ole="t" filled="f" o:preferrelative="t" stroked="f" coordsize="21600,21600">
            <v:path/>
            <v:fill on="f" focussize="0,0"/>
            <v:stroke on="f" joinstyle="miter"/>
            <v:imagedata r:id="rId87" o:title=""/>
            <o:lock v:ext="edit" aspectratio="t"/>
            <w10:wrap type="none"/>
            <w10:anchorlock/>
          </v:shape>
          <o:OLEObject Type="Embed" ProgID="Equation.AxMath" ShapeID="_x0000_i1035" DrawAspect="Content" ObjectID="_1468075739" r:id="rId86">
            <o:LockedField>false</o:LockedField>
          </o:OLEObject>
        </w:object>
      </w:r>
    </w:p>
    <w:p w14:paraId="4FD40947">
      <w:pPr>
        <w:ind w:firstLine="480"/>
        <w:rPr>
          <w:rFonts w:ascii="Times New Roman" w:hAnsi="Times New Roman" w:eastAsia="宋体"/>
          <w:color w:val="auto"/>
          <w:highlight w:val="none"/>
        </w:rPr>
      </w:pPr>
      <w:r>
        <w:rPr>
          <w:rFonts w:hint="eastAsia" w:ascii="Times New Roman" w:hAnsi="Times New Roman" w:eastAsia="宋体"/>
          <w:color w:val="auto"/>
          <w:highlight w:val="none"/>
        </w:rPr>
        <w:t>式中：q</w:t>
      </w:r>
      <w:r>
        <w:rPr>
          <w:rFonts w:hint="eastAsia" w:ascii="Times New Roman" w:hAnsi="Times New Roman" w:eastAsia="宋体"/>
          <w:color w:val="auto"/>
          <w:highlight w:val="none"/>
          <w:vertAlign w:val="subscript"/>
        </w:rPr>
        <w:t>1</w:t>
      </w:r>
      <w:r>
        <w:rPr>
          <w:rFonts w:hint="eastAsia" w:ascii="Times New Roman" w:hAnsi="Times New Roman" w:eastAsia="宋体"/>
          <w:color w:val="auto"/>
          <w:highlight w:val="none"/>
        </w:rPr>
        <w:t>、q</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‥‥q</w:t>
      </w:r>
      <w:r>
        <w:rPr>
          <w:rFonts w:hint="eastAsia" w:ascii="Times New Roman" w:hAnsi="Times New Roman" w:eastAsia="宋体"/>
          <w:color w:val="auto"/>
          <w:highlight w:val="none"/>
          <w:vertAlign w:val="subscript"/>
        </w:rPr>
        <w:t>n</w:t>
      </w:r>
      <w:r>
        <w:rPr>
          <w:rFonts w:hint="eastAsia" w:ascii="Times New Roman" w:hAnsi="Times New Roman" w:eastAsia="宋体"/>
          <w:color w:val="auto"/>
          <w:highlight w:val="none"/>
        </w:rPr>
        <w:t>——每种危险物质的最大存在总量，t；</w:t>
      </w:r>
    </w:p>
    <w:p w14:paraId="769B97E7">
      <w:pPr>
        <w:ind w:firstLine="1200" w:firstLineChars="500"/>
        <w:jc w:val="left"/>
        <w:rPr>
          <w:rFonts w:ascii="Times New Roman" w:hAnsi="Times New Roman" w:eastAsia="宋体"/>
          <w:color w:val="auto"/>
          <w:highlight w:val="none"/>
        </w:rPr>
      </w:pPr>
      <w:r>
        <w:rPr>
          <w:rFonts w:hint="eastAsia" w:ascii="Times New Roman" w:hAnsi="Times New Roman" w:eastAsia="宋体"/>
          <w:color w:val="auto"/>
          <w:highlight w:val="none"/>
        </w:rPr>
        <w:t>Q</w:t>
      </w:r>
      <w:r>
        <w:rPr>
          <w:rFonts w:hint="eastAsia" w:ascii="Times New Roman" w:hAnsi="Times New Roman" w:eastAsia="宋体"/>
          <w:color w:val="auto"/>
          <w:highlight w:val="none"/>
          <w:vertAlign w:val="subscript"/>
        </w:rPr>
        <w:t>1</w:t>
      </w:r>
      <w:r>
        <w:rPr>
          <w:rFonts w:hint="eastAsia" w:ascii="Times New Roman" w:hAnsi="Times New Roman" w:eastAsia="宋体"/>
          <w:color w:val="auto"/>
          <w:highlight w:val="none"/>
        </w:rPr>
        <w:t>、Q</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‥‥Q</w:t>
      </w:r>
      <w:r>
        <w:rPr>
          <w:rFonts w:hint="eastAsia" w:ascii="Times New Roman" w:hAnsi="Times New Roman" w:eastAsia="宋体"/>
          <w:color w:val="auto"/>
          <w:highlight w:val="none"/>
          <w:vertAlign w:val="subscript"/>
        </w:rPr>
        <w:t>n</w:t>
      </w:r>
      <w:r>
        <w:rPr>
          <w:rFonts w:hint="eastAsia" w:ascii="Times New Roman" w:hAnsi="Times New Roman" w:eastAsia="宋体"/>
          <w:color w:val="auto"/>
          <w:highlight w:val="none"/>
        </w:rPr>
        <w:t>——每种危险物质的临界量，t。</w:t>
      </w:r>
    </w:p>
    <w:p w14:paraId="1837B4C4">
      <w:pPr>
        <w:ind w:firstLine="1200" w:firstLineChars="500"/>
        <w:jc w:val="left"/>
        <w:rPr>
          <w:rFonts w:ascii="Times New Roman" w:hAnsi="Times New Roman" w:eastAsia="宋体"/>
          <w:color w:val="auto"/>
          <w:highlight w:val="none"/>
        </w:rPr>
      </w:pPr>
      <w:r>
        <w:rPr>
          <w:rFonts w:hint="eastAsia" w:ascii="Times New Roman" w:hAnsi="Times New Roman" w:eastAsia="宋体"/>
          <w:color w:val="auto"/>
          <w:highlight w:val="none"/>
        </w:rPr>
        <w:t>当Q≥1时，将Q值划分为：（1）1≤Q＜10；（2）10≤Q＜100；（3）Q≥100。</w:t>
      </w:r>
    </w:p>
    <w:p w14:paraId="62FD211C">
      <w:pPr>
        <w:ind w:firstLine="480"/>
        <w:rPr>
          <w:rFonts w:ascii="Times New Roman" w:hAnsi="Times New Roman" w:eastAsia="宋体"/>
          <w:color w:val="auto"/>
          <w:highlight w:val="none"/>
        </w:rPr>
      </w:pPr>
      <w:r>
        <w:rPr>
          <w:rFonts w:ascii="Times New Roman" w:hAnsi="Times New Roman" w:eastAsia="宋体"/>
          <w:color w:val="auto"/>
          <w:highlight w:val="none"/>
        </w:rPr>
        <w:t>本项目不涉及附录B中的危险化学品，则存储量和临界量比值</w:t>
      </w:r>
      <w:r>
        <w:rPr>
          <w:rFonts w:hint="eastAsia"/>
          <w:color w:val="auto"/>
          <w:highlight w:val="none"/>
          <w:lang w:eastAsia="zh-CN"/>
        </w:rPr>
        <w:t>（</w:t>
      </w:r>
      <w:r>
        <w:rPr>
          <w:rFonts w:ascii="Times New Roman" w:hAnsi="Times New Roman" w:eastAsia="宋体"/>
          <w:color w:val="auto"/>
          <w:highlight w:val="none"/>
        </w:rPr>
        <w:t>Q</w:t>
      </w:r>
      <w:r>
        <w:rPr>
          <w:rFonts w:hint="eastAsia"/>
          <w:color w:val="auto"/>
          <w:highlight w:val="none"/>
          <w:lang w:eastAsia="zh-CN"/>
        </w:rPr>
        <w:t>）</w:t>
      </w:r>
      <w:r>
        <w:rPr>
          <w:rFonts w:ascii="Times New Roman" w:hAnsi="Times New Roman" w:eastAsia="宋体"/>
          <w:color w:val="auto"/>
          <w:highlight w:val="none"/>
        </w:rPr>
        <w:t>＜1，该项目环境风险潜势为I。</w:t>
      </w:r>
    </w:p>
    <w:p w14:paraId="7900C19D">
      <w:pPr>
        <w:pStyle w:val="5"/>
        <w:rPr>
          <w:rFonts w:ascii="Times New Roman" w:hAnsi="Times New Roman" w:eastAsia="宋体"/>
          <w:color w:val="auto"/>
          <w:highlight w:val="none"/>
        </w:rPr>
      </w:pPr>
      <w:bookmarkStart w:id="218" w:name="_Toc106663512"/>
      <w:r>
        <w:rPr>
          <w:rFonts w:hint="eastAsia" w:ascii="Times New Roman" w:hAnsi="Times New Roman" w:eastAsia="宋体"/>
          <w:color w:val="auto"/>
          <w:highlight w:val="none"/>
        </w:rPr>
        <w:t>5.3.5环境风险评价工作等级</w:t>
      </w:r>
      <w:bookmarkEnd w:id="218"/>
    </w:p>
    <w:p w14:paraId="4527A93B">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环境风险评价技术导则》（HJ169-2018）环境风险评价工作等级划分为一级、二级、三级。根据建设项目涉及的物质及工艺系统危险性和所在地的环境敏感性确定环境风险潜势，确定评价工作等级。风险潜势为Ⅳ及以上，进行一级评价；风险潜势为Ⅲ，进行二级评价；风险潜势为Ⅱ，进行三级评价；风险潜势为Ⅰ，可开展简单分析。评价工作等级的划分依据具体见表5.3-2。</w:t>
      </w:r>
    </w:p>
    <w:p w14:paraId="50C19B3D">
      <w:pPr>
        <w:pStyle w:val="10"/>
        <w:rPr>
          <w:rFonts w:ascii="Times New Roman" w:hAnsi="Times New Roman" w:eastAsia="宋体"/>
          <w:color w:val="auto"/>
          <w:highlight w:val="none"/>
        </w:rPr>
      </w:pPr>
      <w:r>
        <w:rPr>
          <w:rFonts w:hint="eastAsia" w:ascii="Times New Roman" w:hAnsi="Times New Roman" w:eastAsia="宋体"/>
          <w:color w:val="auto"/>
          <w:highlight w:val="none"/>
        </w:rPr>
        <w:t>表5.3-2评价工作等级划分表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4F23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000" w:type="pct"/>
            <w:shd w:val="clear" w:color="auto" w:fill="auto"/>
            <w:vAlign w:val="center"/>
          </w:tcPr>
          <w:p w14:paraId="6184C124">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环境风险潜势</w:t>
            </w:r>
          </w:p>
        </w:tc>
        <w:tc>
          <w:tcPr>
            <w:tcW w:w="1000" w:type="pct"/>
            <w:shd w:val="clear" w:color="auto" w:fill="auto"/>
            <w:vAlign w:val="center"/>
          </w:tcPr>
          <w:p w14:paraId="221A3A5A">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Ⅳ、Ⅳ</w:t>
            </w:r>
            <w:r>
              <w:rPr>
                <w:rFonts w:hint="eastAsia" w:ascii="Times New Roman" w:hAnsi="Times New Roman" w:eastAsia="宋体"/>
                <w:color w:val="auto"/>
                <w:kern w:val="2"/>
                <w:sz w:val="21"/>
                <w:szCs w:val="24"/>
                <w:highlight w:val="none"/>
                <w:vertAlign w:val="superscript"/>
              </w:rPr>
              <w:t>+</w:t>
            </w:r>
          </w:p>
        </w:tc>
        <w:tc>
          <w:tcPr>
            <w:tcW w:w="1000" w:type="pct"/>
            <w:shd w:val="clear" w:color="auto" w:fill="auto"/>
            <w:vAlign w:val="center"/>
          </w:tcPr>
          <w:p w14:paraId="3479D4A4">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Ⅲ</w:t>
            </w:r>
          </w:p>
        </w:tc>
        <w:tc>
          <w:tcPr>
            <w:tcW w:w="1000" w:type="pct"/>
            <w:shd w:val="clear" w:color="auto" w:fill="auto"/>
            <w:vAlign w:val="center"/>
          </w:tcPr>
          <w:p w14:paraId="750C9DC4">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Ⅱ</w:t>
            </w:r>
          </w:p>
        </w:tc>
        <w:tc>
          <w:tcPr>
            <w:tcW w:w="1001" w:type="pct"/>
            <w:shd w:val="clear" w:color="auto" w:fill="auto"/>
            <w:vAlign w:val="center"/>
          </w:tcPr>
          <w:p w14:paraId="0818036A">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Ⅰ</w:t>
            </w:r>
          </w:p>
        </w:tc>
      </w:tr>
      <w:tr w14:paraId="5EC0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00" w:type="pct"/>
            <w:shd w:val="clear" w:color="auto" w:fill="auto"/>
            <w:vAlign w:val="center"/>
          </w:tcPr>
          <w:p w14:paraId="4042CA17">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评价工作等级</w:t>
            </w:r>
          </w:p>
        </w:tc>
        <w:tc>
          <w:tcPr>
            <w:tcW w:w="1000" w:type="pct"/>
            <w:shd w:val="clear" w:color="auto" w:fill="auto"/>
            <w:vAlign w:val="center"/>
          </w:tcPr>
          <w:p w14:paraId="5A596DF4">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一</w:t>
            </w:r>
          </w:p>
        </w:tc>
        <w:tc>
          <w:tcPr>
            <w:tcW w:w="1000" w:type="pct"/>
            <w:shd w:val="clear" w:color="auto" w:fill="auto"/>
            <w:vAlign w:val="center"/>
          </w:tcPr>
          <w:p w14:paraId="259430A8">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二</w:t>
            </w:r>
          </w:p>
        </w:tc>
        <w:tc>
          <w:tcPr>
            <w:tcW w:w="1000" w:type="pct"/>
            <w:shd w:val="clear" w:color="auto" w:fill="auto"/>
            <w:vAlign w:val="center"/>
          </w:tcPr>
          <w:p w14:paraId="6B3F54FD">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三</w:t>
            </w:r>
          </w:p>
        </w:tc>
        <w:tc>
          <w:tcPr>
            <w:tcW w:w="1001" w:type="pct"/>
            <w:shd w:val="clear" w:color="auto" w:fill="auto"/>
            <w:vAlign w:val="center"/>
          </w:tcPr>
          <w:p w14:paraId="75512DF1">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简单分析</w:t>
            </w:r>
            <w:r>
              <w:rPr>
                <w:rFonts w:hint="eastAsia" w:ascii="Times New Roman" w:hAnsi="Times New Roman" w:eastAsia="宋体"/>
                <w:color w:val="auto"/>
                <w:kern w:val="2"/>
                <w:sz w:val="21"/>
                <w:szCs w:val="24"/>
                <w:highlight w:val="none"/>
                <w:vertAlign w:val="superscript"/>
              </w:rPr>
              <w:t>a</w:t>
            </w:r>
          </w:p>
        </w:tc>
      </w:tr>
      <w:tr w14:paraId="3944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000" w:type="pct"/>
            <w:gridSpan w:val="5"/>
            <w:shd w:val="clear" w:color="auto" w:fill="auto"/>
            <w:vAlign w:val="center"/>
          </w:tcPr>
          <w:p w14:paraId="65E73EAA">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a是相对于详细评价工作内容而言，在描述危险物质、环境影响途径、环境危害后果、风险防范措施等方面给出定性的说明。</w:t>
            </w:r>
          </w:p>
        </w:tc>
      </w:tr>
    </w:tbl>
    <w:p w14:paraId="55C292A4">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根据《建设项目环境风险评价技术导则》（HJ169-2018）中的规定，项目未构成重大危险源，项目环境风险潜势为Ⅰ级，因此确定本项目的环境风险评价等级为简单分析。</w:t>
      </w:r>
    </w:p>
    <w:p w14:paraId="07FEFDBA">
      <w:pPr>
        <w:pStyle w:val="5"/>
        <w:rPr>
          <w:rFonts w:ascii="Times New Roman" w:hAnsi="Times New Roman" w:eastAsia="宋体"/>
          <w:color w:val="auto"/>
          <w:highlight w:val="none"/>
        </w:rPr>
      </w:pPr>
      <w:bookmarkStart w:id="219" w:name="_Toc106663513"/>
      <w:r>
        <w:rPr>
          <w:rFonts w:hint="eastAsia" w:ascii="Times New Roman" w:hAnsi="Times New Roman" w:eastAsia="宋体"/>
          <w:color w:val="auto"/>
          <w:highlight w:val="none"/>
        </w:rPr>
        <w:t>5.3.6环境风险识别</w:t>
      </w:r>
      <w:bookmarkEnd w:id="219"/>
    </w:p>
    <w:p w14:paraId="65403582">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5.3.6.1物质危险性识别</w:t>
      </w:r>
    </w:p>
    <w:p w14:paraId="7CA0F01F">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本项目环境风险主要来自蛋鸡饲养过程中的病鸡尸体、疾病疫情、管网泄露、医疗废物污染事故等。</w:t>
      </w:r>
    </w:p>
    <w:p w14:paraId="17F16837">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1、病鸡尸体</w:t>
      </w:r>
    </w:p>
    <w:p w14:paraId="68B2696F">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根据基本调查，鸡尸体携带有一定量病菌，如不加以处理会使病菌得以传播，对周围环境有一定的影响。因此，必须对其进行无害化处理，防止疾病传播。</w:t>
      </w:r>
    </w:p>
    <w:p w14:paraId="15117C1E">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2、疾病疫情</w:t>
      </w:r>
    </w:p>
    <w:p w14:paraId="2223CD13">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养鸡场如管理不善，会诱发常见疾病，如高致病性禽流感、鸡霍乱等，而且传播很快，造成大量蛋鸡死亡。</w:t>
      </w:r>
    </w:p>
    <w:p w14:paraId="68467A4B">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3、管网和</w:t>
      </w:r>
      <w:r>
        <w:rPr>
          <w:rFonts w:hint="eastAsia"/>
          <w:color w:val="auto"/>
          <w:highlight w:val="none"/>
          <w:lang w:eastAsia="zh-CN"/>
        </w:rPr>
        <w:t>废水收集池</w:t>
      </w:r>
      <w:r>
        <w:rPr>
          <w:rFonts w:hint="eastAsia" w:ascii="Times New Roman" w:hAnsi="Times New Roman" w:eastAsia="宋体"/>
          <w:color w:val="auto"/>
          <w:highlight w:val="none"/>
        </w:rPr>
        <w:t>泄露</w:t>
      </w:r>
    </w:p>
    <w:p w14:paraId="7BD51CAB">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本项目排水管网运营期污水集输和</w:t>
      </w:r>
      <w:r>
        <w:rPr>
          <w:rFonts w:hint="eastAsia"/>
          <w:color w:val="auto"/>
          <w:highlight w:val="none"/>
          <w:lang w:eastAsia="zh-CN"/>
        </w:rPr>
        <w:t>废水收集池</w:t>
      </w:r>
      <w:r>
        <w:rPr>
          <w:rFonts w:hint="eastAsia" w:ascii="Times New Roman" w:hAnsi="Times New Roman" w:eastAsia="宋体"/>
          <w:color w:val="auto"/>
          <w:highlight w:val="none"/>
        </w:rPr>
        <w:t>暂存的过程中，以污水泄漏为主要表征，存在着管道和暂存池的腐蚀、地质灾害、洪水冲刷等一系列污染环境、危害工程安全的事故风险。这些事故风险的潜在因素主要包括操作、设备缺陷、设计及施工、自然灾害等，可大致上分为两个方面，即人为风险因素和自然风险因素。</w:t>
      </w:r>
    </w:p>
    <w:p w14:paraId="7151423E">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w:t>
      </w:r>
      <w:r>
        <w:rPr>
          <w:rFonts w:hint="eastAsia"/>
          <w:color w:val="auto"/>
          <w:highlight w:val="none"/>
          <w:lang w:eastAsia="zh-CN"/>
        </w:rPr>
        <w:t>）</w:t>
      </w:r>
      <w:r>
        <w:rPr>
          <w:rFonts w:hint="eastAsia" w:ascii="Times New Roman" w:hAnsi="Times New Roman" w:eastAsia="宋体"/>
          <w:color w:val="auto"/>
          <w:highlight w:val="none"/>
        </w:rPr>
        <w:t>人为风险因素</w:t>
      </w:r>
    </w:p>
    <w:p w14:paraId="2C672CAF">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人为风险因素的事故风险主要由于设备、施工质量问题、操作失误和人为蓄意破坏三种情况。分析如下：</w:t>
      </w:r>
    </w:p>
    <w:p w14:paraId="17788665">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设备、施工质量问题：</w:t>
      </w:r>
    </w:p>
    <w:p w14:paraId="6BDAE7DF">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①因选材错误而引起的设备、管线腐蚀、侵蚀；</w:t>
      </w:r>
    </w:p>
    <w:p w14:paraId="2E9FB26D">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②未对</w:t>
      </w:r>
      <w:r>
        <w:rPr>
          <w:rFonts w:hint="eastAsia"/>
          <w:color w:val="auto"/>
          <w:highlight w:val="none"/>
          <w:lang w:eastAsia="zh-CN"/>
        </w:rPr>
        <w:t>废水收集池</w:t>
      </w:r>
      <w:r>
        <w:rPr>
          <w:rFonts w:hint="eastAsia" w:ascii="Times New Roman" w:hAnsi="Times New Roman" w:eastAsia="宋体"/>
          <w:color w:val="auto"/>
          <w:highlight w:val="none"/>
        </w:rPr>
        <w:t>进行充分的检查或漏检；</w:t>
      </w:r>
    </w:p>
    <w:p w14:paraId="358F7F57">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③管线焊接不严，检测有误，造成泄漏；</w:t>
      </w:r>
    </w:p>
    <w:p w14:paraId="7F616CB3">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④设备故障、机械失灵、老化造成的泄漏；</w:t>
      </w:r>
    </w:p>
    <w:p w14:paraId="0FCCDF36">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⑤管道防腐涂层质量差，造成管道腐蚀；</w:t>
      </w:r>
    </w:p>
    <w:p w14:paraId="58437FB7">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⑥管材或连接缺陷，造成管道断裂、泄漏；</w:t>
      </w:r>
    </w:p>
    <w:p w14:paraId="55332AFC">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⑦在管道近旁或上方进行其他生产活动时的挖掘造成管道破裂；</w:t>
      </w:r>
    </w:p>
    <w:p w14:paraId="1629DB03">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操作失误：</w:t>
      </w:r>
    </w:p>
    <w:p w14:paraId="7E853204">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①操作人员没有培训上岗作业，不了解生产工艺流程，不熟悉岗位操作规程，不懂设备性能，盲目操作，遇到情况判断不准而操作失误，引发局部超压等造成的风险事故；</w:t>
      </w:r>
    </w:p>
    <w:p w14:paraId="3BF187DF">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②动力故障引发的事故，如停电造成的阀门无法关闭、通讯线路中断无法传递控制指令等导致事故发生；</w:t>
      </w:r>
    </w:p>
    <w:p w14:paraId="62320291">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③其他选线不当或设计有误导致的事故风险；</w:t>
      </w:r>
    </w:p>
    <w:p w14:paraId="7B5F60F3">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④对工作重视不够，责任心不强，操作中麻痹大意，擅离职守等造成的事故；</w:t>
      </w:r>
    </w:p>
    <w:p w14:paraId="2481DDC2">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⑤管理不够健全，没有完善的检查、监督、复核手续，没有切合实际的操作规程，故障不能得到及时处理而引发事故。</w:t>
      </w:r>
    </w:p>
    <w:p w14:paraId="6E6C493A">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2</w:t>
      </w:r>
      <w:r>
        <w:rPr>
          <w:rFonts w:hint="eastAsia"/>
          <w:color w:val="auto"/>
          <w:highlight w:val="none"/>
          <w:lang w:eastAsia="zh-CN"/>
        </w:rPr>
        <w:t>）</w:t>
      </w:r>
      <w:r>
        <w:rPr>
          <w:rFonts w:hint="eastAsia" w:ascii="Times New Roman" w:hAnsi="Times New Roman" w:eastAsia="宋体"/>
          <w:color w:val="auto"/>
          <w:highlight w:val="none"/>
        </w:rPr>
        <w:t>人为破坏</w:t>
      </w:r>
    </w:p>
    <w:p w14:paraId="5E636E13">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人为蓄意破坏造成的事故，在管道上钻孔、盗窃管道附属设施的部件等，均可引起管道破坏、污水外泄，造成比较严重的直接危害和继发危害。</w:t>
      </w:r>
    </w:p>
    <w:p w14:paraId="59891F99">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二</w:t>
      </w:r>
      <w:r>
        <w:rPr>
          <w:rFonts w:hint="eastAsia"/>
          <w:color w:val="auto"/>
          <w:highlight w:val="none"/>
          <w:lang w:eastAsia="zh-CN"/>
        </w:rPr>
        <w:t>）</w:t>
      </w:r>
      <w:r>
        <w:rPr>
          <w:rFonts w:hint="eastAsia" w:ascii="Times New Roman" w:hAnsi="Times New Roman" w:eastAsia="宋体"/>
          <w:color w:val="auto"/>
          <w:highlight w:val="none"/>
        </w:rPr>
        <w:t>自然风险因素</w:t>
      </w:r>
    </w:p>
    <w:p w14:paraId="7BA00B2B">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自然风险因素主要有暴雨、洪水、地震等。结合管线经过地区和</w:t>
      </w:r>
      <w:r>
        <w:rPr>
          <w:rFonts w:hint="eastAsia"/>
          <w:color w:val="auto"/>
          <w:highlight w:val="none"/>
          <w:lang w:eastAsia="zh-CN"/>
        </w:rPr>
        <w:t>废水收集池</w:t>
      </w:r>
      <w:r>
        <w:rPr>
          <w:rFonts w:hint="eastAsia" w:ascii="Times New Roman" w:hAnsi="Times New Roman" w:eastAsia="宋体"/>
          <w:color w:val="auto"/>
          <w:highlight w:val="none"/>
        </w:rPr>
        <w:t>所在位置的自然环境、社会环境，对本项目的事故风险因素分析如下：</w:t>
      </w:r>
    </w:p>
    <w:p w14:paraId="50C41D90">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1</w:t>
      </w:r>
      <w:r>
        <w:rPr>
          <w:rFonts w:hint="eastAsia"/>
          <w:color w:val="auto"/>
          <w:highlight w:val="none"/>
          <w:lang w:eastAsia="zh-CN"/>
        </w:rPr>
        <w:t>）</w:t>
      </w:r>
      <w:r>
        <w:rPr>
          <w:rFonts w:hint="eastAsia" w:ascii="Times New Roman" w:hAnsi="Times New Roman" w:eastAsia="宋体"/>
          <w:color w:val="auto"/>
          <w:highlight w:val="none"/>
        </w:rPr>
        <w:t>地震</w:t>
      </w:r>
    </w:p>
    <w:p w14:paraId="67DF962F">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地震对建构筑物的破坏作用明显，作用范围大，进而威胁设备和人员安全。</w:t>
      </w:r>
    </w:p>
    <w:p w14:paraId="369D681F">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本工程主要处于地震烈度为7度区域，经强度计算校核，本项目输水管道和</w:t>
      </w:r>
      <w:r>
        <w:rPr>
          <w:rFonts w:hint="eastAsia"/>
          <w:color w:val="auto"/>
          <w:highlight w:val="none"/>
          <w:lang w:eastAsia="zh-CN"/>
        </w:rPr>
        <w:t>废水收集池</w:t>
      </w:r>
      <w:r>
        <w:rPr>
          <w:rFonts w:hint="eastAsia" w:ascii="Times New Roman" w:hAnsi="Times New Roman" w:eastAsia="宋体"/>
          <w:color w:val="auto"/>
          <w:highlight w:val="none"/>
        </w:rPr>
        <w:t>具有抗地震波引起的拉伸和压缩能力，不会因地震波引起破坏。</w:t>
      </w:r>
    </w:p>
    <w:p w14:paraId="3741FA5E">
      <w:pPr>
        <w:ind w:firstLine="480"/>
        <w:rPr>
          <w:rFonts w:hint="eastAsia" w:ascii="Times New Roman" w:hAnsi="Times New Roman" w:eastAsia="宋体"/>
          <w:color w:val="auto"/>
          <w:highlight w:val="none"/>
        </w:rPr>
      </w:pPr>
      <w:r>
        <w:rPr>
          <w:rFonts w:hint="eastAsia"/>
          <w:color w:val="auto"/>
          <w:highlight w:val="none"/>
          <w:lang w:eastAsia="zh-CN"/>
        </w:rPr>
        <w:t>（</w:t>
      </w:r>
      <w:r>
        <w:rPr>
          <w:rFonts w:hint="eastAsia" w:ascii="Times New Roman" w:hAnsi="Times New Roman" w:eastAsia="宋体"/>
          <w:color w:val="auto"/>
          <w:highlight w:val="none"/>
        </w:rPr>
        <w:t>2</w:t>
      </w:r>
      <w:r>
        <w:rPr>
          <w:rFonts w:hint="eastAsia"/>
          <w:color w:val="auto"/>
          <w:highlight w:val="none"/>
          <w:lang w:eastAsia="zh-CN"/>
        </w:rPr>
        <w:t>）</w:t>
      </w:r>
      <w:r>
        <w:rPr>
          <w:rFonts w:hint="eastAsia" w:ascii="Times New Roman" w:hAnsi="Times New Roman" w:eastAsia="宋体"/>
          <w:color w:val="auto"/>
          <w:highlight w:val="none"/>
        </w:rPr>
        <w:t>洪水</w:t>
      </w:r>
    </w:p>
    <w:p w14:paraId="35246276">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项目区域年降水量150mm，夏季降水量最大，洪水冲刷形成的侵蚀，很可能使管线暴露，易导致断裂。随地势趋缓洪水冲刷能力有所减缓，常常形成巨大的径流向低处集中，在局部低地形成侵蚀沟，仍可能造成管线和</w:t>
      </w:r>
      <w:r>
        <w:rPr>
          <w:rFonts w:hint="eastAsia"/>
          <w:color w:val="auto"/>
          <w:highlight w:val="none"/>
          <w:lang w:eastAsia="zh-CN"/>
        </w:rPr>
        <w:t>废水收集池</w:t>
      </w:r>
      <w:r>
        <w:rPr>
          <w:rFonts w:hint="eastAsia" w:ascii="Times New Roman" w:hAnsi="Times New Roman" w:eastAsia="宋体"/>
          <w:color w:val="auto"/>
          <w:highlight w:val="none"/>
        </w:rPr>
        <w:t>暴露，易导致断裂和破裂。管线断裂穿孔和</w:t>
      </w:r>
      <w:r>
        <w:rPr>
          <w:rFonts w:hint="eastAsia"/>
          <w:color w:val="auto"/>
          <w:highlight w:val="none"/>
          <w:lang w:eastAsia="zh-CN"/>
        </w:rPr>
        <w:t>废水收集池</w:t>
      </w:r>
      <w:r>
        <w:rPr>
          <w:rFonts w:hint="eastAsia" w:ascii="Times New Roman" w:hAnsi="Times New Roman" w:eastAsia="宋体"/>
          <w:color w:val="auto"/>
          <w:highlight w:val="none"/>
        </w:rPr>
        <w:t>破裂事故发生在洪水期间，将可能使污染迅速蔓延和扩大。</w:t>
      </w:r>
    </w:p>
    <w:p w14:paraId="506E9D17">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4、医疗废物污染事故</w:t>
      </w:r>
    </w:p>
    <w:p w14:paraId="1ADA725B">
      <w:pPr>
        <w:ind w:firstLine="480"/>
        <w:rPr>
          <w:rFonts w:hint="eastAsia" w:ascii="Times New Roman" w:hAnsi="Times New Roman" w:eastAsia="宋体"/>
          <w:color w:val="auto"/>
          <w:highlight w:val="none"/>
        </w:rPr>
      </w:pPr>
      <w:r>
        <w:rPr>
          <w:rFonts w:hint="eastAsia" w:ascii="Times New Roman" w:hAnsi="Times New Roman" w:eastAsia="宋体"/>
          <w:color w:val="auto"/>
          <w:highlight w:val="none"/>
        </w:rPr>
        <w:t>医疗废物若包装不严密或随意堆放则可产生大面积的污染，对环境产生不可挽回的影响。本项目医疗废物是指治疗过程中产生少量废弃药品、废针管等。据国家卫生部门的医疗检测报告表明，医疗垃圾可能受到各种病菌的污染。此外，垃圾中的有机物不仅滋生蚊蝇，造成疾病的传播，并且在腐败分解时生成多种有害物质将污染大气、危害人体健康。因此医疗垃圾具有空间污染、急性传染和潜伏性污染等特征，其病毒、病菌的危害性是普通生活垃圾的几十、几百甚至上千倍，如果处理不当，将造成水体、大气、土壤的污染及对人体的直接危害，甚至成为疫病流行的源头。医疗垃圾的随意堆放会污染大气环境，随意填埋会污染地下水源，随意焚烧会产生强烈的致癌物质二噁英。</w:t>
      </w:r>
    </w:p>
    <w:p w14:paraId="244BBEFC">
      <w:pPr>
        <w:pStyle w:val="5"/>
        <w:rPr>
          <w:rFonts w:ascii="Times New Roman" w:hAnsi="Times New Roman" w:eastAsia="宋体"/>
          <w:color w:val="auto"/>
          <w:highlight w:val="none"/>
        </w:rPr>
      </w:pPr>
      <w:bookmarkStart w:id="220" w:name="_Toc106663514"/>
      <w:r>
        <w:rPr>
          <w:rFonts w:hint="eastAsia" w:ascii="Times New Roman" w:hAnsi="Times New Roman" w:eastAsia="宋体"/>
          <w:color w:val="auto"/>
          <w:highlight w:val="none"/>
        </w:rPr>
        <w:t>5.3.7环境风险防范措施及应急要求</w:t>
      </w:r>
      <w:bookmarkEnd w:id="220"/>
    </w:p>
    <w:p w14:paraId="401DE6A3">
      <w:pPr>
        <w:ind w:firstLine="480"/>
        <w:rPr>
          <w:rFonts w:ascii="Times New Roman" w:hAnsi="Times New Roman" w:eastAsia="宋体"/>
          <w:color w:val="auto"/>
          <w:highlight w:val="none"/>
        </w:rPr>
      </w:pPr>
      <w:r>
        <w:rPr>
          <w:rFonts w:ascii="Times New Roman" w:hAnsi="Times New Roman" w:eastAsia="宋体"/>
          <w:color w:val="auto"/>
          <w:highlight w:val="none"/>
        </w:rPr>
        <w:t>1、病鸡尸体处置措施</w:t>
      </w:r>
    </w:p>
    <w:p w14:paraId="7899FFDA">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养殖场应定期检查蛋鸡的健康状况，做到及时发现、及时隔离、及时救治，严格控制疾病大面积传播。</w:t>
      </w:r>
    </w:p>
    <w:p w14:paraId="210857D2">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死鸡尸体要及时处理，首先要进行严格的尸体检验，如果是因中毒或者是因病而死，鸡尸体则要严格按照防疫条例进行无害化处理后，本项目采用填埋井对其进行处理。</w:t>
      </w:r>
    </w:p>
    <w:p w14:paraId="4C131A0D">
      <w:pPr>
        <w:ind w:firstLine="480"/>
        <w:rPr>
          <w:rFonts w:ascii="Times New Roman" w:hAnsi="Times New Roman" w:eastAsia="宋体"/>
          <w:color w:val="auto"/>
          <w:highlight w:val="none"/>
        </w:rPr>
      </w:pPr>
      <w:r>
        <w:rPr>
          <w:rFonts w:ascii="Times New Roman" w:hAnsi="Times New Roman" w:eastAsia="宋体"/>
          <w:color w:val="auto"/>
          <w:highlight w:val="none"/>
        </w:rPr>
        <w:t>2、疫情防疫</w:t>
      </w:r>
    </w:p>
    <w:p w14:paraId="1427CD85">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疫情风险防范措施</w:t>
      </w:r>
    </w:p>
    <w:p w14:paraId="3888BA8B">
      <w:pPr>
        <w:ind w:firstLine="480"/>
        <w:rPr>
          <w:rFonts w:ascii="Times New Roman" w:hAnsi="Times New Roman" w:eastAsia="宋体"/>
          <w:color w:val="auto"/>
          <w:highlight w:val="none"/>
        </w:rPr>
      </w:pPr>
      <w:r>
        <w:rPr>
          <w:rFonts w:ascii="Times New Roman" w:hAnsi="Times New Roman" w:eastAsia="宋体"/>
          <w:color w:val="auto"/>
          <w:highlight w:val="none"/>
        </w:rPr>
        <w:t>卫生防疫是规模化养殖场成败的关键，必须严格按照《中华人民共和国动物防疫法》的要求，做到</w:t>
      </w:r>
      <w:r>
        <w:rPr>
          <w:rFonts w:hint="eastAsia"/>
          <w:color w:val="auto"/>
          <w:highlight w:val="none"/>
          <w:lang w:eastAsia="zh-CN"/>
        </w:rPr>
        <w:t>”</w:t>
      </w:r>
      <w:r>
        <w:rPr>
          <w:rFonts w:ascii="Times New Roman" w:hAnsi="Times New Roman" w:eastAsia="宋体"/>
          <w:color w:val="auto"/>
          <w:highlight w:val="none"/>
        </w:rPr>
        <w:t>以防为主，防治结合，制度健全，责任到人</w:t>
      </w:r>
      <w:r>
        <w:rPr>
          <w:rFonts w:hint="eastAsia"/>
          <w:color w:val="auto"/>
          <w:highlight w:val="none"/>
          <w:lang w:eastAsia="zh-CN"/>
        </w:rPr>
        <w:t>”</w:t>
      </w:r>
      <w:r>
        <w:rPr>
          <w:rFonts w:ascii="Times New Roman" w:hAnsi="Times New Roman" w:eastAsia="宋体"/>
          <w:color w:val="auto"/>
          <w:highlight w:val="none"/>
        </w:rPr>
        <w:t>。</w:t>
      </w:r>
    </w:p>
    <w:p w14:paraId="3C8E08F7">
      <w:pPr>
        <w:ind w:firstLine="480"/>
        <w:rPr>
          <w:rFonts w:ascii="Times New Roman" w:hAnsi="Times New Roman" w:eastAsia="宋体"/>
          <w:color w:val="auto"/>
          <w:highlight w:val="none"/>
        </w:rPr>
      </w:pP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消毒制度</w:t>
      </w:r>
    </w:p>
    <w:p w14:paraId="0F6640C7">
      <w:pPr>
        <w:ind w:firstLine="480"/>
        <w:rPr>
          <w:rFonts w:ascii="Times New Roman" w:hAnsi="Times New Roman" w:eastAsia="宋体"/>
          <w:color w:val="auto"/>
          <w:highlight w:val="none"/>
        </w:rPr>
      </w:pPr>
      <w:r>
        <w:rPr>
          <w:rFonts w:ascii="Times New Roman" w:hAnsi="Times New Roman" w:eastAsia="宋体"/>
          <w:color w:val="auto"/>
          <w:highlight w:val="none"/>
        </w:rPr>
        <w:t>凡进入饲养场的人和车辆等都需要经过消毒。凡是进入饲养场的工作人员，一律更换工作服、工作鞋，并经紫外线照射5分钟进行消毒。外来人员必须进入生产区时，也应按照上述方法消毒，在场区管理人员的带领下，按照指定路线行走。</w:t>
      </w:r>
    </w:p>
    <w:p w14:paraId="3BA5EF2C">
      <w:pPr>
        <w:ind w:firstLine="480"/>
        <w:rPr>
          <w:rFonts w:ascii="Times New Roman" w:hAnsi="Times New Roman" w:eastAsia="宋体"/>
          <w:color w:val="auto"/>
          <w:highlight w:val="none"/>
        </w:rPr>
      </w:pP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加强饲养管理，增强畜禽抵抗力</w:t>
      </w:r>
    </w:p>
    <w:p w14:paraId="564B903C">
      <w:pPr>
        <w:ind w:firstLine="480"/>
        <w:rPr>
          <w:rFonts w:ascii="Times New Roman" w:hAnsi="Times New Roman" w:eastAsia="宋体"/>
          <w:color w:val="auto"/>
          <w:highlight w:val="none"/>
        </w:rPr>
      </w:pPr>
      <w:r>
        <w:rPr>
          <w:rFonts w:ascii="Times New Roman" w:hAnsi="Times New Roman" w:eastAsia="宋体"/>
          <w:color w:val="auto"/>
          <w:highlight w:val="none"/>
        </w:rPr>
        <w:t>①要按照畜禽的品种、年龄、体重、强弱等进行合理分群饲养。根据各类畜禽的营养需要、饲养标准，确定适宜的饲粮和饲喂方法。</w:t>
      </w:r>
    </w:p>
    <w:p w14:paraId="24379AB0">
      <w:pPr>
        <w:ind w:firstLine="480"/>
        <w:rPr>
          <w:rFonts w:ascii="Times New Roman" w:hAnsi="Times New Roman" w:eastAsia="宋体"/>
          <w:color w:val="auto"/>
          <w:highlight w:val="none"/>
        </w:rPr>
      </w:pPr>
      <w:r>
        <w:rPr>
          <w:rFonts w:ascii="Times New Roman" w:hAnsi="Times New Roman" w:eastAsia="宋体"/>
          <w:color w:val="auto"/>
          <w:highlight w:val="none"/>
        </w:rPr>
        <w:t>②保证圈舍清洁舒适，通风良好。</w:t>
      </w:r>
    </w:p>
    <w:p w14:paraId="4382789D">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有计划地进行药物预防</w:t>
      </w:r>
    </w:p>
    <w:p w14:paraId="0DAFC797">
      <w:pPr>
        <w:ind w:firstLine="480"/>
        <w:rPr>
          <w:rFonts w:ascii="Times New Roman" w:hAnsi="Times New Roman" w:eastAsia="宋体"/>
          <w:color w:val="auto"/>
          <w:highlight w:val="none"/>
        </w:rPr>
      </w:pPr>
      <w:r>
        <w:rPr>
          <w:rFonts w:ascii="Times New Roman" w:hAnsi="Times New Roman" w:eastAsia="宋体"/>
          <w:color w:val="auto"/>
          <w:highlight w:val="none"/>
        </w:rPr>
        <w:t>为了提高雏鸡的成活率，除加强饲养管理、及时免疫外，必要时还要辅以药物预防。目前最常用的是抗菌素类饲料添加剂。</w:t>
      </w:r>
    </w:p>
    <w:p w14:paraId="60490A54">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发现传染病的紧急处理</w:t>
      </w:r>
    </w:p>
    <w:p w14:paraId="2F37D308">
      <w:pPr>
        <w:ind w:firstLine="480"/>
        <w:rPr>
          <w:rFonts w:ascii="Times New Roman" w:hAnsi="Times New Roman" w:eastAsia="宋体"/>
          <w:color w:val="auto"/>
          <w:highlight w:val="none"/>
        </w:rPr>
      </w:pPr>
      <w:r>
        <w:rPr>
          <w:rFonts w:ascii="Times New Roman" w:hAnsi="Times New Roman" w:eastAsia="宋体"/>
          <w:color w:val="auto"/>
          <w:highlight w:val="none"/>
        </w:rPr>
        <w:t>对于传染病，尤其急性烈性传染病如禽流感、鸡霍乱等，发现早，诊断及时准确，又能迅速采取针对性措施，便可有效地制止传染病的蔓延。</w:t>
      </w:r>
    </w:p>
    <w:p w14:paraId="59476228">
      <w:pPr>
        <w:ind w:firstLine="480"/>
        <w:rPr>
          <w:rFonts w:ascii="Times New Roman" w:hAnsi="Times New Roman" w:eastAsia="宋体"/>
          <w:color w:val="auto"/>
          <w:highlight w:val="none"/>
        </w:rPr>
      </w:pPr>
      <w:r>
        <w:rPr>
          <w:rFonts w:ascii="Times New Roman" w:hAnsi="Times New Roman" w:eastAsia="宋体"/>
          <w:color w:val="auto"/>
          <w:highlight w:val="none"/>
        </w:rPr>
        <w:t>生物安全措施包括的内容很多，严格地说生物安全措施就是为防止一切传染病源进入鸡场而采取的措施，叫作生物安全措施。通常是</w:t>
      </w:r>
      <w:r>
        <w:rPr>
          <w:rFonts w:hint="eastAsia"/>
          <w:color w:val="auto"/>
          <w:highlight w:val="none"/>
          <w:lang w:eastAsia="zh-CN"/>
        </w:rPr>
        <w:t>”</w:t>
      </w:r>
      <w:r>
        <w:rPr>
          <w:rFonts w:ascii="Times New Roman" w:hAnsi="Times New Roman" w:eastAsia="宋体"/>
          <w:color w:val="auto"/>
          <w:highlight w:val="none"/>
        </w:rPr>
        <w:t>一隔二养三免疫</w:t>
      </w:r>
      <w:r>
        <w:rPr>
          <w:rFonts w:hint="eastAsia"/>
          <w:color w:val="auto"/>
          <w:highlight w:val="none"/>
          <w:lang w:eastAsia="zh-CN"/>
        </w:rPr>
        <w:t>”</w:t>
      </w:r>
      <w:r>
        <w:rPr>
          <w:rFonts w:ascii="Times New Roman" w:hAnsi="Times New Roman" w:eastAsia="宋体"/>
          <w:color w:val="auto"/>
          <w:highlight w:val="none"/>
        </w:rPr>
        <w:t>。</w:t>
      </w:r>
    </w:p>
    <w:p w14:paraId="4091CFB5">
      <w:pPr>
        <w:ind w:firstLine="480"/>
        <w:rPr>
          <w:rFonts w:ascii="Times New Roman" w:hAnsi="Times New Roman" w:eastAsia="宋体"/>
          <w:color w:val="auto"/>
          <w:highlight w:val="none"/>
        </w:rPr>
      </w:pPr>
      <w:r>
        <w:rPr>
          <w:rFonts w:ascii="Times New Roman" w:hAnsi="Times New Roman" w:eastAsia="宋体"/>
          <w:color w:val="auto"/>
          <w:highlight w:val="none"/>
        </w:rPr>
        <w:t>一隔就是要做好隔离，一旦发生传染病，将病鸡与健康鸡隔离开来，将疫情控制在最小范围内；二养就是进行科学化的养殖，要千方百计地为鸡创造一个适合鸡生长发育的环境，最大限度地减少各种应急对鸡造成有害影响，使鸡体本身健康成长发育。这样就有能力抵抗外界不良因素的影响。第三就是在鸡群健康的前提下，我们实行严格地免疫制度，使鸡群能保证在我们的科学技术操作范围内，能准确实施100%的免疫，特别是对禽流感的免疫。</w:t>
      </w:r>
    </w:p>
    <w:p w14:paraId="57D1948E">
      <w:pPr>
        <w:ind w:firstLine="480"/>
        <w:rPr>
          <w:rFonts w:ascii="Times New Roman" w:hAnsi="Times New Roman" w:eastAsia="宋体"/>
          <w:color w:val="auto"/>
          <w:highlight w:val="none"/>
        </w:rPr>
      </w:pPr>
      <w:r>
        <w:rPr>
          <w:rFonts w:ascii="Times New Roman" w:hAnsi="Times New Roman" w:eastAsia="宋体"/>
          <w:color w:val="auto"/>
          <w:highlight w:val="none"/>
        </w:rPr>
        <w:t>由于高致病性禽流感发病急，发病率和死亡率很高，目前尚无治疗方法。所以养鸡者必须要求饲养人员要经常仔细观察鸡群的活动及健康状况，若发现有异常表现，特别有互相传染的嫌疑，应立即报告兽医或生产管理人员，相关负责人必须立即赶到现场，认为有必要时要尽快组织力量进行诊断。在诊断过程中，疑似或确认为新城疫、禽流感、传染性法氏囊病、传染性支气管炎、鸡痘、鸡霍乱及传染性鼻炎等急性支气管病性，必须立即隔离病鸡，尽可能缩小病鸡的活动范围，对病鸡的排泄物、分泌物污染的场地，都要用聚维酮碘溶液和复方戊二醛溶液进行喷射消毒。污染的垫草、粪便彻底清除，予以烧毁，被污染的用具、工作服、鞋，用福尔马林熏蒸消毒，场门设立标牌，禁止人、畜出入。</w:t>
      </w:r>
    </w:p>
    <w:p w14:paraId="334F482D">
      <w:pPr>
        <w:ind w:firstLine="480"/>
        <w:rPr>
          <w:rFonts w:ascii="Times New Roman" w:hAnsi="Times New Roman" w:eastAsia="宋体"/>
          <w:color w:val="auto"/>
          <w:highlight w:val="none"/>
        </w:rPr>
      </w:pPr>
      <w:r>
        <w:rPr>
          <w:rFonts w:ascii="Times New Roman" w:hAnsi="Times New Roman" w:eastAsia="宋体"/>
          <w:color w:val="auto"/>
          <w:highlight w:val="none"/>
        </w:rPr>
        <w:t>3、排水管网和</w:t>
      </w:r>
      <w:r>
        <w:rPr>
          <w:rFonts w:hint="eastAsia"/>
          <w:color w:val="auto"/>
          <w:highlight w:val="none"/>
          <w:lang w:eastAsia="zh-CN"/>
        </w:rPr>
        <w:t>废水收集池</w:t>
      </w:r>
      <w:r>
        <w:rPr>
          <w:rFonts w:ascii="Times New Roman" w:hAnsi="Times New Roman" w:eastAsia="宋体"/>
          <w:color w:val="auto"/>
          <w:highlight w:val="none"/>
        </w:rPr>
        <w:t>风险事故防范措施</w:t>
      </w:r>
    </w:p>
    <w:p w14:paraId="54E2A35D">
      <w:pPr>
        <w:ind w:firstLine="480"/>
        <w:rPr>
          <w:rFonts w:ascii="Times New Roman" w:hAnsi="Times New Roman" w:eastAsia="宋体"/>
          <w:color w:val="auto"/>
          <w:highlight w:val="none"/>
        </w:rPr>
      </w:pPr>
      <w:r>
        <w:rPr>
          <w:rFonts w:ascii="Times New Roman" w:hAnsi="Times New Roman" w:eastAsia="宋体"/>
          <w:color w:val="auto"/>
          <w:highlight w:val="none"/>
        </w:rPr>
        <w:t>无论是人为因素，还是自然灾害引起的事故，都必须采取以预防为主的措施，以避免事故的发生或使事故造成的危害降低到最低的程度。对于人为因素引起的事故可以通过提高作业人员素质、加强责任心以及采取技术手段和管理手段来避免，而对于自然灾害引起的事故则主要靠采取各种工程技术措施来预防。</w:t>
      </w:r>
    </w:p>
    <w:p w14:paraId="38CEFD15">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防洪、抗震等措施</w:t>
      </w:r>
    </w:p>
    <w:p w14:paraId="4BA8F734">
      <w:pPr>
        <w:ind w:firstLine="480"/>
        <w:rPr>
          <w:rFonts w:ascii="Times New Roman" w:hAnsi="Times New Roman" w:eastAsia="宋体"/>
          <w:color w:val="auto"/>
          <w:highlight w:val="none"/>
        </w:rPr>
      </w:pPr>
      <w:r>
        <w:rPr>
          <w:rFonts w:ascii="Times New Roman" w:hAnsi="Times New Roman" w:eastAsia="宋体"/>
          <w:color w:val="auto"/>
          <w:highlight w:val="none"/>
        </w:rPr>
        <w:t>①敷设尽量避开地震及可能引起泥石流等地段，当避开有困难时，对局部地段采取安全防护措施。</w:t>
      </w:r>
    </w:p>
    <w:p w14:paraId="048430AC">
      <w:pPr>
        <w:ind w:firstLine="480"/>
        <w:rPr>
          <w:rFonts w:ascii="Times New Roman" w:hAnsi="Times New Roman" w:eastAsia="宋体"/>
          <w:color w:val="auto"/>
          <w:highlight w:val="none"/>
        </w:rPr>
      </w:pPr>
      <w:r>
        <w:rPr>
          <w:rFonts w:ascii="Times New Roman" w:hAnsi="Times New Roman" w:eastAsia="宋体"/>
          <w:color w:val="auto"/>
          <w:highlight w:val="none"/>
        </w:rPr>
        <w:t>②管线穿越大的干沟或排碱渠时，视情况而采取到吸虹管或架空保温管线通过。</w:t>
      </w:r>
    </w:p>
    <w:p w14:paraId="39790F42">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管线和</w:t>
      </w:r>
      <w:r>
        <w:rPr>
          <w:rFonts w:hint="eastAsia"/>
          <w:color w:val="auto"/>
          <w:highlight w:val="none"/>
          <w:lang w:eastAsia="zh-CN"/>
        </w:rPr>
        <w:t>废水收集池</w:t>
      </w:r>
      <w:r>
        <w:rPr>
          <w:rFonts w:ascii="Times New Roman" w:hAnsi="Times New Roman" w:eastAsia="宋体"/>
          <w:color w:val="auto"/>
          <w:highlight w:val="none"/>
        </w:rPr>
        <w:t>破裂预防措施</w:t>
      </w:r>
    </w:p>
    <w:p w14:paraId="5E742969">
      <w:pPr>
        <w:ind w:firstLine="480"/>
        <w:rPr>
          <w:rFonts w:ascii="Times New Roman" w:hAnsi="Times New Roman" w:eastAsia="宋体"/>
          <w:color w:val="auto"/>
          <w:highlight w:val="none"/>
        </w:rPr>
      </w:pPr>
      <w:r>
        <w:rPr>
          <w:rFonts w:ascii="Times New Roman" w:hAnsi="Times New Roman" w:eastAsia="宋体"/>
          <w:color w:val="auto"/>
          <w:highlight w:val="none"/>
        </w:rPr>
        <w:t>为尽量避免管线破裂事故的发生，减轻管线和</w:t>
      </w:r>
      <w:r>
        <w:rPr>
          <w:rFonts w:hint="eastAsia"/>
          <w:color w:val="auto"/>
          <w:highlight w:val="none"/>
          <w:lang w:eastAsia="zh-CN"/>
        </w:rPr>
        <w:t>废水收集池</w:t>
      </w:r>
      <w:r>
        <w:rPr>
          <w:rFonts w:ascii="Times New Roman" w:hAnsi="Times New Roman" w:eastAsia="宋体"/>
          <w:color w:val="auto"/>
          <w:highlight w:val="none"/>
        </w:rPr>
        <w:t>破裂、泄漏事故对环境的影响，应该采取以下的安全环保措施：</w:t>
      </w:r>
    </w:p>
    <w:p w14:paraId="126AD012">
      <w:pPr>
        <w:ind w:firstLine="480"/>
        <w:rPr>
          <w:rFonts w:ascii="Times New Roman" w:hAnsi="Times New Roman" w:eastAsia="宋体"/>
          <w:color w:val="auto"/>
          <w:highlight w:val="none"/>
        </w:rPr>
      </w:pPr>
      <w:r>
        <w:rPr>
          <w:rFonts w:ascii="Times New Roman" w:hAnsi="Times New Roman" w:eastAsia="宋体"/>
          <w:color w:val="auto"/>
          <w:highlight w:val="none"/>
        </w:rPr>
        <w:t>①敷设路线应设置永久性标志，提醒人们在管线两侧20~50m范围内活动可能造成伤害，防止其他单位施工造成管道损坏；</w:t>
      </w:r>
    </w:p>
    <w:p w14:paraId="530095FB">
      <w:pPr>
        <w:ind w:firstLine="480"/>
        <w:rPr>
          <w:rFonts w:ascii="Times New Roman" w:hAnsi="Times New Roman" w:eastAsia="宋体"/>
          <w:color w:val="auto"/>
          <w:highlight w:val="none"/>
        </w:rPr>
      </w:pPr>
      <w:r>
        <w:rPr>
          <w:rFonts w:ascii="Times New Roman" w:hAnsi="Times New Roman" w:eastAsia="宋体"/>
          <w:color w:val="auto"/>
          <w:highlight w:val="none"/>
        </w:rPr>
        <w:t>②操作失误是出现事故的又一重要原因，为此要加强管理，提高职工技术水平和职业道德素质，以减少和杜绝此类事故的发生；</w:t>
      </w:r>
    </w:p>
    <w:p w14:paraId="1616BE4D">
      <w:pPr>
        <w:ind w:firstLine="480"/>
        <w:rPr>
          <w:rFonts w:ascii="Times New Roman" w:hAnsi="Times New Roman" w:eastAsia="宋体"/>
          <w:color w:val="auto"/>
          <w:highlight w:val="none"/>
        </w:rPr>
      </w:pPr>
      <w:r>
        <w:rPr>
          <w:rFonts w:ascii="Times New Roman" w:hAnsi="Times New Roman" w:eastAsia="宋体"/>
          <w:color w:val="auto"/>
          <w:highlight w:val="none"/>
        </w:rPr>
        <w:t>③建立完善的安全措施和监督管理机构，做好安全防护工作，以防止人为破坏事故发生；</w:t>
      </w:r>
    </w:p>
    <w:p w14:paraId="3082CC57">
      <w:pPr>
        <w:ind w:firstLine="480"/>
        <w:rPr>
          <w:rFonts w:ascii="Times New Roman" w:hAnsi="Times New Roman" w:eastAsia="宋体"/>
          <w:color w:val="auto"/>
          <w:highlight w:val="none"/>
        </w:rPr>
      </w:pPr>
      <w:r>
        <w:rPr>
          <w:rFonts w:ascii="Times New Roman" w:hAnsi="Times New Roman" w:eastAsia="宋体"/>
          <w:color w:val="auto"/>
          <w:highlight w:val="none"/>
        </w:rPr>
        <w:t>④在污水管线沿线设置截断阀，管线在发生破裂时做到及时的截断，减少排入外环境的污水量；</w:t>
      </w:r>
    </w:p>
    <w:p w14:paraId="66DE7E9D">
      <w:pPr>
        <w:ind w:firstLine="480"/>
        <w:rPr>
          <w:rFonts w:ascii="Times New Roman" w:hAnsi="Times New Roman" w:eastAsia="宋体"/>
          <w:color w:val="auto"/>
          <w:highlight w:val="none"/>
        </w:rPr>
      </w:pPr>
      <w:r>
        <w:rPr>
          <w:rFonts w:ascii="Times New Roman" w:hAnsi="Times New Roman" w:eastAsia="宋体"/>
          <w:color w:val="auto"/>
          <w:highlight w:val="none"/>
        </w:rPr>
        <w:t>⑤为确保排水管线和</w:t>
      </w:r>
      <w:r>
        <w:rPr>
          <w:rFonts w:hint="eastAsia"/>
          <w:color w:val="auto"/>
          <w:highlight w:val="none"/>
          <w:lang w:eastAsia="zh-CN"/>
        </w:rPr>
        <w:t>废水收集池</w:t>
      </w:r>
      <w:r>
        <w:rPr>
          <w:rFonts w:ascii="Times New Roman" w:hAnsi="Times New Roman" w:eastAsia="宋体"/>
          <w:color w:val="auto"/>
          <w:highlight w:val="none"/>
        </w:rPr>
        <w:t>的安全，建设单位应在工程设计阶段合理设计，选材要结实、耐用、防腐，保证材料的质量。在工程建设中要严把质量关，保证工程质量。</w:t>
      </w:r>
    </w:p>
    <w:p w14:paraId="1F3EC576">
      <w:pPr>
        <w:ind w:firstLine="480"/>
        <w:rPr>
          <w:rFonts w:ascii="Times New Roman" w:hAnsi="Times New Roman" w:eastAsia="宋体"/>
          <w:color w:val="auto"/>
          <w:highlight w:val="none"/>
        </w:rPr>
      </w:pPr>
      <w:r>
        <w:rPr>
          <w:rFonts w:ascii="Times New Roman" w:hAnsi="Times New Roman" w:eastAsia="宋体"/>
          <w:color w:val="auto"/>
          <w:highlight w:val="none"/>
        </w:rPr>
        <w:t>⑥在运行管理中要从严要求，定期对管线和</w:t>
      </w:r>
      <w:r>
        <w:rPr>
          <w:rFonts w:hint="eastAsia"/>
          <w:color w:val="auto"/>
          <w:highlight w:val="none"/>
          <w:lang w:eastAsia="zh-CN"/>
        </w:rPr>
        <w:t>废水收集池</w:t>
      </w:r>
      <w:r>
        <w:rPr>
          <w:rFonts w:ascii="Times New Roman" w:hAnsi="Times New Roman" w:eastAsia="宋体"/>
          <w:color w:val="auto"/>
          <w:highlight w:val="none"/>
        </w:rPr>
        <w:t>进行巡检，及时发现问题，从快从速处理，预防事故发生。管线沿线设立明显标志物，以避免管线遭到人为破坏。</w:t>
      </w:r>
    </w:p>
    <w:p w14:paraId="7276DA04">
      <w:pPr>
        <w:ind w:firstLine="480"/>
        <w:rPr>
          <w:rFonts w:ascii="Times New Roman" w:hAnsi="Times New Roman" w:eastAsia="宋体"/>
          <w:color w:val="auto"/>
          <w:highlight w:val="none"/>
        </w:rPr>
      </w:pPr>
      <w:r>
        <w:rPr>
          <w:rFonts w:ascii="Times New Roman" w:hAnsi="Times New Roman" w:eastAsia="宋体"/>
          <w:color w:val="auto"/>
          <w:highlight w:val="none"/>
        </w:rPr>
        <w:t>4、医疗废物污染事故防范措施</w:t>
      </w:r>
    </w:p>
    <w:p w14:paraId="3B58DD31">
      <w:pPr>
        <w:ind w:firstLine="480"/>
        <w:rPr>
          <w:rFonts w:ascii="Times New Roman" w:hAnsi="Times New Roman" w:eastAsia="宋体"/>
          <w:color w:val="auto"/>
          <w:highlight w:val="none"/>
        </w:rPr>
      </w:pPr>
      <w:r>
        <w:rPr>
          <w:rFonts w:ascii="Times New Roman" w:hAnsi="Times New Roman" w:eastAsia="宋体"/>
          <w:color w:val="auto"/>
          <w:highlight w:val="none"/>
        </w:rPr>
        <w:t>为了防止医疗废物污染环境，采取措施如下：</w:t>
      </w:r>
    </w:p>
    <w:p w14:paraId="0B853085">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合理布局，</w:t>
      </w:r>
      <w:r>
        <w:rPr>
          <w:rFonts w:hint="eastAsia"/>
          <w:color w:val="auto"/>
          <w:highlight w:val="none"/>
          <w:lang w:eastAsia="zh-CN"/>
        </w:rPr>
        <w:t>医疗废物暂存间</w:t>
      </w:r>
      <w:r>
        <w:rPr>
          <w:rFonts w:ascii="Times New Roman" w:hAnsi="Times New Roman" w:eastAsia="宋体"/>
          <w:color w:val="auto"/>
          <w:highlight w:val="none"/>
        </w:rPr>
        <w:t>、收集通道等应尽量避开人流通道；</w:t>
      </w:r>
    </w:p>
    <w:p w14:paraId="3C9D3B94">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采购符合国家规定的废物收集容器，按照相关法律法规要求进行分类收集、盛装；</w:t>
      </w:r>
    </w:p>
    <w:p w14:paraId="41423398">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对医疗废物收集、管理人员配备必要的个人防护用具；</w:t>
      </w:r>
    </w:p>
    <w:p w14:paraId="5008BCA9">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医疗废物暂存场处应按照《医疗废物管理条例》</w:t>
      </w:r>
      <w:r>
        <w:rPr>
          <w:rFonts w:hint="eastAsia"/>
          <w:color w:val="auto"/>
          <w:highlight w:val="none"/>
          <w:lang w:eastAsia="zh-CN"/>
        </w:rPr>
        <w:t>（</w:t>
      </w:r>
      <w:r>
        <w:rPr>
          <w:rFonts w:ascii="Times New Roman" w:hAnsi="Times New Roman" w:eastAsia="宋体"/>
          <w:color w:val="auto"/>
          <w:highlight w:val="none"/>
        </w:rPr>
        <w:t>国务院令第380号</w:t>
      </w:r>
      <w:r>
        <w:rPr>
          <w:rFonts w:hint="eastAsia"/>
          <w:color w:val="auto"/>
          <w:highlight w:val="none"/>
          <w:lang w:eastAsia="zh-CN"/>
        </w:rPr>
        <w:t>）</w:t>
      </w:r>
      <w:r>
        <w:rPr>
          <w:rFonts w:ascii="Times New Roman" w:hAnsi="Times New Roman" w:eastAsia="宋体"/>
          <w:color w:val="auto"/>
          <w:highlight w:val="none"/>
        </w:rPr>
        <w:t>等相关要求进行设置；</w:t>
      </w:r>
    </w:p>
    <w:p w14:paraId="4DA79845">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5</w:t>
      </w:r>
      <w:r>
        <w:rPr>
          <w:rFonts w:hint="eastAsia"/>
          <w:color w:val="auto"/>
          <w:highlight w:val="none"/>
          <w:lang w:eastAsia="zh-CN"/>
        </w:rPr>
        <w:t>）</w:t>
      </w:r>
      <w:r>
        <w:rPr>
          <w:rFonts w:ascii="Times New Roman" w:hAnsi="Times New Roman" w:eastAsia="宋体"/>
          <w:color w:val="auto"/>
          <w:highlight w:val="none"/>
        </w:rPr>
        <w:t>制定医疗废物管理制度。</w:t>
      </w:r>
    </w:p>
    <w:p w14:paraId="00CFE4E7">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6</w:t>
      </w:r>
      <w:r>
        <w:rPr>
          <w:rFonts w:hint="eastAsia"/>
          <w:color w:val="auto"/>
          <w:highlight w:val="none"/>
          <w:lang w:eastAsia="zh-CN"/>
        </w:rPr>
        <w:t>）</w:t>
      </w:r>
      <w:r>
        <w:rPr>
          <w:rFonts w:ascii="Times New Roman" w:hAnsi="Times New Roman" w:eastAsia="宋体"/>
          <w:color w:val="auto"/>
          <w:highlight w:val="none"/>
        </w:rPr>
        <w:t>医疗废物的收集、贮存、交接、运输的收运全过程均应严格按照《医疗废物管理条例》、《医疗废物转运车技术要求》等相关规定执行，在运送时执行医疗废物转移联单制度，由医疗废物处置场及产生单位共同填写《危险废物转移联单》</w:t>
      </w:r>
      <w:r>
        <w:rPr>
          <w:rFonts w:hint="eastAsia"/>
          <w:color w:val="auto"/>
          <w:highlight w:val="none"/>
          <w:lang w:eastAsia="zh-CN"/>
        </w:rPr>
        <w:t>（</w:t>
      </w:r>
      <w:r>
        <w:rPr>
          <w:rFonts w:ascii="Times New Roman" w:hAnsi="Times New Roman" w:eastAsia="宋体"/>
          <w:color w:val="auto"/>
          <w:highlight w:val="none"/>
        </w:rPr>
        <w:t>医疗废物专用</w:t>
      </w:r>
      <w:r>
        <w:rPr>
          <w:rFonts w:hint="eastAsia"/>
          <w:color w:val="auto"/>
          <w:highlight w:val="none"/>
          <w:lang w:eastAsia="zh-CN"/>
        </w:rPr>
        <w:t>）</w:t>
      </w:r>
      <w:r>
        <w:rPr>
          <w:rFonts w:ascii="Times New Roman" w:hAnsi="Times New Roman" w:eastAsia="宋体"/>
          <w:color w:val="auto"/>
          <w:highlight w:val="none"/>
        </w:rPr>
        <w:t>，运输车辆填写《医疗废物运送登记卡》，同时还应填报医疗废物处置报表，报当地生态环境局备案。</w:t>
      </w:r>
    </w:p>
    <w:p w14:paraId="1926734D">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7</w:t>
      </w:r>
      <w:r>
        <w:rPr>
          <w:rFonts w:hint="eastAsia"/>
          <w:color w:val="auto"/>
          <w:highlight w:val="none"/>
          <w:lang w:eastAsia="zh-CN"/>
        </w:rPr>
        <w:t>）</w:t>
      </w:r>
      <w:r>
        <w:rPr>
          <w:rFonts w:ascii="Times New Roman" w:hAnsi="Times New Roman" w:eastAsia="宋体"/>
          <w:color w:val="auto"/>
          <w:highlight w:val="none"/>
        </w:rPr>
        <w:t>医疗废物运送使用专用车辆，车辆厢体应与驾驶室分离并密闭，车内应配备必要的消毒等应急物品。确定合理的运输线路，尽量避开人口密集区、交通拥堵道路及时段，对运送人员进行专业技能与安全防护技能培训等。</w:t>
      </w:r>
    </w:p>
    <w:p w14:paraId="215B587F">
      <w:pPr>
        <w:ind w:firstLine="480"/>
        <w:rPr>
          <w:rFonts w:ascii="Times New Roman" w:hAnsi="Times New Roman" w:eastAsia="宋体"/>
          <w:color w:val="auto"/>
          <w:highlight w:val="none"/>
        </w:rPr>
      </w:pPr>
      <w:r>
        <w:rPr>
          <w:rFonts w:ascii="Times New Roman" w:hAnsi="Times New Roman" w:eastAsia="宋体"/>
          <w:color w:val="auto"/>
          <w:highlight w:val="none"/>
        </w:rPr>
        <w:t>5、生产及管理过程风险防范措施</w:t>
      </w:r>
    </w:p>
    <w:p w14:paraId="739E0CE5">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生产过程风险防范措施</w:t>
      </w:r>
    </w:p>
    <w:p w14:paraId="14DE839B">
      <w:pPr>
        <w:ind w:firstLine="480"/>
        <w:rPr>
          <w:rFonts w:ascii="Times New Roman" w:hAnsi="Times New Roman" w:eastAsia="宋体"/>
          <w:color w:val="auto"/>
          <w:highlight w:val="none"/>
        </w:rPr>
      </w:pPr>
      <w:r>
        <w:rPr>
          <w:rFonts w:ascii="Times New Roman" w:hAnsi="Times New Roman" w:eastAsia="宋体"/>
          <w:color w:val="auto"/>
          <w:highlight w:val="none"/>
        </w:rPr>
        <w:t>圈舍、畜禽消毒、</w:t>
      </w:r>
      <w:r>
        <w:rPr>
          <w:rFonts w:hint="eastAsia"/>
          <w:color w:val="auto"/>
          <w:highlight w:val="none"/>
          <w:lang w:eastAsia="zh-CN"/>
        </w:rPr>
        <w:t>废水收集池</w:t>
      </w:r>
      <w:r>
        <w:rPr>
          <w:rFonts w:ascii="Times New Roman" w:hAnsi="Times New Roman" w:eastAsia="宋体"/>
          <w:color w:val="auto"/>
          <w:highlight w:val="none"/>
        </w:rPr>
        <w:t>投药应有专人负责，按照规范操作，操作时配备必要的防范措施，主要消毒设备、投药设备的维修、保养工作。配备合格的工作人员，认真落实工作人员责任制，经常对供水、供电设备进行检查和维护。</w:t>
      </w:r>
    </w:p>
    <w:p w14:paraId="0F4E83A5">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管理及操作环节风险防范措施</w:t>
      </w:r>
    </w:p>
    <w:p w14:paraId="1C230E5C">
      <w:pPr>
        <w:ind w:firstLine="480"/>
        <w:rPr>
          <w:rFonts w:ascii="Times New Roman" w:hAnsi="Times New Roman" w:eastAsia="宋体"/>
          <w:color w:val="auto"/>
          <w:highlight w:val="none"/>
        </w:rPr>
      </w:pPr>
      <w:r>
        <w:rPr>
          <w:rFonts w:ascii="Times New Roman" w:hAnsi="Times New Roman" w:eastAsia="宋体"/>
          <w:color w:val="auto"/>
          <w:highlight w:val="none"/>
        </w:rPr>
        <w:t>①建立健全安全生产责任制，制定安全生产规章制度和操作规程。</w:t>
      </w:r>
    </w:p>
    <w:p w14:paraId="7C8A5CFD">
      <w:pPr>
        <w:ind w:firstLine="480"/>
        <w:rPr>
          <w:rFonts w:ascii="Times New Roman" w:hAnsi="Times New Roman" w:eastAsia="宋体"/>
          <w:color w:val="auto"/>
          <w:highlight w:val="none"/>
        </w:rPr>
      </w:pPr>
      <w:r>
        <w:rPr>
          <w:rFonts w:ascii="Times New Roman" w:hAnsi="Times New Roman" w:eastAsia="宋体"/>
          <w:color w:val="auto"/>
          <w:highlight w:val="none"/>
        </w:rPr>
        <w:t>②企业主要负责人和安全生产管理人员应当接受有关主管部门的安全生产知识和管理能力考核，合格后方可任职。</w:t>
      </w:r>
    </w:p>
    <w:p w14:paraId="5C9B0E20">
      <w:pPr>
        <w:ind w:firstLine="480"/>
        <w:rPr>
          <w:rFonts w:ascii="Times New Roman" w:hAnsi="Times New Roman" w:eastAsia="宋体"/>
          <w:color w:val="auto"/>
          <w:highlight w:val="none"/>
        </w:rPr>
      </w:pPr>
      <w:r>
        <w:rPr>
          <w:rFonts w:ascii="Times New Roman" w:hAnsi="Times New Roman" w:eastAsia="宋体"/>
          <w:color w:val="auto"/>
          <w:highlight w:val="none"/>
        </w:rPr>
        <w:t>③对工作人员应进行教育和培训并进行考核，保证工作人员具备必要的资质和能力。</w:t>
      </w:r>
    </w:p>
    <w:p w14:paraId="66DE690F">
      <w:pPr>
        <w:ind w:firstLine="480"/>
        <w:rPr>
          <w:rFonts w:ascii="Times New Roman" w:hAnsi="Times New Roman" w:eastAsia="宋体"/>
          <w:color w:val="auto"/>
          <w:highlight w:val="none"/>
        </w:rPr>
      </w:pPr>
      <w:r>
        <w:rPr>
          <w:rFonts w:ascii="Times New Roman" w:hAnsi="Times New Roman" w:eastAsia="宋体"/>
          <w:color w:val="auto"/>
          <w:highlight w:val="none"/>
        </w:rPr>
        <w:t>④各生产岗位工作人员严格按照规程进行操作，并按照要求穿戴劳保用品。</w:t>
      </w:r>
    </w:p>
    <w:p w14:paraId="3775FEA6">
      <w:pPr>
        <w:ind w:firstLine="480"/>
        <w:rPr>
          <w:rFonts w:ascii="Times New Roman" w:hAnsi="Times New Roman" w:eastAsia="宋体"/>
          <w:color w:val="auto"/>
          <w:highlight w:val="none"/>
        </w:rPr>
      </w:pPr>
      <w:r>
        <w:rPr>
          <w:rFonts w:ascii="Times New Roman" w:hAnsi="Times New Roman" w:eastAsia="宋体"/>
          <w:color w:val="auto"/>
          <w:highlight w:val="none"/>
        </w:rPr>
        <w:t>⑤安排专人定时巡查，检查各设施设备是否正常运行。</w:t>
      </w:r>
    </w:p>
    <w:p w14:paraId="4BBB13F6">
      <w:pPr>
        <w:pStyle w:val="5"/>
        <w:rPr>
          <w:rFonts w:ascii="Times New Roman" w:hAnsi="Times New Roman" w:eastAsia="宋体"/>
          <w:color w:val="auto"/>
          <w:highlight w:val="none"/>
        </w:rPr>
      </w:pPr>
      <w:bookmarkStart w:id="221" w:name="_Toc106663515"/>
      <w:r>
        <w:rPr>
          <w:rFonts w:hint="eastAsia" w:ascii="Times New Roman" w:hAnsi="Times New Roman" w:eastAsia="宋体"/>
          <w:color w:val="auto"/>
          <w:highlight w:val="none"/>
        </w:rPr>
        <w:t>5.3.8环境风险应急预案</w:t>
      </w:r>
      <w:bookmarkEnd w:id="221"/>
    </w:p>
    <w:p w14:paraId="67CC16B6">
      <w:pPr>
        <w:ind w:firstLine="480"/>
        <w:rPr>
          <w:rFonts w:ascii="Times New Roman" w:hAnsi="Times New Roman" w:eastAsia="宋体"/>
          <w:color w:val="auto"/>
          <w:highlight w:val="none"/>
        </w:rPr>
      </w:pPr>
      <w:r>
        <w:rPr>
          <w:rFonts w:ascii="Times New Roman" w:hAnsi="Times New Roman" w:eastAsia="宋体"/>
          <w:color w:val="auto"/>
          <w:highlight w:val="none"/>
        </w:rPr>
        <w:t>建设单位应根据《国家突发公共事件总体应急预案》、《国家事故应急预案框架指南》、《危险化学品事故应急救援预案编制导则》等相关规定的要求，制订和完善本项目风险事故应急预案。</w:t>
      </w:r>
    </w:p>
    <w:p w14:paraId="15F22BF7">
      <w:pPr>
        <w:numPr>
          <w:ilvl w:val="0"/>
          <w:numId w:val="2"/>
        </w:numPr>
        <w:ind w:firstLine="480"/>
        <w:rPr>
          <w:rFonts w:ascii="Times New Roman" w:hAnsi="Times New Roman" w:eastAsia="宋体"/>
          <w:color w:val="auto"/>
          <w:highlight w:val="none"/>
        </w:rPr>
      </w:pPr>
      <w:r>
        <w:rPr>
          <w:rFonts w:ascii="Times New Roman" w:hAnsi="Times New Roman" w:eastAsia="宋体"/>
          <w:color w:val="auto"/>
          <w:highlight w:val="none"/>
        </w:rPr>
        <w:t>企业内部应急预案</w:t>
      </w:r>
    </w:p>
    <w:p w14:paraId="55B9DDD4">
      <w:pPr>
        <w:ind w:firstLine="480"/>
        <w:rPr>
          <w:rFonts w:ascii="Times New Roman" w:hAnsi="Times New Roman" w:eastAsia="宋体"/>
          <w:color w:val="auto"/>
          <w:highlight w:val="none"/>
        </w:rPr>
      </w:pPr>
      <w:r>
        <w:rPr>
          <w:rFonts w:ascii="Times New Roman" w:hAnsi="Times New Roman" w:eastAsia="宋体"/>
          <w:color w:val="auto"/>
          <w:highlight w:val="none"/>
        </w:rPr>
        <w:t>建设单位应按照国家《事故应急预案框架指南》，开展经常性的安全预案演练，加强应急救援专业队伍建设，配备相应的安全防护和救援器材，提高快速反应救援能力，及时有效处置可能发生的应急事故。项目应建立应急预案，应急预案应包括以下的内容和要求：</w:t>
      </w:r>
    </w:p>
    <w:p w14:paraId="3255D85A">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①</w:t>
      </w:r>
      <w:r>
        <w:rPr>
          <w:rFonts w:ascii="Times New Roman" w:hAnsi="Times New Roman" w:eastAsia="宋体"/>
          <w:color w:val="auto"/>
          <w:highlight w:val="none"/>
        </w:rPr>
        <w:t>建立企业—乡镇人民政府—市人民政府的联防应急组织机构，并配备相应的人员。</w:t>
      </w:r>
    </w:p>
    <w:p w14:paraId="575FF6A6">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②</w:t>
      </w:r>
      <w:r>
        <w:rPr>
          <w:rFonts w:ascii="Times New Roman" w:hAnsi="Times New Roman" w:eastAsia="宋体"/>
          <w:color w:val="auto"/>
          <w:highlight w:val="none"/>
        </w:rPr>
        <w:t>规定预案的级别及分级响应程序，并设置应急设施，设备与器材等。</w:t>
      </w:r>
    </w:p>
    <w:p w14:paraId="3F2C0AA1">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③</w:t>
      </w:r>
      <w:r>
        <w:rPr>
          <w:rFonts w:ascii="Times New Roman" w:hAnsi="Times New Roman" w:eastAsia="宋体"/>
          <w:color w:val="auto"/>
          <w:highlight w:val="none"/>
        </w:rPr>
        <w:t>规定应急状态下的报警通讯方式、通知方式和交通保障、管制。</w:t>
      </w:r>
    </w:p>
    <w:p w14:paraId="355A8CCF">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④</w:t>
      </w:r>
      <w:r>
        <w:rPr>
          <w:rFonts w:ascii="Times New Roman" w:hAnsi="Times New Roman" w:eastAsia="宋体"/>
          <w:color w:val="auto"/>
          <w:highlight w:val="none"/>
        </w:rPr>
        <w:t>由专业队伍负责对事故现场进行侦察监测，对事故性质、参数与后果进行评估，为指挥部门提供决策依据。组织人员成立抢险队，及时拦截危险品泄漏至水体或打捞落入水体中的物件，同时采取相应的处置措施，最大限度地减轻影响范围和程度。</w:t>
      </w:r>
    </w:p>
    <w:p w14:paraId="5D2EDBAC">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⑤</w:t>
      </w:r>
      <w:r>
        <w:rPr>
          <w:rFonts w:ascii="Times New Roman" w:hAnsi="Times New Roman" w:eastAsia="宋体"/>
          <w:color w:val="auto"/>
          <w:highlight w:val="none"/>
        </w:rPr>
        <w:t>应急检测、防护措施、清除泄漏措施和器材。</w:t>
      </w:r>
    </w:p>
    <w:p w14:paraId="4BC30ECD">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⑥</w:t>
      </w:r>
      <w:r>
        <w:rPr>
          <w:rFonts w:ascii="Times New Roman" w:hAnsi="Times New Roman" w:eastAsia="宋体"/>
          <w:color w:val="auto"/>
          <w:highlight w:val="none"/>
        </w:rPr>
        <w:t>事故现场、受事故影响的区域人员及公众对毒物应急剂量控制规定，撤离组织计划及救护，医疗救护与公众健康。</w:t>
      </w:r>
    </w:p>
    <w:p w14:paraId="225CC590">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⑦</w:t>
      </w:r>
      <w:r>
        <w:rPr>
          <w:rFonts w:ascii="Times New Roman" w:hAnsi="Times New Roman" w:eastAsia="宋体"/>
          <w:color w:val="auto"/>
          <w:highlight w:val="none"/>
        </w:rPr>
        <w:t>规定应急状态终止程序，事故现场善后处理，恢复措施，邻近区域解除事故警戒及善后恢复措施。</w:t>
      </w:r>
    </w:p>
    <w:p w14:paraId="699B3465">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⑧</w:t>
      </w:r>
      <w:r>
        <w:rPr>
          <w:rFonts w:ascii="Times New Roman" w:hAnsi="Times New Roman" w:eastAsia="宋体"/>
          <w:color w:val="auto"/>
          <w:highlight w:val="none"/>
        </w:rPr>
        <w:t>应急计划制定后，平时安排人员培训与演练。</w:t>
      </w:r>
    </w:p>
    <w:p w14:paraId="58154646">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⑨</w:t>
      </w:r>
      <w:r>
        <w:rPr>
          <w:rFonts w:ascii="Times New Roman" w:hAnsi="Times New Roman" w:eastAsia="宋体"/>
          <w:color w:val="auto"/>
          <w:highlight w:val="none"/>
        </w:rPr>
        <w:t>对邻近地区开展公众教育、培训和发布有关信息。</w:t>
      </w:r>
    </w:p>
    <w:p w14:paraId="55B82BEE">
      <w:pPr>
        <w:ind w:firstLine="480"/>
        <w:rPr>
          <w:rFonts w:ascii="Times New Roman" w:hAnsi="Times New Roman" w:eastAsia="宋体"/>
          <w:color w:val="auto"/>
          <w:highlight w:val="none"/>
        </w:rPr>
      </w:pPr>
      <w:r>
        <w:rPr>
          <w:rFonts w:ascii="Times New Roman" w:hAnsi="Times New Roman" w:eastAsia="宋体"/>
          <w:color w:val="auto"/>
          <w:highlight w:val="none"/>
        </w:rPr>
        <w:t>事故应急处置程序如图</w:t>
      </w:r>
      <w:r>
        <w:rPr>
          <w:rFonts w:hint="eastAsia" w:ascii="Times New Roman" w:hAnsi="Times New Roman" w:eastAsia="宋体"/>
          <w:color w:val="auto"/>
          <w:highlight w:val="none"/>
        </w:rPr>
        <w:t>5.3-2</w:t>
      </w:r>
      <w:r>
        <w:rPr>
          <w:rFonts w:ascii="Times New Roman" w:hAnsi="Times New Roman" w:eastAsia="宋体"/>
          <w:color w:val="auto"/>
          <w:highlight w:val="none"/>
        </w:rPr>
        <w:t>所示。</w:t>
      </w:r>
    </w:p>
    <w:p w14:paraId="017C0B32">
      <w:pPr>
        <w:ind w:firstLine="0" w:firstLineChars="0"/>
        <w:jc w:val="center"/>
        <w:rPr>
          <w:rFonts w:ascii="Times New Roman" w:hAnsi="Times New Roman" w:eastAsia="宋体"/>
          <w:color w:val="auto"/>
          <w:highlight w:val="none"/>
        </w:rPr>
      </w:pPr>
      <w:r>
        <w:rPr>
          <w:rFonts w:ascii="Times New Roman" w:hAnsi="Times New Roman" w:eastAsia="宋体"/>
          <w:color w:val="auto"/>
          <w:highlight w:val="none"/>
        </w:rPr>
        <w:drawing>
          <wp:inline distT="0" distB="0" distL="0" distR="0">
            <wp:extent cx="4465955" cy="31711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4475576" cy="3178057"/>
                    </a:xfrm>
                    <a:prstGeom prst="rect">
                      <a:avLst/>
                    </a:prstGeom>
                    <a:noFill/>
                    <a:ln>
                      <a:noFill/>
                    </a:ln>
                  </pic:spPr>
                </pic:pic>
              </a:graphicData>
            </a:graphic>
          </wp:inline>
        </w:drawing>
      </w:r>
    </w:p>
    <w:p w14:paraId="038C50FC">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图5.3-2事故应急处置程序</w:t>
      </w:r>
    </w:p>
    <w:p w14:paraId="0B67FBBF">
      <w:pPr>
        <w:ind w:firstLine="480"/>
        <w:rPr>
          <w:rFonts w:ascii="Times New Roman" w:hAnsi="Times New Roman" w:eastAsia="宋体"/>
          <w:color w:val="auto"/>
          <w:highlight w:val="none"/>
        </w:rPr>
      </w:pPr>
      <w:r>
        <w:rPr>
          <w:rFonts w:hint="eastAsia" w:ascii="Times New Roman" w:hAnsi="Times New Roman" w:eastAsia="宋体"/>
          <w:color w:val="auto"/>
          <w:highlight w:val="none"/>
        </w:rPr>
        <w:t>（2）</w:t>
      </w:r>
      <w:r>
        <w:rPr>
          <w:rFonts w:ascii="Times New Roman" w:hAnsi="Times New Roman" w:eastAsia="宋体"/>
          <w:color w:val="auto"/>
          <w:highlight w:val="none"/>
        </w:rPr>
        <w:t>应急救援保障</w:t>
      </w:r>
    </w:p>
    <w:p w14:paraId="30254E35">
      <w:pPr>
        <w:ind w:firstLine="480"/>
        <w:rPr>
          <w:rFonts w:ascii="Times New Roman" w:hAnsi="Times New Roman" w:eastAsia="宋体"/>
          <w:color w:val="auto"/>
          <w:highlight w:val="none"/>
        </w:rPr>
      </w:pPr>
      <w:r>
        <w:rPr>
          <w:rFonts w:ascii="Times New Roman" w:hAnsi="Times New Roman" w:eastAsia="宋体"/>
          <w:color w:val="auto"/>
          <w:highlight w:val="none"/>
        </w:rPr>
        <w:t>企业需具备应急救援保障设备及器材，包括防护服、消防水泵、灭火器材、氧气呼吸器、防爆手电、对讲机、警戒围绳等。</w:t>
      </w:r>
    </w:p>
    <w:p w14:paraId="19E7093C">
      <w:pPr>
        <w:ind w:firstLine="480"/>
        <w:rPr>
          <w:rFonts w:ascii="Times New Roman" w:hAnsi="Times New Roman" w:eastAsia="宋体"/>
          <w:color w:val="auto"/>
          <w:highlight w:val="none"/>
        </w:rPr>
      </w:pPr>
      <w:r>
        <w:rPr>
          <w:rFonts w:hint="eastAsia" w:ascii="Times New Roman" w:hAnsi="Times New Roman" w:eastAsia="宋体"/>
          <w:color w:val="auto"/>
          <w:highlight w:val="none"/>
        </w:rPr>
        <w:t>（3）</w:t>
      </w:r>
      <w:r>
        <w:rPr>
          <w:rFonts w:ascii="Times New Roman" w:hAnsi="Times New Roman" w:eastAsia="宋体"/>
          <w:color w:val="auto"/>
          <w:highlight w:val="none"/>
        </w:rPr>
        <w:t>事故应急措施</w:t>
      </w:r>
    </w:p>
    <w:p w14:paraId="4E6DF452">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①</w:t>
      </w:r>
      <w:r>
        <w:rPr>
          <w:rFonts w:ascii="Times New Roman" w:hAnsi="Times New Roman" w:eastAsia="宋体"/>
          <w:color w:val="auto"/>
          <w:highlight w:val="none"/>
        </w:rPr>
        <w:t>污水渗漏事故应急措施</w:t>
      </w:r>
    </w:p>
    <w:p w14:paraId="24370A11">
      <w:pPr>
        <w:ind w:firstLine="480"/>
        <w:rPr>
          <w:rFonts w:ascii="Times New Roman" w:hAnsi="Times New Roman" w:eastAsia="宋体"/>
          <w:color w:val="auto"/>
          <w:highlight w:val="none"/>
        </w:rPr>
      </w:pPr>
      <w:r>
        <w:rPr>
          <w:rFonts w:ascii="Times New Roman" w:hAnsi="Times New Roman" w:eastAsia="宋体"/>
          <w:color w:val="auto"/>
          <w:highlight w:val="none"/>
        </w:rPr>
        <w:t>一旦发现污水渗漏，应及时对渗漏处进行处理，同时对周边地下水进行监测，如发现地下水受到污染，可以采取水力抽取截获的方法，将受到污染的区域的地下水用水泵抽出，防止受污染的地下水向周围迁移，减少污染扩散，同时应上报环保及水利部门采取进一步应急措施。</w:t>
      </w:r>
    </w:p>
    <w:p w14:paraId="5B592398">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②</w:t>
      </w:r>
      <w:r>
        <w:rPr>
          <w:rFonts w:ascii="Times New Roman" w:hAnsi="Times New Roman" w:eastAsia="宋体"/>
          <w:color w:val="auto"/>
          <w:highlight w:val="none"/>
        </w:rPr>
        <w:t>疫病事故应急措施</w:t>
      </w:r>
    </w:p>
    <w:p w14:paraId="2F419887">
      <w:pPr>
        <w:ind w:firstLine="480"/>
        <w:rPr>
          <w:rFonts w:ascii="Times New Roman" w:hAnsi="Times New Roman" w:eastAsia="宋体"/>
          <w:color w:val="auto"/>
          <w:highlight w:val="none"/>
        </w:rPr>
      </w:pPr>
      <w:r>
        <w:rPr>
          <w:rFonts w:ascii="Times New Roman" w:hAnsi="Times New Roman" w:eastAsia="宋体"/>
          <w:color w:val="auto"/>
          <w:highlight w:val="none"/>
        </w:rPr>
        <w:t>兽医应及时诊断、调查疫源，根据疫病种类做好隔离、消毒、紧急防疫、</w:t>
      </w:r>
      <w:r>
        <w:rPr>
          <w:rFonts w:hint="eastAsia"/>
          <w:color w:val="auto"/>
          <w:highlight w:val="none"/>
          <w:lang w:val="en-US" w:eastAsia="zh-CN"/>
        </w:rPr>
        <w:t>鸡</w:t>
      </w:r>
      <w:r>
        <w:rPr>
          <w:rFonts w:ascii="Times New Roman" w:hAnsi="Times New Roman" w:eastAsia="宋体"/>
          <w:color w:val="auto"/>
          <w:highlight w:val="none"/>
        </w:rPr>
        <w:t>病治疗和淘汰等工作，把疫情控制在最小范围内；发生人畜共患病时，及时报告卫生部门，共同采取扑灭措施；在最后一只病</w:t>
      </w:r>
      <w:r>
        <w:rPr>
          <w:rFonts w:hint="eastAsia"/>
          <w:color w:val="auto"/>
          <w:highlight w:val="none"/>
          <w:lang w:val="en-US" w:eastAsia="zh-CN"/>
        </w:rPr>
        <w:t>鸡</w:t>
      </w:r>
      <w:r>
        <w:rPr>
          <w:rFonts w:ascii="Times New Roman" w:hAnsi="Times New Roman" w:eastAsia="宋体"/>
          <w:color w:val="auto"/>
          <w:highlight w:val="none"/>
        </w:rPr>
        <w:t>淘汰或痊愈后，需经该传染病最长潜伏期的观察，不再出现新病例，并经严格消毒后，可撤消隔离或申请解除。</w:t>
      </w:r>
    </w:p>
    <w:p w14:paraId="50E45702">
      <w:pPr>
        <w:ind w:firstLine="480"/>
        <w:rPr>
          <w:rFonts w:ascii="Times New Roman" w:hAnsi="Times New Roman" w:eastAsia="宋体"/>
          <w:color w:val="auto"/>
          <w:highlight w:val="none"/>
        </w:rPr>
      </w:pPr>
      <w:r>
        <w:rPr>
          <w:rFonts w:hint="eastAsia" w:ascii="Times New Roman" w:hAnsi="Times New Roman" w:eastAsia="宋体"/>
          <w:color w:val="auto"/>
          <w:highlight w:val="none"/>
        </w:rPr>
        <w:t>（4）</w:t>
      </w:r>
      <w:r>
        <w:rPr>
          <w:rFonts w:ascii="Times New Roman" w:hAnsi="Times New Roman" w:eastAsia="宋体"/>
          <w:color w:val="auto"/>
          <w:highlight w:val="none"/>
        </w:rPr>
        <w:t>应急终止</w:t>
      </w:r>
    </w:p>
    <w:p w14:paraId="50132F86">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①</w:t>
      </w:r>
      <w:r>
        <w:rPr>
          <w:rFonts w:ascii="Times New Roman" w:hAnsi="Times New Roman" w:eastAsia="宋体"/>
          <w:color w:val="auto"/>
          <w:highlight w:val="none"/>
        </w:rPr>
        <w:t>应急终止的条件</w:t>
      </w:r>
    </w:p>
    <w:p w14:paraId="1B25A2AC">
      <w:pPr>
        <w:ind w:firstLine="480"/>
        <w:rPr>
          <w:rFonts w:ascii="Times New Roman" w:hAnsi="Times New Roman" w:eastAsia="宋体"/>
          <w:color w:val="auto"/>
          <w:highlight w:val="none"/>
        </w:rPr>
      </w:pPr>
      <w:r>
        <w:rPr>
          <w:rFonts w:ascii="Times New Roman" w:hAnsi="Times New Roman" w:eastAsia="宋体"/>
          <w:color w:val="auto"/>
          <w:highlight w:val="none"/>
        </w:rPr>
        <w:t>a、事件现场得到控制，事件条件已经消除；</w:t>
      </w:r>
    </w:p>
    <w:p w14:paraId="2054AA36">
      <w:pPr>
        <w:ind w:firstLine="480"/>
        <w:rPr>
          <w:rFonts w:ascii="Times New Roman" w:hAnsi="Times New Roman" w:eastAsia="宋体"/>
          <w:color w:val="auto"/>
          <w:highlight w:val="none"/>
        </w:rPr>
      </w:pPr>
      <w:r>
        <w:rPr>
          <w:rFonts w:ascii="Times New Roman" w:hAnsi="Times New Roman" w:eastAsia="宋体"/>
          <w:color w:val="auto"/>
          <w:highlight w:val="none"/>
        </w:rPr>
        <w:t>b、污染源的释放已降至规定限值以内；</w:t>
      </w:r>
    </w:p>
    <w:p w14:paraId="7FC40B08">
      <w:pPr>
        <w:ind w:firstLine="480"/>
        <w:rPr>
          <w:rFonts w:ascii="Times New Roman" w:hAnsi="Times New Roman" w:eastAsia="宋体"/>
          <w:color w:val="auto"/>
          <w:highlight w:val="none"/>
        </w:rPr>
      </w:pPr>
      <w:r>
        <w:rPr>
          <w:rFonts w:ascii="Times New Roman" w:hAnsi="Times New Roman" w:eastAsia="宋体"/>
          <w:color w:val="auto"/>
          <w:highlight w:val="none"/>
        </w:rPr>
        <w:t>c、事件所造成的危害已经被彻底消除，无继发可能；</w:t>
      </w:r>
    </w:p>
    <w:p w14:paraId="570E650F">
      <w:pPr>
        <w:ind w:firstLine="480"/>
        <w:rPr>
          <w:rFonts w:ascii="Times New Roman" w:hAnsi="Times New Roman" w:eastAsia="宋体"/>
          <w:color w:val="auto"/>
          <w:highlight w:val="none"/>
        </w:rPr>
      </w:pPr>
      <w:r>
        <w:rPr>
          <w:rFonts w:ascii="Times New Roman" w:hAnsi="Times New Roman" w:eastAsia="宋体"/>
          <w:color w:val="auto"/>
          <w:highlight w:val="none"/>
        </w:rPr>
        <w:t>d、事件现场的各种专业应急处置行动已无继续的必要；</w:t>
      </w:r>
    </w:p>
    <w:p w14:paraId="58565913">
      <w:pPr>
        <w:ind w:firstLine="480"/>
        <w:rPr>
          <w:rFonts w:ascii="Times New Roman" w:hAnsi="Times New Roman" w:eastAsia="宋体"/>
          <w:color w:val="auto"/>
          <w:highlight w:val="none"/>
        </w:rPr>
      </w:pPr>
      <w:r>
        <w:rPr>
          <w:rFonts w:ascii="Times New Roman" w:hAnsi="Times New Roman" w:eastAsia="宋体"/>
          <w:color w:val="auto"/>
          <w:highlight w:val="none"/>
        </w:rPr>
        <w:t>e、采取一切必要的防护措施以保护公众再次免受危害，并使事件可能引起的中长期影响趋于合理且尽量低的水平。</w:t>
      </w:r>
    </w:p>
    <w:p w14:paraId="441982AD">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②</w:t>
      </w:r>
      <w:r>
        <w:rPr>
          <w:rFonts w:ascii="Times New Roman" w:hAnsi="Times New Roman" w:eastAsia="宋体"/>
          <w:color w:val="auto"/>
          <w:highlight w:val="none"/>
        </w:rPr>
        <w:t>应急终止的程序</w:t>
      </w:r>
    </w:p>
    <w:p w14:paraId="764283B4">
      <w:pPr>
        <w:ind w:firstLine="480"/>
        <w:rPr>
          <w:rFonts w:ascii="Times New Roman" w:hAnsi="Times New Roman" w:eastAsia="宋体"/>
          <w:color w:val="auto"/>
          <w:highlight w:val="none"/>
        </w:rPr>
      </w:pPr>
      <w:r>
        <w:rPr>
          <w:rFonts w:ascii="Times New Roman" w:hAnsi="Times New Roman" w:eastAsia="宋体"/>
          <w:color w:val="auto"/>
          <w:highlight w:val="none"/>
        </w:rPr>
        <w:t>a、指挥领导小组确认终止时机或由事故责任单位提出，经指挥领导小组批准；</w:t>
      </w:r>
    </w:p>
    <w:p w14:paraId="235A703C">
      <w:pPr>
        <w:ind w:firstLine="480"/>
        <w:rPr>
          <w:rFonts w:ascii="Times New Roman" w:hAnsi="Times New Roman" w:eastAsia="宋体"/>
          <w:color w:val="auto"/>
          <w:highlight w:val="none"/>
        </w:rPr>
      </w:pPr>
      <w:r>
        <w:rPr>
          <w:rFonts w:ascii="Times New Roman" w:hAnsi="Times New Roman" w:eastAsia="宋体"/>
          <w:color w:val="auto"/>
          <w:highlight w:val="none"/>
        </w:rPr>
        <w:t>b、指挥领导小组向所属各专业应急响应队伍下达应急终止命令；</w:t>
      </w:r>
    </w:p>
    <w:p w14:paraId="6DE6E8DD">
      <w:pPr>
        <w:ind w:firstLine="480"/>
        <w:rPr>
          <w:rFonts w:ascii="Times New Roman" w:hAnsi="Times New Roman" w:eastAsia="宋体"/>
          <w:color w:val="auto"/>
          <w:highlight w:val="none"/>
        </w:rPr>
      </w:pPr>
      <w:r>
        <w:rPr>
          <w:rFonts w:ascii="Times New Roman" w:hAnsi="Times New Roman" w:eastAsia="宋体"/>
          <w:color w:val="auto"/>
          <w:highlight w:val="none"/>
        </w:rPr>
        <w:t>c、应急状态终止后，相关类别环境事件专业应急工作组应根据政府有关指示和实际情况，继续进行环境监测和评价工作，直至其他补救措施无须继续进行为止。</w:t>
      </w:r>
    </w:p>
    <w:p w14:paraId="1530B343">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③</w:t>
      </w:r>
      <w:r>
        <w:rPr>
          <w:rFonts w:ascii="Times New Roman" w:hAnsi="Times New Roman" w:eastAsia="宋体"/>
          <w:color w:val="auto"/>
          <w:highlight w:val="none"/>
        </w:rPr>
        <w:t>应急终止后的后续工作</w:t>
      </w:r>
    </w:p>
    <w:p w14:paraId="20A4228B">
      <w:pPr>
        <w:ind w:firstLine="480"/>
        <w:rPr>
          <w:rFonts w:ascii="Times New Roman" w:hAnsi="Times New Roman" w:eastAsia="宋体"/>
          <w:color w:val="auto"/>
          <w:highlight w:val="none"/>
        </w:rPr>
      </w:pPr>
      <w:r>
        <w:rPr>
          <w:rFonts w:ascii="Times New Roman" w:hAnsi="Times New Roman" w:eastAsia="宋体"/>
          <w:color w:val="auto"/>
          <w:highlight w:val="none"/>
        </w:rPr>
        <w:t>a、污染物进入周围环境后，随着稀释、扩散和降解等作用，其浓度会逐渐降低。为了掌握事故发生后的污染程度、范围及变化趋势，在应急状态终止后，环境安全监测组人员应进行污染物的跟踪监测，直至环境恢复正常或达标。</w:t>
      </w:r>
    </w:p>
    <w:p w14:paraId="0AEA8B2F">
      <w:pPr>
        <w:ind w:firstLine="480"/>
        <w:rPr>
          <w:rFonts w:ascii="Times New Roman" w:hAnsi="Times New Roman" w:eastAsia="宋体"/>
          <w:color w:val="auto"/>
          <w:highlight w:val="none"/>
        </w:rPr>
      </w:pPr>
      <w:r>
        <w:rPr>
          <w:rFonts w:ascii="Times New Roman" w:hAnsi="Times New Roman" w:eastAsia="宋体"/>
          <w:color w:val="auto"/>
          <w:highlight w:val="none"/>
        </w:rPr>
        <w:t>b、向本单位相关部门、周边村庄等受影响区域，通知本事件危险已解除。</w:t>
      </w:r>
    </w:p>
    <w:p w14:paraId="74ABC376">
      <w:pPr>
        <w:ind w:firstLine="480"/>
        <w:rPr>
          <w:rFonts w:ascii="Times New Roman" w:hAnsi="Times New Roman" w:eastAsia="宋体"/>
          <w:color w:val="auto"/>
          <w:highlight w:val="none"/>
        </w:rPr>
      </w:pPr>
      <w:r>
        <w:rPr>
          <w:rFonts w:ascii="Times New Roman" w:hAnsi="Times New Roman" w:eastAsia="宋体"/>
          <w:color w:val="auto"/>
          <w:highlight w:val="none"/>
        </w:rPr>
        <w:t>c、应急终止后，应急指挥组应做好现场的保护，用隔离警示带围住事故现场区域。应急指挥组还要配合有关部门查找事件原因，防止类似问题的重复出现。</w:t>
      </w:r>
    </w:p>
    <w:p w14:paraId="7CB108B4">
      <w:pPr>
        <w:ind w:firstLine="480"/>
        <w:rPr>
          <w:rFonts w:ascii="Times New Roman" w:hAnsi="Times New Roman" w:eastAsia="宋体"/>
          <w:color w:val="auto"/>
          <w:highlight w:val="none"/>
        </w:rPr>
      </w:pPr>
      <w:r>
        <w:rPr>
          <w:rFonts w:ascii="Times New Roman" w:hAnsi="Times New Roman" w:eastAsia="宋体"/>
          <w:color w:val="auto"/>
          <w:highlight w:val="none"/>
        </w:rPr>
        <w:t>d、撰写突发环境事件总结报告，于应急终止后上报。</w:t>
      </w:r>
    </w:p>
    <w:p w14:paraId="2BDD3CE6">
      <w:pPr>
        <w:ind w:firstLine="480"/>
        <w:rPr>
          <w:rFonts w:ascii="Times New Roman" w:hAnsi="Times New Roman" w:eastAsia="宋体"/>
          <w:color w:val="auto"/>
          <w:highlight w:val="none"/>
        </w:rPr>
      </w:pPr>
      <w:r>
        <w:rPr>
          <w:rFonts w:ascii="Times New Roman" w:hAnsi="Times New Roman" w:eastAsia="宋体"/>
          <w:color w:val="auto"/>
          <w:highlight w:val="none"/>
        </w:rPr>
        <w:t>e、根据环境事件的类别，由相关专业主管部门组织对环境应急预案进行评估，并及时修订。</w:t>
      </w:r>
    </w:p>
    <w:p w14:paraId="5337861F">
      <w:pPr>
        <w:ind w:firstLine="480"/>
        <w:rPr>
          <w:rFonts w:ascii="Times New Roman" w:hAnsi="Times New Roman" w:eastAsia="宋体"/>
          <w:color w:val="auto"/>
          <w:highlight w:val="none"/>
        </w:rPr>
      </w:pPr>
      <w:r>
        <w:rPr>
          <w:rFonts w:ascii="Times New Roman" w:hAnsi="Times New Roman" w:eastAsia="宋体"/>
          <w:color w:val="auto"/>
          <w:highlight w:val="none"/>
        </w:rPr>
        <w:t>f、参加应急行动的部门分别组织、指导环境应急救援队伍维护、保养应急仪器设备，使之始终保持良好的技术状态。</w:t>
      </w:r>
    </w:p>
    <w:p w14:paraId="2B54AB14">
      <w:pPr>
        <w:ind w:firstLine="480"/>
        <w:rPr>
          <w:rFonts w:ascii="Times New Roman" w:hAnsi="Times New Roman" w:eastAsia="宋体"/>
          <w:color w:val="auto"/>
          <w:highlight w:val="none"/>
        </w:rPr>
      </w:pPr>
      <w:r>
        <w:rPr>
          <w:rFonts w:ascii="Times New Roman" w:hAnsi="Times New Roman" w:eastAsia="宋体"/>
          <w:color w:val="auto"/>
          <w:highlight w:val="none"/>
        </w:rPr>
        <w:t>g、根据事故调查结果，对公司现有的防范措施与应急预案进行评价，指出其有效性和不足之处，提出整改意见。</w:t>
      </w:r>
    </w:p>
    <w:p w14:paraId="02C463BE">
      <w:pPr>
        <w:ind w:firstLine="480"/>
        <w:rPr>
          <w:rFonts w:ascii="Times New Roman" w:hAnsi="Times New Roman" w:eastAsia="宋体"/>
          <w:color w:val="auto"/>
          <w:highlight w:val="none"/>
        </w:rPr>
      </w:pPr>
      <w:r>
        <w:rPr>
          <w:rFonts w:hint="eastAsia" w:ascii="Times New Roman" w:hAnsi="Times New Roman" w:eastAsia="宋体"/>
          <w:color w:val="auto"/>
          <w:highlight w:val="none"/>
        </w:rPr>
        <w:t>（5）</w:t>
      </w:r>
      <w:r>
        <w:rPr>
          <w:rFonts w:ascii="Times New Roman" w:hAnsi="Times New Roman" w:eastAsia="宋体"/>
          <w:color w:val="auto"/>
          <w:highlight w:val="none"/>
        </w:rPr>
        <w:t>应急救援培训计划</w:t>
      </w:r>
    </w:p>
    <w:p w14:paraId="56AD3843">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①</w:t>
      </w:r>
      <w:r>
        <w:rPr>
          <w:rFonts w:ascii="Times New Roman" w:hAnsi="Times New Roman" w:eastAsia="宋体"/>
          <w:color w:val="auto"/>
          <w:highlight w:val="none"/>
        </w:rPr>
        <w:t>应急救援人员培训</w:t>
      </w:r>
    </w:p>
    <w:p w14:paraId="4584B059">
      <w:pPr>
        <w:ind w:firstLine="480"/>
        <w:rPr>
          <w:rFonts w:ascii="Times New Roman" w:hAnsi="Times New Roman" w:eastAsia="宋体"/>
          <w:color w:val="auto"/>
          <w:highlight w:val="none"/>
        </w:rPr>
      </w:pPr>
      <w:r>
        <w:rPr>
          <w:rFonts w:ascii="Times New Roman" w:hAnsi="Times New Roman" w:eastAsia="宋体"/>
          <w:color w:val="auto"/>
          <w:highlight w:val="none"/>
        </w:rPr>
        <w:t>建设单位应定期对应急救援人员进行应急事故处理及紧急救援培训，应急救援人员的培训由领导小组统一安排制定专人进行。</w:t>
      </w:r>
    </w:p>
    <w:p w14:paraId="0BD22E2A">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②</w:t>
      </w:r>
      <w:r>
        <w:rPr>
          <w:rFonts w:ascii="Times New Roman" w:hAnsi="Times New Roman" w:eastAsia="宋体"/>
          <w:color w:val="auto"/>
          <w:highlight w:val="none"/>
        </w:rPr>
        <w:t>员工应急响应培训</w:t>
      </w:r>
    </w:p>
    <w:p w14:paraId="22A5EE37">
      <w:pPr>
        <w:ind w:firstLine="480"/>
        <w:rPr>
          <w:rFonts w:ascii="Times New Roman" w:hAnsi="Times New Roman" w:eastAsia="宋体"/>
          <w:color w:val="auto"/>
          <w:highlight w:val="none"/>
        </w:rPr>
      </w:pPr>
      <w:r>
        <w:rPr>
          <w:rFonts w:ascii="Times New Roman" w:hAnsi="Times New Roman" w:eastAsia="宋体"/>
          <w:color w:val="auto"/>
          <w:highlight w:val="none"/>
        </w:rPr>
        <w:t>由建设单位组织应急救援人员定期对员工进行应急事故处理及紧急救援培训，提高员工风险防范意识及自救能力。</w:t>
      </w:r>
    </w:p>
    <w:p w14:paraId="7A6558BF">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③</w:t>
      </w:r>
      <w:r>
        <w:rPr>
          <w:rFonts w:ascii="Times New Roman" w:hAnsi="Times New Roman" w:eastAsia="宋体"/>
          <w:color w:val="auto"/>
          <w:highlight w:val="none"/>
        </w:rPr>
        <w:t>演练计划</w:t>
      </w:r>
    </w:p>
    <w:p w14:paraId="5649AD76">
      <w:pPr>
        <w:ind w:firstLine="480"/>
        <w:rPr>
          <w:rFonts w:ascii="Times New Roman" w:hAnsi="Times New Roman" w:eastAsia="宋体"/>
          <w:color w:val="auto"/>
          <w:highlight w:val="none"/>
        </w:rPr>
      </w:pPr>
      <w:r>
        <w:rPr>
          <w:rFonts w:ascii="Times New Roman" w:hAnsi="Times New Roman" w:eastAsia="宋体"/>
          <w:color w:val="auto"/>
          <w:highlight w:val="none"/>
        </w:rPr>
        <w:t>建设单位须定期进行突发事件紧急响应演习，至少每半年组织一次，由公司应急救援领导小组组织。</w:t>
      </w:r>
    </w:p>
    <w:p w14:paraId="2F853B04">
      <w:pPr>
        <w:ind w:firstLine="480"/>
        <w:rPr>
          <w:rFonts w:ascii="Times New Roman" w:hAnsi="Times New Roman" w:eastAsia="宋体"/>
          <w:color w:val="auto"/>
          <w:highlight w:val="none"/>
        </w:rPr>
      </w:pPr>
      <w:r>
        <w:rPr>
          <w:rFonts w:hint="eastAsia" w:ascii="Times New Roman" w:hAnsi="Times New Roman" w:eastAsia="宋体"/>
          <w:color w:val="auto"/>
          <w:highlight w:val="none"/>
        </w:rPr>
        <w:t>（6）</w:t>
      </w:r>
      <w:r>
        <w:rPr>
          <w:rFonts w:ascii="Times New Roman" w:hAnsi="Times New Roman" w:eastAsia="宋体"/>
          <w:color w:val="auto"/>
          <w:highlight w:val="none"/>
        </w:rPr>
        <w:t>应急预案演习</w:t>
      </w:r>
    </w:p>
    <w:p w14:paraId="37D4B437">
      <w:pPr>
        <w:ind w:firstLine="480"/>
        <w:rPr>
          <w:rFonts w:ascii="Times New Roman" w:hAnsi="Times New Roman" w:eastAsia="宋体"/>
          <w:color w:val="auto"/>
          <w:highlight w:val="none"/>
        </w:rPr>
      </w:pPr>
      <w:r>
        <w:rPr>
          <w:rFonts w:ascii="Times New Roman" w:hAnsi="Times New Roman" w:eastAsia="宋体"/>
          <w:color w:val="auto"/>
          <w:highlight w:val="none"/>
        </w:rPr>
        <w:t>为验证应急预案的可操作性和合理性，确保所有职工都了解该应急预案，同时为了增强各部门之间的相互协作能力，应对各类可能发生事故进行培训和应急演练，从而确保预案的适时改进。所有运作人员参与污染事故应急演习的时间间隔不得超过一年，并做好演练记录。</w:t>
      </w:r>
    </w:p>
    <w:p w14:paraId="4FA30FBD">
      <w:pPr>
        <w:ind w:firstLine="480"/>
        <w:rPr>
          <w:rFonts w:ascii="Times New Roman" w:hAnsi="Times New Roman" w:eastAsia="宋体"/>
          <w:color w:val="auto"/>
          <w:highlight w:val="none"/>
        </w:rPr>
      </w:pPr>
      <w:r>
        <w:rPr>
          <w:rFonts w:ascii="Times New Roman" w:hAnsi="Times New Roman" w:eastAsia="宋体"/>
          <w:color w:val="auto"/>
          <w:highlight w:val="none"/>
        </w:rPr>
        <w:t>根据本项目的实际情况，企业还应从以下几方面加强事故应急防范：</w:t>
      </w:r>
    </w:p>
    <w:p w14:paraId="0F97E93B">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①</w:t>
      </w:r>
      <w:r>
        <w:rPr>
          <w:rFonts w:ascii="Times New Roman" w:hAnsi="Times New Roman" w:eastAsia="宋体"/>
          <w:color w:val="auto"/>
          <w:highlight w:val="none"/>
        </w:rPr>
        <w:t>建立应急救援指挥系统</w:t>
      </w:r>
    </w:p>
    <w:p w14:paraId="017B6685">
      <w:pPr>
        <w:ind w:firstLine="480"/>
        <w:rPr>
          <w:rFonts w:ascii="Times New Roman" w:hAnsi="Times New Roman" w:eastAsia="宋体"/>
          <w:color w:val="auto"/>
          <w:highlight w:val="none"/>
        </w:rPr>
      </w:pPr>
      <w:r>
        <w:rPr>
          <w:rFonts w:ascii="Times New Roman" w:hAnsi="Times New Roman" w:eastAsia="宋体"/>
          <w:color w:val="auto"/>
          <w:highlight w:val="none"/>
        </w:rPr>
        <w:t>企业应组建指挥小组。指挥小组负责重大事故应急预案的制定及修订；组建应急救援专业队伍，定时组织工作人员进行培训，并组织实施平时的演练；经常性检查应急预案的各项准备工作，以确保系统能正常工作。及时向上级汇报事故情况，并对事故做总结。</w:t>
      </w:r>
    </w:p>
    <w:p w14:paraId="7EAEB182">
      <w:pPr>
        <w:ind w:firstLine="480"/>
        <w:rPr>
          <w:rFonts w:ascii="Times New Roman" w:hAnsi="Times New Roman" w:eastAsia="宋体"/>
          <w:color w:val="auto"/>
          <w:highlight w:val="none"/>
        </w:rPr>
      </w:pPr>
      <w:r>
        <w:rPr>
          <w:rFonts w:hint="eastAsia" w:ascii="Times New Roman" w:hAnsi="Times New Roman" w:eastAsia="宋体" w:cs="宋体"/>
          <w:color w:val="auto"/>
          <w:highlight w:val="none"/>
        </w:rPr>
        <w:t>②</w:t>
      </w:r>
      <w:r>
        <w:rPr>
          <w:rFonts w:ascii="Times New Roman" w:hAnsi="Times New Roman" w:eastAsia="宋体"/>
          <w:color w:val="auto"/>
          <w:highlight w:val="none"/>
        </w:rPr>
        <w:t>现场事故处置</w:t>
      </w:r>
    </w:p>
    <w:p w14:paraId="7A618867">
      <w:pPr>
        <w:ind w:firstLine="480"/>
        <w:rPr>
          <w:rFonts w:ascii="Times New Roman" w:hAnsi="Times New Roman" w:eastAsia="宋体"/>
          <w:color w:val="auto"/>
          <w:highlight w:val="none"/>
        </w:rPr>
      </w:pPr>
      <w:r>
        <w:rPr>
          <w:rFonts w:ascii="Times New Roman" w:hAnsi="Times New Roman" w:eastAsia="宋体"/>
          <w:color w:val="auto"/>
          <w:highlight w:val="none"/>
        </w:rPr>
        <w:t>发生重大事故时，应紧急疏散场区工作人员，危险区域实行隔离，禁止进入，无关人员不得靠近。现场扑救人员应佩戴氧气隔离防毒面具，穿专用防护服</w:t>
      </w:r>
      <w:r>
        <w:rPr>
          <w:rFonts w:hint="eastAsia" w:ascii="Times New Roman" w:hAnsi="Times New Roman" w:eastAsia="宋体"/>
          <w:color w:val="auto"/>
          <w:highlight w:val="none"/>
        </w:rPr>
        <w:t>。</w:t>
      </w:r>
    </w:p>
    <w:p w14:paraId="6B9ACE13">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建设单位应按照《企业突发环境事件风险评估指南（试行）》（环境保护部环办[2014]34号）的要求建立环境风险事故应急预案，应急预案所要求的基本内容可参照表5.3</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rPr>
        <w:t>6中的相关内容。</w:t>
      </w:r>
    </w:p>
    <w:p w14:paraId="6310F7E7">
      <w:pPr>
        <w:pStyle w:val="10"/>
        <w:rPr>
          <w:rFonts w:ascii="Times New Roman" w:hAnsi="Times New Roman" w:eastAsia="宋体"/>
          <w:color w:val="auto"/>
          <w:highlight w:val="none"/>
        </w:rPr>
      </w:pPr>
      <w:r>
        <w:rPr>
          <w:rFonts w:hint="eastAsia" w:ascii="Times New Roman" w:hAnsi="Times New Roman" w:eastAsia="宋体"/>
          <w:color w:val="auto"/>
          <w:highlight w:val="none"/>
        </w:rPr>
        <w:t>表5.3</w:t>
      </w:r>
      <w:r>
        <w:rPr>
          <w:rFonts w:hint="eastAsia" w:ascii="Times New Roman" w:hAnsi="Times New Roman" w:eastAsia="宋体"/>
          <w:color w:val="auto"/>
          <w:highlight w:val="none"/>
          <w:lang w:val="en-US" w:eastAsia="zh-CN"/>
        </w:rPr>
        <w:t>-</w:t>
      </w:r>
      <w:r>
        <w:rPr>
          <w:rFonts w:hint="eastAsia" w:ascii="Times New Roman" w:hAnsi="Times New Roman" w:eastAsia="宋体"/>
          <w:color w:val="auto"/>
          <w:highlight w:val="none"/>
        </w:rPr>
        <w:t>6应急预案内容一览表</w:t>
      </w:r>
    </w:p>
    <w:tbl>
      <w:tblPr>
        <w:tblStyle w:val="34"/>
        <w:tblW w:w="8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054"/>
        <w:gridCol w:w="5282"/>
      </w:tblGrid>
      <w:tr w14:paraId="1BC9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shd w:val="clear" w:color="auto" w:fill="auto"/>
            <w:vAlign w:val="center"/>
          </w:tcPr>
          <w:p w14:paraId="45BCC8A9">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序号</w:t>
            </w:r>
          </w:p>
        </w:tc>
        <w:tc>
          <w:tcPr>
            <w:tcW w:w="1282" w:type="pct"/>
            <w:shd w:val="clear" w:color="auto" w:fill="auto"/>
            <w:vAlign w:val="center"/>
          </w:tcPr>
          <w:p w14:paraId="732FD901">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项目</w:t>
            </w:r>
          </w:p>
        </w:tc>
        <w:tc>
          <w:tcPr>
            <w:tcW w:w="3295" w:type="pct"/>
            <w:shd w:val="clear" w:color="auto" w:fill="auto"/>
            <w:vAlign w:val="center"/>
          </w:tcPr>
          <w:p w14:paraId="7763D251">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内容及要求</w:t>
            </w:r>
          </w:p>
        </w:tc>
      </w:tr>
      <w:tr w14:paraId="4CE0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14:paraId="097BE5E0">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1</w:t>
            </w:r>
          </w:p>
        </w:tc>
        <w:tc>
          <w:tcPr>
            <w:tcW w:w="1282" w:type="pct"/>
            <w:shd w:val="clear" w:color="auto" w:fill="auto"/>
            <w:vAlign w:val="center"/>
          </w:tcPr>
          <w:p w14:paraId="48DACAEB">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应急计划区</w:t>
            </w:r>
          </w:p>
        </w:tc>
        <w:tc>
          <w:tcPr>
            <w:tcW w:w="3295" w:type="pct"/>
            <w:shd w:val="clear" w:color="auto" w:fill="auto"/>
            <w:vAlign w:val="center"/>
          </w:tcPr>
          <w:p w14:paraId="1B991C78">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危险目标，环境保护目标</w:t>
            </w:r>
          </w:p>
        </w:tc>
      </w:tr>
      <w:tr w14:paraId="18EE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14:paraId="11D15980">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2</w:t>
            </w:r>
          </w:p>
        </w:tc>
        <w:tc>
          <w:tcPr>
            <w:tcW w:w="1282" w:type="pct"/>
            <w:shd w:val="clear" w:color="auto" w:fill="auto"/>
            <w:vAlign w:val="center"/>
          </w:tcPr>
          <w:p w14:paraId="79A277C0">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应急组织机构、人员</w:t>
            </w:r>
          </w:p>
        </w:tc>
        <w:tc>
          <w:tcPr>
            <w:tcW w:w="3295" w:type="pct"/>
            <w:shd w:val="clear" w:color="auto" w:fill="auto"/>
            <w:vAlign w:val="center"/>
          </w:tcPr>
          <w:p w14:paraId="7C7E6794">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厂区、地区应急组织机构、人员</w:t>
            </w:r>
          </w:p>
        </w:tc>
      </w:tr>
      <w:tr w14:paraId="4D0E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14:paraId="3FC1EA51">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3</w:t>
            </w:r>
          </w:p>
        </w:tc>
        <w:tc>
          <w:tcPr>
            <w:tcW w:w="1282" w:type="pct"/>
            <w:shd w:val="clear" w:color="auto" w:fill="auto"/>
            <w:vAlign w:val="center"/>
          </w:tcPr>
          <w:p w14:paraId="51CBD850">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预案分级响应条件</w:t>
            </w:r>
          </w:p>
        </w:tc>
        <w:tc>
          <w:tcPr>
            <w:tcW w:w="3295" w:type="pct"/>
            <w:shd w:val="clear" w:color="auto" w:fill="auto"/>
            <w:vAlign w:val="center"/>
          </w:tcPr>
          <w:p w14:paraId="463B5449">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规定预案的级别及分级响应程序</w:t>
            </w:r>
          </w:p>
        </w:tc>
      </w:tr>
      <w:tr w14:paraId="7BB4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14:paraId="59C2E833">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4</w:t>
            </w:r>
          </w:p>
        </w:tc>
        <w:tc>
          <w:tcPr>
            <w:tcW w:w="1282" w:type="pct"/>
            <w:shd w:val="clear" w:color="auto" w:fill="auto"/>
            <w:vAlign w:val="center"/>
          </w:tcPr>
          <w:p w14:paraId="29BC2E7E">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应急救援保障</w:t>
            </w:r>
          </w:p>
        </w:tc>
        <w:tc>
          <w:tcPr>
            <w:tcW w:w="3295" w:type="pct"/>
            <w:shd w:val="clear" w:color="auto" w:fill="auto"/>
            <w:vAlign w:val="center"/>
          </w:tcPr>
          <w:p w14:paraId="66824887">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应急设施，设备与器材</w:t>
            </w:r>
          </w:p>
        </w:tc>
      </w:tr>
      <w:tr w14:paraId="7B70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14:paraId="5B00090E">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5</w:t>
            </w:r>
          </w:p>
        </w:tc>
        <w:tc>
          <w:tcPr>
            <w:tcW w:w="1282" w:type="pct"/>
            <w:shd w:val="clear" w:color="auto" w:fill="auto"/>
            <w:vAlign w:val="center"/>
          </w:tcPr>
          <w:p w14:paraId="386D522C">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报警、通讯联络方式</w:t>
            </w:r>
          </w:p>
        </w:tc>
        <w:tc>
          <w:tcPr>
            <w:tcW w:w="3295" w:type="pct"/>
            <w:shd w:val="clear" w:color="auto" w:fill="auto"/>
            <w:vAlign w:val="center"/>
          </w:tcPr>
          <w:p w14:paraId="517CF52D">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规定应急状态下的报警通讯方式、通知方式和交通保障、管制</w:t>
            </w:r>
          </w:p>
        </w:tc>
      </w:tr>
      <w:tr w14:paraId="081B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14:paraId="5E8DCF87">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6</w:t>
            </w:r>
          </w:p>
        </w:tc>
        <w:tc>
          <w:tcPr>
            <w:tcW w:w="1282" w:type="pct"/>
            <w:shd w:val="clear" w:color="auto" w:fill="auto"/>
            <w:vAlign w:val="center"/>
          </w:tcPr>
          <w:p w14:paraId="41E5BE2A">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应急环境监测、抢险、救援及控制措施</w:t>
            </w:r>
          </w:p>
        </w:tc>
        <w:tc>
          <w:tcPr>
            <w:tcW w:w="3295" w:type="pct"/>
            <w:shd w:val="clear" w:color="auto" w:fill="auto"/>
            <w:vAlign w:val="center"/>
          </w:tcPr>
          <w:p w14:paraId="0C810C90">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由专业队伍负责对事故现场进行侦查监测，对事故性质、参数与后果进行评估，为指挥部门提供决策依据</w:t>
            </w:r>
          </w:p>
        </w:tc>
      </w:tr>
      <w:tr w14:paraId="2EA9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14:paraId="4ECAEC6E">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7</w:t>
            </w:r>
          </w:p>
        </w:tc>
        <w:tc>
          <w:tcPr>
            <w:tcW w:w="1282" w:type="pct"/>
            <w:shd w:val="clear" w:color="auto" w:fill="auto"/>
            <w:vAlign w:val="center"/>
          </w:tcPr>
          <w:p w14:paraId="6C0D62CF">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应急检测、防护措施、清楚泄露措施和器材</w:t>
            </w:r>
          </w:p>
        </w:tc>
        <w:tc>
          <w:tcPr>
            <w:tcW w:w="3295" w:type="pct"/>
            <w:shd w:val="clear" w:color="auto" w:fill="auto"/>
            <w:vAlign w:val="center"/>
          </w:tcPr>
          <w:p w14:paraId="4B8E45C1">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事故现场、临近区域、控制防火措施，控制和清楚污染措施及相应设备</w:t>
            </w:r>
          </w:p>
        </w:tc>
      </w:tr>
      <w:tr w14:paraId="73E9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14:paraId="20B71201">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8</w:t>
            </w:r>
          </w:p>
        </w:tc>
        <w:tc>
          <w:tcPr>
            <w:tcW w:w="1282" w:type="pct"/>
            <w:shd w:val="clear" w:color="auto" w:fill="auto"/>
            <w:vAlign w:val="center"/>
          </w:tcPr>
          <w:p w14:paraId="5A15E16C">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人员紧急撤离、疏散，应急剂量控制、撤离组织计划</w:t>
            </w:r>
          </w:p>
        </w:tc>
        <w:tc>
          <w:tcPr>
            <w:tcW w:w="3295" w:type="pct"/>
            <w:shd w:val="clear" w:color="auto" w:fill="auto"/>
            <w:vAlign w:val="center"/>
          </w:tcPr>
          <w:p w14:paraId="45C45095">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事故现场、厂区临近区、受事故影响的区域人员及公众对毒物应急剂量控制规定，撤离组织计划及救护，医疗救护与公众健康</w:t>
            </w:r>
          </w:p>
        </w:tc>
      </w:tr>
      <w:tr w14:paraId="289B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2" w:type="pct"/>
            <w:shd w:val="clear" w:color="auto" w:fill="auto"/>
            <w:vAlign w:val="center"/>
          </w:tcPr>
          <w:p w14:paraId="51E254A0">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9</w:t>
            </w:r>
          </w:p>
        </w:tc>
        <w:tc>
          <w:tcPr>
            <w:tcW w:w="1282" w:type="pct"/>
            <w:shd w:val="clear" w:color="auto" w:fill="auto"/>
            <w:vAlign w:val="center"/>
          </w:tcPr>
          <w:p w14:paraId="7C3C0976">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事故应急救援关闭程序与恢复措施</w:t>
            </w:r>
          </w:p>
        </w:tc>
        <w:tc>
          <w:tcPr>
            <w:tcW w:w="3295" w:type="pct"/>
            <w:shd w:val="clear" w:color="auto" w:fill="auto"/>
            <w:vAlign w:val="center"/>
          </w:tcPr>
          <w:p w14:paraId="7A7E4719">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规定应急状态终止程序；</w:t>
            </w:r>
          </w:p>
          <w:p w14:paraId="7F8EBBBE">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事故现场善后处理，恢复措施；</w:t>
            </w:r>
          </w:p>
          <w:p w14:paraId="68ABB5C5">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临近区域解除事故警戒及善后恢复措施</w:t>
            </w:r>
          </w:p>
        </w:tc>
      </w:tr>
      <w:tr w14:paraId="2039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14:paraId="58B7066F">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10</w:t>
            </w:r>
          </w:p>
        </w:tc>
        <w:tc>
          <w:tcPr>
            <w:tcW w:w="1282" w:type="pct"/>
            <w:shd w:val="clear" w:color="auto" w:fill="auto"/>
            <w:vAlign w:val="center"/>
          </w:tcPr>
          <w:p w14:paraId="5258BC33">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应急培训计划</w:t>
            </w:r>
          </w:p>
        </w:tc>
        <w:tc>
          <w:tcPr>
            <w:tcW w:w="3295" w:type="pct"/>
            <w:shd w:val="clear" w:color="auto" w:fill="auto"/>
            <w:vAlign w:val="center"/>
          </w:tcPr>
          <w:p w14:paraId="47A7A46C">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应急计划制定后，平时安排人员培训与演练</w:t>
            </w:r>
          </w:p>
        </w:tc>
      </w:tr>
      <w:tr w14:paraId="672D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shd w:val="clear" w:color="auto" w:fill="auto"/>
            <w:vAlign w:val="center"/>
          </w:tcPr>
          <w:p w14:paraId="6C18693A">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11</w:t>
            </w:r>
          </w:p>
        </w:tc>
        <w:tc>
          <w:tcPr>
            <w:tcW w:w="1282" w:type="pct"/>
            <w:shd w:val="clear" w:color="auto" w:fill="auto"/>
            <w:vAlign w:val="center"/>
          </w:tcPr>
          <w:p w14:paraId="581661E7">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公众教育和信息</w:t>
            </w:r>
          </w:p>
        </w:tc>
        <w:tc>
          <w:tcPr>
            <w:tcW w:w="3295" w:type="pct"/>
            <w:shd w:val="clear" w:color="auto" w:fill="auto"/>
            <w:vAlign w:val="center"/>
          </w:tcPr>
          <w:p w14:paraId="12C459CA">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对临近地区开展公众教育、培训和发布有关信息</w:t>
            </w:r>
          </w:p>
        </w:tc>
      </w:tr>
    </w:tbl>
    <w:p w14:paraId="668D2CB3">
      <w:pPr>
        <w:pStyle w:val="4"/>
        <w:rPr>
          <w:rFonts w:ascii="Times New Roman" w:hAnsi="Times New Roman" w:eastAsia="宋体"/>
          <w:color w:val="auto"/>
          <w:highlight w:val="none"/>
        </w:rPr>
      </w:pPr>
      <w:bookmarkStart w:id="222" w:name="_Toc106663516"/>
      <w:bookmarkStart w:id="223" w:name="_Toc89619346"/>
      <w:r>
        <w:rPr>
          <w:rFonts w:hint="eastAsia" w:ascii="Times New Roman" w:hAnsi="Times New Roman" w:eastAsia="宋体"/>
          <w:color w:val="auto"/>
          <w:highlight w:val="none"/>
        </w:rPr>
        <w:t>5.3.9项目风险评价结论与建议</w:t>
      </w:r>
      <w:bookmarkEnd w:id="222"/>
      <w:bookmarkEnd w:id="223"/>
    </w:p>
    <w:p w14:paraId="2046257A">
      <w:pPr>
        <w:ind w:firstLine="480"/>
        <w:rPr>
          <w:rFonts w:ascii="Times New Roman" w:hAnsi="Times New Roman" w:eastAsia="宋体"/>
          <w:color w:val="auto"/>
          <w:highlight w:val="none"/>
        </w:rPr>
      </w:pPr>
      <w:r>
        <w:rPr>
          <w:rFonts w:ascii="Times New Roman" w:hAnsi="Times New Roman" w:eastAsia="宋体"/>
          <w:color w:val="auto"/>
          <w:highlight w:val="none"/>
        </w:rPr>
        <w:t>1、风险评价结论</w:t>
      </w:r>
    </w:p>
    <w:p w14:paraId="54228609">
      <w:pPr>
        <w:ind w:firstLine="480"/>
        <w:rPr>
          <w:rFonts w:ascii="Times New Roman" w:hAnsi="Times New Roman" w:eastAsia="宋体"/>
          <w:color w:val="auto"/>
          <w:highlight w:val="none"/>
        </w:rPr>
      </w:pPr>
      <w:r>
        <w:rPr>
          <w:rFonts w:ascii="Times New Roman" w:hAnsi="Times New Roman" w:eastAsia="宋体"/>
          <w:color w:val="auto"/>
          <w:highlight w:val="none"/>
        </w:rPr>
        <w:t>风险评价的结果表明，本项目环境风险主要来自蛋鸡饲养过程中的病鸡尸体、排水管网和</w:t>
      </w:r>
      <w:r>
        <w:rPr>
          <w:rFonts w:hint="eastAsia"/>
          <w:color w:val="auto"/>
          <w:highlight w:val="none"/>
          <w:lang w:eastAsia="zh-CN"/>
        </w:rPr>
        <w:t>废水收集池</w:t>
      </w:r>
      <w:r>
        <w:rPr>
          <w:rFonts w:ascii="Times New Roman" w:hAnsi="Times New Roman" w:eastAsia="宋体"/>
          <w:color w:val="auto"/>
          <w:highlight w:val="none"/>
        </w:rPr>
        <w:t>泄露、医疗废物污染事故等。本项目距居民区较远，在进一步采取安全防范措施和事故应急预案、在落实各项环保措施和采取本报告书提出的有关建议的前提下，基本满足国家相关环境保护和安全法规、标准的要求，该项目发生风险事故的可能进一步降低，其潜在的环境风险是可以接受的。但企业仍需要提高风险管理水平和强化风险防范措施，降低环境风险事故发生的概率。</w:t>
      </w:r>
    </w:p>
    <w:p w14:paraId="76FD4740">
      <w:pPr>
        <w:ind w:firstLine="480"/>
        <w:rPr>
          <w:rFonts w:ascii="Times New Roman" w:hAnsi="Times New Roman" w:eastAsia="宋体"/>
          <w:color w:val="auto"/>
          <w:highlight w:val="none"/>
        </w:rPr>
      </w:pPr>
      <w:r>
        <w:rPr>
          <w:rFonts w:ascii="Times New Roman" w:hAnsi="Times New Roman" w:eastAsia="宋体"/>
          <w:color w:val="auto"/>
          <w:highlight w:val="none"/>
        </w:rPr>
        <w:t>2、建议</w:t>
      </w:r>
    </w:p>
    <w:p w14:paraId="563E8009">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本项目具有潜在的事故风险，尽管风险可接受，但企业应从建设、生产、贮运等各方面积极采取防护措施，这是确保安全的根本措施。</w:t>
      </w:r>
    </w:p>
    <w:p w14:paraId="6EA25AE0">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当出现事故时，要采取紧急的工程应急措施，如必要，应采取社会应急措施，以控制事故和减少对环境造成的危害。</w:t>
      </w:r>
    </w:p>
    <w:p w14:paraId="38D9ABED">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按照企业制定的突发环境事故应急预案，定期进行预案演练并实现与地方政府或相关管理部门突发环境事故应急预案的有效衔接。</w:t>
      </w:r>
    </w:p>
    <w:p w14:paraId="14B261FB">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建设单位必须高度重视，做到风险防范警钟常鸣，环境安全管理常抓不懈；严格落实各项风险防范措施，不断完善风险管理体系。</w:t>
      </w:r>
    </w:p>
    <w:p w14:paraId="618305E4">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5</w:t>
      </w:r>
      <w:r>
        <w:rPr>
          <w:rFonts w:hint="eastAsia"/>
          <w:color w:val="auto"/>
          <w:highlight w:val="none"/>
          <w:lang w:eastAsia="zh-CN"/>
        </w:rPr>
        <w:t>）</w:t>
      </w:r>
      <w:r>
        <w:rPr>
          <w:rFonts w:ascii="Times New Roman" w:hAnsi="Times New Roman" w:eastAsia="宋体"/>
          <w:color w:val="auto"/>
          <w:highlight w:val="none"/>
        </w:rPr>
        <w:t>建立企业环境风险应急机制，加强厂区管道、</w:t>
      </w:r>
      <w:r>
        <w:rPr>
          <w:rFonts w:hint="eastAsia"/>
          <w:color w:val="auto"/>
          <w:highlight w:val="none"/>
          <w:lang w:eastAsia="zh-CN"/>
        </w:rPr>
        <w:t>医疗废物暂存间</w:t>
      </w:r>
      <w:r>
        <w:rPr>
          <w:rFonts w:ascii="Times New Roman" w:hAnsi="Times New Roman" w:eastAsia="宋体"/>
          <w:color w:val="auto"/>
          <w:highlight w:val="none"/>
        </w:rPr>
        <w:t>的巡查、监视力度，强化风险管理，强化对员工的职业素质教育，杜绝违章作业。</w:t>
      </w:r>
    </w:p>
    <w:p w14:paraId="64668270">
      <w:pPr>
        <w:ind w:firstLine="480"/>
        <w:rPr>
          <w:rFonts w:ascii="Times New Roman" w:hAnsi="Times New Roman" w:eastAsia="宋体"/>
          <w:color w:val="auto"/>
          <w:highlight w:val="none"/>
        </w:rPr>
      </w:pPr>
      <w:r>
        <w:rPr>
          <w:rFonts w:ascii="Times New Roman" w:hAnsi="Times New Roman" w:eastAsia="宋体"/>
          <w:color w:val="auto"/>
          <w:highlight w:val="none"/>
        </w:rPr>
        <w:t>3、建设项目环境风险简单分析内容表</w:t>
      </w:r>
    </w:p>
    <w:p w14:paraId="03C79DA9">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建设项目环境风险简单分析内容见表5.3-7。</w:t>
      </w:r>
    </w:p>
    <w:p w14:paraId="14BD8319">
      <w:pPr>
        <w:pStyle w:val="10"/>
        <w:rPr>
          <w:rFonts w:ascii="Times New Roman" w:hAnsi="Times New Roman" w:eastAsia="宋体"/>
          <w:color w:val="auto"/>
          <w:highlight w:val="none"/>
        </w:rPr>
      </w:pPr>
      <w:r>
        <w:rPr>
          <w:rFonts w:hint="eastAsia" w:ascii="Times New Roman" w:hAnsi="Times New Roman" w:eastAsia="宋体"/>
          <w:color w:val="auto"/>
          <w:highlight w:val="none"/>
        </w:rPr>
        <w:t>表5.3-7建设项目环境风险简单分析内容表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990"/>
        <w:gridCol w:w="1823"/>
        <w:gridCol w:w="1365"/>
        <w:gridCol w:w="2749"/>
      </w:tblGrid>
      <w:tr w14:paraId="48FA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pct"/>
            <w:shd w:val="clear" w:color="auto" w:fill="auto"/>
            <w:vAlign w:val="center"/>
          </w:tcPr>
          <w:p w14:paraId="6A2C8292">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建设项目名称</w:t>
            </w:r>
          </w:p>
        </w:tc>
        <w:tc>
          <w:tcPr>
            <w:tcW w:w="4065" w:type="pct"/>
            <w:gridSpan w:val="4"/>
            <w:shd w:val="clear" w:color="auto" w:fill="auto"/>
            <w:vAlign w:val="center"/>
          </w:tcPr>
          <w:p w14:paraId="68BC27A2">
            <w:pPr>
              <w:spacing w:line="240" w:lineRule="auto"/>
              <w:ind w:firstLine="0" w:firstLineChars="0"/>
              <w:jc w:val="center"/>
              <w:rPr>
                <w:rFonts w:hint="eastAsia" w:ascii="Times New Roman" w:hAnsi="Times New Roman" w:eastAsia="宋体"/>
                <w:color w:val="auto"/>
                <w:kern w:val="2"/>
                <w:sz w:val="21"/>
                <w:szCs w:val="24"/>
                <w:highlight w:val="none"/>
                <w:lang w:eastAsia="zh-CN"/>
              </w:rPr>
            </w:pPr>
            <w:r>
              <w:rPr>
                <w:rFonts w:hint="eastAsia" w:ascii="Times New Roman" w:hAnsi="Times New Roman" w:eastAsia="宋体"/>
                <w:color w:val="auto"/>
                <w:kern w:val="2"/>
                <w:sz w:val="21"/>
                <w:szCs w:val="24"/>
                <w:highlight w:val="none"/>
                <w:lang w:eastAsia="zh-CN"/>
              </w:rPr>
              <w:t>玛纳斯县蛋鸡育成鸡圈舍建设及设备采购项目</w:t>
            </w:r>
          </w:p>
        </w:tc>
      </w:tr>
      <w:tr w14:paraId="5F30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shd w:val="clear" w:color="auto" w:fill="auto"/>
            <w:vAlign w:val="center"/>
          </w:tcPr>
          <w:p w14:paraId="297C8D60">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建设地点</w:t>
            </w:r>
          </w:p>
        </w:tc>
        <w:tc>
          <w:tcPr>
            <w:tcW w:w="581" w:type="pct"/>
            <w:shd w:val="clear" w:color="auto" w:fill="auto"/>
            <w:vAlign w:val="center"/>
          </w:tcPr>
          <w:p w14:paraId="3B89CF57">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新疆</w:t>
            </w:r>
          </w:p>
        </w:tc>
        <w:tc>
          <w:tcPr>
            <w:tcW w:w="1070" w:type="pct"/>
            <w:shd w:val="clear" w:color="auto" w:fill="auto"/>
            <w:vAlign w:val="center"/>
          </w:tcPr>
          <w:p w14:paraId="02EDF161">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昌吉州</w:t>
            </w:r>
          </w:p>
        </w:tc>
        <w:tc>
          <w:tcPr>
            <w:tcW w:w="801" w:type="pct"/>
            <w:shd w:val="clear" w:color="auto" w:fill="auto"/>
            <w:vAlign w:val="center"/>
          </w:tcPr>
          <w:p w14:paraId="067580A4">
            <w:pPr>
              <w:spacing w:line="240" w:lineRule="auto"/>
              <w:ind w:firstLine="0" w:firstLineChars="0"/>
              <w:jc w:val="center"/>
              <w:rPr>
                <w:rFonts w:hint="eastAsia" w:ascii="Times New Roman" w:hAnsi="Times New Roman" w:eastAsia="宋体"/>
                <w:color w:val="auto"/>
                <w:kern w:val="2"/>
                <w:sz w:val="21"/>
                <w:szCs w:val="24"/>
                <w:highlight w:val="none"/>
                <w:lang w:eastAsia="zh-CN"/>
              </w:rPr>
            </w:pPr>
            <w:r>
              <w:rPr>
                <w:rFonts w:hint="eastAsia" w:ascii="Times New Roman" w:hAnsi="Times New Roman" w:eastAsia="宋体"/>
                <w:color w:val="auto"/>
                <w:kern w:val="2"/>
                <w:sz w:val="21"/>
                <w:szCs w:val="24"/>
                <w:highlight w:val="none"/>
                <w:lang w:eastAsia="zh-CN"/>
              </w:rPr>
              <w:t>玛纳斯县</w:t>
            </w:r>
          </w:p>
        </w:tc>
        <w:tc>
          <w:tcPr>
            <w:tcW w:w="1613" w:type="pct"/>
            <w:shd w:val="clear" w:color="auto" w:fill="auto"/>
            <w:vAlign w:val="center"/>
          </w:tcPr>
          <w:p w14:paraId="0C6994A1">
            <w:pPr>
              <w:spacing w:line="240" w:lineRule="auto"/>
              <w:ind w:firstLine="0" w:firstLineChars="0"/>
              <w:jc w:val="center"/>
              <w:rPr>
                <w:rFonts w:hint="default" w:ascii="Times New Roman" w:hAnsi="Times New Roman" w:eastAsia="宋体"/>
                <w:color w:val="auto"/>
                <w:kern w:val="2"/>
                <w:sz w:val="21"/>
                <w:szCs w:val="24"/>
                <w:highlight w:val="none"/>
                <w:lang w:val="en-US" w:eastAsia="zh-CN"/>
              </w:rPr>
            </w:pPr>
            <w:r>
              <w:rPr>
                <w:rFonts w:hint="eastAsia"/>
                <w:color w:val="auto"/>
                <w:kern w:val="2"/>
                <w:sz w:val="21"/>
                <w:szCs w:val="24"/>
                <w:highlight w:val="none"/>
                <w:lang w:val="en-US" w:eastAsia="zh-CN"/>
              </w:rPr>
              <w:t>广东地乡</w:t>
            </w:r>
          </w:p>
        </w:tc>
      </w:tr>
      <w:tr w14:paraId="2092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shd w:val="clear" w:color="auto" w:fill="auto"/>
            <w:vAlign w:val="center"/>
          </w:tcPr>
          <w:p w14:paraId="7156BF97">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地理坐标</w:t>
            </w:r>
          </w:p>
        </w:tc>
        <w:tc>
          <w:tcPr>
            <w:tcW w:w="581" w:type="pct"/>
            <w:shd w:val="clear" w:color="auto" w:fill="auto"/>
            <w:vAlign w:val="center"/>
          </w:tcPr>
          <w:p w14:paraId="5C0B5DAD">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经度</w:t>
            </w:r>
          </w:p>
        </w:tc>
        <w:tc>
          <w:tcPr>
            <w:tcW w:w="1070" w:type="pct"/>
            <w:shd w:val="clear" w:color="auto" w:fill="auto"/>
            <w:vAlign w:val="center"/>
          </w:tcPr>
          <w:p w14:paraId="22D1AE9A">
            <w:pPr>
              <w:spacing w:line="240" w:lineRule="auto"/>
              <w:ind w:firstLine="0" w:firstLineChars="0"/>
              <w:jc w:val="center"/>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86°19′54″</w:t>
            </w:r>
          </w:p>
        </w:tc>
        <w:tc>
          <w:tcPr>
            <w:tcW w:w="801" w:type="pct"/>
            <w:shd w:val="clear" w:color="auto" w:fill="auto"/>
            <w:vAlign w:val="center"/>
          </w:tcPr>
          <w:p w14:paraId="62560D80">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纬度</w:t>
            </w:r>
          </w:p>
        </w:tc>
        <w:tc>
          <w:tcPr>
            <w:tcW w:w="1613" w:type="pct"/>
            <w:shd w:val="clear" w:color="auto" w:fill="auto"/>
            <w:vAlign w:val="center"/>
          </w:tcPr>
          <w:p w14:paraId="7DD62377">
            <w:pPr>
              <w:spacing w:line="240" w:lineRule="auto"/>
              <w:ind w:firstLine="0" w:firstLineChars="0"/>
              <w:jc w:val="center"/>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44°20′39″N</w:t>
            </w:r>
          </w:p>
        </w:tc>
      </w:tr>
      <w:tr w14:paraId="6E76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shd w:val="clear" w:color="auto" w:fill="auto"/>
            <w:vAlign w:val="center"/>
          </w:tcPr>
          <w:p w14:paraId="4AF2ED6A">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主要危险物质及分布</w:t>
            </w:r>
          </w:p>
        </w:tc>
        <w:tc>
          <w:tcPr>
            <w:tcW w:w="4065" w:type="pct"/>
            <w:gridSpan w:val="4"/>
            <w:shd w:val="clear" w:color="auto" w:fill="auto"/>
            <w:vAlign w:val="center"/>
          </w:tcPr>
          <w:p w14:paraId="4E765672">
            <w:pPr>
              <w:spacing w:line="240" w:lineRule="auto"/>
              <w:ind w:firstLine="0" w:firstLineChars="0"/>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本项目不涉及《建设项目环境风险评价技术导则》</w:t>
            </w:r>
            <w:r>
              <w:rPr>
                <w:rFonts w:hint="eastAsia"/>
                <w:color w:val="auto"/>
                <w:kern w:val="2"/>
                <w:sz w:val="21"/>
                <w:szCs w:val="24"/>
                <w:highlight w:val="none"/>
                <w:lang w:eastAsia="zh-CN"/>
              </w:rPr>
              <w:t>（</w:t>
            </w:r>
            <w:r>
              <w:rPr>
                <w:rFonts w:ascii="Times New Roman" w:hAnsi="Times New Roman" w:eastAsia="宋体"/>
                <w:color w:val="auto"/>
                <w:kern w:val="2"/>
                <w:sz w:val="21"/>
                <w:szCs w:val="24"/>
                <w:highlight w:val="none"/>
              </w:rPr>
              <w:t>HJ169-2018</w:t>
            </w:r>
            <w:r>
              <w:rPr>
                <w:rFonts w:hint="eastAsia"/>
                <w:color w:val="auto"/>
                <w:kern w:val="2"/>
                <w:sz w:val="21"/>
                <w:szCs w:val="24"/>
                <w:highlight w:val="none"/>
                <w:lang w:eastAsia="zh-CN"/>
              </w:rPr>
              <w:t>）</w:t>
            </w:r>
            <w:r>
              <w:rPr>
                <w:rFonts w:ascii="Times New Roman" w:hAnsi="Times New Roman" w:eastAsia="宋体"/>
                <w:color w:val="auto"/>
                <w:kern w:val="2"/>
                <w:sz w:val="21"/>
                <w:szCs w:val="24"/>
                <w:highlight w:val="none"/>
              </w:rPr>
              <w:t>附录B中的风险物质。</w:t>
            </w:r>
          </w:p>
        </w:tc>
      </w:tr>
      <w:tr w14:paraId="67DC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 w:type="pct"/>
            <w:shd w:val="clear" w:color="auto" w:fill="auto"/>
            <w:vAlign w:val="center"/>
          </w:tcPr>
          <w:p w14:paraId="3FDDE879">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环境影响途径及危害后果</w:t>
            </w:r>
          </w:p>
        </w:tc>
        <w:tc>
          <w:tcPr>
            <w:tcW w:w="4065" w:type="pct"/>
            <w:gridSpan w:val="4"/>
            <w:shd w:val="clear" w:color="auto" w:fill="auto"/>
            <w:vAlign w:val="center"/>
          </w:tcPr>
          <w:p w14:paraId="5DDA3DC7">
            <w:pPr>
              <w:spacing w:line="240" w:lineRule="auto"/>
              <w:ind w:firstLine="0" w:firstLineChars="0"/>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大气途径：无；</w:t>
            </w:r>
          </w:p>
          <w:p w14:paraId="6175AF11">
            <w:pPr>
              <w:spacing w:line="240" w:lineRule="auto"/>
              <w:ind w:firstLine="0" w:firstLineChars="0"/>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地表水途径：无；</w:t>
            </w:r>
          </w:p>
          <w:p w14:paraId="32AFCD73">
            <w:pPr>
              <w:spacing w:line="240" w:lineRule="auto"/>
              <w:ind w:firstLine="0" w:firstLineChars="0"/>
              <w:rPr>
                <w:rFonts w:ascii="Times New Roman" w:hAnsi="Times New Roman" w:eastAsia="宋体"/>
                <w:color w:val="auto"/>
                <w:kern w:val="2"/>
                <w:sz w:val="21"/>
                <w:szCs w:val="24"/>
                <w:highlight w:val="none"/>
              </w:rPr>
            </w:pPr>
            <w:r>
              <w:rPr>
                <w:rFonts w:ascii="Times New Roman" w:hAnsi="Times New Roman" w:eastAsia="宋体"/>
                <w:color w:val="auto"/>
                <w:kern w:val="2"/>
                <w:sz w:val="21"/>
                <w:szCs w:val="24"/>
                <w:highlight w:val="none"/>
              </w:rPr>
              <w:t>地下水途径：管线和</w:t>
            </w:r>
            <w:r>
              <w:rPr>
                <w:rFonts w:hint="eastAsia"/>
                <w:color w:val="auto"/>
                <w:kern w:val="2"/>
                <w:sz w:val="21"/>
                <w:szCs w:val="24"/>
                <w:highlight w:val="none"/>
                <w:lang w:eastAsia="zh-CN"/>
              </w:rPr>
              <w:t>废水收集池</w:t>
            </w:r>
            <w:r>
              <w:rPr>
                <w:rFonts w:ascii="Times New Roman" w:hAnsi="Times New Roman" w:eastAsia="宋体"/>
                <w:color w:val="auto"/>
                <w:kern w:val="2"/>
                <w:sz w:val="21"/>
                <w:szCs w:val="24"/>
                <w:highlight w:val="none"/>
              </w:rPr>
              <w:t>泄露、医疗废物污染等；</w:t>
            </w:r>
          </w:p>
        </w:tc>
      </w:tr>
      <w:tr w14:paraId="6FA3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35" w:type="pct"/>
            <w:shd w:val="clear" w:color="auto" w:fill="auto"/>
            <w:vAlign w:val="center"/>
          </w:tcPr>
          <w:p w14:paraId="2D445486">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风险防范措施要求</w:t>
            </w:r>
          </w:p>
        </w:tc>
        <w:tc>
          <w:tcPr>
            <w:tcW w:w="4065" w:type="pct"/>
            <w:gridSpan w:val="4"/>
            <w:shd w:val="clear" w:color="auto" w:fill="auto"/>
            <w:vAlign w:val="center"/>
          </w:tcPr>
          <w:p w14:paraId="1C294342">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①制定突发事件环境应急预案并定期演练；</w:t>
            </w:r>
          </w:p>
          <w:p w14:paraId="4E2C7475">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②建设单位从总图布置、工艺控制系统安全设置、电器安全措施、防雷防静电、制定应急预案等方面完善了环境风险防范措施；</w:t>
            </w:r>
          </w:p>
          <w:p w14:paraId="3601B1BD">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③采取基础防渗进行风险防范</w:t>
            </w:r>
          </w:p>
        </w:tc>
      </w:tr>
      <w:tr w14:paraId="2BB2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935" w:type="pct"/>
            <w:shd w:val="clear" w:color="auto" w:fill="auto"/>
            <w:vAlign w:val="center"/>
          </w:tcPr>
          <w:p w14:paraId="77668BF2">
            <w:pPr>
              <w:spacing w:line="240" w:lineRule="auto"/>
              <w:ind w:firstLine="0" w:firstLineChars="0"/>
              <w:jc w:val="center"/>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填表说明</w:t>
            </w:r>
          </w:p>
        </w:tc>
        <w:tc>
          <w:tcPr>
            <w:tcW w:w="4065" w:type="pct"/>
            <w:gridSpan w:val="4"/>
            <w:shd w:val="clear" w:color="auto" w:fill="auto"/>
            <w:vAlign w:val="center"/>
          </w:tcPr>
          <w:p w14:paraId="4B7D1CF8">
            <w:pPr>
              <w:spacing w:line="240" w:lineRule="auto"/>
              <w:ind w:firstLine="0" w:firstLineChars="0"/>
              <w:rPr>
                <w:rFonts w:ascii="Times New Roman" w:hAnsi="Times New Roman" w:eastAsia="宋体"/>
                <w:color w:val="auto"/>
                <w:kern w:val="2"/>
                <w:sz w:val="21"/>
                <w:szCs w:val="24"/>
                <w:highlight w:val="none"/>
              </w:rPr>
            </w:pPr>
            <w:r>
              <w:rPr>
                <w:rFonts w:hint="eastAsia" w:ascii="Times New Roman" w:hAnsi="Times New Roman" w:eastAsia="宋体"/>
                <w:color w:val="auto"/>
                <w:kern w:val="2"/>
                <w:sz w:val="21"/>
                <w:szCs w:val="24"/>
                <w:highlight w:val="none"/>
              </w:rPr>
              <w:t>本项目风险潜势为Ⅰ，仅进行简单分析，在采取有效的防范措施、制定相应的应急预案的前提下，建设单位可将事故风险的影响减至最小。本项目在落实上述提出的存储过程中的风险防范及应急措施、生产过程中的风险防范及应急措施、环境影响途径的风险防范及应急措施后，可做到环境风险可防控要求，本项目环境风险防范措施有效可行，环境风险可防控。</w:t>
            </w:r>
          </w:p>
        </w:tc>
      </w:tr>
    </w:tbl>
    <w:p w14:paraId="5194F752">
      <w:pPr>
        <w:ind w:firstLine="480"/>
        <w:rPr>
          <w:rFonts w:ascii="Times New Roman" w:hAnsi="Times New Roman" w:eastAsia="宋体"/>
          <w:color w:val="auto"/>
          <w:highlight w:val="none"/>
        </w:rPr>
        <w:sectPr>
          <w:headerReference r:id="rId25" w:type="default"/>
          <w:footerReference r:id="rId26" w:type="default"/>
          <w:pgSz w:w="11906" w:h="16838"/>
          <w:pgMar w:top="1440" w:right="1800" w:bottom="1327"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14:paraId="5033008F">
      <w:pPr>
        <w:pStyle w:val="3"/>
        <w:rPr>
          <w:rFonts w:ascii="Times New Roman" w:hAnsi="Times New Roman" w:eastAsia="宋体"/>
          <w:color w:val="auto"/>
          <w:highlight w:val="none"/>
        </w:rPr>
      </w:pPr>
      <w:bookmarkStart w:id="224" w:name="_Toc106663517"/>
      <w:bookmarkStart w:id="225" w:name="_Toc89619347"/>
      <w:r>
        <w:rPr>
          <w:rFonts w:hint="eastAsia" w:ascii="Times New Roman" w:hAnsi="Times New Roman" w:eastAsia="宋体"/>
          <w:color w:val="auto"/>
          <w:highlight w:val="none"/>
        </w:rPr>
        <w:t>6、</w:t>
      </w:r>
      <w:bookmarkEnd w:id="224"/>
      <w:bookmarkEnd w:id="225"/>
      <w:r>
        <w:rPr>
          <w:rFonts w:hint="eastAsia" w:ascii="Times New Roman" w:hAnsi="Times New Roman" w:eastAsia="宋体"/>
          <w:color w:val="auto"/>
          <w:highlight w:val="none"/>
        </w:rPr>
        <w:t>污染防治措施和对策建议</w:t>
      </w:r>
    </w:p>
    <w:p w14:paraId="3D208764">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根据国家有关环保法规要求，该项目必须执行</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项目投产后，其污染物排放必须达到国家和地方规定的标准和符合环境保护有关法规。本章主要对本项目设计采取的各项环境保护措施从技术可行性、可靠性和经济合理性等方面进行分析论证并提出改善意见，以便在项目实施过程中采用经济合理的污染防治工艺和设施，确保项目排污得到有效控制并达到相关要求。</w:t>
      </w:r>
    </w:p>
    <w:p w14:paraId="77D4F8E7">
      <w:pPr>
        <w:pStyle w:val="4"/>
        <w:rPr>
          <w:rFonts w:ascii="Times New Roman" w:hAnsi="Times New Roman" w:eastAsia="宋体"/>
          <w:color w:val="auto"/>
          <w:highlight w:val="none"/>
        </w:rPr>
      </w:pPr>
      <w:bookmarkStart w:id="226" w:name="_Toc106663518"/>
      <w:bookmarkStart w:id="227" w:name="_Toc89619348"/>
      <w:r>
        <w:rPr>
          <w:rFonts w:hint="eastAsia" w:ascii="Times New Roman" w:hAnsi="Times New Roman" w:eastAsia="宋体"/>
          <w:color w:val="auto"/>
          <w:highlight w:val="none"/>
        </w:rPr>
        <w:t>6.1施工期污染防治措施</w:t>
      </w:r>
      <w:bookmarkEnd w:id="226"/>
      <w:bookmarkEnd w:id="227"/>
    </w:p>
    <w:p w14:paraId="629BBD17">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施工内容主要包括场地平整、开挖土石方、打桩、构筑基础施工、钢筋、砖混结构施工、管线施工及装修施工、场地清理等，施工期对环境的影响主要是扬尘、废水、施工噪声、建筑垃圾及生态影响等。本次评价针对以上影响提出相应污染防治措施进行论证。</w:t>
      </w:r>
    </w:p>
    <w:p w14:paraId="17D78D13">
      <w:pPr>
        <w:pStyle w:val="5"/>
        <w:rPr>
          <w:rFonts w:ascii="Times New Roman" w:hAnsi="Times New Roman" w:eastAsia="宋体"/>
          <w:color w:val="auto"/>
          <w:highlight w:val="none"/>
        </w:rPr>
      </w:pPr>
      <w:bookmarkStart w:id="228" w:name="_Toc106663519"/>
      <w:r>
        <w:rPr>
          <w:rFonts w:hint="eastAsia" w:ascii="Times New Roman" w:hAnsi="Times New Roman" w:eastAsia="宋体"/>
          <w:color w:val="auto"/>
          <w:highlight w:val="none"/>
        </w:rPr>
        <w:t>6.1.1施工期大气污染防治措施</w:t>
      </w:r>
      <w:bookmarkEnd w:id="228"/>
    </w:p>
    <w:p w14:paraId="5364927F">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大气污染产生源主要有：开挖基础、运输车辆和施工机械等产生扬尘；建筑材料（水泥、石灰、砂石料）的运输、装卸、储存和使用过程产生扬尘；各类施工机械和运输车辆所排放的废气等。项目若不采用有效的降尘方式控制施工扬尘，则在项目的施工期内其所在区域的环境空气质量将难以达到《环境空气质量标准》（GB3095-2012）二级标准要求。</w:t>
      </w:r>
    </w:p>
    <w:p w14:paraId="39A02EFA">
      <w:pPr>
        <w:ind w:firstLine="480"/>
        <w:rPr>
          <w:rFonts w:ascii="Times New Roman" w:hAnsi="Times New Roman" w:eastAsia="宋体"/>
          <w:color w:val="auto"/>
          <w:highlight w:val="none"/>
        </w:rPr>
      </w:pPr>
      <w:r>
        <w:rPr>
          <w:rFonts w:hint="eastAsia" w:ascii="Times New Roman" w:hAnsi="Times New Roman" w:eastAsia="宋体"/>
          <w:color w:val="auto"/>
          <w:highlight w:val="none"/>
        </w:rPr>
        <w:t>1、无组织排放扬尘的防治措施</w:t>
      </w:r>
    </w:p>
    <w:p w14:paraId="2D31E04F">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过程中产生的扬尘尽管是短期的，但会对周围环境带来不利的影响，因此在施工期应采取相应的措施尽量减少扬尘的产生。为降低扬尘产生量，保护大气环境，施工单位应根据《关于进一步加强建设工程扬尘污染防治专项整治的通知》等的规定，在施工期采取以下扬尘防治措施：</w:t>
      </w:r>
    </w:p>
    <w:p w14:paraId="62A4E4D3">
      <w:pPr>
        <w:ind w:firstLine="480"/>
        <w:rPr>
          <w:rFonts w:ascii="Times New Roman" w:hAnsi="Times New Roman" w:eastAsia="宋体"/>
          <w:color w:val="auto"/>
          <w:highlight w:val="none"/>
        </w:rPr>
      </w:pPr>
      <w:r>
        <w:rPr>
          <w:rFonts w:hint="eastAsia" w:ascii="Times New Roman" w:hAnsi="Times New Roman" w:eastAsia="宋体"/>
          <w:color w:val="auto"/>
          <w:highlight w:val="none"/>
        </w:rPr>
        <w:t>（1）施工作业区应配备专人负责，做到科学管理、文明施工；在基础施工期，应尽可能采取措施提高工程进度，并将土石方及时外运到指定地点，缩短堆放的危害周期。</w:t>
      </w:r>
    </w:p>
    <w:p w14:paraId="673CE6FC">
      <w:pPr>
        <w:ind w:firstLine="480"/>
        <w:rPr>
          <w:rFonts w:ascii="Times New Roman" w:hAnsi="Times New Roman" w:eastAsia="宋体"/>
          <w:color w:val="auto"/>
          <w:highlight w:val="none"/>
        </w:rPr>
      </w:pPr>
      <w:r>
        <w:rPr>
          <w:rFonts w:hint="eastAsia" w:ascii="Times New Roman" w:hAnsi="Times New Roman" w:eastAsia="宋体"/>
          <w:color w:val="auto"/>
          <w:highlight w:val="none"/>
        </w:rPr>
        <w:t>（2）合理安排施工工期；施工工地应定期洒水，特别是旱季施工；施工现场周边设置符合要求的围拦；竣工后要及时清理场地。对于建设施工阶段的车辆和机械扬尘，采取洒水抑尘；洒水次数根据天气状况而定，一般每天洒水1～2次，若遇大风或干燥天气可适当增加洒水次数，遇雨天则不必洒水。施工场地洒水量对扬尘的影响很大，场地洒水后，扬尘量将降低28%～75%，可大大减少扬尘对环境的影响。</w:t>
      </w:r>
    </w:p>
    <w:p w14:paraId="1ABA552B">
      <w:pPr>
        <w:ind w:firstLine="480"/>
        <w:rPr>
          <w:rFonts w:ascii="Times New Roman" w:hAnsi="Times New Roman" w:eastAsia="宋体"/>
          <w:color w:val="auto"/>
          <w:highlight w:val="none"/>
        </w:rPr>
      </w:pPr>
      <w:r>
        <w:rPr>
          <w:rFonts w:hint="eastAsia" w:ascii="Times New Roman" w:hAnsi="Times New Roman" w:eastAsia="宋体"/>
          <w:color w:val="auto"/>
          <w:highlight w:val="none"/>
        </w:rPr>
        <w:t>（3）对施工区周围的道路进行清扫，减少粉尘和二次扬尘的产生。</w:t>
      </w:r>
    </w:p>
    <w:p w14:paraId="13243B09">
      <w:pPr>
        <w:ind w:firstLine="480"/>
        <w:rPr>
          <w:rFonts w:ascii="Times New Roman" w:hAnsi="Times New Roman" w:eastAsia="宋体"/>
          <w:color w:val="auto"/>
          <w:highlight w:val="none"/>
        </w:rPr>
      </w:pPr>
      <w:r>
        <w:rPr>
          <w:rFonts w:hint="eastAsia" w:ascii="Times New Roman" w:hAnsi="Times New Roman" w:eastAsia="宋体"/>
          <w:color w:val="auto"/>
          <w:highlight w:val="none"/>
        </w:rPr>
        <w:t>（4）对于装运含尘物料的运输车辆进行密封运输，严格控制和规范车辆运输量和方式，容易产生粉尘的物料装载高度不得超过车辆两边和尾部的挡板和蓬布，严格控制物料的撒落；尽量选择对周围环境影响较小的运输路线。</w:t>
      </w:r>
    </w:p>
    <w:p w14:paraId="5E92953E">
      <w:pPr>
        <w:ind w:firstLine="480"/>
        <w:rPr>
          <w:rFonts w:ascii="Times New Roman" w:hAnsi="Times New Roman" w:eastAsia="宋体"/>
          <w:color w:val="auto"/>
          <w:highlight w:val="none"/>
        </w:rPr>
      </w:pPr>
      <w:r>
        <w:rPr>
          <w:rFonts w:hint="eastAsia" w:ascii="Times New Roman" w:hAnsi="Times New Roman" w:eastAsia="宋体"/>
          <w:color w:val="auto"/>
          <w:highlight w:val="none"/>
        </w:rPr>
        <w:t>（5）限制施工区内运输车辆的速度，卡车在施工场地的车速控制在10km/h，推土机的速度控制在8km/h内。对运输过程中散落在路面上的泥土要及时清扫，以减少运行过程中的扬尘。</w:t>
      </w:r>
    </w:p>
    <w:p w14:paraId="63500A8F">
      <w:pPr>
        <w:ind w:firstLine="480"/>
        <w:rPr>
          <w:rFonts w:ascii="Times New Roman" w:hAnsi="Times New Roman" w:eastAsia="宋体"/>
          <w:color w:val="auto"/>
          <w:highlight w:val="none"/>
        </w:rPr>
      </w:pPr>
      <w:r>
        <w:rPr>
          <w:rFonts w:hint="eastAsia" w:ascii="Times New Roman" w:hAnsi="Times New Roman" w:eastAsia="宋体"/>
          <w:color w:val="auto"/>
          <w:highlight w:val="none"/>
        </w:rPr>
        <w:t>（6）施工现场应设置稳固、整齐、美观并符合安全标准要求的连续封闭式围挡（其边界设置高度2.5m以上），对于特殊地点无法设置围挡、围栏及防溢座的，应设置警示牌，严禁敞开式作业。</w:t>
      </w:r>
    </w:p>
    <w:p w14:paraId="51ADD4A6">
      <w:pPr>
        <w:ind w:firstLine="480"/>
        <w:rPr>
          <w:rFonts w:ascii="Times New Roman" w:hAnsi="Times New Roman" w:eastAsia="宋体"/>
          <w:color w:val="auto"/>
          <w:highlight w:val="none"/>
        </w:rPr>
      </w:pPr>
      <w:r>
        <w:rPr>
          <w:rFonts w:hint="eastAsia" w:ascii="Times New Roman" w:hAnsi="Times New Roman" w:eastAsia="宋体"/>
          <w:color w:val="auto"/>
          <w:highlight w:val="none"/>
        </w:rPr>
        <w:t>（7）施工现场必须做到</w:t>
      </w:r>
      <w:r>
        <w:rPr>
          <w:rFonts w:hint="eastAsia"/>
          <w:color w:val="auto"/>
          <w:highlight w:val="none"/>
          <w:lang w:eastAsia="zh-CN"/>
        </w:rPr>
        <w:t>”</w:t>
      </w:r>
      <w:r>
        <w:rPr>
          <w:rFonts w:hint="eastAsia" w:ascii="Times New Roman" w:hAnsi="Times New Roman" w:eastAsia="宋体"/>
          <w:color w:val="auto"/>
          <w:highlight w:val="none"/>
        </w:rPr>
        <w:t>6个100%</w:t>
      </w:r>
      <w:r>
        <w:rPr>
          <w:rFonts w:hint="eastAsia"/>
          <w:color w:val="auto"/>
          <w:highlight w:val="none"/>
          <w:lang w:eastAsia="zh-CN"/>
        </w:rPr>
        <w:t>”</w:t>
      </w:r>
      <w:r>
        <w:rPr>
          <w:rFonts w:hint="eastAsia" w:ascii="Times New Roman" w:hAnsi="Times New Roman" w:eastAsia="宋体"/>
          <w:color w:val="auto"/>
          <w:highlight w:val="none"/>
        </w:rPr>
        <w:t>，即施工现场100%围挡、工地砂土100%覆盖、工地路面100%硬化、拆除工程100%洒水降尘、出工地车辆100%冲净车轮车身、暂不开发的场地100%绿化。</w:t>
      </w:r>
    </w:p>
    <w:p w14:paraId="716CDBB6">
      <w:pPr>
        <w:ind w:firstLine="480"/>
        <w:rPr>
          <w:rFonts w:ascii="Times New Roman" w:hAnsi="Times New Roman" w:eastAsia="宋体"/>
          <w:color w:val="auto"/>
          <w:highlight w:val="none"/>
        </w:rPr>
      </w:pPr>
      <w:r>
        <w:rPr>
          <w:rFonts w:hint="eastAsia" w:ascii="Times New Roman" w:hAnsi="Times New Roman" w:eastAsia="宋体"/>
          <w:color w:val="auto"/>
          <w:highlight w:val="none"/>
        </w:rPr>
        <w:t>（8）易起尘物料采取袋装、覆盖等措施，严禁高空抛撒作业，施工过程中使用水泥、石灰、砂石、涂料、铺装材料等易产生扬尘的建筑材料，应采取密闭存储、设置围挡或堆砌围墙、采用防尘布苫盖或其他有效的防尘措施。</w:t>
      </w:r>
    </w:p>
    <w:p w14:paraId="6C129567">
      <w:pPr>
        <w:ind w:firstLine="480"/>
        <w:rPr>
          <w:rFonts w:ascii="Times New Roman" w:hAnsi="Times New Roman" w:eastAsia="宋体"/>
          <w:color w:val="auto"/>
          <w:highlight w:val="none"/>
        </w:rPr>
      </w:pPr>
      <w:r>
        <w:rPr>
          <w:rFonts w:hint="eastAsia" w:ascii="Times New Roman" w:hAnsi="Times New Roman" w:eastAsia="宋体"/>
          <w:color w:val="auto"/>
          <w:highlight w:val="none"/>
        </w:rPr>
        <w:t>（9）施工期尽量避开大风、大雨天气，对施工作业面应边施工、边洒水，尽可能降低或避免对区域的扬尘污染。</w:t>
      </w:r>
    </w:p>
    <w:p w14:paraId="61FB1766">
      <w:pPr>
        <w:ind w:firstLine="480"/>
        <w:rPr>
          <w:rFonts w:ascii="Times New Roman" w:hAnsi="Times New Roman" w:eastAsia="宋体"/>
          <w:color w:val="auto"/>
          <w:highlight w:val="none"/>
        </w:rPr>
      </w:pPr>
      <w:r>
        <w:rPr>
          <w:rFonts w:hint="eastAsia" w:ascii="Times New Roman" w:hAnsi="Times New Roman" w:eastAsia="宋体"/>
          <w:color w:val="auto"/>
          <w:highlight w:val="none"/>
        </w:rPr>
        <w:t>（10）建筑垃圾应在48小时内完成清运，不能按时完成清运的建筑垃圾，应采取覆盖防尘布、防尘网、定期喷洒抑尘剂、定期喷水压尘或其他有效的防尘措施；不能按时完成清运的土方，在工地内堆置超过一周的，应采取固化、覆盖或绿化等扬尘控制措施。对楼层、脚手架、高处平台等进行建筑残渣及废料清理时，应采用洒水降尘措施，禁止采用翻竹篱笆、板铲拍打、空压机吹尘等手段。建筑内部清理时，提前一天将建筑内地面洒水湿润，尽量减少浮灰飞扬，避免污染空气。</w:t>
      </w:r>
    </w:p>
    <w:p w14:paraId="28E36564">
      <w:pPr>
        <w:ind w:firstLine="480"/>
        <w:rPr>
          <w:rFonts w:ascii="Times New Roman" w:hAnsi="Times New Roman" w:eastAsia="宋体"/>
          <w:color w:val="auto"/>
          <w:highlight w:val="none"/>
        </w:rPr>
      </w:pPr>
      <w:r>
        <w:rPr>
          <w:rFonts w:hint="eastAsia" w:ascii="Times New Roman" w:hAnsi="Times New Roman" w:eastAsia="宋体"/>
          <w:color w:val="auto"/>
          <w:highlight w:val="none"/>
        </w:rPr>
        <w:t>（11）粉尘、扬尘和燃油产生的污染物对人体健康有害，对受影响的施工人员应做好劳动保护，特别是材料加工、运输粉尘较大的施工场地更应做好防护措施，配备必要的劳保用品。</w:t>
      </w:r>
    </w:p>
    <w:p w14:paraId="32FD5846">
      <w:pPr>
        <w:ind w:firstLine="480"/>
        <w:rPr>
          <w:rFonts w:ascii="Times New Roman" w:hAnsi="Times New Roman" w:eastAsia="宋体"/>
          <w:color w:val="auto"/>
          <w:highlight w:val="none"/>
        </w:rPr>
      </w:pPr>
      <w:r>
        <w:rPr>
          <w:rFonts w:hint="eastAsia" w:ascii="Times New Roman" w:hAnsi="Times New Roman" w:eastAsia="宋体"/>
          <w:color w:val="auto"/>
          <w:highlight w:val="none"/>
        </w:rPr>
        <w:t>2、施工机械排放尾气的防治措施</w:t>
      </w:r>
    </w:p>
    <w:p w14:paraId="7C170032">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建设单位针对汽车尾气的排放拟采取以下的措施：</w:t>
      </w:r>
    </w:p>
    <w:p w14:paraId="3FEABF3D">
      <w:pPr>
        <w:ind w:firstLine="480"/>
        <w:rPr>
          <w:rFonts w:ascii="Times New Roman" w:hAnsi="Times New Roman" w:eastAsia="宋体"/>
          <w:color w:val="auto"/>
          <w:highlight w:val="none"/>
        </w:rPr>
      </w:pPr>
      <w:r>
        <w:rPr>
          <w:rFonts w:hint="eastAsia" w:ascii="Times New Roman" w:hAnsi="Times New Roman" w:eastAsia="宋体"/>
          <w:color w:val="auto"/>
          <w:highlight w:val="none"/>
        </w:rPr>
        <w:t>（1）运输、施工单位使用符合国家有关标准的运输车辆和工程机械，严禁使用超标排放污染物的车辆和机械。</w:t>
      </w:r>
    </w:p>
    <w:p w14:paraId="7AD3E8AD">
      <w:pPr>
        <w:ind w:firstLine="480"/>
        <w:rPr>
          <w:rFonts w:ascii="Times New Roman" w:hAnsi="Times New Roman" w:eastAsia="宋体"/>
          <w:color w:val="auto"/>
          <w:highlight w:val="none"/>
        </w:rPr>
      </w:pPr>
      <w:r>
        <w:rPr>
          <w:rFonts w:hint="eastAsia" w:ascii="Times New Roman" w:hAnsi="Times New Roman" w:eastAsia="宋体"/>
          <w:color w:val="auto"/>
          <w:highlight w:val="none"/>
        </w:rPr>
        <w:t>（2）所有车辆和机械必须定时维修和维护，保证正常运营，减少事故排放。</w:t>
      </w:r>
    </w:p>
    <w:p w14:paraId="003F3173">
      <w:pPr>
        <w:ind w:firstLine="480"/>
        <w:rPr>
          <w:rFonts w:ascii="Times New Roman" w:hAnsi="Times New Roman" w:eastAsia="宋体"/>
          <w:color w:val="auto"/>
          <w:highlight w:val="none"/>
        </w:rPr>
      </w:pPr>
      <w:r>
        <w:rPr>
          <w:rFonts w:hint="eastAsia" w:ascii="Times New Roman" w:hAnsi="Times New Roman" w:eastAsia="宋体"/>
          <w:color w:val="auto"/>
          <w:highlight w:val="none"/>
        </w:rPr>
        <w:t>（3）运输车辆统一调度，避免出现拥挤，尽可能正常装载和行驶，以免在交通不畅通的情况下，排出更多的尾气。</w:t>
      </w:r>
    </w:p>
    <w:p w14:paraId="19181B51">
      <w:pPr>
        <w:ind w:firstLine="480"/>
        <w:rPr>
          <w:rFonts w:ascii="Times New Roman" w:hAnsi="Times New Roman" w:eastAsia="宋体"/>
          <w:color w:val="auto"/>
          <w:highlight w:val="none"/>
        </w:rPr>
      </w:pPr>
      <w:r>
        <w:rPr>
          <w:rFonts w:hint="eastAsia" w:ascii="Times New Roman" w:hAnsi="Times New Roman" w:eastAsia="宋体"/>
          <w:color w:val="auto"/>
          <w:highlight w:val="none"/>
        </w:rPr>
        <w:t>（4）运输车辆禁止超载，不得使用劣质燃料；对车辆的尾气排放应进行监督管理，严格执行汽车排污监管办法相关规定，避免排放黑烟。</w:t>
      </w:r>
    </w:p>
    <w:p w14:paraId="41C97464">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综上所述，施工期大气污染防治措施简单，经济有效，操作难度小；在采取上述措施后，大气污染物的排放将有效减少，不会对当地大气环境质量造成大的影响；评价认为大气污染防治措施有效可行。</w:t>
      </w:r>
    </w:p>
    <w:p w14:paraId="77A20FA2">
      <w:pPr>
        <w:pStyle w:val="5"/>
        <w:rPr>
          <w:rFonts w:ascii="Times New Roman" w:hAnsi="Times New Roman" w:eastAsia="宋体"/>
          <w:color w:val="auto"/>
          <w:highlight w:val="none"/>
        </w:rPr>
      </w:pPr>
      <w:bookmarkStart w:id="229" w:name="_Toc106663520"/>
      <w:r>
        <w:rPr>
          <w:rFonts w:hint="eastAsia" w:ascii="Times New Roman" w:hAnsi="Times New Roman" w:eastAsia="宋体"/>
          <w:color w:val="auto"/>
          <w:highlight w:val="none"/>
        </w:rPr>
        <w:t>6.1.2施工期水污染防治措施</w:t>
      </w:r>
      <w:bookmarkEnd w:id="229"/>
    </w:p>
    <w:p w14:paraId="70A22302">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施工期废水主要是来自施工废水及施工人员的生活污水。</w:t>
      </w:r>
    </w:p>
    <w:p w14:paraId="49B1524B">
      <w:pPr>
        <w:ind w:firstLine="480"/>
        <w:rPr>
          <w:rFonts w:ascii="Times New Roman" w:hAnsi="Times New Roman" w:eastAsia="宋体"/>
          <w:color w:val="auto"/>
          <w:highlight w:val="none"/>
        </w:rPr>
      </w:pPr>
      <w:r>
        <w:rPr>
          <w:rFonts w:hint="eastAsia" w:ascii="Times New Roman" w:hAnsi="Times New Roman" w:eastAsia="宋体"/>
          <w:color w:val="auto"/>
          <w:highlight w:val="none"/>
        </w:rPr>
        <w:t>为避免施工中对水环境的影响，应严格施工管理。地基填土应控制好土的最佳用水量，保证地基的压实度，并做好边坡的防护；修建临时沉淀池，收集沉淀处理含悬浮物高的废水，施工废水经沉淀处理后由于水质较为澄清，可回用作施工用水及道路的洒水。这样可以使施工期废水对水体的影响得到有效的控制。对于施工人员产生的生活污水，应设置防渗干化池或移动式环保公厕集中收集，并定期拉运至当地污水处理厂进行处理，不会对环境造成明显影响。但在施工过程中应加强环境管理，尽量避免施工废水任意乱排，以减缓施工废水对周围环境的不利影响。</w:t>
      </w:r>
    </w:p>
    <w:p w14:paraId="5B39F6D5">
      <w:pPr>
        <w:ind w:firstLine="480"/>
        <w:rPr>
          <w:rFonts w:ascii="Times New Roman" w:hAnsi="Times New Roman" w:eastAsia="宋体"/>
          <w:color w:val="auto"/>
          <w:highlight w:val="none"/>
        </w:rPr>
      </w:pPr>
      <w:r>
        <w:rPr>
          <w:rFonts w:hint="eastAsia" w:ascii="Times New Roman" w:hAnsi="Times New Roman" w:eastAsia="宋体"/>
          <w:color w:val="auto"/>
          <w:highlight w:val="none"/>
        </w:rPr>
        <w:t>沉淀池、防渗干化池均为施工现场常见的废水治理设施，工程量较小，投资较低，杜绝了废水随意泼洒、肆意横流的现象。因此上述废水防治措施从技术、经济方面来讲均可行。</w:t>
      </w:r>
    </w:p>
    <w:p w14:paraId="5EF7AA62">
      <w:pPr>
        <w:pStyle w:val="5"/>
        <w:rPr>
          <w:rFonts w:ascii="Times New Roman" w:hAnsi="Times New Roman" w:eastAsia="宋体"/>
          <w:color w:val="auto"/>
          <w:highlight w:val="none"/>
        </w:rPr>
      </w:pPr>
      <w:bookmarkStart w:id="230" w:name="_Toc106663521"/>
      <w:r>
        <w:rPr>
          <w:rFonts w:hint="eastAsia" w:ascii="Times New Roman" w:hAnsi="Times New Roman" w:eastAsia="宋体"/>
          <w:color w:val="auto"/>
          <w:highlight w:val="none"/>
        </w:rPr>
        <w:t>6.1.3施工期噪声污染防治措施</w:t>
      </w:r>
      <w:bookmarkEnd w:id="230"/>
    </w:p>
    <w:p w14:paraId="559347BD">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间的噪声污染主要来自于施工机械作业产生的噪声和运输车辆产生的交通噪声，施工噪声对其周围环境将产生一定影响。项目须采取相应的控制措施，严格遵守《中华人民共和国环境噪声污染防治法》中关于建筑施工噪声污染防治的有关规定，防止噪声影响周围环境和人们的正常生产生活。建筑施工由于各阶段使用的机械设备组合情况不同，所以噪声辐射影响的程度也不尽相同。基础施工阶段设备多属高噪声机械。主体施工阶段，噪声特点是持续时间长，强度高。建筑施工噪声污染防治措施如下：</w:t>
      </w:r>
    </w:p>
    <w:p w14:paraId="1DBB018A">
      <w:pPr>
        <w:ind w:firstLine="480"/>
        <w:rPr>
          <w:rFonts w:ascii="Times New Roman" w:hAnsi="Times New Roman" w:eastAsia="宋体"/>
          <w:color w:val="auto"/>
          <w:highlight w:val="none"/>
        </w:rPr>
      </w:pPr>
      <w:r>
        <w:rPr>
          <w:rFonts w:hint="eastAsia" w:ascii="Times New Roman" w:hAnsi="Times New Roman" w:eastAsia="宋体"/>
          <w:color w:val="auto"/>
          <w:highlight w:val="none"/>
        </w:rPr>
        <w:t>1、强噪声机械的降噪措施</w:t>
      </w:r>
    </w:p>
    <w:p w14:paraId="203A61BA">
      <w:pPr>
        <w:ind w:firstLine="480"/>
        <w:rPr>
          <w:rFonts w:ascii="Times New Roman" w:hAnsi="Times New Roman" w:eastAsia="宋体"/>
          <w:color w:val="auto"/>
          <w:highlight w:val="none"/>
        </w:rPr>
      </w:pPr>
      <w:r>
        <w:rPr>
          <w:rFonts w:hint="eastAsia" w:ascii="Times New Roman" w:hAnsi="Times New Roman" w:eastAsia="宋体"/>
          <w:color w:val="auto"/>
          <w:highlight w:val="none"/>
        </w:rPr>
        <w:t>（1）推行清洁生产，必须采用低噪声的施工机械和先进的施工技术，以达到控制噪声的目的。施工机械进场应得到环保部门的批准，对环境噪声污染严重的落后的施工机械和施工方式实行淘汰制度。施工中应采用低噪声新技术设备，使噪声污染在施工中得到控制。</w:t>
      </w:r>
    </w:p>
    <w:p w14:paraId="03FF1C13">
      <w:pPr>
        <w:ind w:firstLine="480"/>
        <w:rPr>
          <w:rFonts w:ascii="Times New Roman" w:hAnsi="Times New Roman" w:eastAsia="宋体"/>
          <w:color w:val="auto"/>
          <w:highlight w:val="none"/>
        </w:rPr>
      </w:pPr>
      <w:r>
        <w:rPr>
          <w:rFonts w:hint="eastAsia" w:ascii="Times New Roman" w:hAnsi="Times New Roman" w:eastAsia="宋体"/>
          <w:color w:val="auto"/>
          <w:highlight w:val="none"/>
        </w:rPr>
        <w:t>（2）在施工机械与设备与基础或连接部位之间采用弹簧减震、橡皮减震、管道减震、阻尼减震技术，可减少动量，降低噪声。</w:t>
      </w:r>
    </w:p>
    <w:p w14:paraId="35429E1C">
      <w:pPr>
        <w:ind w:firstLine="480"/>
        <w:rPr>
          <w:rFonts w:ascii="Times New Roman" w:hAnsi="Times New Roman" w:eastAsia="宋体"/>
          <w:color w:val="auto"/>
          <w:highlight w:val="none"/>
        </w:rPr>
      </w:pPr>
      <w:r>
        <w:rPr>
          <w:rFonts w:hint="eastAsia" w:ascii="Times New Roman" w:hAnsi="Times New Roman" w:eastAsia="宋体"/>
          <w:color w:val="auto"/>
          <w:highlight w:val="none"/>
        </w:rPr>
        <w:t>（3）降低钢模施工噪声，小钢模改为竹夹板以减少振动作业时冲击钢模产生噪声。</w:t>
      </w:r>
    </w:p>
    <w:p w14:paraId="61306F56">
      <w:pPr>
        <w:ind w:firstLine="480"/>
        <w:rPr>
          <w:rFonts w:ascii="Times New Roman" w:hAnsi="Times New Roman" w:eastAsia="宋体"/>
          <w:color w:val="auto"/>
          <w:highlight w:val="none"/>
        </w:rPr>
      </w:pPr>
      <w:r>
        <w:rPr>
          <w:rFonts w:hint="eastAsia" w:ascii="Times New Roman" w:hAnsi="Times New Roman" w:eastAsia="宋体"/>
          <w:color w:val="auto"/>
          <w:highlight w:val="none"/>
        </w:rPr>
        <w:t>（4）合理布局施工场地，在允许的情况下，高噪声施工机械设备布置在远离居民的位置。按照有关规定，每个施工段对作业区设置围挡。</w:t>
      </w:r>
    </w:p>
    <w:p w14:paraId="5B62FBE8">
      <w:pPr>
        <w:ind w:firstLine="480"/>
        <w:rPr>
          <w:rFonts w:ascii="Times New Roman" w:hAnsi="Times New Roman" w:eastAsia="宋体"/>
          <w:color w:val="auto"/>
          <w:highlight w:val="none"/>
        </w:rPr>
      </w:pPr>
      <w:r>
        <w:rPr>
          <w:rFonts w:hint="eastAsia" w:ascii="Times New Roman" w:hAnsi="Times New Roman" w:eastAsia="宋体"/>
          <w:color w:val="auto"/>
          <w:highlight w:val="none"/>
        </w:rPr>
        <w:t>（5）施工车辆禁鸣喇叭。</w:t>
      </w:r>
    </w:p>
    <w:p w14:paraId="195C3EE2">
      <w:pPr>
        <w:ind w:firstLine="480"/>
        <w:rPr>
          <w:rFonts w:ascii="Times New Roman" w:hAnsi="Times New Roman" w:eastAsia="宋体"/>
          <w:color w:val="auto"/>
          <w:highlight w:val="none"/>
        </w:rPr>
      </w:pPr>
      <w:r>
        <w:rPr>
          <w:rFonts w:hint="eastAsia" w:ascii="Times New Roman" w:hAnsi="Times New Roman" w:eastAsia="宋体"/>
          <w:color w:val="auto"/>
          <w:highlight w:val="none"/>
        </w:rPr>
        <w:t>（6）施工过程中加强检查、维护和保养机械设备，保持润滑，紧固各部件，减少运行震动噪声。减轻噪声对周围环境敏感点的影响。</w:t>
      </w:r>
    </w:p>
    <w:p w14:paraId="6F925E98">
      <w:pPr>
        <w:ind w:firstLine="480"/>
        <w:rPr>
          <w:rFonts w:ascii="Times New Roman" w:hAnsi="Times New Roman" w:eastAsia="宋体"/>
          <w:color w:val="auto"/>
          <w:highlight w:val="none"/>
        </w:rPr>
      </w:pPr>
      <w:r>
        <w:rPr>
          <w:rFonts w:hint="eastAsia" w:ascii="Times New Roman" w:hAnsi="Times New Roman" w:eastAsia="宋体"/>
          <w:color w:val="auto"/>
          <w:highlight w:val="none"/>
        </w:rPr>
        <w:t>2、人为噪声控制</w:t>
      </w:r>
    </w:p>
    <w:p w14:paraId="4D79EEF6">
      <w:pPr>
        <w:ind w:firstLine="480"/>
        <w:rPr>
          <w:rFonts w:ascii="Times New Roman" w:hAnsi="Times New Roman" w:eastAsia="宋体"/>
          <w:color w:val="auto"/>
          <w:highlight w:val="none"/>
        </w:rPr>
      </w:pPr>
      <w:r>
        <w:rPr>
          <w:rFonts w:hint="eastAsia" w:ascii="Times New Roman" w:hAnsi="Times New Roman" w:eastAsia="宋体"/>
          <w:color w:val="auto"/>
          <w:highlight w:val="none"/>
        </w:rPr>
        <w:t>（1）提倡文明施工，建立控制人为噪声的管理制度，增强施工人员的环保意识，提高防治噪声扰民的自觉性，减少人为噪声污染。</w:t>
      </w:r>
    </w:p>
    <w:p w14:paraId="0553CB46">
      <w:pPr>
        <w:ind w:firstLine="480"/>
        <w:rPr>
          <w:rFonts w:ascii="Times New Roman" w:hAnsi="Times New Roman" w:eastAsia="宋体"/>
          <w:color w:val="auto"/>
          <w:highlight w:val="none"/>
        </w:rPr>
      </w:pPr>
      <w:r>
        <w:rPr>
          <w:rFonts w:hint="eastAsia" w:ascii="Times New Roman" w:hAnsi="Times New Roman" w:eastAsia="宋体"/>
          <w:color w:val="auto"/>
          <w:highlight w:val="none"/>
        </w:rPr>
        <w:t>（2）在施工现场禁止大声喧哗吵闹、高声唱歌或敲击工具等。</w:t>
      </w:r>
    </w:p>
    <w:p w14:paraId="742EEA53">
      <w:pPr>
        <w:ind w:firstLine="480"/>
        <w:rPr>
          <w:rFonts w:ascii="Times New Roman" w:hAnsi="Times New Roman" w:eastAsia="宋体"/>
          <w:color w:val="auto"/>
          <w:highlight w:val="none"/>
        </w:rPr>
      </w:pPr>
      <w:r>
        <w:rPr>
          <w:rFonts w:hint="eastAsia" w:ascii="Times New Roman" w:hAnsi="Times New Roman" w:eastAsia="宋体"/>
          <w:color w:val="auto"/>
          <w:highlight w:val="none"/>
        </w:rPr>
        <w:t>（3）作业中搬运物件，必须轻拿轻放，钢铁件堆放不发出大的声响，严禁抛掷物件而造成噪声。</w:t>
      </w:r>
    </w:p>
    <w:p w14:paraId="74EB3CAA">
      <w:pPr>
        <w:ind w:firstLine="480"/>
        <w:rPr>
          <w:rFonts w:ascii="Times New Roman" w:hAnsi="Times New Roman" w:eastAsia="宋体"/>
          <w:color w:val="auto"/>
          <w:highlight w:val="none"/>
        </w:rPr>
      </w:pPr>
      <w:r>
        <w:rPr>
          <w:rFonts w:hint="eastAsia" w:ascii="Times New Roman" w:hAnsi="Times New Roman" w:eastAsia="宋体"/>
          <w:color w:val="auto"/>
          <w:highlight w:val="none"/>
        </w:rPr>
        <w:t>3、个人防护</w:t>
      </w:r>
    </w:p>
    <w:p w14:paraId="768C9BEB">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单位应合理安排工作人员轮流操作产生高强噪声的施工机械，减少接触高噪声的时间，或穿插安排高噪声和低噪声的工作。加强对施工人员的个人防护，对高噪声设备附近工作的施工人员，采取配备、使用耳塞、耳机、防声头盔等防噪用具。</w:t>
      </w:r>
    </w:p>
    <w:p w14:paraId="41E02C00">
      <w:pPr>
        <w:ind w:firstLine="480"/>
        <w:rPr>
          <w:rFonts w:ascii="Times New Roman" w:hAnsi="Times New Roman" w:eastAsia="宋体"/>
          <w:color w:val="auto"/>
          <w:highlight w:val="none"/>
        </w:rPr>
      </w:pPr>
      <w:r>
        <w:rPr>
          <w:rFonts w:hint="eastAsia" w:ascii="Times New Roman" w:hAnsi="Times New Roman" w:eastAsia="宋体"/>
          <w:color w:val="auto"/>
          <w:highlight w:val="none"/>
        </w:rPr>
        <w:t>经采取以上的降噪措施后，有效的减缓了施工和运输噪声对项目施工人员和周围居民区的影响，因此施工期拟采取的噪声防治措施可行。</w:t>
      </w:r>
    </w:p>
    <w:p w14:paraId="3CEE68C9">
      <w:pPr>
        <w:ind w:firstLine="480"/>
        <w:rPr>
          <w:rFonts w:ascii="Times New Roman" w:hAnsi="Times New Roman" w:eastAsia="宋体"/>
          <w:color w:val="auto"/>
          <w:highlight w:val="none"/>
        </w:rPr>
      </w:pPr>
      <w:r>
        <w:rPr>
          <w:rFonts w:hint="eastAsia" w:ascii="Times New Roman" w:hAnsi="Times New Roman" w:eastAsia="宋体"/>
          <w:color w:val="auto"/>
          <w:highlight w:val="none"/>
        </w:rPr>
        <w:t>施工期环境影响为短期影响，施工结束后消除。但考虑施工期对周围环境的影响，建设单位在建设过程中认真遵守各项管理制度，做到文明施工、严格管理、缩短工期，力争将项目建设过程中对周围环境产生的影响降到最低限度。</w:t>
      </w:r>
    </w:p>
    <w:p w14:paraId="2DC14507">
      <w:pPr>
        <w:pStyle w:val="5"/>
        <w:rPr>
          <w:rFonts w:ascii="Times New Roman" w:hAnsi="Times New Roman" w:eastAsia="宋体"/>
          <w:color w:val="auto"/>
          <w:highlight w:val="none"/>
        </w:rPr>
      </w:pPr>
      <w:bookmarkStart w:id="231" w:name="_Toc106663522"/>
      <w:r>
        <w:rPr>
          <w:rFonts w:hint="eastAsia" w:ascii="Times New Roman" w:hAnsi="Times New Roman" w:eastAsia="宋体"/>
          <w:color w:val="auto"/>
          <w:highlight w:val="none"/>
        </w:rPr>
        <w:t>6.1.4施工期固体废物防治措施</w:t>
      </w:r>
      <w:bookmarkEnd w:id="231"/>
    </w:p>
    <w:p w14:paraId="14B08138">
      <w:pPr>
        <w:ind w:firstLine="480"/>
        <w:rPr>
          <w:rFonts w:ascii="Times New Roman" w:hAnsi="Times New Roman" w:eastAsia="宋体"/>
          <w:color w:val="auto"/>
          <w:highlight w:val="none"/>
        </w:rPr>
      </w:pPr>
      <w:r>
        <w:rPr>
          <w:rFonts w:hint="eastAsia" w:ascii="Times New Roman" w:hAnsi="Times New Roman" w:eastAsia="宋体"/>
          <w:color w:val="auto"/>
          <w:highlight w:val="none"/>
        </w:rPr>
        <w:t>生活垃圾和建筑垃圾的影响主要体现在其堆放过程中，在风力作用下，引起垃圾及粉尘随风飘散，对空气造成污染影响。</w:t>
      </w:r>
    </w:p>
    <w:p w14:paraId="4E90B4F7">
      <w:pPr>
        <w:ind w:firstLine="480"/>
        <w:rPr>
          <w:rFonts w:ascii="Times New Roman" w:hAnsi="Times New Roman" w:eastAsia="宋体"/>
          <w:color w:val="auto"/>
          <w:highlight w:val="none"/>
        </w:rPr>
      </w:pPr>
      <w:r>
        <w:rPr>
          <w:rFonts w:hint="eastAsia" w:ascii="Times New Roman" w:hAnsi="Times New Roman" w:eastAsia="宋体"/>
          <w:color w:val="auto"/>
          <w:highlight w:val="none"/>
        </w:rPr>
        <w:t>针对项目施工期固体废弃物种类及特点，提出如下防治措施：</w:t>
      </w:r>
    </w:p>
    <w:p w14:paraId="65A02F79">
      <w:pPr>
        <w:ind w:firstLine="480"/>
        <w:rPr>
          <w:rFonts w:ascii="Times New Roman" w:hAnsi="Times New Roman" w:eastAsia="宋体"/>
          <w:color w:val="auto"/>
          <w:highlight w:val="none"/>
        </w:rPr>
      </w:pPr>
      <w:r>
        <w:rPr>
          <w:rFonts w:hint="eastAsia" w:ascii="Times New Roman" w:hAnsi="Times New Roman" w:eastAsia="宋体"/>
          <w:color w:val="auto"/>
          <w:highlight w:val="none"/>
        </w:rPr>
        <w:t>（1）临时土石方于施工区就近堆放，采取覆盖围护措施，防止大风和大雨时造成的水土流失。堆放前设置挡土墙，堆放后表土覆盖防尘布，抑制扬尘产生。</w:t>
      </w:r>
    </w:p>
    <w:p w14:paraId="7F642D92">
      <w:pPr>
        <w:ind w:firstLine="480"/>
        <w:rPr>
          <w:rFonts w:ascii="Times New Roman" w:hAnsi="Times New Roman" w:eastAsia="宋体"/>
          <w:color w:val="auto"/>
          <w:highlight w:val="none"/>
        </w:rPr>
      </w:pPr>
      <w:r>
        <w:rPr>
          <w:rFonts w:hint="eastAsia" w:ascii="Times New Roman" w:hAnsi="Times New Roman" w:eastAsia="宋体"/>
          <w:color w:val="auto"/>
          <w:highlight w:val="none"/>
        </w:rPr>
        <w:t>（2）对施工中产生的不能再利用的建筑垃圾，应进行分类收集、分类管理，能够回收利用的尽量回收再利用，以节约资源；对于不能回收利用的要进行收集并于施工区内固定地点集中暂存，施工完成后及时处理，拉运至当地环保部门指定的建筑垃圾填埋场填埋处置或委托处置建筑垃圾的单位及时外处置。</w:t>
      </w:r>
    </w:p>
    <w:p w14:paraId="254AE865">
      <w:pPr>
        <w:ind w:firstLine="480"/>
        <w:rPr>
          <w:rFonts w:ascii="Times New Roman" w:hAnsi="Times New Roman" w:eastAsia="宋体"/>
          <w:color w:val="auto"/>
          <w:highlight w:val="none"/>
        </w:rPr>
      </w:pPr>
      <w:r>
        <w:rPr>
          <w:rFonts w:hint="eastAsia" w:ascii="Times New Roman" w:hAnsi="Times New Roman" w:eastAsia="宋体"/>
          <w:color w:val="auto"/>
          <w:highlight w:val="none"/>
        </w:rPr>
        <w:t>（3）车辆运输建筑垃圾时，须采取覆盖措施，不得沿途漏撒；施工单位应在施工前5日向建设局申报工程垃圾处置计划，如实填报垃圾的种类、数量、运输路线及处置方案等事项，并与有关管理部门签订环境卫生责任书。</w:t>
      </w:r>
    </w:p>
    <w:p w14:paraId="1C289CE1">
      <w:pPr>
        <w:ind w:firstLine="480"/>
        <w:rPr>
          <w:rFonts w:ascii="Times New Roman" w:hAnsi="Times New Roman" w:eastAsia="宋体"/>
          <w:color w:val="auto"/>
          <w:highlight w:val="none"/>
        </w:rPr>
      </w:pPr>
      <w:r>
        <w:rPr>
          <w:rFonts w:hint="eastAsia" w:ascii="Times New Roman" w:hAnsi="Times New Roman" w:eastAsia="宋体"/>
          <w:color w:val="auto"/>
          <w:highlight w:val="none"/>
        </w:rPr>
        <w:t>（4）施工部门应当持当地建设局核发的处置证明，向运输单位办理建筑垃圾托运手续。运输车辆在运输建筑垃圾时应携带处置证明，接收渣土管理部门的检查，运输路线应按渣土管理部门会同公安、交通管理部门规定的线路运输。</w:t>
      </w:r>
    </w:p>
    <w:p w14:paraId="02825684">
      <w:pPr>
        <w:ind w:firstLine="480"/>
        <w:rPr>
          <w:rFonts w:ascii="Times New Roman" w:hAnsi="Times New Roman" w:eastAsia="宋体"/>
          <w:color w:val="auto"/>
          <w:highlight w:val="none"/>
        </w:rPr>
      </w:pPr>
      <w:r>
        <w:rPr>
          <w:rFonts w:hint="eastAsia" w:ascii="Times New Roman" w:hAnsi="Times New Roman" w:eastAsia="宋体"/>
          <w:color w:val="auto"/>
          <w:highlight w:val="none"/>
        </w:rPr>
        <w:t>（5）工程完工后1个月内，应当将施工场地的剩余建筑垃圾处置干净，不得占用道路或其他类型土地来堆放建筑垃圾。</w:t>
      </w:r>
    </w:p>
    <w:p w14:paraId="580C11A1">
      <w:pPr>
        <w:ind w:firstLine="480"/>
        <w:rPr>
          <w:rFonts w:ascii="Times New Roman" w:hAnsi="Times New Roman" w:eastAsia="宋体"/>
          <w:color w:val="auto"/>
          <w:highlight w:val="none"/>
        </w:rPr>
      </w:pPr>
      <w:r>
        <w:rPr>
          <w:rFonts w:hint="eastAsia" w:ascii="Times New Roman" w:hAnsi="Times New Roman" w:eastAsia="宋体"/>
          <w:color w:val="auto"/>
          <w:highlight w:val="none"/>
        </w:rPr>
        <w:t>采取上述措施后施工期固体废弃物对项目区及周边环境影响不大。</w:t>
      </w:r>
    </w:p>
    <w:p w14:paraId="4FD664EC">
      <w:pPr>
        <w:pStyle w:val="5"/>
        <w:rPr>
          <w:rFonts w:ascii="Times New Roman" w:hAnsi="Times New Roman" w:eastAsia="宋体"/>
          <w:color w:val="auto"/>
          <w:highlight w:val="none"/>
        </w:rPr>
      </w:pPr>
      <w:bookmarkStart w:id="232" w:name="_Toc106663523"/>
      <w:r>
        <w:rPr>
          <w:rFonts w:hint="eastAsia" w:ascii="Times New Roman" w:hAnsi="Times New Roman" w:eastAsia="宋体"/>
          <w:color w:val="auto"/>
          <w:highlight w:val="none"/>
        </w:rPr>
        <w:t>6.1.5施工期生态环境防治措施</w:t>
      </w:r>
      <w:bookmarkEnd w:id="232"/>
    </w:p>
    <w:p w14:paraId="3CF6ACA1">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项目对生态产生的负面影响主要体现在施工期工程施工阶段，主要影响因素为土壤、动植物以及景观影响。针对生态影响，本次环评提出如下措施：</w:t>
      </w:r>
    </w:p>
    <w:p w14:paraId="4D1DEDFA">
      <w:pPr>
        <w:ind w:firstLine="480"/>
        <w:rPr>
          <w:rFonts w:ascii="Times New Roman" w:hAnsi="Times New Roman" w:eastAsia="宋体"/>
          <w:color w:val="auto"/>
          <w:highlight w:val="none"/>
        </w:rPr>
      </w:pPr>
      <w:r>
        <w:rPr>
          <w:rFonts w:hint="eastAsia" w:ascii="Times New Roman" w:hAnsi="Times New Roman" w:eastAsia="宋体"/>
          <w:color w:val="auto"/>
          <w:highlight w:val="none"/>
        </w:rPr>
        <w:t>（1）施工期地基开挖后产生的表土于施工区域内集中堆放，就近回填，堆放期间采取覆盖围护措施，防止大风大雨时造成水土流失。堆放前设置挡土墙，堆放后表土堆场上覆盖防尘布，要求施工过程中及时利用原表土对施工造成的裸露地面或基坑进行平整、回填覆土。</w:t>
      </w:r>
    </w:p>
    <w:p w14:paraId="2F213C9E">
      <w:pPr>
        <w:ind w:firstLine="480"/>
        <w:rPr>
          <w:rFonts w:ascii="Times New Roman" w:hAnsi="Times New Roman" w:eastAsia="宋体"/>
          <w:color w:val="auto"/>
          <w:highlight w:val="none"/>
        </w:rPr>
      </w:pPr>
      <w:r>
        <w:rPr>
          <w:rFonts w:hint="eastAsia" w:ascii="Times New Roman" w:hAnsi="Times New Roman" w:eastAsia="宋体"/>
          <w:color w:val="auto"/>
          <w:highlight w:val="none"/>
        </w:rPr>
        <w:t>（2）在施工过程中填挖土方，会产生水土流失，建设施工尽量安排于非雨天和大风天进行，以避免水土流失的发生，从而尽可能降低对生态环境的潜在影响。</w:t>
      </w:r>
    </w:p>
    <w:p w14:paraId="2F0DC5F6">
      <w:pPr>
        <w:ind w:firstLine="480"/>
        <w:rPr>
          <w:rFonts w:ascii="Times New Roman" w:hAnsi="Times New Roman" w:eastAsia="宋体"/>
          <w:color w:val="auto"/>
          <w:highlight w:val="none"/>
        </w:rPr>
      </w:pPr>
      <w:r>
        <w:rPr>
          <w:rFonts w:hint="eastAsia" w:ascii="Times New Roman" w:hAnsi="Times New Roman" w:eastAsia="宋体"/>
          <w:color w:val="auto"/>
          <w:highlight w:val="none"/>
        </w:rPr>
        <w:t>（3）施工完成后，对施工区域内场地进行全面整地并采取硬化措施，避免地表裸露增加水土流失量。</w:t>
      </w:r>
    </w:p>
    <w:p w14:paraId="645CECB8">
      <w:pPr>
        <w:ind w:firstLine="480"/>
        <w:rPr>
          <w:rFonts w:ascii="Times New Roman" w:hAnsi="Times New Roman" w:eastAsia="宋体"/>
          <w:color w:val="auto"/>
          <w:highlight w:val="none"/>
        </w:rPr>
      </w:pPr>
      <w:r>
        <w:rPr>
          <w:rFonts w:hint="eastAsia" w:ascii="Times New Roman" w:hAnsi="Times New Roman" w:eastAsia="宋体"/>
          <w:color w:val="auto"/>
          <w:highlight w:val="none"/>
        </w:rPr>
        <w:t>（4）施工过程中场地内的施工运输道路等应及时清扫，洒水，减少车辆行驶过程中的扬尘产生量。</w:t>
      </w:r>
    </w:p>
    <w:p w14:paraId="1521D106">
      <w:pPr>
        <w:ind w:firstLine="480"/>
        <w:rPr>
          <w:rFonts w:ascii="Times New Roman" w:hAnsi="Times New Roman" w:eastAsia="宋体"/>
          <w:color w:val="auto"/>
          <w:highlight w:val="none"/>
        </w:rPr>
      </w:pPr>
      <w:r>
        <w:rPr>
          <w:rFonts w:hint="eastAsia" w:ascii="Times New Roman" w:hAnsi="Times New Roman" w:eastAsia="宋体"/>
          <w:color w:val="auto"/>
          <w:highlight w:val="none"/>
        </w:rPr>
        <w:t>（5）加强施工人员生态保护意识的宣传工作。禁止施工人员破坏设计用地以外的植被或占用规定施工区以外的区域。</w:t>
      </w:r>
    </w:p>
    <w:p w14:paraId="2004B14E">
      <w:pPr>
        <w:ind w:firstLine="480"/>
        <w:rPr>
          <w:rFonts w:ascii="Times New Roman" w:hAnsi="Times New Roman" w:eastAsia="宋体"/>
          <w:color w:val="auto"/>
          <w:highlight w:val="none"/>
        </w:rPr>
      </w:pPr>
      <w:r>
        <w:rPr>
          <w:rFonts w:hint="eastAsia" w:ascii="Times New Roman" w:hAnsi="Times New Roman" w:eastAsia="宋体"/>
          <w:color w:val="auto"/>
          <w:highlight w:val="none"/>
        </w:rPr>
        <w:t>采取以上措施后，可最大限度减少因施工引起的负面生态影响。</w:t>
      </w:r>
    </w:p>
    <w:p w14:paraId="3340B46F">
      <w:pPr>
        <w:pStyle w:val="4"/>
        <w:rPr>
          <w:rFonts w:ascii="Times New Roman" w:hAnsi="Times New Roman" w:eastAsia="宋体"/>
          <w:color w:val="auto"/>
          <w:highlight w:val="none"/>
        </w:rPr>
      </w:pPr>
      <w:bookmarkStart w:id="233" w:name="_Toc89619349"/>
      <w:bookmarkStart w:id="234" w:name="_Toc106663524"/>
      <w:r>
        <w:rPr>
          <w:rFonts w:hint="eastAsia" w:ascii="Times New Roman" w:hAnsi="Times New Roman" w:eastAsia="宋体"/>
          <w:color w:val="auto"/>
          <w:highlight w:val="none"/>
        </w:rPr>
        <w:t>6.2运营期污染防治措施分析</w:t>
      </w:r>
      <w:bookmarkEnd w:id="233"/>
      <w:bookmarkEnd w:id="234"/>
    </w:p>
    <w:p w14:paraId="0A418C30">
      <w:pPr>
        <w:pStyle w:val="5"/>
        <w:rPr>
          <w:rFonts w:ascii="Times New Roman" w:hAnsi="Times New Roman" w:eastAsia="宋体"/>
          <w:color w:val="auto"/>
          <w:highlight w:val="none"/>
        </w:rPr>
      </w:pPr>
      <w:bookmarkStart w:id="235" w:name="_Toc106663525"/>
      <w:r>
        <w:rPr>
          <w:rFonts w:hint="eastAsia" w:ascii="Times New Roman" w:hAnsi="Times New Roman" w:eastAsia="宋体"/>
          <w:color w:val="auto"/>
          <w:highlight w:val="none"/>
        </w:rPr>
        <w:t>6.2.1大气污染物防治措施</w:t>
      </w:r>
      <w:bookmarkEnd w:id="235"/>
    </w:p>
    <w:p w14:paraId="1CA0A38C">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6.2.1.1恶臭治理措施可行性分析</w:t>
      </w:r>
    </w:p>
    <w:p w14:paraId="1C72CF5E">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color w:val="auto"/>
          <w:sz w:val="24"/>
          <w:highlight w:val="none"/>
          <w:lang w:eastAsia="zh-CN"/>
        </w:rPr>
        <w:t>（</w:t>
      </w:r>
      <w:r>
        <w:rPr>
          <w:rFonts w:hint="eastAsia" w:ascii="Times New Roman" w:hAnsi="Times New Roman" w:eastAsia="宋体"/>
          <w:color w:val="auto"/>
          <w:sz w:val="24"/>
          <w:highlight w:val="none"/>
        </w:rPr>
        <w:t>1</w:t>
      </w:r>
      <w:r>
        <w:rPr>
          <w:rFonts w:hint="eastAsia"/>
          <w:color w:val="auto"/>
          <w:sz w:val="24"/>
          <w:highlight w:val="none"/>
          <w:lang w:eastAsia="zh-CN"/>
        </w:rPr>
        <w:t>）</w:t>
      </w:r>
      <w:r>
        <w:rPr>
          <w:rFonts w:hint="eastAsia" w:ascii="Times New Roman" w:hAnsi="Times New Roman" w:eastAsia="宋体"/>
          <w:color w:val="auto"/>
          <w:sz w:val="24"/>
          <w:highlight w:val="none"/>
        </w:rPr>
        <w:t>废气污染防治措施及可行性分析</w:t>
      </w:r>
    </w:p>
    <w:p w14:paraId="4DF1C8A9">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由于圈舍的恶臭污染源很分散，集中处理困难，最有效的控制方法是预防为主，在恶臭产生的源头就地处理。根据《畜禽养殖业污染治理工程技术规范》</w:t>
      </w:r>
      <w:r>
        <w:rPr>
          <w:rFonts w:hint="eastAsia"/>
          <w:color w:val="auto"/>
          <w:sz w:val="24"/>
          <w:highlight w:val="none"/>
          <w:lang w:eastAsia="zh-CN"/>
        </w:rPr>
        <w:t>（</w:t>
      </w:r>
      <w:r>
        <w:rPr>
          <w:rFonts w:hint="eastAsia" w:ascii="Times New Roman" w:hAnsi="Times New Roman" w:eastAsia="宋体"/>
          <w:color w:val="auto"/>
          <w:sz w:val="24"/>
          <w:highlight w:val="none"/>
        </w:rPr>
        <w:t>HJ497-2009</w:t>
      </w:r>
      <w:r>
        <w:rPr>
          <w:rFonts w:hint="eastAsia"/>
          <w:color w:val="auto"/>
          <w:sz w:val="24"/>
          <w:highlight w:val="none"/>
          <w:lang w:eastAsia="zh-CN"/>
        </w:rPr>
        <w:t>）</w:t>
      </w:r>
      <w:r>
        <w:rPr>
          <w:rFonts w:hint="eastAsia" w:ascii="Times New Roman" w:hAnsi="Times New Roman" w:eastAsia="宋体"/>
          <w:color w:val="auto"/>
          <w:sz w:val="24"/>
          <w:highlight w:val="none"/>
        </w:rPr>
        <w:t>及《畜禽养殖业污染防治技术规范》</w:t>
      </w:r>
      <w:r>
        <w:rPr>
          <w:rFonts w:hint="eastAsia"/>
          <w:color w:val="auto"/>
          <w:sz w:val="24"/>
          <w:highlight w:val="none"/>
          <w:lang w:eastAsia="zh-CN"/>
        </w:rPr>
        <w:t>（</w:t>
      </w:r>
      <w:r>
        <w:rPr>
          <w:rFonts w:hint="eastAsia" w:ascii="Times New Roman" w:hAnsi="Times New Roman" w:eastAsia="宋体"/>
          <w:color w:val="auto"/>
          <w:sz w:val="24"/>
          <w:highlight w:val="none"/>
        </w:rPr>
        <w:t>HJ/T81-2001</w:t>
      </w:r>
      <w:r>
        <w:rPr>
          <w:rFonts w:hint="eastAsia"/>
          <w:color w:val="auto"/>
          <w:sz w:val="24"/>
          <w:highlight w:val="none"/>
          <w:lang w:eastAsia="zh-CN"/>
        </w:rPr>
        <w:t>）</w:t>
      </w:r>
      <w:r>
        <w:rPr>
          <w:rFonts w:hint="eastAsia" w:ascii="Times New Roman" w:hAnsi="Times New Roman" w:eastAsia="宋体"/>
          <w:color w:val="auto"/>
          <w:sz w:val="24"/>
          <w:highlight w:val="none"/>
        </w:rPr>
        <w:t>相关要求，结合拟建项目生产实际，本评价主要提出如下措施减降恶臭污染物的产生：</w:t>
      </w:r>
    </w:p>
    <w:p w14:paraId="19923DBF">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1</w:t>
      </w:r>
      <w:r>
        <w:rPr>
          <w:rFonts w:hint="eastAsia"/>
          <w:color w:val="auto"/>
          <w:sz w:val="24"/>
          <w:highlight w:val="none"/>
          <w:lang w:eastAsia="zh-CN"/>
        </w:rPr>
        <w:t>）</w:t>
      </w:r>
      <w:r>
        <w:rPr>
          <w:rFonts w:hint="eastAsia" w:ascii="Times New Roman" w:hAnsi="Times New Roman" w:eastAsia="宋体"/>
          <w:color w:val="auto"/>
          <w:sz w:val="24"/>
          <w:highlight w:val="none"/>
        </w:rPr>
        <w:t>管理措施：</w:t>
      </w:r>
    </w:p>
    <w:p w14:paraId="71ED2C91">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①养殖鸡舍清理：</w:t>
      </w:r>
    </w:p>
    <w:p w14:paraId="00960FCE">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根据相关研究资料，养殖鸡舍的恶臭浓度主要与舍内温度与粪便的堆积量、堆积时间呈正相关关系，养殖鸡舍与食槽每天清扫，蛋鸡出栏后立即对养殖鸡舍进行清洗与消毒，可在一定程度上保障养殖鸡舍清洁卫生，在此基础上评价提出增设措施如下：</w:t>
      </w:r>
    </w:p>
    <w:p w14:paraId="4026586E">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A、养殖鸡舍采用多层网架养殖，鸡粪便排入传送带，由自动刮粪机收集后清出养殖鸡舍，直接运输至有机肥厂，运输时应尽可能采用密封罐车；</w:t>
      </w:r>
    </w:p>
    <w:p w14:paraId="7E4EED6C">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B、养殖鸡舍加强通风，确保室内干燥；</w:t>
      </w:r>
    </w:p>
    <w:p w14:paraId="0A8E9C14">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C、夏季可采用喷药等方式预防蚊蝇滋生，各养殖鸡舍的污水沟应加盖密封处理，不得露天排放；</w:t>
      </w:r>
    </w:p>
    <w:p w14:paraId="783DB1AA">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D、在经济条件允许的情况下，建议在气温较高季节使用掩臭剂、氧化剂处理喷洒养殖鸡舍及未及时清理的粪便，在不利于污染物稀释、扩散的气象条件下可每天酌情增加粪污清理次数。</w:t>
      </w:r>
    </w:p>
    <w:p w14:paraId="4BCD4C93">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②场地绿化</w:t>
      </w:r>
    </w:p>
    <w:p w14:paraId="3D09EDE4">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养殖鸡舍外1m处种植成排杨树，其他各区也栽花种草，进行环境整区绿化。评价要求应在场界设置4~5m的绿色隔离带，可种树2~3排以隔离场内恶臭气体，鉴于养殖行业的特殊性，在树种选择上可考虑除臭、吸尘等效果较好的树种。</w:t>
      </w:r>
    </w:p>
    <w:p w14:paraId="3AE82CA1">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③密闭设施</w:t>
      </w:r>
    </w:p>
    <w:p w14:paraId="6D71EEF2">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color w:val="auto"/>
          <w:sz w:val="24"/>
          <w:highlight w:val="none"/>
          <w:lang w:eastAsia="zh-CN"/>
        </w:rPr>
        <w:t>废水收集池</w:t>
      </w:r>
      <w:r>
        <w:rPr>
          <w:rFonts w:hint="eastAsia" w:ascii="Times New Roman" w:hAnsi="Times New Roman" w:eastAsia="宋体"/>
          <w:color w:val="auto"/>
          <w:sz w:val="24"/>
          <w:highlight w:val="none"/>
        </w:rPr>
        <w:t>采取加盖密封的方式，并根据实际情况在周围喷洒除臭剂、消毒剂，以减轻</w:t>
      </w:r>
      <w:r>
        <w:rPr>
          <w:rFonts w:hint="eastAsia"/>
          <w:color w:val="auto"/>
          <w:sz w:val="24"/>
          <w:highlight w:val="none"/>
          <w:lang w:eastAsia="zh-CN"/>
        </w:rPr>
        <w:t>废水收集池</w:t>
      </w:r>
      <w:r>
        <w:rPr>
          <w:rFonts w:hint="eastAsia" w:ascii="Times New Roman" w:hAnsi="Times New Roman" w:eastAsia="宋体"/>
          <w:color w:val="auto"/>
          <w:sz w:val="24"/>
          <w:highlight w:val="none"/>
        </w:rPr>
        <w:t>产生的恶臭气体。</w:t>
      </w:r>
    </w:p>
    <w:p w14:paraId="5974F3A9">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2</w:t>
      </w:r>
      <w:r>
        <w:rPr>
          <w:rFonts w:hint="eastAsia"/>
          <w:color w:val="auto"/>
          <w:sz w:val="24"/>
          <w:highlight w:val="none"/>
          <w:lang w:eastAsia="zh-CN"/>
        </w:rPr>
        <w:t>）</w:t>
      </w:r>
      <w:r>
        <w:rPr>
          <w:rFonts w:hint="eastAsia" w:ascii="Times New Roman" w:hAnsi="Times New Roman" w:eastAsia="宋体"/>
          <w:color w:val="auto"/>
          <w:sz w:val="24"/>
          <w:highlight w:val="none"/>
        </w:rPr>
        <w:t>技术措施</w:t>
      </w:r>
    </w:p>
    <w:p w14:paraId="79600295">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由于本项目养殖规模较大，恶臭产生量较高，在采取包括养殖鸡舍清理、调整饲料配比、场外绿化等措施后仍将可能对周边产生较大影响。</w:t>
      </w:r>
    </w:p>
    <w:p w14:paraId="37FF0B7E">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①方案比选</w:t>
      </w:r>
    </w:p>
    <w:p w14:paraId="0DF4D6F2">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本次评价对目前养殖行业较为常用的恶臭气体的处理方法进行了分析，各处理方法优缺点比较见表</w:t>
      </w:r>
      <w:r>
        <w:rPr>
          <w:rFonts w:hint="eastAsia" w:ascii="Times New Roman" w:hAnsi="Times New Roman" w:eastAsia="宋体"/>
          <w:color w:val="auto"/>
          <w:sz w:val="24"/>
          <w:highlight w:val="none"/>
          <w:lang w:val="en-US" w:eastAsia="zh-CN"/>
        </w:rPr>
        <w:t>6</w:t>
      </w:r>
      <w:r>
        <w:rPr>
          <w:rFonts w:hint="eastAsia" w:ascii="Times New Roman" w:hAnsi="Times New Roman" w:eastAsia="宋体"/>
          <w:color w:val="auto"/>
          <w:sz w:val="24"/>
          <w:highlight w:val="none"/>
        </w:rPr>
        <w:t>.2-1。</w:t>
      </w:r>
    </w:p>
    <w:p w14:paraId="4520CA3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b/>
          <w:bCs/>
          <w:color w:val="auto"/>
          <w:sz w:val="24"/>
          <w:highlight w:val="none"/>
        </w:rPr>
      </w:pPr>
      <w:r>
        <w:rPr>
          <w:rFonts w:hint="eastAsia" w:ascii="Times New Roman" w:hAnsi="Times New Roman" w:eastAsia="宋体"/>
          <w:b/>
          <w:bCs/>
          <w:color w:val="auto"/>
          <w:sz w:val="24"/>
          <w:highlight w:val="none"/>
        </w:rPr>
        <w:t>表</w:t>
      </w:r>
      <w:r>
        <w:rPr>
          <w:rFonts w:hint="eastAsia" w:ascii="Times New Roman" w:hAnsi="Times New Roman" w:eastAsia="宋体"/>
          <w:b/>
          <w:bCs/>
          <w:color w:val="auto"/>
          <w:sz w:val="24"/>
          <w:highlight w:val="none"/>
          <w:lang w:val="en-US" w:eastAsia="zh-CN"/>
        </w:rPr>
        <w:t>6</w:t>
      </w:r>
      <w:r>
        <w:rPr>
          <w:rFonts w:hint="eastAsia" w:ascii="Times New Roman" w:hAnsi="Times New Roman" w:eastAsia="宋体"/>
          <w:b/>
          <w:bCs/>
          <w:color w:val="auto"/>
          <w:sz w:val="24"/>
          <w:highlight w:val="none"/>
        </w:rPr>
        <w:t>.2-1常用恶臭除臭措施比较</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34"/>
        <w:gridCol w:w="1712"/>
        <w:gridCol w:w="2425"/>
        <w:gridCol w:w="2148"/>
        <w:gridCol w:w="1690"/>
      </w:tblGrid>
      <w:tr w14:paraId="5F591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1" w:type="pct"/>
            <w:vAlign w:val="center"/>
          </w:tcPr>
          <w:p w14:paraId="5ED9D52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p>
        </w:tc>
        <w:tc>
          <w:tcPr>
            <w:tcW w:w="1030" w:type="pct"/>
            <w:vAlign w:val="center"/>
          </w:tcPr>
          <w:p w14:paraId="2083405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臭氧净化法</w:t>
            </w:r>
          </w:p>
        </w:tc>
        <w:tc>
          <w:tcPr>
            <w:tcW w:w="1459" w:type="pct"/>
            <w:vAlign w:val="center"/>
          </w:tcPr>
          <w:p w14:paraId="59CF738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生物分解法</w:t>
            </w:r>
          </w:p>
        </w:tc>
        <w:tc>
          <w:tcPr>
            <w:tcW w:w="1292" w:type="pct"/>
            <w:vAlign w:val="center"/>
          </w:tcPr>
          <w:p w14:paraId="05F4C3E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吸附法</w:t>
            </w:r>
          </w:p>
        </w:tc>
        <w:tc>
          <w:tcPr>
            <w:tcW w:w="1016" w:type="pct"/>
            <w:vAlign w:val="center"/>
          </w:tcPr>
          <w:p w14:paraId="0DED554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除臭剂喷洒法</w:t>
            </w:r>
          </w:p>
        </w:tc>
      </w:tr>
      <w:tr w14:paraId="0D635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1" w:type="pct"/>
            <w:vAlign w:val="center"/>
          </w:tcPr>
          <w:p w14:paraId="48C34EC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技术原理</w:t>
            </w:r>
          </w:p>
        </w:tc>
        <w:tc>
          <w:tcPr>
            <w:tcW w:w="1030" w:type="pct"/>
            <w:vAlign w:val="center"/>
          </w:tcPr>
          <w:p w14:paraId="52C3ACE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利用臭氧的强氧化力对臭气成份进行氧化分解，同时具有消毒灭菌作用</w:t>
            </w:r>
          </w:p>
        </w:tc>
        <w:tc>
          <w:tcPr>
            <w:tcW w:w="1459" w:type="pct"/>
            <w:vAlign w:val="center"/>
          </w:tcPr>
          <w:p w14:paraId="3DBDC11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利用循环水流将恶臭气体导入生物滤池、洗涤塔或反应器，利用反应膜上培养微生物将污染物质降解为低害物质</w:t>
            </w:r>
          </w:p>
        </w:tc>
        <w:tc>
          <w:tcPr>
            <w:tcW w:w="1292" w:type="pct"/>
            <w:vAlign w:val="center"/>
          </w:tcPr>
          <w:p w14:paraId="0726AFE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利用活性炭等吸附剂内部空隙结构发达，表面积比巨大原理，吸附通过活性炭池的恶臭气体分子</w:t>
            </w:r>
          </w:p>
        </w:tc>
        <w:tc>
          <w:tcPr>
            <w:tcW w:w="1016" w:type="pct"/>
            <w:vAlign w:val="center"/>
          </w:tcPr>
          <w:p w14:paraId="560DC5D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通过向产生恶臭的空间喷洒酸、碱等化学除臭剂，将恶臭气体进行中和、吸收</w:t>
            </w:r>
          </w:p>
        </w:tc>
      </w:tr>
      <w:tr w14:paraId="218BE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1" w:type="pct"/>
            <w:vAlign w:val="center"/>
          </w:tcPr>
          <w:p w14:paraId="6A064A4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除臭效率</w:t>
            </w:r>
          </w:p>
        </w:tc>
        <w:tc>
          <w:tcPr>
            <w:tcW w:w="1030" w:type="pct"/>
            <w:vAlign w:val="center"/>
          </w:tcPr>
          <w:p w14:paraId="14FE7B1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最高可＞90%，但处理低浓度气体效率较低</w:t>
            </w:r>
          </w:p>
        </w:tc>
        <w:tc>
          <w:tcPr>
            <w:tcW w:w="1459" w:type="pct"/>
            <w:vAlign w:val="center"/>
          </w:tcPr>
          <w:p w14:paraId="3C347AC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最高可达70%，随运行参数、微生物活性波动大</w:t>
            </w:r>
          </w:p>
        </w:tc>
        <w:tc>
          <w:tcPr>
            <w:tcW w:w="1292" w:type="pct"/>
            <w:vAlign w:val="center"/>
          </w:tcPr>
          <w:p w14:paraId="1561662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初期除臭效率可达65%，但需经常更换吸附剂</w:t>
            </w:r>
          </w:p>
        </w:tc>
        <w:tc>
          <w:tcPr>
            <w:tcW w:w="1016" w:type="pct"/>
            <w:vAlign w:val="center"/>
          </w:tcPr>
          <w:p w14:paraId="5AFAF6C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对低浓度恶臭气体处理效率＞50%</w:t>
            </w:r>
          </w:p>
        </w:tc>
      </w:tr>
      <w:tr w14:paraId="44635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1" w:type="pct"/>
            <w:vAlign w:val="center"/>
          </w:tcPr>
          <w:p w14:paraId="18CBC4C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除臭范围</w:t>
            </w:r>
          </w:p>
        </w:tc>
        <w:tc>
          <w:tcPr>
            <w:tcW w:w="1030" w:type="pct"/>
            <w:vAlign w:val="center"/>
          </w:tcPr>
          <w:p w14:paraId="28BFFFD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氨、硫化氢、甲硫醇、苯乙烯、三甲胺、二甲基二硫醚等混合气体</w:t>
            </w:r>
          </w:p>
        </w:tc>
        <w:tc>
          <w:tcPr>
            <w:tcW w:w="1459" w:type="pct"/>
            <w:vAlign w:val="center"/>
          </w:tcPr>
          <w:p w14:paraId="1445EDF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需培养专一处理一种或几种性质相近气体的微生物菌种</w:t>
            </w:r>
          </w:p>
        </w:tc>
        <w:tc>
          <w:tcPr>
            <w:tcW w:w="1292" w:type="pct"/>
            <w:vAlign w:val="center"/>
          </w:tcPr>
          <w:p w14:paraId="68A1D5F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适用低浓度、大风量臭气，但对湿度较大的气体处理效果不好</w:t>
            </w:r>
          </w:p>
        </w:tc>
        <w:tc>
          <w:tcPr>
            <w:tcW w:w="1016" w:type="pct"/>
            <w:vAlign w:val="center"/>
          </w:tcPr>
          <w:p w14:paraId="71811D7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需根据处理废气种类选用不同除臭剂</w:t>
            </w:r>
          </w:p>
        </w:tc>
      </w:tr>
      <w:tr w14:paraId="43541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1" w:type="pct"/>
            <w:vAlign w:val="center"/>
          </w:tcPr>
          <w:p w14:paraId="7F4F11D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使用</w:t>
            </w:r>
          </w:p>
          <w:p w14:paraId="34FBA35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寿命</w:t>
            </w:r>
          </w:p>
        </w:tc>
        <w:tc>
          <w:tcPr>
            <w:tcW w:w="1030" w:type="pct"/>
            <w:vAlign w:val="center"/>
          </w:tcPr>
          <w:p w14:paraId="45843EE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＞2万小时，需通电与干燥空气</w:t>
            </w:r>
          </w:p>
        </w:tc>
        <w:tc>
          <w:tcPr>
            <w:tcW w:w="1459" w:type="pct"/>
            <w:vAlign w:val="center"/>
          </w:tcPr>
          <w:p w14:paraId="40C3B46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养护困难，需添加药剂、控制PH值、温度等</w:t>
            </w:r>
          </w:p>
        </w:tc>
        <w:tc>
          <w:tcPr>
            <w:tcW w:w="1292" w:type="pct"/>
            <w:vAlign w:val="center"/>
          </w:tcPr>
          <w:p w14:paraId="2F28DDE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吸附剂需经常进行更换，处理设备寿命较长</w:t>
            </w:r>
          </w:p>
        </w:tc>
        <w:tc>
          <w:tcPr>
            <w:tcW w:w="1016" w:type="pct"/>
            <w:vAlign w:val="center"/>
          </w:tcPr>
          <w:p w14:paraId="0A129E7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需专用加药泵并经常添加除臭剂</w:t>
            </w:r>
          </w:p>
        </w:tc>
      </w:tr>
      <w:tr w14:paraId="4D7BF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jc w:val="center"/>
        </w:trPr>
        <w:tc>
          <w:tcPr>
            <w:tcW w:w="201" w:type="pct"/>
            <w:vAlign w:val="center"/>
          </w:tcPr>
          <w:p w14:paraId="4DDF084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运行</w:t>
            </w:r>
          </w:p>
          <w:p w14:paraId="1342FB1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成本</w:t>
            </w:r>
          </w:p>
        </w:tc>
        <w:tc>
          <w:tcPr>
            <w:tcW w:w="1030" w:type="pct"/>
            <w:vAlign w:val="center"/>
          </w:tcPr>
          <w:p w14:paraId="328840C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运行耗电较低，但一次性投入较高</w:t>
            </w:r>
          </w:p>
        </w:tc>
        <w:tc>
          <w:tcPr>
            <w:tcW w:w="1459" w:type="pct"/>
            <w:vAlign w:val="center"/>
          </w:tcPr>
          <w:p w14:paraId="1CAE941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维护费用较高，菌种一旦死亡需重新培养</w:t>
            </w:r>
          </w:p>
        </w:tc>
        <w:tc>
          <w:tcPr>
            <w:tcW w:w="1292" w:type="pct"/>
            <w:vAlign w:val="center"/>
          </w:tcPr>
          <w:p w14:paraId="3D0BF50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吸附剂需经常更换，运行维护成本高</w:t>
            </w:r>
          </w:p>
        </w:tc>
        <w:tc>
          <w:tcPr>
            <w:tcW w:w="1016" w:type="pct"/>
            <w:vAlign w:val="center"/>
          </w:tcPr>
          <w:p w14:paraId="4D71C9A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需定期补充除臭剂，需专人操作</w:t>
            </w:r>
          </w:p>
        </w:tc>
      </w:tr>
      <w:tr w14:paraId="346B8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201" w:type="pct"/>
            <w:vAlign w:val="center"/>
          </w:tcPr>
          <w:p w14:paraId="08A8E3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二次</w:t>
            </w:r>
          </w:p>
          <w:p w14:paraId="15D89A5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污染</w:t>
            </w:r>
          </w:p>
        </w:tc>
        <w:tc>
          <w:tcPr>
            <w:tcW w:w="1030" w:type="pct"/>
            <w:vAlign w:val="center"/>
          </w:tcPr>
          <w:p w14:paraId="0EC7EC3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剩余臭氧</w:t>
            </w:r>
          </w:p>
        </w:tc>
        <w:tc>
          <w:tcPr>
            <w:tcW w:w="1459" w:type="pct"/>
            <w:vAlign w:val="center"/>
          </w:tcPr>
          <w:p w14:paraId="1BDC513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污泥、污水</w:t>
            </w:r>
          </w:p>
        </w:tc>
        <w:tc>
          <w:tcPr>
            <w:tcW w:w="1292" w:type="pct"/>
            <w:vAlign w:val="center"/>
          </w:tcPr>
          <w:p w14:paraId="49BA1C4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废弃吸附剂</w:t>
            </w:r>
          </w:p>
        </w:tc>
        <w:tc>
          <w:tcPr>
            <w:tcW w:w="1016" w:type="pct"/>
            <w:vAlign w:val="center"/>
          </w:tcPr>
          <w:p w14:paraId="023CE94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auto"/>
                <w:sz w:val="21"/>
                <w:highlight w:val="none"/>
              </w:rPr>
            </w:pPr>
            <w:r>
              <w:rPr>
                <w:rFonts w:hint="eastAsia" w:ascii="Times New Roman" w:hAnsi="Times New Roman" w:eastAsia="宋体"/>
                <w:color w:val="auto"/>
                <w:sz w:val="21"/>
                <w:highlight w:val="none"/>
              </w:rPr>
              <w:t>除臭剂施用过量易造成二次污染</w:t>
            </w:r>
          </w:p>
        </w:tc>
      </w:tr>
    </w:tbl>
    <w:p w14:paraId="49BC97D5">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通过对上述除臭措施的分析比较，评价建议采用除臭剂喷洒法处理养殖场运行产生的恶臭气体。</w:t>
      </w:r>
    </w:p>
    <w:p w14:paraId="00E467C1">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②推荐恶臭气体治理方案</w:t>
      </w:r>
    </w:p>
    <w:p w14:paraId="5F466050">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评价依据废气产生情况及产生源具体特点，提出以下恶臭净化技术措施建议：</w:t>
      </w:r>
    </w:p>
    <w:p w14:paraId="115A353A">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养殖鸡舍：鸡舍采用除臭液喷洒机定期对养殖鸡舍地面、传送带进行喷洒，定期清洗鸡舍地面并加强机械通风，鸡舍四周以及各鸡舍之间的空地上种植高大乔木等措施。</w:t>
      </w:r>
    </w:p>
    <w:p w14:paraId="1A43D786">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color w:val="auto"/>
          <w:sz w:val="24"/>
          <w:highlight w:val="none"/>
          <w:lang w:eastAsia="zh-CN"/>
        </w:rPr>
        <w:t>废水收集池</w:t>
      </w:r>
      <w:r>
        <w:rPr>
          <w:rFonts w:hint="eastAsia" w:ascii="Times New Roman" w:hAnsi="Times New Roman" w:eastAsia="宋体"/>
          <w:color w:val="auto"/>
          <w:sz w:val="24"/>
          <w:highlight w:val="none"/>
        </w:rPr>
        <w:t>：采用加盖密封的方式，每次鸡舍冲洗完及时进行拉运，缩短暂存的时间。</w:t>
      </w:r>
    </w:p>
    <w:p w14:paraId="7D0C1DC3">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color w:val="auto"/>
          <w:sz w:val="24"/>
          <w:highlight w:val="none"/>
          <w:lang w:eastAsia="zh-CN"/>
        </w:rPr>
        <w:t>（</w:t>
      </w:r>
      <w:r>
        <w:rPr>
          <w:rFonts w:hint="eastAsia" w:ascii="Times New Roman" w:hAnsi="Times New Roman" w:eastAsia="宋体"/>
          <w:color w:val="auto"/>
          <w:sz w:val="24"/>
          <w:highlight w:val="none"/>
        </w:rPr>
        <w:t>3</w:t>
      </w:r>
      <w:r>
        <w:rPr>
          <w:rFonts w:hint="eastAsia"/>
          <w:color w:val="auto"/>
          <w:sz w:val="24"/>
          <w:highlight w:val="none"/>
          <w:lang w:eastAsia="zh-CN"/>
        </w:rPr>
        <w:t>）</w:t>
      </w:r>
      <w:r>
        <w:rPr>
          <w:rFonts w:hint="eastAsia" w:ascii="Times New Roman" w:hAnsi="Times New Roman" w:eastAsia="宋体"/>
          <w:color w:val="auto"/>
          <w:sz w:val="24"/>
          <w:highlight w:val="none"/>
        </w:rPr>
        <w:t>处理措施可行性分析</w:t>
      </w:r>
    </w:p>
    <w:p w14:paraId="2C9A8F52">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根据类比监测结果，本项目运行阶段无组织排放的NH3、H2S均可满足《恶臭污染物排放标准》</w:t>
      </w:r>
      <w:r>
        <w:rPr>
          <w:rFonts w:hint="eastAsia"/>
          <w:color w:val="auto"/>
          <w:sz w:val="24"/>
          <w:highlight w:val="none"/>
          <w:lang w:eastAsia="zh-CN"/>
        </w:rPr>
        <w:t>（</w:t>
      </w:r>
      <w:r>
        <w:rPr>
          <w:rFonts w:hint="eastAsia" w:ascii="Times New Roman" w:hAnsi="Times New Roman" w:eastAsia="宋体"/>
          <w:color w:val="auto"/>
          <w:sz w:val="24"/>
          <w:highlight w:val="none"/>
        </w:rPr>
        <w:t>GB14554-93</w:t>
      </w:r>
      <w:r>
        <w:rPr>
          <w:rFonts w:hint="eastAsia"/>
          <w:color w:val="auto"/>
          <w:sz w:val="24"/>
          <w:highlight w:val="none"/>
          <w:lang w:eastAsia="zh-CN"/>
        </w:rPr>
        <w:t>）</w:t>
      </w:r>
      <w:r>
        <w:rPr>
          <w:rFonts w:hint="eastAsia" w:ascii="Times New Roman" w:hAnsi="Times New Roman" w:eastAsia="宋体"/>
          <w:color w:val="auto"/>
          <w:sz w:val="24"/>
          <w:highlight w:val="none"/>
        </w:rPr>
        <w:t>中表1新污染源二级标准排放要求，臭气浓度也满足《畜禽养殖业污染物排放标准》</w:t>
      </w:r>
      <w:r>
        <w:rPr>
          <w:rFonts w:hint="eastAsia"/>
          <w:color w:val="auto"/>
          <w:sz w:val="24"/>
          <w:highlight w:val="none"/>
          <w:lang w:eastAsia="zh-CN"/>
        </w:rPr>
        <w:t>（</w:t>
      </w:r>
      <w:r>
        <w:rPr>
          <w:rFonts w:hint="eastAsia" w:ascii="Times New Roman" w:hAnsi="Times New Roman" w:eastAsia="宋体"/>
          <w:color w:val="auto"/>
          <w:sz w:val="24"/>
          <w:highlight w:val="none"/>
        </w:rPr>
        <w:t>GB18596-2001</w:t>
      </w:r>
      <w:r>
        <w:rPr>
          <w:rFonts w:hint="eastAsia"/>
          <w:color w:val="auto"/>
          <w:sz w:val="24"/>
          <w:highlight w:val="none"/>
          <w:lang w:eastAsia="zh-CN"/>
        </w:rPr>
        <w:t>）</w:t>
      </w:r>
      <w:r>
        <w:rPr>
          <w:rFonts w:hint="eastAsia" w:ascii="Times New Roman" w:hAnsi="Times New Roman" w:eastAsia="宋体"/>
          <w:color w:val="auto"/>
          <w:sz w:val="24"/>
          <w:highlight w:val="none"/>
        </w:rPr>
        <w:t>中集约化畜禽养殖业恶臭污染物排放标准要求。恶臭污染物最大地面空气质量浓度均满足《环境影响评价技术导则大气环境》</w:t>
      </w:r>
      <w:r>
        <w:rPr>
          <w:rFonts w:hint="eastAsia"/>
          <w:color w:val="auto"/>
          <w:sz w:val="24"/>
          <w:highlight w:val="none"/>
          <w:lang w:eastAsia="zh-CN"/>
        </w:rPr>
        <w:t>（</w:t>
      </w:r>
      <w:r>
        <w:rPr>
          <w:rFonts w:hint="eastAsia" w:ascii="Times New Roman" w:hAnsi="Times New Roman" w:eastAsia="宋体"/>
          <w:color w:val="auto"/>
          <w:sz w:val="24"/>
          <w:highlight w:val="none"/>
        </w:rPr>
        <w:t>HJ2.2-2018</w:t>
      </w:r>
      <w:r>
        <w:rPr>
          <w:rFonts w:hint="eastAsia"/>
          <w:color w:val="auto"/>
          <w:sz w:val="24"/>
          <w:highlight w:val="none"/>
          <w:lang w:eastAsia="zh-CN"/>
        </w:rPr>
        <w:t>）</w:t>
      </w:r>
      <w:r>
        <w:rPr>
          <w:rFonts w:hint="eastAsia" w:ascii="Times New Roman" w:hAnsi="Times New Roman" w:eastAsia="宋体"/>
          <w:color w:val="auto"/>
          <w:sz w:val="24"/>
          <w:highlight w:val="none"/>
        </w:rPr>
        <w:t>附录D其他污染物空气质量浓度参考限值。因此，采取以上措施可行。</w:t>
      </w:r>
    </w:p>
    <w:p w14:paraId="3007C3E5">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color w:val="auto"/>
          <w:sz w:val="24"/>
          <w:highlight w:val="none"/>
          <w:lang w:eastAsia="zh-CN"/>
        </w:rPr>
        <w:t>（</w:t>
      </w:r>
      <w:r>
        <w:rPr>
          <w:rFonts w:hint="eastAsia" w:ascii="Times New Roman" w:hAnsi="Times New Roman" w:eastAsia="宋体"/>
          <w:color w:val="auto"/>
          <w:sz w:val="24"/>
          <w:highlight w:val="none"/>
        </w:rPr>
        <w:t>4</w:t>
      </w:r>
      <w:r>
        <w:rPr>
          <w:rFonts w:hint="eastAsia"/>
          <w:color w:val="auto"/>
          <w:sz w:val="24"/>
          <w:highlight w:val="none"/>
          <w:lang w:eastAsia="zh-CN"/>
        </w:rPr>
        <w:t>）</w:t>
      </w:r>
      <w:r>
        <w:rPr>
          <w:rFonts w:hint="eastAsia" w:ascii="Times New Roman" w:hAnsi="Times New Roman" w:eastAsia="宋体"/>
          <w:color w:val="auto"/>
          <w:sz w:val="24"/>
          <w:highlight w:val="none"/>
        </w:rPr>
        <w:t>主要要求与建议</w:t>
      </w:r>
    </w:p>
    <w:p w14:paraId="29170DAF">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除臭液应选用除臭效率高、养殖副作用小的产品，不得单纯采用掩臭剂掩盖恶臭，建议优先考虑含有天然植物萃取物的生物制剂。</w:t>
      </w:r>
    </w:p>
    <w:p w14:paraId="62846825">
      <w:pPr>
        <w:pStyle w:val="5"/>
        <w:rPr>
          <w:rFonts w:ascii="Times New Roman" w:hAnsi="Times New Roman" w:eastAsia="宋体"/>
          <w:color w:val="auto"/>
          <w:highlight w:val="none"/>
        </w:rPr>
      </w:pPr>
      <w:bookmarkStart w:id="236" w:name="_Toc106663526"/>
      <w:r>
        <w:rPr>
          <w:rFonts w:hint="eastAsia" w:ascii="Times New Roman" w:hAnsi="Times New Roman" w:eastAsia="宋体"/>
          <w:color w:val="auto"/>
          <w:highlight w:val="none"/>
        </w:rPr>
        <w:t>6.2.2运营期水污染防治措施</w:t>
      </w:r>
      <w:bookmarkEnd w:id="236"/>
    </w:p>
    <w:p w14:paraId="1B1C58BD">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6.2.2.1废水排放可行性分析</w:t>
      </w:r>
    </w:p>
    <w:p w14:paraId="640AA025">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1</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废水排放情况</w:t>
      </w:r>
    </w:p>
    <w:p w14:paraId="772E5099">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本项目废水产生量约为</w:t>
      </w:r>
      <w:r>
        <w:rPr>
          <w:rFonts w:hint="eastAsia" w:ascii="Times New Roman" w:hAnsi="Times New Roman" w:eastAsia="宋体"/>
          <w:color w:val="auto"/>
          <w:sz w:val="24"/>
          <w:szCs w:val="24"/>
          <w:highlight w:val="none"/>
          <w:lang w:eastAsia="zh-CN"/>
        </w:rPr>
        <w:t>778.24</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/a，其中生活污水产生量467.2m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/a，鸡舍废水产生量</w:t>
      </w:r>
      <w:r>
        <w:rPr>
          <w:rFonts w:hint="eastAsia" w:ascii="Times New Roman" w:hAnsi="Times New Roman" w:eastAsia="宋体"/>
          <w:color w:val="auto"/>
          <w:sz w:val="24"/>
          <w:szCs w:val="24"/>
          <w:highlight w:val="none"/>
          <w:lang w:eastAsia="zh-CN"/>
        </w:rPr>
        <w:t>311.04</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/a。其主要污染因子主要为CODcr、BOD</w:t>
      </w:r>
      <w:r>
        <w:rPr>
          <w:rFonts w:ascii="Times New Roman" w:hAnsi="Times New Roman" w:eastAsia="宋体"/>
          <w:color w:val="auto"/>
          <w:sz w:val="24"/>
          <w:szCs w:val="24"/>
          <w:highlight w:val="none"/>
          <w:vertAlign w:val="subscript"/>
        </w:rPr>
        <w:t>5</w:t>
      </w:r>
      <w:r>
        <w:rPr>
          <w:rFonts w:ascii="Times New Roman" w:hAnsi="Times New Roman" w:eastAsia="宋体"/>
          <w:color w:val="auto"/>
          <w:sz w:val="24"/>
          <w:szCs w:val="24"/>
          <w:highlight w:val="none"/>
        </w:rPr>
        <w:t>、NH</w:t>
      </w:r>
      <w:r>
        <w:rPr>
          <w:rFonts w:ascii="Times New Roman" w:hAnsi="Times New Roman" w:eastAsia="宋体"/>
          <w:color w:val="auto"/>
          <w:sz w:val="24"/>
          <w:szCs w:val="24"/>
          <w:highlight w:val="none"/>
          <w:vertAlign w:val="subscript"/>
        </w:rPr>
        <w:t>3</w:t>
      </w:r>
      <w:r>
        <w:rPr>
          <w:rFonts w:ascii="Times New Roman" w:hAnsi="Times New Roman" w:eastAsia="宋体"/>
          <w:color w:val="auto"/>
          <w:sz w:val="24"/>
          <w:szCs w:val="24"/>
          <w:highlight w:val="none"/>
        </w:rPr>
        <w:t>-N和SS。生活污水直接排入下水管网，最终进入玛纳斯县城污水处理厂；鸡舍冲洗废水排入</w:t>
      </w:r>
      <w:r>
        <w:rPr>
          <w:rFonts w:hint="eastAsia" w:ascii="Times New Roman" w:hAnsi="Times New Roman"/>
          <w:color w:val="auto"/>
          <w:sz w:val="24"/>
          <w:szCs w:val="24"/>
          <w:highlight w:val="none"/>
          <w:lang w:eastAsia="zh-CN"/>
        </w:rPr>
        <w:t>废水收集池经预处理后用作农肥。</w:t>
      </w:r>
    </w:p>
    <w:p w14:paraId="72FEFBFB">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2</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鸡舍废水去向的可行性分析</w:t>
      </w:r>
    </w:p>
    <w:p w14:paraId="380A04CB">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本项目每年从天康公司的现代化专业蛋鸡育雏场购买出壳鸡苗，饲养方式采取全进全出制，0-6周</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42天</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在育雏舍进行养殖，7周-16周</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70天</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转至育成舍进行养殖，饲养16周左右外售给头工乡蛋鸡产业园。根据《无公害食品畜禽饲养兽医防疫准则》</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NY/T5339-2017</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中相关规定，</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畜禽转舍、售出后，应对空舍进行严格清洁和消毒，消毒后至少空舍一周后，再引入畜禽饲养</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，鸡舍在一个饲养周期结束，全部转出后进行冲洗；本项目鸡舍每4个月出一批，每年出3批，因此，每4个月对鸡舍冲洗1次。类比其他同类型蛋鸡养殖场实际生产经验，鸡舍冲洗用水量2m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/100m</w:t>
      </w:r>
      <w:r>
        <w:rPr>
          <w:rFonts w:ascii="Times New Roman" w:hAnsi="Times New Roman" w:eastAsia="宋体"/>
          <w:color w:val="auto"/>
          <w:sz w:val="24"/>
          <w:szCs w:val="24"/>
          <w:highlight w:val="none"/>
          <w:vertAlign w:val="superscript"/>
        </w:rPr>
        <w:t>2</w:t>
      </w:r>
      <w:r>
        <w:rPr>
          <w:rFonts w:ascii="Times New Roman" w:hAnsi="Times New Roman" w:eastAsia="宋体"/>
          <w:color w:val="auto"/>
          <w:sz w:val="24"/>
          <w:szCs w:val="24"/>
          <w:highlight w:val="none"/>
        </w:rPr>
        <w:t>计，项目区计划设置鸡舍</w:t>
      </w:r>
      <w:r>
        <w:rPr>
          <w:rFonts w:hint="eastAsia" w:ascii="Times New Roman" w:hAnsi="Times New Roman" w:eastAsia="宋体"/>
          <w:color w:val="auto"/>
          <w:sz w:val="24"/>
          <w:szCs w:val="24"/>
          <w:highlight w:val="none"/>
          <w:lang w:val="en-US" w:eastAsia="zh-CN"/>
        </w:rPr>
        <w:t>6</w:t>
      </w:r>
      <w:r>
        <w:rPr>
          <w:rFonts w:ascii="Times New Roman" w:hAnsi="Times New Roman" w:eastAsia="宋体"/>
          <w:color w:val="auto"/>
          <w:sz w:val="24"/>
          <w:szCs w:val="24"/>
          <w:highlight w:val="none"/>
        </w:rPr>
        <w:t>栋，每栋鸡舍建筑面积为</w:t>
      </w:r>
      <w:r>
        <w:rPr>
          <w:rFonts w:hint="eastAsia" w:ascii="Times New Roman" w:hAnsi="Times New Roman" w:eastAsia="宋体"/>
          <w:color w:val="auto"/>
          <w:sz w:val="24"/>
          <w:szCs w:val="24"/>
          <w:highlight w:val="none"/>
          <w:lang w:val="en-US" w:eastAsia="zh-CN"/>
        </w:rPr>
        <w:t>1080</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2</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共</w:t>
      </w:r>
      <w:r>
        <w:rPr>
          <w:rFonts w:hint="eastAsia" w:ascii="Times New Roman" w:hAnsi="Times New Roman" w:eastAsia="宋体"/>
          <w:color w:val="auto"/>
          <w:sz w:val="24"/>
          <w:szCs w:val="24"/>
          <w:highlight w:val="none"/>
          <w:lang w:val="en-US" w:eastAsia="zh-CN"/>
        </w:rPr>
        <w:t>6480</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2</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，则项目区每栋鸡舍冲洗用水量为21.6m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/次，</w:t>
      </w:r>
      <w:r>
        <w:rPr>
          <w:rFonts w:hint="eastAsia" w:ascii="Times New Roman" w:hAnsi="Times New Roman" w:eastAsia="宋体"/>
          <w:color w:val="auto"/>
          <w:sz w:val="24"/>
          <w:szCs w:val="24"/>
          <w:highlight w:val="none"/>
          <w:lang w:val="en-US" w:eastAsia="zh-CN"/>
        </w:rPr>
        <w:t>64.8</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/a</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全场共</w:t>
      </w:r>
      <w:r>
        <w:rPr>
          <w:rFonts w:hint="eastAsia" w:ascii="Times New Roman" w:hAnsi="Times New Roman" w:eastAsia="宋体"/>
          <w:color w:val="auto"/>
          <w:sz w:val="24"/>
          <w:szCs w:val="24"/>
          <w:highlight w:val="none"/>
          <w:lang w:val="en-US" w:eastAsia="zh-CN"/>
        </w:rPr>
        <w:t>388.8</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/a</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w:t>
      </w:r>
    </w:p>
    <w:p w14:paraId="39BFA492">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sz w:val="24"/>
          <w:szCs w:val="24"/>
          <w:highlight w:val="none"/>
          <w:lang w:val="en-US" w:eastAsia="zh-CN"/>
        </w:rPr>
      </w:pPr>
      <w:r>
        <w:rPr>
          <w:rFonts w:ascii="Times New Roman" w:hAnsi="Times New Roman" w:eastAsia="宋体"/>
          <w:color w:val="auto"/>
          <w:sz w:val="24"/>
          <w:szCs w:val="24"/>
          <w:highlight w:val="none"/>
        </w:rPr>
        <w:t>鸡舍冲洗废水按照用水量的80%计算，则产生量约为</w:t>
      </w:r>
      <w:r>
        <w:rPr>
          <w:rFonts w:hint="eastAsia" w:ascii="Times New Roman" w:hAnsi="Times New Roman" w:eastAsia="宋体"/>
          <w:color w:val="auto"/>
          <w:sz w:val="24"/>
          <w:szCs w:val="24"/>
          <w:highlight w:val="none"/>
          <w:lang w:eastAsia="zh-CN"/>
        </w:rPr>
        <w:t>311.04</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/a。每4个月冲洗1次，共</w:t>
      </w:r>
      <w:r>
        <w:rPr>
          <w:rFonts w:hint="eastAsia" w:ascii="Times New Roman" w:hAnsi="Times New Roman" w:eastAsia="宋体"/>
          <w:color w:val="auto"/>
          <w:sz w:val="24"/>
          <w:szCs w:val="24"/>
          <w:highlight w:val="none"/>
          <w:lang w:val="en-US" w:eastAsia="zh-CN"/>
        </w:rPr>
        <w:t>6</w:t>
      </w:r>
      <w:r>
        <w:rPr>
          <w:rFonts w:ascii="Times New Roman" w:hAnsi="Times New Roman" w:eastAsia="宋体"/>
          <w:color w:val="auto"/>
          <w:sz w:val="24"/>
          <w:szCs w:val="24"/>
          <w:highlight w:val="none"/>
        </w:rPr>
        <w:t>栋鸡舍，每栋每次鸡舍冲洗排放量为</w:t>
      </w:r>
      <w:r>
        <w:rPr>
          <w:rFonts w:hint="eastAsia" w:ascii="Times New Roman" w:hAnsi="Times New Roman"/>
          <w:color w:val="auto"/>
          <w:sz w:val="24"/>
          <w:szCs w:val="24"/>
          <w:highlight w:val="none"/>
          <w:lang w:eastAsia="zh-CN"/>
        </w:rPr>
        <w:t>17.28</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w:t>
      </w:r>
      <w:r>
        <w:rPr>
          <w:rFonts w:hint="eastAsia" w:ascii="Times New Roman" w:hAnsi="Times New Roman"/>
          <w:color w:val="auto"/>
          <w:sz w:val="24"/>
          <w:szCs w:val="24"/>
          <w:highlight w:val="none"/>
          <w:lang w:val="en-US" w:eastAsia="zh-CN"/>
        </w:rPr>
        <w:t>次</w:t>
      </w:r>
      <w:r>
        <w:rPr>
          <w:rFonts w:ascii="Times New Roman" w:hAnsi="Times New Roman" w:eastAsia="宋体"/>
          <w:color w:val="auto"/>
          <w:sz w:val="24"/>
          <w:szCs w:val="24"/>
          <w:highlight w:val="none"/>
        </w:rPr>
        <w:t>，鸡舍冲洗废水排入</w:t>
      </w:r>
      <w:r>
        <w:rPr>
          <w:rFonts w:hint="eastAsia" w:ascii="Times New Roman" w:hAnsi="Times New Roman"/>
          <w:color w:val="auto"/>
          <w:sz w:val="24"/>
          <w:szCs w:val="24"/>
          <w:highlight w:val="none"/>
          <w:lang w:eastAsia="zh-CN"/>
        </w:rPr>
        <w:t>废水收集池（</w:t>
      </w:r>
      <w:r>
        <w:rPr>
          <w:rFonts w:ascii="Times New Roman" w:hAnsi="Times New Roman" w:eastAsia="宋体"/>
          <w:color w:val="auto"/>
          <w:sz w:val="24"/>
          <w:szCs w:val="24"/>
          <w:highlight w:val="none"/>
        </w:rPr>
        <w:t>配备</w:t>
      </w:r>
      <w:r>
        <w:rPr>
          <w:rFonts w:hint="eastAsia" w:ascii="Times New Roman" w:hAnsi="Times New Roman"/>
          <w:color w:val="auto"/>
          <w:sz w:val="24"/>
          <w:szCs w:val="24"/>
          <w:highlight w:val="none"/>
          <w:lang w:val="en-US" w:eastAsia="zh-CN"/>
        </w:rPr>
        <w:t>150</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的</w:t>
      </w:r>
      <w:r>
        <w:rPr>
          <w:rFonts w:hint="eastAsia" w:ascii="Times New Roman" w:hAnsi="Times New Roman"/>
          <w:color w:val="auto"/>
          <w:sz w:val="24"/>
          <w:szCs w:val="24"/>
          <w:highlight w:val="none"/>
          <w:lang w:eastAsia="zh-CN"/>
        </w:rPr>
        <w:t>废水收集池）</w:t>
      </w:r>
      <w:r>
        <w:rPr>
          <w:rFonts w:ascii="Times New Roman" w:hAnsi="Times New Roman" w:eastAsia="宋体"/>
          <w:color w:val="auto"/>
          <w:sz w:val="24"/>
          <w:szCs w:val="24"/>
          <w:highlight w:val="none"/>
        </w:rPr>
        <w:t>，</w:t>
      </w:r>
      <w:r>
        <w:rPr>
          <w:rFonts w:hint="eastAsia" w:ascii="Times New Roman" w:hAnsi="Times New Roman"/>
          <w:color w:val="auto"/>
          <w:sz w:val="24"/>
          <w:szCs w:val="24"/>
          <w:highlight w:val="none"/>
          <w:lang w:val="en-US" w:eastAsia="zh-CN"/>
        </w:rPr>
        <w:t>废水经预处理后用作农肥。</w:t>
      </w:r>
    </w:p>
    <w:p w14:paraId="195746C3">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3</w:t>
      </w:r>
      <w:r>
        <w:rPr>
          <w:rFonts w:hint="eastAsia" w:ascii="Times New Roman" w:hAnsi="Times New Roman"/>
          <w:color w:val="auto"/>
          <w:sz w:val="24"/>
          <w:szCs w:val="24"/>
          <w:highlight w:val="none"/>
          <w:lang w:eastAsia="zh-CN"/>
        </w:rPr>
        <w:t>）</w:t>
      </w:r>
      <w:r>
        <w:rPr>
          <w:rFonts w:ascii="Times New Roman" w:hAnsi="Times New Roman" w:eastAsia="宋体"/>
          <w:color w:val="auto"/>
          <w:sz w:val="24"/>
          <w:szCs w:val="24"/>
          <w:highlight w:val="none"/>
        </w:rPr>
        <w:t>排入玛纳斯县城污水处理厂可行性分析</w:t>
      </w:r>
    </w:p>
    <w:p w14:paraId="2C51DC13">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玛纳斯县城污水处理厂于2012年10月正式运行，2016年取得原昌吉州环境保护局下发昌州环函〔2016〕86号文件，同意该项目通过建设项目竣工环境保护验收。由禹源排水有限责任公司开发建设，日处理规模20000m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。该污水处理厂采用改良型A</w:t>
      </w:r>
      <w:r>
        <w:rPr>
          <w:rFonts w:ascii="Times New Roman" w:hAnsi="Times New Roman" w:eastAsia="宋体"/>
          <w:color w:val="auto"/>
          <w:sz w:val="24"/>
          <w:szCs w:val="24"/>
          <w:highlight w:val="none"/>
          <w:vertAlign w:val="subscript"/>
        </w:rPr>
        <w:t>2</w:t>
      </w:r>
      <w:r>
        <w:rPr>
          <w:rFonts w:ascii="Times New Roman" w:hAnsi="Times New Roman" w:eastAsia="宋体"/>
          <w:color w:val="auto"/>
          <w:sz w:val="24"/>
          <w:szCs w:val="24"/>
          <w:highlight w:val="none"/>
        </w:rPr>
        <w:t>O工艺，出水水质达到《城镇污水处理厂污染物排放标准》一级A标准。原污水由管道进入粗格栅去除较大粒径悬浮物，经提升泵进入细格栅后进入改良A-A-O池由厌氧菌和好氧菌进一步去除COD、BOD、氨氮和少量磷，然后进入二沉池进行污泥分离，部分污泥回流至好氧池。二沉池出水进入除磷池进行脱磷处理，最后经过接触消毒池消毒后达标外排。经污水处理厂处理后中水冬季排至皇公地水库储存，夏季用于绿化及生态林灌溉。目前，该污水处理厂运行状况良好，出水水质达标。</w:t>
      </w:r>
    </w:p>
    <w:p w14:paraId="0780DA01">
      <w:pPr>
        <w:pStyle w:val="16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本项目废水排水水质符合玛纳斯县城污水处理厂纳污标准。本项目日排水量较小，平时仅为职工生活污水，排水量为1.28m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/d，因此符合玛纳斯县城污水处理厂处理负荷。因此，本项目排水方案可行。</w:t>
      </w:r>
    </w:p>
    <w:p w14:paraId="47F0E580">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6.2.2.3</w:t>
      </w:r>
      <w:r>
        <w:rPr>
          <w:rFonts w:ascii="Times New Roman" w:hAnsi="Times New Roman" w:eastAsia="宋体"/>
          <w:color w:val="auto"/>
          <w:highlight w:val="none"/>
        </w:rPr>
        <w:t>地下水</w:t>
      </w:r>
      <w:r>
        <w:rPr>
          <w:rFonts w:hint="eastAsia" w:ascii="Times New Roman" w:hAnsi="Times New Roman" w:eastAsia="宋体"/>
          <w:color w:val="auto"/>
          <w:highlight w:val="none"/>
        </w:rPr>
        <w:t>污染防治措施</w:t>
      </w:r>
    </w:p>
    <w:p w14:paraId="2F914686">
      <w:pPr>
        <w:ind w:firstLine="480"/>
        <w:rPr>
          <w:rFonts w:ascii="Times New Roman" w:hAnsi="Times New Roman" w:eastAsia="宋体"/>
          <w:color w:val="auto"/>
          <w:highlight w:val="none"/>
        </w:rPr>
      </w:pPr>
      <w:r>
        <w:rPr>
          <w:rFonts w:hint="eastAsia" w:ascii="Times New Roman" w:hAnsi="Times New Roman" w:eastAsia="宋体"/>
          <w:color w:val="auto"/>
          <w:highlight w:val="none"/>
        </w:rPr>
        <w:t>1、防控措施</w:t>
      </w:r>
    </w:p>
    <w:p w14:paraId="16FA02B3">
      <w:pPr>
        <w:ind w:firstLine="480"/>
        <w:rPr>
          <w:rFonts w:ascii="Times New Roman" w:hAnsi="Times New Roman" w:eastAsia="宋体"/>
          <w:color w:val="auto"/>
          <w:highlight w:val="none"/>
        </w:rPr>
      </w:pPr>
      <w:r>
        <w:rPr>
          <w:rFonts w:hint="eastAsia" w:ascii="Times New Roman" w:hAnsi="Times New Roman" w:eastAsia="宋体"/>
          <w:color w:val="auto"/>
          <w:highlight w:val="none"/>
        </w:rPr>
        <w:t>为了进一步保护所在区域地下水资源，本工程在设计上对</w:t>
      </w:r>
      <w:r>
        <w:rPr>
          <w:rFonts w:hint="eastAsia"/>
          <w:color w:val="auto"/>
          <w:highlight w:val="none"/>
          <w:lang w:val="en-US" w:eastAsia="zh-CN"/>
        </w:rPr>
        <w:t>鸡舍</w:t>
      </w:r>
      <w:r>
        <w:rPr>
          <w:rFonts w:hint="eastAsia" w:ascii="Times New Roman" w:hAnsi="Times New Roman" w:eastAsia="宋体"/>
          <w:color w:val="auto"/>
          <w:highlight w:val="none"/>
        </w:rPr>
        <w:t>、污水处理区、</w:t>
      </w:r>
      <w:r>
        <w:rPr>
          <w:rFonts w:hint="eastAsia"/>
          <w:color w:val="auto"/>
          <w:highlight w:val="none"/>
          <w:lang w:eastAsia="zh-CN"/>
        </w:rPr>
        <w:t>医疗废物暂存间</w:t>
      </w:r>
      <w:r>
        <w:rPr>
          <w:rFonts w:hint="eastAsia" w:ascii="Times New Roman" w:hAnsi="Times New Roman" w:eastAsia="宋体"/>
          <w:color w:val="auto"/>
          <w:highlight w:val="none"/>
        </w:rPr>
        <w:t>等采取以下防渗处理措施：</w:t>
      </w:r>
    </w:p>
    <w:p w14:paraId="5F331E02">
      <w:pPr>
        <w:ind w:firstLine="480"/>
        <w:rPr>
          <w:rFonts w:ascii="Times New Roman" w:hAnsi="Times New Roman" w:eastAsia="宋体"/>
          <w:color w:val="auto"/>
          <w:highlight w:val="none"/>
        </w:rPr>
      </w:pPr>
      <w:r>
        <w:rPr>
          <w:rFonts w:hint="eastAsia" w:ascii="Times New Roman" w:hAnsi="Times New Roman" w:eastAsia="宋体"/>
          <w:color w:val="auto"/>
          <w:highlight w:val="none"/>
        </w:rPr>
        <w:t>（1）对</w:t>
      </w:r>
      <w:r>
        <w:rPr>
          <w:rFonts w:hint="eastAsia"/>
          <w:color w:val="auto"/>
          <w:highlight w:val="none"/>
          <w:lang w:val="en-US" w:eastAsia="zh-CN"/>
        </w:rPr>
        <w:t>安全填埋井</w:t>
      </w:r>
      <w:r>
        <w:rPr>
          <w:rFonts w:hint="eastAsia" w:ascii="Times New Roman" w:hAnsi="Times New Roman" w:eastAsia="宋体"/>
          <w:color w:val="auto"/>
          <w:highlight w:val="none"/>
        </w:rPr>
        <w:t>、</w:t>
      </w:r>
      <w:r>
        <w:rPr>
          <w:rFonts w:hint="eastAsia"/>
          <w:color w:val="auto"/>
          <w:highlight w:val="none"/>
          <w:lang w:eastAsia="zh-CN"/>
        </w:rPr>
        <w:t>医疗废物暂存间、</w:t>
      </w:r>
      <w:r>
        <w:rPr>
          <w:rFonts w:hint="eastAsia"/>
          <w:color w:val="auto"/>
          <w:highlight w:val="none"/>
          <w:lang w:val="en-US" w:eastAsia="zh-CN"/>
        </w:rPr>
        <w:t>废水收集池</w:t>
      </w:r>
      <w:r>
        <w:rPr>
          <w:rFonts w:hint="eastAsia" w:ascii="Times New Roman" w:hAnsi="Times New Roman" w:eastAsia="宋体"/>
          <w:color w:val="auto"/>
          <w:highlight w:val="none"/>
        </w:rPr>
        <w:t>按照重点防渗区采取措施，参照《危险废物贮存污染控制标准》（</w:t>
      </w:r>
      <w:r>
        <w:rPr>
          <w:rFonts w:hint="eastAsia"/>
          <w:color w:val="auto"/>
          <w:highlight w:val="none"/>
          <w:lang w:eastAsia="zh-CN"/>
        </w:rPr>
        <w:t>GB18597-2023</w:t>
      </w:r>
      <w:r>
        <w:rPr>
          <w:rFonts w:hint="eastAsia" w:ascii="Times New Roman" w:hAnsi="Times New Roman" w:eastAsia="宋体"/>
          <w:color w:val="auto"/>
          <w:highlight w:val="none"/>
        </w:rPr>
        <w:t>）：基础必须防渗，防渗层为至少1m厚粘土层（渗透系数≤10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cm/s），或2mm厚高密度聚乙烯，或至2mm厚的其它人工材料，渗透系数≤10</w:t>
      </w:r>
      <w:r>
        <w:rPr>
          <w:rFonts w:hint="eastAsia" w:ascii="Times New Roman" w:hAnsi="Times New Roman" w:eastAsia="宋体"/>
          <w:color w:val="auto"/>
          <w:highlight w:val="none"/>
          <w:vertAlign w:val="superscript"/>
        </w:rPr>
        <w:t>-10</w:t>
      </w:r>
      <w:r>
        <w:rPr>
          <w:rFonts w:hint="eastAsia" w:ascii="Times New Roman" w:hAnsi="Times New Roman" w:eastAsia="宋体"/>
          <w:color w:val="auto"/>
          <w:highlight w:val="none"/>
        </w:rPr>
        <w:t>cm/s。</w:t>
      </w:r>
    </w:p>
    <w:p w14:paraId="6525D1E5">
      <w:pPr>
        <w:ind w:firstLine="480"/>
        <w:rPr>
          <w:rFonts w:ascii="Times New Roman" w:hAnsi="Times New Roman" w:eastAsia="宋体"/>
          <w:color w:val="auto"/>
          <w:highlight w:val="none"/>
        </w:rPr>
      </w:pPr>
      <w:r>
        <w:rPr>
          <w:rFonts w:hint="eastAsia" w:ascii="Times New Roman" w:hAnsi="Times New Roman" w:eastAsia="宋体"/>
          <w:color w:val="auto"/>
          <w:highlight w:val="none"/>
        </w:rPr>
        <w:t>（2）对一般固废暂存区、养殖圈舍和周围地面等按一般防渗区采取防渗措施。底压实粘土层厚度要≥1m，满足渗透系数K≤1.0×10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cm/s；防渗粘土层上部及贮水池侧面铺设1.0mm高密度聚乙烯（HDPE）防渗膜（渗透系数K≤10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cm/s），在做好基层防渗的基础上进行水泥硬化。</w:t>
      </w:r>
    </w:p>
    <w:p w14:paraId="0E2F2899">
      <w:pPr>
        <w:ind w:firstLine="480"/>
        <w:rPr>
          <w:rFonts w:ascii="Times New Roman" w:hAnsi="Times New Roman" w:eastAsia="宋体"/>
          <w:color w:val="auto"/>
          <w:highlight w:val="none"/>
        </w:rPr>
      </w:pPr>
      <w:r>
        <w:rPr>
          <w:rFonts w:hint="eastAsia" w:ascii="Times New Roman" w:hAnsi="Times New Roman" w:eastAsia="宋体"/>
          <w:color w:val="auto"/>
          <w:highlight w:val="none"/>
        </w:rPr>
        <w:t>（3）其他建筑物及道路采取简单防渗，对其地面采用混凝土进行一般地面硬化。防渗分区图见图</w:t>
      </w:r>
      <w:r>
        <w:rPr>
          <w:rFonts w:hint="eastAsia"/>
          <w:color w:val="auto"/>
          <w:highlight w:val="none"/>
          <w:lang w:val="en-US" w:eastAsia="zh-CN"/>
        </w:rPr>
        <w:t>5</w:t>
      </w:r>
      <w:r>
        <w:rPr>
          <w:rFonts w:hint="eastAsia" w:ascii="Times New Roman" w:hAnsi="Times New Roman" w:eastAsia="宋体"/>
          <w:color w:val="auto"/>
          <w:highlight w:val="none"/>
        </w:rPr>
        <w:t>.2-</w:t>
      </w:r>
      <w:r>
        <w:rPr>
          <w:rFonts w:hint="eastAsia"/>
          <w:color w:val="auto"/>
          <w:highlight w:val="none"/>
          <w:lang w:val="en-US" w:eastAsia="zh-CN"/>
        </w:rPr>
        <w:t>1</w:t>
      </w:r>
      <w:r>
        <w:rPr>
          <w:rFonts w:hint="eastAsia" w:ascii="Times New Roman" w:hAnsi="Times New Roman" w:eastAsia="宋体"/>
          <w:color w:val="auto"/>
          <w:highlight w:val="none"/>
        </w:rPr>
        <w:t>。</w:t>
      </w:r>
    </w:p>
    <w:p w14:paraId="1B2DB118">
      <w:pPr>
        <w:ind w:firstLine="480"/>
        <w:rPr>
          <w:rFonts w:ascii="Times New Roman" w:hAnsi="Times New Roman" w:eastAsia="宋体"/>
          <w:color w:val="auto"/>
          <w:highlight w:val="none"/>
        </w:rPr>
      </w:pPr>
      <w:r>
        <w:rPr>
          <w:rFonts w:hint="eastAsia" w:ascii="Times New Roman" w:hAnsi="Times New Roman" w:eastAsia="宋体"/>
          <w:color w:val="auto"/>
          <w:highlight w:val="none"/>
        </w:rPr>
        <w:t>（4）平时注意污水处理等设施的维护，确保系统正常运行。</w:t>
      </w:r>
    </w:p>
    <w:p w14:paraId="1024C94C">
      <w:pPr>
        <w:ind w:firstLine="480"/>
        <w:rPr>
          <w:rFonts w:ascii="Times New Roman" w:hAnsi="Times New Roman" w:eastAsia="宋体"/>
          <w:color w:val="auto"/>
          <w:highlight w:val="none"/>
        </w:rPr>
      </w:pPr>
      <w:r>
        <w:rPr>
          <w:rFonts w:hint="eastAsia" w:ascii="Times New Roman" w:hAnsi="Times New Roman" w:eastAsia="宋体"/>
          <w:color w:val="auto"/>
          <w:highlight w:val="none"/>
        </w:rPr>
        <w:t>（5）确保污水管道质量，应用质量良好的管材，增加管段长度，减少管道接口，避免废水的跑、冒、滴、漏现象的发生。</w:t>
      </w:r>
    </w:p>
    <w:p w14:paraId="4C66B0E2">
      <w:pPr>
        <w:ind w:firstLine="480"/>
        <w:rPr>
          <w:rFonts w:ascii="Times New Roman" w:hAnsi="Times New Roman" w:eastAsia="宋体"/>
          <w:color w:val="auto"/>
          <w:highlight w:val="none"/>
        </w:rPr>
      </w:pPr>
      <w:r>
        <w:rPr>
          <w:rFonts w:hint="eastAsia" w:ascii="Times New Roman" w:hAnsi="Times New Roman" w:eastAsia="宋体"/>
          <w:color w:val="auto"/>
          <w:highlight w:val="none"/>
        </w:rPr>
        <w:t>（6）加强管理，建立巡逻制度，定期对场地进行检查，及时发现问题，查找隐患，杜绝污染物的外排。</w:t>
      </w:r>
    </w:p>
    <w:p w14:paraId="38AD48B8">
      <w:pPr>
        <w:ind w:firstLine="480"/>
        <w:rPr>
          <w:rFonts w:ascii="Times New Roman" w:hAnsi="Times New Roman" w:eastAsia="宋体"/>
          <w:color w:val="auto"/>
          <w:highlight w:val="none"/>
        </w:rPr>
      </w:pPr>
      <w:r>
        <w:rPr>
          <w:rFonts w:hint="eastAsia" w:ascii="Times New Roman" w:hAnsi="Times New Roman" w:eastAsia="宋体"/>
          <w:color w:val="auto"/>
          <w:highlight w:val="none"/>
        </w:rPr>
        <w:t>（7）应及时监控厂区周边地下水环境。</w:t>
      </w:r>
    </w:p>
    <w:p w14:paraId="060FEFA7">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本项目对地下水的主要污染途径为废水渗透，在认真采取以上措施的基础上，一旦水泥硬化层发生断裂，由于防渗层的保护作用，废水不会对地下水源造成影响。</w:t>
      </w:r>
    </w:p>
    <w:p w14:paraId="7851AAA2">
      <w:pPr>
        <w:ind w:firstLine="480"/>
        <w:rPr>
          <w:rFonts w:ascii="Times New Roman" w:hAnsi="Times New Roman" w:eastAsia="宋体"/>
          <w:color w:val="auto"/>
          <w:highlight w:val="none"/>
        </w:rPr>
      </w:pPr>
      <w:r>
        <w:rPr>
          <w:rFonts w:hint="eastAsia" w:ascii="Times New Roman" w:hAnsi="Times New Roman" w:eastAsia="宋体"/>
          <w:color w:val="auto"/>
          <w:highlight w:val="none"/>
        </w:rPr>
        <w:t>2、跟踪监测</w:t>
      </w:r>
    </w:p>
    <w:p w14:paraId="39745EF7">
      <w:pPr>
        <w:ind w:firstLine="480"/>
        <w:rPr>
          <w:rFonts w:ascii="Times New Roman" w:hAnsi="Times New Roman" w:eastAsia="宋体"/>
          <w:color w:val="auto"/>
          <w:highlight w:val="none"/>
        </w:rPr>
      </w:pPr>
      <w:r>
        <w:rPr>
          <w:rFonts w:hint="eastAsia" w:ascii="Times New Roman" w:hAnsi="Times New Roman" w:eastAsia="宋体"/>
          <w:color w:val="auto"/>
          <w:highlight w:val="none"/>
        </w:rPr>
        <w:t>定期对厂区周边地下水环境进行监测，委托具有资质的单位进行，监测报告应包括建设项目所在地及其影响区地下水环境跟踪监测数据，各生产设施及污染防控措施等设施的运行状况、维护记录，同时对监测结果进行信息公开，每年公开一次。</w:t>
      </w:r>
    </w:p>
    <w:p w14:paraId="5FE839D2">
      <w:pPr>
        <w:ind w:firstLine="480"/>
        <w:rPr>
          <w:rFonts w:ascii="Times New Roman" w:hAnsi="Times New Roman" w:eastAsia="宋体"/>
          <w:color w:val="auto"/>
          <w:highlight w:val="none"/>
        </w:rPr>
      </w:pPr>
      <w:r>
        <w:rPr>
          <w:rFonts w:hint="eastAsia" w:ascii="Times New Roman" w:hAnsi="Times New Roman" w:eastAsia="宋体"/>
          <w:color w:val="auto"/>
          <w:highlight w:val="none"/>
        </w:rPr>
        <w:t>经现场踏勘，建设单位将项目区上游、下游地下水井作为日后地下水监控井，与本项目所在区域属于同一水文地质单元，每年对地下水环境进行监测，监测项目为pH、COD、BOD、氨氮、粪大肠菌群，发现问题及时解决。建设单位在运营过程中应认真落实跟踪监测的工作，专职人员应编写地下水环境跟踪监测报告，报告中的内容应包括：地下水跟踪监测的数据（污染物种类、数量、浓度），生产设备、管线、贮存和运输装置的运行情况，跑冒滴漏记录和维护记录。</w:t>
      </w:r>
    </w:p>
    <w:p w14:paraId="3932EC4B">
      <w:pPr>
        <w:pStyle w:val="5"/>
        <w:rPr>
          <w:rFonts w:ascii="Times New Roman" w:hAnsi="Times New Roman" w:eastAsia="宋体"/>
          <w:color w:val="auto"/>
          <w:highlight w:val="none"/>
        </w:rPr>
      </w:pPr>
      <w:bookmarkStart w:id="237" w:name="_Toc106663527"/>
      <w:r>
        <w:rPr>
          <w:rFonts w:hint="eastAsia" w:ascii="Times New Roman" w:hAnsi="Times New Roman" w:eastAsia="宋体"/>
          <w:color w:val="auto"/>
          <w:highlight w:val="none"/>
        </w:rPr>
        <w:t>6.2.3运营期噪声污染防治措施</w:t>
      </w:r>
      <w:bookmarkEnd w:id="237"/>
    </w:p>
    <w:p w14:paraId="2A99AC1B">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本项目的噪声源主要来源于场内</w:t>
      </w:r>
      <w:r>
        <w:rPr>
          <w:rFonts w:hint="eastAsia"/>
          <w:color w:val="auto"/>
          <w:highlight w:val="none"/>
          <w:lang w:val="en-US" w:eastAsia="zh-CN"/>
        </w:rPr>
        <w:t>鸡</w:t>
      </w:r>
      <w:r>
        <w:rPr>
          <w:rFonts w:hint="eastAsia" w:ascii="Times New Roman" w:hAnsi="Times New Roman" w:eastAsia="宋体"/>
          <w:color w:val="auto"/>
          <w:highlight w:val="none"/>
        </w:rPr>
        <w:t>叫声、圈舍换气扇噪声、水泵、运输车辆等设备噪声。企业采取声源上降低噪声和从噪声传播途径上降低噪声两个环节着手：</w:t>
      </w:r>
    </w:p>
    <w:p w14:paraId="215E8091">
      <w:pPr>
        <w:ind w:firstLine="480"/>
        <w:rPr>
          <w:rFonts w:ascii="Times New Roman" w:hAnsi="Times New Roman" w:eastAsia="宋体"/>
          <w:color w:val="auto"/>
          <w:highlight w:val="none"/>
        </w:rPr>
      </w:pPr>
      <w:r>
        <w:rPr>
          <w:rFonts w:hint="eastAsia" w:ascii="Times New Roman" w:hAnsi="Times New Roman" w:eastAsia="宋体"/>
          <w:color w:val="auto"/>
          <w:highlight w:val="none"/>
        </w:rPr>
        <w:t>（1）企业选用低噪声设备，并使其处于良好的运转状态，同时对声源采用减震、消声措施。</w:t>
      </w:r>
    </w:p>
    <w:p w14:paraId="05A44E13">
      <w:pPr>
        <w:ind w:firstLine="480"/>
        <w:rPr>
          <w:rFonts w:ascii="Times New Roman" w:hAnsi="Times New Roman" w:eastAsia="宋体"/>
          <w:color w:val="auto"/>
          <w:highlight w:val="none"/>
        </w:rPr>
      </w:pPr>
      <w:r>
        <w:rPr>
          <w:rFonts w:hint="eastAsia" w:ascii="Times New Roman" w:hAnsi="Times New Roman" w:eastAsia="宋体"/>
          <w:color w:val="auto"/>
          <w:highlight w:val="none"/>
        </w:rPr>
        <w:t>（2）在设备的基础与地面之间安装减振垫，减少机械振动产生的噪声污染。</w:t>
      </w:r>
    </w:p>
    <w:p w14:paraId="4480DCB5">
      <w:pPr>
        <w:ind w:firstLine="480"/>
        <w:rPr>
          <w:rFonts w:ascii="Times New Roman" w:hAnsi="Times New Roman" w:eastAsia="宋体"/>
          <w:color w:val="auto"/>
          <w:highlight w:val="none"/>
        </w:rPr>
      </w:pPr>
      <w:r>
        <w:rPr>
          <w:rFonts w:hint="eastAsia" w:ascii="Times New Roman" w:hAnsi="Times New Roman" w:eastAsia="宋体"/>
          <w:color w:val="auto"/>
          <w:highlight w:val="none"/>
        </w:rPr>
        <w:t>（3）选取低噪声水泵，并将水泵设在各密闭机房，再经减震处理。</w:t>
      </w:r>
    </w:p>
    <w:p w14:paraId="007E10D6">
      <w:pPr>
        <w:ind w:firstLine="480"/>
        <w:rPr>
          <w:rFonts w:ascii="Times New Roman" w:hAnsi="Times New Roman" w:eastAsia="宋体"/>
          <w:color w:val="auto"/>
          <w:highlight w:val="none"/>
        </w:rPr>
      </w:pPr>
      <w:r>
        <w:rPr>
          <w:rFonts w:hint="eastAsia" w:ascii="Times New Roman" w:hAnsi="Times New Roman" w:eastAsia="宋体"/>
          <w:color w:val="auto"/>
          <w:highlight w:val="none"/>
        </w:rPr>
        <w:t>（4）加强场区机动车特别是货运机动车的管理，在场内不准随意鸣笛，达到预定停车位后及时熄火。</w:t>
      </w:r>
    </w:p>
    <w:p w14:paraId="6FD2B16C">
      <w:pPr>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color w:val="auto"/>
          <w:highlight w:val="none"/>
          <w:lang w:val="en-US" w:eastAsia="zh-CN"/>
        </w:rPr>
        <w:t>5</w:t>
      </w:r>
      <w:r>
        <w:rPr>
          <w:rFonts w:hint="eastAsia" w:ascii="Times New Roman" w:hAnsi="Times New Roman" w:eastAsia="宋体"/>
          <w:color w:val="auto"/>
          <w:highlight w:val="none"/>
        </w:rPr>
        <w:t>）加强设备的维护，确保设备处于良好的运转状态，杜绝因设备不正常运转时产生的高噪声现象。</w:t>
      </w:r>
    </w:p>
    <w:p w14:paraId="274F3CEC">
      <w:pPr>
        <w:ind w:firstLine="480"/>
        <w:rPr>
          <w:rFonts w:ascii="Times New Roman" w:hAnsi="Times New Roman" w:eastAsia="宋体"/>
          <w:color w:val="auto"/>
          <w:highlight w:val="none"/>
        </w:rPr>
      </w:pPr>
      <w:r>
        <w:rPr>
          <w:rFonts w:hint="eastAsia" w:ascii="Times New Roman" w:hAnsi="Times New Roman" w:eastAsia="宋体"/>
          <w:color w:val="auto"/>
          <w:highlight w:val="none"/>
        </w:rPr>
        <w:t>上述治理措施后可有效治理噪声污染，降低对周围声环境影响，产生较好的社会效益。同时根据项目厂界噪声实测结果可知，本项目运营期间噪声值满足《工业企业厂界环境噪声排放标准》（GB12348-2008）中</w:t>
      </w:r>
      <w:r>
        <w:rPr>
          <w:rFonts w:hint="eastAsia"/>
          <w:color w:val="auto"/>
          <w:highlight w:val="none"/>
          <w:lang w:val="en-US" w:eastAsia="zh-CN"/>
        </w:rPr>
        <w:t>2</w:t>
      </w:r>
      <w:r>
        <w:rPr>
          <w:rFonts w:hint="eastAsia" w:ascii="Times New Roman" w:hAnsi="Times New Roman" w:eastAsia="宋体"/>
          <w:color w:val="auto"/>
          <w:highlight w:val="none"/>
        </w:rPr>
        <w:t>类标准排放限值，噪声可满足达标排放要求。</w:t>
      </w:r>
    </w:p>
    <w:p w14:paraId="69AC24F5">
      <w:pPr>
        <w:pStyle w:val="5"/>
        <w:rPr>
          <w:rFonts w:ascii="Times New Roman" w:hAnsi="Times New Roman" w:eastAsia="宋体"/>
          <w:color w:val="auto"/>
          <w:highlight w:val="none"/>
        </w:rPr>
      </w:pPr>
      <w:bookmarkStart w:id="238" w:name="_Toc106663528"/>
      <w:r>
        <w:rPr>
          <w:rFonts w:hint="eastAsia" w:ascii="Times New Roman" w:hAnsi="Times New Roman" w:eastAsia="宋体"/>
          <w:color w:val="auto"/>
          <w:highlight w:val="none"/>
        </w:rPr>
        <w:t>6.2.4运营期固废污染防治措施</w:t>
      </w:r>
      <w:bookmarkEnd w:id="238"/>
    </w:p>
    <w:p w14:paraId="61F8A4A7">
      <w:pPr>
        <w:ind w:firstLine="480"/>
        <w:rPr>
          <w:rFonts w:ascii="Times New Roman" w:hAnsi="Times New Roman" w:eastAsia="宋体"/>
          <w:color w:val="auto"/>
          <w:highlight w:val="none"/>
        </w:rPr>
      </w:pPr>
      <w:r>
        <w:rPr>
          <w:rFonts w:ascii="Times New Roman" w:hAnsi="Times New Roman" w:eastAsia="宋体"/>
          <w:color w:val="auto"/>
          <w:highlight w:val="none"/>
        </w:rPr>
        <w:t>本项目产生的固体废物主要为鸡粪及散落羽毛、病死鸡只、废弃包装物、生活垃圾、医疗废物。</w:t>
      </w:r>
    </w:p>
    <w:p w14:paraId="568A2451">
      <w:pPr>
        <w:ind w:firstLine="480"/>
        <w:rPr>
          <w:rFonts w:hint="default" w:ascii="Times New Roman" w:hAnsi="Times New Roman" w:eastAsia="宋体"/>
          <w:color w:val="auto"/>
          <w:highlight w:val="none"/>
          <w:lang w:val="en-US" w:eastAsia="zh-CN"/>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鸡粪</w:t>
      </w:r>
      <w:r>
        <w:rPr>
          <w:rFonts w:hint="eastAsia"/>
          <w:color w:val="auto"/>
          <w:highlight w:val="none"/>
          <w:lang w:eastAsia="zh-CN"/>
        </w:rPr>
        <w:t>、</w:t>
      </w:r>
      <w:r>
        <w:rPr>
          <w:rFonts w:ascii="Times New Roman" w:hAnsi="Times New Roman" w:eastAsia="宋体"/>
          <w:color w:val="auto"/>
          <w:highlight w:val="none"/>
        </w:rPr>
        <w:t>散落羽毛</w:t>
      </w:r>
      <w:r>
        <w:rPr>
          <w:rFonts w:hint="eastAsia"/>
          <w:color w:val="auto"/>
          <w:highlight w:val="none"/>
          <w:lang w:val="en-US" w:eastAsia="zh-CN"/>
        </w:rPr>
        <w:t>及污泥</w:t>
      </w:r>
    </w:p>
    <w:p w14:paraId="4C9AED31">
      <w:pPr>
        <w:ind w:firstLine="480"/>
        <w:rPr>
          <w:rFonts w:ascii="Times New Roman" w:hAnsi="Times New Roman" w:eastAsia="宋体"/>
          <w:color w:val="auto"/>
          <w:highlight w:val="none"/>
        </w:rPr>
      </w:pPr>
      <w:r>
        <w:rPr>
          <w:rFonts w:ascii="Times New Roman" w:hAnsi="Times New Roman" w:eastAsia="宋体"/>
          <w:color w:val="auto"/>
          <w:highlight w:val="none"/>
        </w:rPr>
        <w:t>本项目区产生的</w:t>
      </w:r>
      <w:r>
        <w:rPr>
          <w:rFonts w:hint="eastAsia"/>
          <w:color w:val="auto"/>
          <w:highlight w:val="none"/>
          <w:lang w:eastAsia="zh-CN"/>
        </w:rPr>
        <w:t>鸡粪及散落羽毛采用自动清粪系统清理与废水收集池污泥</w:t>
      </w:r>
      <w:r>
        <w:rPr>
          <w:rFonts w:hint="eastAsia"/>
          <w:color w:val="auto"/>
          <w:highlight w:val="none"/>
          <w:lang w:val="en-US" w:eastAsia="zh-CN"/>
        </w:rPr>
        <w:t>一同</w:t>
      </w:r>
      <w:r>
        <w:rPr>
          <w:rFonts w:ascii="Times New Roman" w:hAnsi="Times New Roman" w:eastAsia="宋体"/>
          <w:color w:val="auto"/>
          <w:highlight w:val="none"/>
        </w:rPr>
        <w:t>拉运至有机肥厂，由其负责定期清运工作。不在厂区内暂存。</w:t>
      </w:r>
    </w:p>
    <w:p w14:paraId="7BC34FCD">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病死鸡只</w:t>
      </w:r>
    </w:p>
    <w:p w14:paraId="77C6D45D">
      <w:pPr>
        <w:ind w:firstLine="480"/>
        <w:rPr>
          <w:rFonts w:ascii="Times New Roman" w:hAnsi="Times New Roman" w:eastAsia="宋体"/>
          <w:color w:val="auto"/>
          <w:highlight w:val="none"/>
        </w:rPr>
      </w:pPr>
      <w:r>
        <w:rPr>
          <w:rFonts w:ascii="Times New Roman" w:hAnsi="Times New Roman" w:eastAsia="宋体"/>
          <w:color w:val="auto"/>
          <w:highlight w:val="none"/>
        </w:rPr>
        <w:t>病死鸡只的危害性则要看具体死因，若因为鸡只抗病性弱、开放性外伤、感冒、发烧等常见疾病死亡的鸡只，企业按《畜禽养殖业污染防治技术规范》</w:t>
      </w:r>
      <w:r>
        <w:rPr>
          <w:rFonts w:hint="eastAsia"/>
          <w:color w:val="auto"/>
          <w:highlight w:val="none"/>
          <w:lang w:eastAsia="zh-CN"/>
        </w:rPr>
        <w:t>（</w:t>
      </w:r>
      <w:r>
        <w:rPr>
          <w:rFonts w:ascii="Times New Roman" w:hAnsi="Times New Roman" w:eastAsia="宋体"/>
          <w:color w:val="auto"/>
          <w:highlight w:val="none"/>
        </w:rPr>
        <w:t>HJ/T81-2001</w:t>
      </w:r>
      <w:r>
        <w:rPr>
          <w:rFonts w:hint="eastAsia"/>
          <w:color w:val="auto"/>
          <w:highlight w:val="none"/>
          <w:lang w:eastAsia="zh-CN"/>
        </w:rPr>
        <w:t>）</w:t>
      </w:r>
      <w:r>
        <w:rPr>
          <w:rFonts w:ascii="Times New Roman" w:hAnsi="Times New Roman" w:eastAsia="宋体"/>
          <w:color w:val="auto"/>
          <w:highlight w:val="none"/>
        </w:rPr>
        <w:t>有关规定由企业自行作无害化处理。若因为鸡瘟、新城疫等传染性疾病死亡的鸡只，则属于严控废物，企业按照制定的《防疫检疫制度》上报上级部门进行检查处理，并由上级部门制定处理方案，交由防疫部门处置。不得在场内自行处理，否则可能会对饲养人员的健康产生危害，甚至发生疫情。</w:t>
      </w:r>
    </w:p>
    <w:p w14:paraId="055E4706">
      <w:pPr>
        <w:ind w:firstLine="480"/>
        <w:rPr>
          <w:rFonts w:ascii="Times New Roman" w:hAnsi="Times New Roman" w:eastAsia="宋体"/>
          <w:color w:val="auto"/>
          <w:highlight w:val="none"/>
        </w:rPr>
      </w:pPr>
      <w:r>
        <w:rPr>
          <w:rFonts w:ascii="Times New Roman" w:hAnsi="Times New Roman" w:eastAsia="宋体"/>
          <w:color w:val="auto"/>
          <w:highlight w:val="none"/>
        </w:rPr>
        <w:t>根据环办函[2014]789号文《关于病害动物无害化处理有关意见的复函》：</w:t>
      </w:r>
      <w:r>
        <w:rPr>
          <w:rFonts w:hint="eastAsia"/>
          <w:color w:val="auto"/>
          <w:highlight w:val="none"/>
          <w:lang w:eastAsia="zh-CN"/>
        </w:rPr>
        <w:t>”</w:t>
      </w:r>
      <w:r>
        <w:rPr>
          <w:rFonts w:ascii="Times New Roman" w:hAnsi="Times New Roman" w:eastAsia="宋体"/>
          <w:color w:val="auto"/>
          <w:highlight w:val="none"/>
        </w:rPr>
        <w:t>病害动物无害化处理项目由农业部门按照有关法律法规和技术规范进行监管，可以实现病害动物无害化处理和环境污染防控的目的，不宜再认定为危险废物集中处置项目。病害动物的无害化处理应执行《中华人民共和国动物防疫法》</w:t>
      </w:r>
      <w:r>
        <w:rPr>
          <w:rFonts w:hint="eastAsia"/>
          <w:color w:val="auto"/>
          <w:highlight w:val="none"/>
          <w:lang w:eastAsia="zh-CN"/>
        </w:rPr>
        <w:t>”</w:t>
      </w:r>
      <w:r>
        <w:rPr>
          <w:rFonts w:ascii="Times New Roman" w:hAnsi="Times New Roman" w:eastAsia="宋体"/>
          <w:color w:val="auto"/>
          <w:highlight w:val="none"/>
        </w:rPr>
        <w:t>。</w:t>
      </w:r>
    </w:p>
    <w:p w14:paraId="58335A11">
      <w:pPr>
        <w:ind w:firstLine="480"/>
        <w:rPr>
          <w:rFonts w:ascii="Times New Roman" w:hAnsi="Times New Roman" w:eastAsia="宋体"/>
          <w:color w:val="auto"/>
          <w:highlight w:val="none"/>
        </w:rPr>
      </w:pPr>
      <w:r>
        <w:rPr>
          <w:rFonts w:ascii="Times New Roman" w:hAnsi="Times New Roman" w:eastAsia="宋体"/>
          <w:color w:val="auto"/>
          <w:highlight w:val="none"/>
        </w:rPr>
        <w:t>本项目常见疾病病死鸡采用填埋井对其进行无害化处理，设计建设</w:t>
      </w:r>
      <w:r>
        <w:rPr>
          <w:rFonts w:hint="eastAsia"/>
          <w:color w:val="auto"/>
          <w:highlight w:val="none"/>
          <w:lang w:eastAsia="zh-CN"/>
        </w:rPr>
        <w:t>9口</w:t>
      </w:r>
      <w:r>
        <w:rPr>
          <w:rFonts w:ascii="Times New Roman" w:hAnsi="Times New Roman" w:eastAsia="宋体"/>
          <w:color w:val="auto"/>
          <w:highlight w:val="none"/>
        </w:rPr>
        <w:t>安全填埋井，填埋井拟建设于厂区东北侧，位于厂区下风向。填埋井为混凝土结构，深度为3m，直径1m，井口加盖密封。病死鸡只一般多为雏鸡，体积较小，每只约需要0.0034m</w:t>
      </w:r>
      <w:r>
        <w:rPr>
          <w:rFonts w:ascii="Times New Roman" w:hAnsi="Times New Roman" w:eastAsia="宋体"/>
          <w:color w:val="auto"/>
          <w:highlight w:val="none"/>
          <w:vertAlign w:val="superscript"/>
        </w:rPr>
        <w:t>3</w:t>
      </w:r>
      <w:r>
        <w:rPr>
          <w:rFonts w:ascii="Times New Roman" w:hAnsi="Times New Roman" w:eastAsia="宋体"/>
          <w:color w:val="auto"/>
          <w:highlight w:val="none"/>
        </w:rPr>
        <w:t>的填埋空间，每口填埋井可容纳约</w:t>
      </w:r>
      <w:r>
        <w:rPr>
          <w:rFonts w:hint="eastAsia"/>
          <w:color w:val="auto"/>
          <w:highlight w:val="none"/>
          <w:lang w:eastAsia="zh-CN"/>
        </w:rPr>
        <w:t>800只</w:t>
      </w:r>
      <w:r>
        <w:rPr>
          <w:rFonts w:ascii="Times New Roman" w:hAnsi="Times New Roman" w:eastAsia="宋体"/>
          <w:color w:val="auto"/>
          <w:highlight w:val="none"/>
        </w:rPr>
        <w:t>病死鸡。进行填埋时，井底洒一层厚度为2~5cm的生石灰，并在每次投入畜禽尸体后，覆盖一层厚度大于10cm的熟石灰，确保病死鸡只尸体得到被完全销毁和达到较好的杀菌效果。井填满后，用粘土填埋压实并封口。操作过程严格按照畜禽病害肉尸及其产品无害化处理规程操作。填埋井填满封口后，厂区外东北侧自西向东可以依次续建。填埋井设置位于场区下风向地势较高处，井底做好防渗漏，填埋井周围设置警示标识。并定期巡查。填埋后，对填埋场所进行定期消毒，连续消毒三周以上。项目区地下水埋深在地下，埋深约为60~80m，地质结构较简单稳定，填埋井做防渗处理，确保不会造成地下水污染。本项目安全填埋井建设严格按照《畜禽养殖业污染治理工程技术规范》</w:t>
      </w:r>
      <w:r>
        <w:rPr>
          <w:rFonts w:hint="eastAsia"/>
          <w:color w:val="auto"/>
          <w:highlight w:val="none"/>
          <w:lang w:eastAsia="zh-CN"/>
        </w:rPr>
        <w:t>（</w:t>
      </w:r>
      <w:r>
        <w:rPr>
          <w:rFonts w:ascii="Times New Roman" w:hAnsi="Times New Roman" w:eastAsia="宋体"/>
          <w:color w:val="auto"/>
          <w:highlight w:val="none"/>
        </w:rPr>
        <w:t>HJ497-2009</w:t>
      </w:r>
      <w:r>
        <w:rPr>
          <w:rFonts w:hint="eastAsia"/>
          <w:color w:val="auto"/>
          <w:highlight w:val="none"/>
          <w:lang w:eastAsia="zh-CN"/>
        </w:rPr>
        <w:t>）</w:t>
      </w:r>
      <w:r>
        <w:rPr>
          <w:rFonts w:ascii="Times New Roman" w:hAnsi="Times New Roman" w:eastAsia="宋体"/>
          <w:color w:val="auto"/>
          <w:highlight w:val="none"/>
        </w:rPr>
        <w:t>、《畜禽养殖业污染防治技术规范》</w:t>
      </w:r>
      <w:r>
        <w:rPr>
          <w:rFonts w:hint="eastAsia"/>
          <w:color w:val="auto"/>
          <w:highlight w:val="none"/>
          <w:lang w:eastAsia="zh-CN"/>
        </w:rPr>
        <w:t>（</w:t>
      </w:r>
      <w:r>
        <w:rPr>
          <w:rFonts w:ascii="Times New Roman" w:hAnsi="Times New Roman" w:eastAsia="宋体"/>
          <w:color w:val="auto"/>
          <w:highlight w:val="none"/>
        </w:rPr>
        <w:t>HJ/T81-2001</w:t>
      </w:r>
      <w:r>
        <w:rPr>
          <w:rFonts w:hint="eastAsia"/>
          <w:color w:val="auto"/>
          <w:highlight w:val="none"/>
          <w:lang w:eastAsia="zh-CN"/>
        </w:rPr>
        <w:t>）</w:t>
      </w:r>
      <w:r>
        <w:rPr>
          <w:rFonts w:ascii="Times New Roman" w:hAnsi="Times New Roman" w:eastAsia="宋体"/>
          <w:color w:val="auto"/>
          <w:highlight w:val="none"/>
        </w:rPr>
        <w:t>和《病死及病害动物无害化处理技术规范》</w:t>
      </w:r>
      <w:r>
        <w:rPr>
          <w:rFonts w:hint="eastAsia"/>
          <w:color w:val="auto"/>
          <w:highlight w:val="none"/>
          <w:lang w:eastAsia="zh-CN"/>
        </w:rPr>
        <w:t>（</w:t>
      </w:r>
      <w:r>
        <w:rPr>
          <w:rFonts w:ascii="Times New Roman" w:hAnsi="Times New Roman" w:eastAsia="宋体"/>
          <w:color w:val="auto"/>
          <w:highlight w:val="none"/>
        </w:rPr>
        <w:t>农医发〔2017〕25号</w:t>
      </w:r>
      <w:r>
        <w:rPr>
          <w:rFonts w:hint="eastAsia"/>
          <w:color w:val="auto"/>
          <w:highlight w:val="none"/>
          <w:lang w:eastAsia="zh-CN"/>
        </w:rPr>
        <w:t>）</w:t>
      </w:r>
      <w:r>
        <w:rPr>
          <w:rFonts w:ascii="Times New Roman" w:hAnsi="Times New Roman" w:eastAsia="宋体"/>
          <w:color w:val="auto"/>
          <w:highlight w:val="none"/>
        </w:rPr>
        <w:t>中对病死畜禽尸体的处理与处置要求。</w:t>
      </w:r>
    </w:p>
    <w:p w14:paraId="1D3A5337">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3</w:t>
      </w:r>
      <w:r>
        <w:rPr>
          <w:rFonts w:hint="eastAsia"/>
          <w:color w:val="auto"/>
          <w:highlight w:val="none"/>
          <w:lang w:eastAsia="zh-CN"/>
        </w:rPr>
        <w:t>）</w:t>
      </w:r>
      <w:r>
        <w:rPr>
          <w:rFonts w:ascii="Times New Roman" w:hAnsi="Times New Roman" w:eastAsia="宋体"/>
          <w:color w:val="auto"/>
          <w:highlight w:val="none"/>
        </w:rPr>
        <w:t>废弃包装物</w:t>
      </w:r>
    </w:p>
    <w:p w14:paraId="421D34FD">
      <w:pPr>
        <w:ind w:firstLine="480"/>
        <w:rPr>
          <w:rFonts w:hint="eastAsia" w:ascii="Times New Roman" w:hAnsi="Times New Roman" w:eastAsia="宋体"/>
          <w:color w:val="auto"/>
          <w:highlight w:val="none"/>
          <w:lang w:eastAsia="zh-CN"/>
        </w:rPr>
      </w:pPr>
      <w:r>
        <w:rPr>
          <w:rFonts w:ascii="Times New Roman" w:hAnsi="Times New Roman" w:eastAsia="宋体"/>
          <w:color w:val="auto"/>
          <w:highlight w:val="none"/>
        </w:rPr>
        <w:t>本项目饲料包装袋最终返回原包装袋购置厂家回收，废弃包装物得到了合理利用。</w:t>
      </w:r>
    </w:p>
    <w:p w14:paraId="51164B6E">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4</w:t>
      </w:r>
      <w:r>
        <w:rPr>
          <w:rFonts w:hint="eastAsia"/>
          <w:color w:val="auto"/>
          <w:highlight w:val="none"/>
          <w:lang w:eastAsia="zh-CN"/>
        </w:rPr>
        <w:t>）</w:t>
      </w:r>
      <w:r>
        <w:rPr>
          <w:rFonts w:ascii="Times New Roman" w:hAnsi="Times New Roman" w:eastAsia="宋体"/>
          <w:color w:val="auto"/>
          <w:highlight w:val="none"/>
        </w:rPr>
        <w:t>生活垃圾</w:t>
      </w:r>
    </w:p>
    <w:p w14:paraId="3F794F42">
      <w:pPr>
        <w:ind w:firstLine="480"/>
        <w:rPr>
          <w:rFonts w:ascii="Times New Roman" w:hAnsi="Times New Roman" w:eastAsia="宋体"/>
          <w:color w:val="auto"/>
          <w:highlight w:val="none"/>
        </w:rPr>
      </w:pPr>
      <w:r>
        <w:rPr>
          <w:rFonts w:ascii="Times New Roman" w:hAnsi="Times New Roman" w:eastAsia="宋体"/>
          <w:color w:val="auto"/>
          <w:highlight w:val="none"/>
        </w:rPr>
        <w:t>本项目生活垃圾集中收集起来运至当地生态环境部门指定的垃圾填埋场进行处理。</w:t>
      </w:r>
    </w:p>
    <w:p w14:paraId="35473622">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5</w:t>
      </w:r>
      <w:r>
        <w:rPr>
          <w:rFonts w:hint="eastAsia"/>
          <w:color w:val="auto"/>
          <w:highlight w:val="none"/>
          <w:lang w:eastAsia="zh-CN"/>
        </w:rPr>
        <w:t>）</w:t>
      </w:r>
      <w:r>
        <w:rPr>
          <w:rFonts w:ascii="Times New Roman" w:hAnsi="Times New Roman" w:eastAsia="宋体"/>
          <w:color w:val="auto"/>
          <w:highlight w:val="none"/>
        </w:rPr>
        <w:t>医疗废物</w:t>
      </w:r>
    </w:p>
    <w:p w14:paraId="5DCD7F8D">
      <w:pPr>
        <w:ind w:firstLine="480"/>
        <w:rPr>
          <w:rFonts w:ascii="Times New Roman" w:hAnsi="Times New Roman" w:eastAsia="宋体"/>
          <w:color w:val="auto"/>
          <w:highlight w:val="none"/>
        </w:rPr>
      </w:pPr>
      <w:r>
        <w:rPr>
          <w:rFonts w:ascii="Times New Roman" w:hAnsi="Times New Roman" w:eastAsia="宋体"/>
          <w:color w:val="auto"/>
          <w:highlight w:val="none"/>
        </w:rPr>
        <w:t>本项目对蛋鸡进行防疫、治疗过程中产生少量废弃药品、废针管等，医疗垃圾属于HW01类危险废物。集中交由交由有资质的单位进行处置。</w:t>
      </w:r>
    </w:p>
    <w:p w14:paraId="1E03FA27">
      <w:pPr>
        <w:ind w:firstLine="480"/>
        <w:rPr>
          <w:rFonts w:ascii="Times New Roman" w:hAnsi="Times New Roman" w:eastAsia="宋体"/>
          <w:color w:val="auto"/>
          <w:highlight w:val="none"/>
        </w:rPr>
      </w:pPr>
      <w:r>
        <w:rPr>
          <w:rFonts w:ascii="Times New Roman" w:hAnsi="Times New Roman" w:eastAsia="宋体"/>
          <w:color w:val="auto"/>
          <w:highlight w:val="none"/>
        </w:rPr>
        <w:t>本项目医疗废物暂存间建设应按照《危险废物贮存污染控制标准》</w:t>
      </w:r>
      <w:r>
        <w:rPr>
          <w:rFonts w:hint="eastAsia"/>
          <w:color w:val="auto"/>
          <w:highlight w:val="none"/>
          <w:lang w:eastAsia="zh-CN"/>
        </w:rPr>
        <w:t>（GB18597-2023）</w:t>
      </w:r>
      <w:r>
        <w:rPr>
          <w:rFonts w:ascii="Times New Roman" w:hAnsi="Times New Roman" w:eastAsia="宋体"/>
          <w:color w:val="auto"/>
          <w:highlight w:val="none"/>
        </w:rPr>
        <w:t>、《医疗卫生机构医疗废物管理办法》</w:t>
      </w:r>
      <w:r>
        <w:rPr>
          <w:rFonts w:hint="eastAsia"/>
          <w:color w:val="auto"/>
          <w:highlight w:val="none"/>
          <w:lang w:eastAsia="zh-CN"/>
        </w:rPr>
        <w:t>（</w:t>
      </w:r>
      <w:r>
        <w:rPr>
          <w:rFonts w:ascii="Times New Roman" w:hAnsi="Times New Roman" w:eastAsia="宋体"/>
          <w:color w:val="auto"/>
          <w:highlight w:val="none"/>
        </w:rPr>
        <w:t>卫生部令36号</w:t>
      </w:r>
      <w:r>
        <w:rPr>
          <w:rFonts w:hint="eastAsia"/>
          <w:color w:val="auto"/>
          <w:highlight w:val="none"/>
          <w:lang w:eastAsia="zh-CN"/>
        </w:rPr>
        <w:t>）</w:t>
      </w:r>
      <w:r>
        <w:rPr>
          <w:rFonts w:ascii="Times New Roman" w:hAnsi="Times New Roman" w:eastAsia="宋体"/>
          <w:color w:val="auto"/>
          <w:highlight w:val="none"/>
        </w:rPr>
        <w:t>和《危险废物污染防治技术政策》</w:t>
      </w:r>
      <w:r>
        <w:rPr>
          <w:rFonts w:hint="eastAsia"/>
          <w:color w:val="auto"/>
          <w:highlight w:val="none"/>
          <w:lang w:eastAsia="zh-CN"/>
        </w:rPr>
        <w:t>（</w:t>
      </w:r>
      <w:r>
        <w:rPr>
          <w:rFonts w:ascii="Times New Roman" w:hAnsi="Times New Roman" w:eastAsia="宋体"/>
          <w:color w:val="auto"/>
          <w:highlight w:val="none"/>
        </w:rPr>
        <w:t>环发[2001]199号</w:t>
      </w:r>
      <w:r>
        <w:rPr>
          <w:rFonts w:hint="eastAsia"/>
          <w:color w:val="auto"/>
          <w:highlight w:val="none"/>
          <w:lang w:eastAsia="zh-CN"/>
        </w:rPr>
        <w:t>）</w:t>
      </w:r>
      <w:r>
        <w:rPr>
          <w:rFonts w:ascii="Times New Roman" w:hAnsi="Times New Roman" w:eastAsia="宋体"/>
          <w:color w:val="auto"/>
          <w:highlight w:val="none"/>
        </w:rPr>
        <w:t>的要求设置，暂存间地面必须防渗，防渗层需为渗透系数≤10</w:t>
      </w:r>
      <w:r>
        <w:rPr>
          <w:rFonts w:ascii="Times New Roman" w:hAnsi="Times New Roman" w:eastAsia="宋体"/>
          <w:color w:val="auto"/>
          <w:highlight w:val="none"/>
          <w:vertAlign w:val="superscript"/>
        </w:rPr>
        <w:t>-7</w:t>
      </w:r>
      <w:r>
        <w:rPr>
          <w:rFonts w:ascii="Times New Roman" w:hAnsi="Times New Roman" w:eastAsia="宋体"/>
          <w:color w:val="auto"/>
          <w:highlight w:val="none"/>
        </w:rPr>
        <w:t>cm/s的1m厚的黏土层，暂存间地面与裙脚要用兼顾、防渗的材料建造，建筑材料必须与危险废物相容。</w:t>
      </w:r>
    </w:p>
    <w:p w14:paraId="7F1F0DA4">
      <w:pPr>
        <w:ind w:firstLine="480"/>
        <w:rPr>
          <w:rFonts w:ascii="Times New Roman" w:hAnsi="Times New Roman" w:eastAsia="宋体"/>
          <w:color w:val="auto"/>
          <w:highlight w:val="none"/>
        </w:rPr>
      </w:pPr>
      <w:r>
        <w:rPr>
          <w:rFonts w:hint="eastAsia" w:ascii="Times New Roman" w:hAnsi="Times New Roman" w:eastAsia="宋体"/>
          <w:color w:val="auto"/>
          <w:highlight w:val="none"/>
        </w:rPr>
        <w:t>针对项目危险固废的特点和性质，建设单位应采取如下的处置措施：</w:t>
      </w:r>
    </w:p>
    <w:p w14:paraId="5A42252D">
      <w:pPr>
        <w:ind w:firstLine="480"/>
        <w:rPr>
          <w:rFonts w:ascii="Times New Roman" w:hAnsi="Times New Roman" w:eastAsia="宋体"/>
          <w:color w:val="auto"/>
          <w:highlight w:val="none"/>
        </w:rPr>
      </w:pPr>
      <w:r>
        <w:rPr>
          <w:rFonts w:hint="eastAsia" w:ascii="Times New Roman" w:hAnsi="Times New Roman" w:eastAsia="宋体"/>
          <w:color w:val="auto"/>
          <w:highlight w:val="none"/>
        </w:rPr>
        <w:t>1、</w:t>
      </w:r>
      <w:r>
        <w:rPr>
          <w:rFonts w:hint="eastAsia"/>
          <w:color w:val="auto"/>
          <w:highlight w:val="none"/>
          <w:lang w:eastAsia="zh-CN"/>
        </w:rPr>
        <w:t>医疗废物暂存间</w:t>
      </w:r>
      <w:r>
        <w:rPr>
          <w:rFonts w:hint="eastAsia" w:ascii="Times New Roman" w:hAnsi="Times New Roman" w:eastAsia="宋体"/>
          <w:color w:val="auto"/>
          <w:highlight w:val="none"/>
        </w:rPr>
        <w:t>防治措施</w:t>
      </w:r>
    </w:p>
    <w:p w14:paraId="4188216F">
      <w:pPr>
        <w:ind w:firstLine="480"/>
        <w:rPr>
          <w:rFonts w:ascii="Times New Roman" w:hAnsi="Times New Roman" w:eastAsia="宋体"/>
          <w:color w:val="auto"/>
          <w:highlight w:val="none"/>
        </w:rPr>
      </w:pPr>
      <w:r>
        <w:rPr>
          <w:rFonts w:hint="eastAsia" w:ascii="Times New Roman" w:hAnsi="Times New Roman" w:eastAsia="宋体"/>
          <w:color w:val="auto"/>
          <w:highlight w:val="none"/>
        </w:rPr>
        <w:t>属于《国家危险废物名录》（2021年）中划定的危险废物，严格按《危险废物贮存污染控制标准》（</w:t>
      </w:r>
      <w:r>
        <w:rPr>
          <w:rFonts w:hint="eastAsia"/>
          <w:color w:val="auto"/>
          <w:highlight w:val="none"/>
          <w:lang w:eastAsia="zh-CN"/>
        </w:rPr>
        <w:t>GB18597-2023</w:t>
      </w:r>
      <w:r>
        <w:rPr>
          <w:rFonts w:hint="eastAsia" w:ascii="Times New Roman" w:hAnsi="Times New Roman" w:eastAsia="宋体"/>
          <w:color w:val="auto"/>
          <w:highlight w:val="none"/>
        </w:rPr>
        <w:t>）要求设置贮存场所。</w:t>
      </w:r>
    </w:p>
    <w:p w14:paraId="065F2780">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建设单位拟在项目区内设置危险废物暂存间，医疗废物存于</w:t>
      </w:r>
      <w:r>
        <w:rPr>
          <w:rFonts w:hint="eastAsia"/>
          <w:color w:val="auto"/>
          <w:highlight w:val="none"/>
          <w:lang w:eastAsia="zh-CN"/>
        </w:rPr>
        <w:t>医疗废物暂存间</w:t>
      </w:r>
      <w:r>
        <w:rPr>
          <w:rFonts w:hint="eastAsia" w:ascii="Times New Roman" w:hAnsi="Times New Roman" w:eastAsia="宋体"/>
          <w:color w:val="auto"/>
          <w:highlight w:val="none"/>
        </w:rPr>
        <w:t>，定期交由昌吉市城市生活垃圾综合处理有限公司运输及处置。</w:t>
      </w:r>
    </w:p>
    <w:p w14:paraId="517F504D">
      <w:pPr>
        <w:ind w:firstLine="480"/>
        <w:rPr>
          <w:rFonts w:ascii="Times New Roman" w:hAnsi="Times New Roman" w:eastAsia="宋体"/>
          <w:color w:val="auto"/>
          <w:highlight w:val="none"/>
        </w:rPr>
      </w:pPr>
      <w:r>
        <w:rPr>
          <w:rFonts w:hint="eastAsia"/>
          <w:color w:val="auto"/>
          <w:highlight w:val="none"/>
          <w:lang w:eastAsia="zh-CN"/>
        </w:rPr>
        <w:t>医疗废物暂存间</w:t>
      </w:r>
      <w:r>
        <w:rPr>
          <w:rFonts w:hint="eastAsia" w:ascii="Times New Roman" w:hAnsi="Times New Roman" w:eastAsia="宋体"/>
          <w:color w:val="auto"/>
          <w:highlight w:val="none"/>
        </w:rPr>
        <w:t>建设应满足《危险废物贮存污染控制标准》（</w:t>
      </w:r>
      <w:r>
        <w:rPr>
          <w:rFonts w:hint="eastAsia"/>
          <w:color w:val="auto"/>
          <w:highlight w:val="none"/>
          <w:lang w:eastAsia="zh-CN"/>
        </w:rPr>
        <w:t>GB18597-2023</w:t>
      </w:r>
      <w:r>
        <w:rPr>
          <w:rFonts w:hint="eastAsia" w:ascii="Times New Roman" w:hAnsi="Times New Roman" w:eastAsia="宋体"/>
          <w:color w:val="auto"/>
          <w:highlight w:val="none"/>
        </w:rPr>
        <w:t>）及修改单的要求，配套相应的防渗、防漏设施，保持密闭，防止雨水进入。</w:t>
      </w:r>
      <w:r>
        <w:rPr>
          <w:rFonts w:hint="eastAsia"/>
          <w:color w:val="auto"/>
          <w:highlight w:val="none"/>
          <w:lang w:eastAsia="zh-CN"/>
        </w:rPr>
        <w:t>医疗废物暂存间</w:t>
      </w:r>
      <w:r>
        <w:rPr>
          <w:rFonts w:hint="eastAsia" w:ascii="Times New Roman" w:hAnsi="Times New Roman" w:eastAsia="宋体"/>
          <w:color w:val="auto"/>
          <w:highlight w:val="none"/>
        </w:rPr>
        <w:t>地面与裙脚要用坚固、防渗的材料建造，建筑材料须与危险废物相容。用于存放危险废物的容器，必须有耐腐蚀的地面硬化，且表面无裂痕。应设计堵截泄漏的裙脚，地面与裙脚所围建的容积不低于堵截最大容器的最大存储量或总储量的1/5。危险废物堆放要防风、防雨、防晒。同时危险固废采取专用贮存装置，并设立危险物警示标志，由专人进行管理，做好危险废物排放量及处置记录。向相应的固体废物管理中心申报登记本项目产生的危险废物，并按照该中心的要求对上述危险废物进行全过程严格管理和安全处置。</w:t>
      </w:r>
    </w:p>
    <w:p w14:paraId="3375F774">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项目危险废物贮存场所（设施）基本情况见表6.2-</w:t>
      </w:r>
      <w:r>
        <w:rPr>
          <w:rFonts w:hint="eastAsia"/>
          <w:color w:val="auto"/>
          <w:highlight w:val="none"/>
          <w:lang w:val="en-US" w:eastAsia="zh-CN"/>
        </w:rPr>
        <w:t>2</w:t>
      </w:r>
      <w:r>
        <w:rPr>
          <w:rFonts w:hint="eastAsia" w:ascii="Times New Roman" w:hAnsi="Times New Roman" w:eastAsia="宋体"/>
          <w:color w:val="auto"/>
          <w:highlight w:val="none"/>
        </w:rPr>
        <w:t>。</w:t>
      </w:r>
    </w:p>
    <w:p w14:paraId="425A2521">
      <w:pPr>
        <w:pStyle w:val="10"/>
        <w:keepNext w:val="0"/>
        <w:keepLines w:val="0"/>
        <w:pageBreakBefore w:val="0"/>
        <w:widowControl w:val="0"/>
        <w:kinsoku/>
        <w:wordWrap/>
        <w:overflowPunct/>
        <w:topLinePunct w:val="0"/>
        <w:autoSpaceDE/>
        <w:autoSpaceDN/>
        <w:bidi w:val="0"/>
        <w:adjustRightInd/>
        <w:snapToGrid/>
        <w:spacing w:before="0" w:after="0"/>
        <w:textAlignment w:val="auto"/>
        <w:rPr>
          <w:rFonts w:ascii="Times New Roman" w:hAnsi="Times New Roman" w:eastAsia="宋体"/>
          <w:color w:val="auto"/>
          <w:highlight w:val="none"/>
        </w:rPr>
      </w:pPr>
      <w:r>
        <w:rPr>
          <w:rFonts w:hint="eastAsia" w:ascii="Times New Roman" w:hAnsi="Times New Roman" w:eastAsia="宋体"/>
          <w:color w:val="auto"/>
          <w:highlight w:val="none"/>
        </w:rPr>
        <w:t>表6.2-</w:t>
      </w:r>
      <w:r>
        <w:rPr>
          <w:rFonts w:hint="eastAsia"/>
          <w:color w:val="auto"/>
          <w:highlight w:val="none"/>
          <w:lang w:val="en-US" w:eastAsia="zh-CN"/>
        </w:rPr>
        <w:t>2</w:t>
      </w:r>
      <w:r>
        <w:rPr>
          <w:rFonts w:hint="eastAsia" w:ascii="Times New Roman" w:hAnsi="Times New Roman" w:eastAsia="宋体"/>
          <w:color w:val="auto"/>
          <w:highlight w:val="none"/>
        </w:rPr>
        <w:t>建设项目危险废物贮存场所（设施）基本情况表</w:t>
      </w:r>
    </w:p>
    <w:tbl>
      <w:tblPr>
        <w:tblStyle w:val="7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050"/>
        <w:gridCol w:w="964"/>
        <w:gridCol w:w="935"/>
        <w:gridCol w:w="1196"/>
        <w:gridCol w:w="926"/>
        <w:gridCol w:w="910"/>
        <w:gridCol w:w="917"/>
        <w:gridCol w:w="910"/>
      </w:tblGrid>
      <w:tr w14:paraId="1A61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Align w:val="center"/>
          </w:tcPr>
          <w:p w14:paraId="51DC21B9">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序号</w:t>
            </w:r>
          </w:p>
        </w:tc>
        <w:tc>
          <w:tcPr>
            <w:tcW w:w="1050" w:type="dxa"/>
            <w:vAlign w:val="center"/>
          </w:tcPr>
          <w:p w14:paraId="2FAD9621">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贮存场所</w:t>
            </w:r>
          </w:p>
        </w:tc>
        <w:tc>
          <w:tcPr>
            <w:tcW w:w="964" w:type="dxa"/>
            <w:vAlign w:val="center"/>
          </w:tcPr>
          <w:p w14:paraId="214525C7">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危险废物名称</w:t>
            </w:r>
          </w:p>
        </w:tc>
        <w:tc>
          <w:tcPr>
            <w:tcW w:w="935" w:type="dxa"/>
            <w:vAlign w:val="center"/>
          </w:tcPr>
          <w:p w14:paraId="2B9CAB9A">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危险废物类别</w:t>
            </w:r>
          </w:p>
        </w:tc>
        <w:tc>
          <w:tcPr>
            <w:tcW w:w="1196" w:type="dxa"/>
            <w:vAlign w:val="center"/>
          </w:tcPr>
          <w:p w14:paraId="0B7EA1CE">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危险废物代码</w:t>
            </w:r>
          </w:p>
        </w:tc>
        <w:tc>
          <w:tcPr>
            <w:tcW w:w="926" w:type="dxa"/>
            <w:vAlign w:val="center"/>
          </w:tcPr>
          <w:p w14:paraId="2454DBF3">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占地面积</w:t>
            </w:r>
          </w:p>
        </w:tc>
        <w:tc>
          <w:tcPr>
            <w:tcW w:w="910" w:type="dxa"/>
            <w:vAlign w:val="center"/>
          </w:tcPr>
          <w:p w14:paraId="101702EC">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贮存方式</w:t>
            </w:r>
          </w:p>
        </w:tc>
        <w:tc>
          <w:tcPr>
            <w:tcW w:w="917" w:type="dxa"/>
            <w:vAlign w:val="center"/>
          </w:tcPr>
          <w:p w14:paraId="0950AABA">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贮存能力</w:t>
            </w:r>
          </w:p>
        </w:tc>
        <w:tc>
          <w:tcPr>
            <w:tcW w:w="910" w:type="dxa"/>
            <w:vAlign w:val="center"/>
          </w:tcPr>
          <w:p w14:paraId="7FE0BDD6">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贮存周期</w:t>
            </w:r>
          </w:p>
        </w:tc>
      </w:tr>
      <w:tr w14:paraId="4825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Align w:val="center"/>
          </w:tcPr>
          <w:p w14:paraId="18656FBD">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w:t>
            </w:r>
          </w:p>
        </w:tc>
        <w:tc>
          <w:tcPr>
            <w:tcW w:w="1050" w:type="dxa"/>
            <w:vAlign w:val="center"/>
          </w:tcPr>
          <w:p w14:paraId="166B9739">
            <w:pPr>
              <w:snapToGrid w:val="0"/>
              <w:spacing w:line="240" w:lineRule="auto"/>
              <w:ind w:firstLine="0" w:firstLineChars="0"/>
              <w:jc w:val="center"/>
              <w:rPr>
                <w:rFonts w:hint="eastAsia" w:ascii="Times New Roman" w:hAnsi="Times New Roman" w:eastAsia="宋体"/>
                <w:color w:val="auto"/>
                <w:kern w:val="2"/>
                <w:sz w:val="21"/>
                <w:szCs w:val="21"/>
                <w:highlight w:val="none"/>
                <w:lang w:eastAsia="zh-CN"/>
              </w:rPr>
            </w:pPr>
            <w:r>
              <w:rPr>
                <w:rFonts w:hint="eastAsia"/>
                <w:color w:val="auto"/>
                <w:kern w:val="2"/>
                <w:sz w:val="21"/>
                <w:szCs w:val="21"/>
                <w:highlight w:val="none"/>
                <w:lang w:eastAsia="zh-CN"/>
              </w:rPr>
              <w:t>医疗废物暂存间</w:t>
            </w:r>
          </w:p>
        </w:tc>
        <w:tc>
          <w:tcPr>
            <w:tcW w:w="964" w:type="dxa"/>
            <w:vAlign w:val="center"/>
          </w:tcPr>
          <w:p w14:paraId="54794011">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医疗固废</w:t>
            </w:r>
          </w:p>
        </w:tc>
        <w:tc>
          <w:tcPr>
            <w:tcW w:w="935" w:type="dxa"/>
            <w:vAlign w:val="center"/>
          </w:tcPr>
          <w:p w14:paraId="1679C97C">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HW01</w:t>
            </w:r>
          </w:p>
        </w:tc>
        <w:tc>
          <w:tcPr>
            <w:tcW w:w="1196" w:type="dxa"/>
            <w:vAlign w:val="center"/>
          </w:tcPr>
          <w:p w14:paraId="40624FAB">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900-001-01</w:t>
            </w:r>
          </w:p>
        </w:tc>
        <w:tc>
          <w:tcPr>
            <w:tcW w:w="926" w:type="dxa"/>
            <w:vAlign w:val="center"/>
          </w:tcPr>
          <w:p w14:paraId="3CC46C4E">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10m</w:t>
            </w:r>
            <w:r>
              <w:rPr>
                <w:rFonts w:hint="eastAsia" w:ascii="Times New Roman" w:hAnsi="Times New Roman" w:eastAsia="宋体"/>
                <w:color w:val="auto"/>
                <w:kern w:val="2"/>
                <w:sz w:val="21"/>
                <w:szCs w:val="21"/>
                <w:highlight w:val="none"/>
                <w:vertAlign w:val="superscript"/>
              </w:rPr>
              <w:t>2</w:t>
            </w:r>
          </w:p>
        </w:tc>
        <w:tc>
          <w:tcPr>
            <w:tcW w:w="910" w:type="dxa"/>
            <w:vAlign w:val="center"/>
          </w:tcPr>
          <w:p w14:paraId="546D731A">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桶装</w:t>
            </w:r>
          </w:p>
        </w:tc>
        <w:tc>
          <w:tcPr>
            <w:tcW w:w="917" w:type="dxa"/>
            <w:vAlign w:val="center"/>
          </w:tcPr>
          <w:p w14:paraId="2D90C16F">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1t/a</w:t>
            </w:r>
          </w:p>
        </w:tc>
        <w:tc>
          <w:tcPr>
            <w:tcW w:w="910" w:type="dxa"/>
            <w:vAlign w:val="center"/>
          </w:tcPr>
          <w:p w14:paraId="2BC11592">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1周</w:t>
            </w:r>
          </w:p>
        </w:tc>
      </w:tr>
    </w:tbl>
    <w:p w14:paraId="12218272">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2、运输过程的污染防治措施</w:t>
      </w:r>
    </w:p>
    <w:p w14:paraId="46B378DB">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按照《危险废物收集贮存运输技术规范》（HJ2025-2012），分析危险废物的收集和转运过程中采取的污染防治措施的可行性，并论证运输方式、运输线路的合理性。危险废物在运输过程中，如果管理不当或未采取适当的污染防治和安全防护措施，则极易造成污染。</w:t>
      </w:r>
    </w:p>
    <w:p w14:paraId="6E614820">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危险废物在出厂前经分类收集到危废桶，然后运至危废间暂存间。项目危废处置单位定期进厂收集、运输及处置；危废运输由危废处置单位专用车辆运输，沿途尽量避免穿越人群密集区。因此，只要在危废运输中加强控制和管理，项目危险废物输送对环境的影响不明显。</w:t>
      </w:r>
    </w:p>
    <w:p w14:paraId="0C05BD8E">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项目对危废运输过程中拟采取如下防治措施：</w:t>
      </w:r>
    </w:p>
    <w:p w14:paraId="0F9C61DD">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（1）运输时应采取密闭、遮盖、捆扎等措施防止扬散；</w:t>
      </w:r>
    </w:p>
    <w:p w14:paraId="13377FC5">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（2）对运输危险废物的设施和设备应加强管理和未付，保证其正常运行和使用；</w:t>
      </w:r>
    </w:p>
    <w:p w14:paraId="69BC9F34">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（3）不能混合运输性质不相容而又未经安全性处置的危险废物；</w:t>
      </w:r>
    </w:p>
    <w:p w14:paraId="0F6079E0">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（4）转移危险废物时，必须按照规定填写危险废物转移联单，并向危险废物移出地和接受地的县级以上地方人民政府环境保护行政主管部门报告；</w:t>
      </w:r>
    </w:p>
    <w:p w14:paraId="261D3F32">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（5）禁止将危险废物与旅客在用一运输工具上载运；</w:t>
      </w:r>
    </w:p>
    <w:p w14:paraId="61B32E23">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（6）运输危险废物的车辆应尽可能避开城市、城镇等人群居住区、闹市区等；</w:t>
      </w:r>
    </w:p>
    <w:p w14:paraId="03DA0036">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（7）运输危险废物的人员应当接受专业培训，经考核合格后，方可从事运输危险废物的工作；</w:t>
      </w:r>
    </w:p>
    <w:p w14:paraId="45791156">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（8）应制定在发生意外事故时采取的应急措施和防范措施；</w:t>
      </w:r>
    </w:p>
    <w:p w14:paraId="167B952D">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（9）若发生突发性事故必须立即采取措施消除或者减轻对环境的污染危害，及时通报给附近的单位和居民，并向事故发生地县级以上人民政府环境保护行政主管部门和有关部门报告，接受调查处理。</w:t>
      </w:r>
    </w:p>
    <w:p w14:paraId="6D6A96E5">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hint="eastAsia" w:ascii="Times New Roman" w:hAnsi="Times New Roman" w:eastAsia="宋体"/>
          <w:color w:val="auto"/>
          <w:highlight w:val="none"/>
        </w:rPr>
        <w:t>综上所述，本项目产生的固体废弃物经过收集、处理处置后，实现</w:t>
      </w:r>
      <w:r>
        <w:rPr>
          <w:rFonts w:hint="eastAsia"/>
          <w:color w:val="auto"/>
          <w:highlight w:val="none"/>
          <w:lang w:eastAsia="zh-CN"/>
        </w:rPr>
        <w:t>”</w:t>
      </w:r>
      <w:r>
        <w:rPr>
          <w:rFonts w:hint="eastAsia" w:ascii="Times New Roman" w:hAnsi="Times New Roman" w:eastAsia="宋体"/>
          <w:color w:val="auto"/>
          <w:highlight w:val="none"/>
        </w:rPr>
        <w:t>减量化、资源化和无害化</w:t>
      </w:r>
      <w:r>
        <w:rPr>
          <w:rFonts w:hint="eastAsia"/>
          <w:color w:val="auto"/>
          <w:highlight w:val="none"/>
          <w:lang w:eastAsia="zh-CN"/>
        </w:rPr>
        <w:t>”</w:t>
      </w:r>
      <w:r>
        <w:rPr>
          <w:rFonts w:hint="eastAsia" w:ascii="Times New Roman" w:hAnsi="Times New Roman" w:eastAsia="宋体"/>
          <w:color w:val="auto"/>
          <w:highlight w:val="none"/>
        </w:rPr>
        <w:t>的要求，不会对周围环境产生明显的不利影响。</w:t>
      </w:r>
    </w:p>
    <w:p w14:paraId="221E57C6">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检疫及兽医站产生的医疗废物必须当日消毒，消毒后装入容器，常温下贮存不得超过一天，于5℃以下冷藏的，不得超过7天，夏季医疗垃圾在常温下贮存期不得超过一天，冬季由于气温较低，低于5℃以下冷藏的，医疗垃圾最长储存时间不得超过2d，根据《医疗废物管理条例》</w:t>
      </w:r>
      <w:r>
        <w:rPr>
          <w:rFonts w:hint="eastAsia"/>
          <w:color w:val="auto"/>
          <w:highlight w:val="none"/>
          <w:lang w:eastAsia="zh-CN"/>
        </w:rPr>
        <w:t>（</w:t>
      </w:r>
      <w:r>
        <w:rPr>
          <w:rFonts w:ascii="Times New Roman" w:hAnsi="Times New Roman" w:eastAsia="宋体"/>
          <w:color w:val="auto"/>
          <w:highlight w:val="none"/>
        </w:rPr>
        <w:t>2011年</w:t>
      </w:r>
      <w:r>
        <w:rPr>
          <w:rFonts w:hint="eastAsia"/>
          <w:color w:val="auto"/>
          <w:highlight w:val="none"/>
          <w:lang w:eastAsia="zh-CN"/>
        </w:rPr>
        <w:t>）</w:t>
      </w:r>
      <w:r>
        <w:rPr>
          <w:rFonts w:ascii="Times New Roman" w:hAnsi="Times New Roman" w:eastAsia="宋体"/>
          <w:color w:val="auto"/>
          <w:highlight w:val="none"/>
        </w:rPr>
        <w:t>要求，医疗废物经临时储存后交由有医疗废物处置资质的单位进行集中清运处理，要严格按照要求，在医疗废弃物的管理上必须要有交接签字制度，医疗废物产生量必须要有登记，以避免医疗废弃物的流失。在医疗废弃物的处置方面还必须做到分类、消毒、专人管理。</w:t>
      </w:r>
    </w:p>
    <w:p w14:paraId="39686502">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auto"/>
          <w:highlight w:val="none"/>
        </w:rPr>
      </w:pPr>
      <w:r>
        <w:rPr>
          <w:rFonts w:ascii="Times New Roman" w:hAnsi="Times New Roman" w:eastAsia="宋体"/>
          <w:color w:val="auto"/>
          <w:highlight w:val="none"/>
        </w:rPr>
        <w:t>综上分析，对固体废物采取相应治理措施后，固废可以得到合理处置，产生的固体废物对周围环境影响不大。</w:t>
      </w:r>
    </w:p>
    <w:p w14:paraId="54A1E3CC">
      <w:pPr>
        <w:pStyle w:val="5"/>
        <w:rPr>
          <w:rFonts w:ascii="Times New Roman" w:hAnsi="Times New Roman" w:eastAsia="宋体"/>
          <w:color w:val="auto"/>
          <w:highlight w:val="none"/>
        </w:rPr>
      </w:pPr>
      <w:bookmarkStart w:id="239" w:name="_Toc106663529"/>
      <w:r>
        <w:rPr>
          <w:rFonts w:hint="eastAsia" w:ascii="Times New Roman" w:hAnsi="Times New Roman" w:eastAsia="宋体"/>
          <w:color w:val="auto"/>
          <w:highlight w:val="none"/>
        </w:rPr>
        <w:t>6.2.6土壤污染防治措施</w:t>
      </w:r>
      <w:bookmarkEnd w:id="239"/>
    </w:p>
    <w:p w14:paraId="58151B65">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6.2.6.1防治措施</w:t>
      </w:r>
    </w:p>
    <w:p w14:paraId="76AFF9C6">
      <w:pPr>
        <w:ind w:firstLine="480"/>
        <w:rPr>
          <w:rFonts w:ascii="Times New Roman" w:hAnsi="Times New Roman" w:eastAsia="宋体"/>
          <w:color w:val="auto"/>
          <w:highlight w:val="none"/>
        </w:rPr>
      </w:pPr>
      <w:r>
        <w:rPr>
          <w:rFonts w:hint="eastAsia" w:ascii="Times New Roman" w:hAnsi="Times New Roman" w:eastAsia="宋体"/>
          <w:color w:val="auto"/>
          <w:highlight w:val="none"/>
        </w:rPr>
        <w:t>（1）加强废水处理设施的维护和管理，及时发现处理设备的隐患，确保处理系统正常运行。</w:t>
      </w:r>
    </w:p>
    <w:p w14:paraId="6D2B5FE2">
      <w:pPr>
        <w:ind w:firstLine="480"/>
        <w:rPr>
          <w:rFonts w:ascii="Times New Roman" w:hAnsi="Times New Roman" w:eastAsia="宋体"/>
          <w:color w:val="auto"/>
          <w:highlight w:val="none"/>
        </w:rPr>
      </w:pPr>
      <w:r>
        <w:rPr>
          <w:rFonts w:hint="eastAsia" w:ascii="Times New Roman" w:hAnsi="Times New Roman" w:eastAsia="宋体"/>
          <w:color w:val="auto"/>
          <w:highlight w:val="none"/>
        </w:rPr>
        <w:t>（2）加强施工质量，对</w:t>
      </w:r>
      <w:r>
        <w:rPr>
          <w:rFonts w:hint="eastAsia" w:ascii="Times New Roman" w:hAnsi="Times New Roman" w:eastAsia="宋体"/>
          <w:color w:val="auto"/>
          <w:highlight w:val="none"/>
          <w:lang w:val="en-US" w:eastAsia="zh-CN"/>
        </w:rPr>
        <w:t>安全填埋井</w:t>
      </w:r>
      <w:r>
        <w:rPr>
          <w:rFonts w:hint="eastAsia" w:ascii="Times New Roman" w:hAnsi="Times New Roman" w:eastAsia="宋体"/>
          <w:color w:val="auto"/>
          <w:highlight w:val="none"/>
        </w:rPr>
        <w:t>、</w:t>
      </w:r>
      <w:r>
        <w:rPr>
          <w:rFonts w:hint="eastAsia" w:ascii="Times New Roman" w:hAnsi="Times New Roman" w:eastAsia="宋体"/>
          <w:color w:val="auto"/>
          <w:highlight w:val="none"/>
          <w:lang w:eastAsia="zh-CN"/>
        </w:rPr>
        <w:t>医疗废物暂存间、</w:t>
      </w:r>
      <w:r>
        <w:rPr>
          <w:rFonts w:hint="eastAsia"/>
          <w:color w:val="auto"/>
          <w:highlight w:val="none"/>
          <w:lang w:val="en-US" w:eastAsia="zh-CN"/>
        </w:rPr>
        <w:t>废水收集池</w:t>
      </w:r>
      <w:r>
        <w:rPr>
          <w:rFonts w:hint="eastAsia" w:ascii="Times New Roman" w:hAnsi="Times New Roman" w:eastAsia="宋体"/>
          <w:color w:val="auto"/>
          <w:highlight w:val="none"/>
        </w:rPr>
        <w:t>按重点防渗区采取措施，参照《危险废物贮存污染控制标准》（</w:t>
      </w:r>
      <w:r>
        <w:rPr>
          <w:rFonts w:hint="eastAsia"/>
          <w:color w:val="auto"/>
          <w:highlight w:val="none"/>
          <w:lang w:eastAsia="zh-CN"/>
        </w:rPr>
        <w:t>GB18597-2023</w:t>
      </w:r>
      <w:r>
        <w:rPr>
          <w:rFonts w:hint="eastAsia" w:ascii="Times New Roman" w:hAnsi="Times New Roman" w:eastAsia="宋体"/>
          <w:color w:val="auto"/>
          <w:highlight w:val="none"/>
        </w:rPr>
        <w:t>）：基础必须防渗，防渗层为至少1m厚粘土层（渗透系数≤10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cm/s），或2mm厚高密度聚乙烯，或至2mm厚的其它人工材料，渗透系数≤10</w:t>
      </w:r>
      <w:r>
        <w:rPr>
          <w:rFonts w:hint="eastAsia" w:ascii="Times New Roman" w:hAnsi="Times New Roman" w:eastAsia="宋体"/>
          <w:color w:val="auto"/>
          <w:highlight w:val="none"/>
          <w:vertAlign w:val="superscript"/>
        </w:rPr>
        <w:t>-10</w:t>
      </w:r>
      <w:r>
        <w:rPr>
          <w:rFonts w:hint="eastAsia" w:ascii="Times New Roman" w:hAnsi="Times New Roman" w:eastAsia="宋体"/>
          <w:color w:val="auto"/>
          <w:highlight w:val="none"/>
        </w:rPr>
        <w:t>cm/s。</w:t>
      </w:r>
    </w:p>
    <w:p w14:paraId="15B51067">
      <w:pPr>
        <w:ind w:firstLine="480"/>
        <w:rPr>
          <w:rFonts w:ascii="Times New Roman" w:hAnsi="Times New Roman" w:eastAsia="宋体"/>
          <w:color w:val="auto"/>
          <w:highlight w:val="none"/>
        </w:rPr>
      </w:pPr>
      <w:r>
        <w:rPr>
          <w:rFonts w:hint="eastAsia" w:ascii="Times New Roman" w:hAnsi="Times New Roman" w:eastAsia="宋体"/>
          <w:color w:val="auto"/>
          <w:highlight w:val="none"/>
        </w:rPr>
        <w:t>（3）对</w:t>
      </w:r>
      <w:r>
        <w:rPr>
          <w:rFonts w:hint="eastAsia"/>
          <w:color w:val="auto"/>
          <w:highlight w:val="none"/>
          <w:lang w:val="en-US" w:eastAsia="zh-CN"/>
        </w:rPr>
        <w:t>鸡舍</w:t>
      </w:r>
      <w:r>
        <w:rPr>
          <w:rFonts w:hint="eastAsia" w:ascii="Times New Roman" w:hAnsi="Times New Roman" w:eastAsia="宋体"/>
          <w:color w:val="auto"/>
          <w:highlight w:val="none"/>
        </w:rPr>
        <w:t>舍等按一般防渗区采取防渗措施。底压实粘土层厚度要≥1m，满足渗透系数K≤1.0×10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cm/s；防渗粘土层上部及贮水池侧面铺设1.0mm高密度聚乙烯（HDPE）防渗膜（渗透系数K≤10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cm/s），在做好基层防渗的基础上进行水泥硬化。</w:t>
      </w:r>
    </w:p>
    <w:p w14:paraId="59983DF0">
      <w:pPr>
        <w:ind w:firstLine="480"/>
        <w:rPr>
          <w:rFonts w:ascii="Times New Roman" w:hAnsi="Times New Roman" w:eastAsia="宋体"/>
          <w:color w:val="auto"/>
          <w:highlight w:val="none"/>
        </w:rPr>
      </w:pPr>
      <w:r>
        <w:rPr>
          <w:rFonts w:hint="eastAsia" w:ascii="Times New Roman" w:hAnsi="Times New Roman" w:eastAsia="宋体"/>
          <w:color w:val="auto"/>
          <w:highlight w:val="none"/>
        </w:rPr>
        <w:t>（4）场区边界建设雨水截流沟、排水沟，及时拦截和导排雨水，减少废水产生量，降低事故风险。</w:t>
      </w:r>
    </w:p>
    <w:p w14:paraId="262C70FC">
      <w:pPr>
        <w:pStyle w:val="6"/>
        <w:ind w:firstLine="0" w:firstLineChars="0"/>
        <w:rPr>
          <w:rFonts w:ascii="Times New Roman" w:hAnsi="Times New Roman" w:eastAsia="宋体"/>
          <w:color w:val="auto"/>
          <w:highlight w:val="none"/>
        </w:rPr>
      </w:pPr>
      <w:r>
        <w:rPr>
          <w:rFonts w:hint="eastAsia" w:ascii="Times New Roman" w:hAnsi="Times New Roman" w:eastAsia="宋体"/>
          <w:color w:val="auto"/>
          <w:highlight w:val="none"/>
        </w:rPr>
        <w:t>6.2.6.2跟踪监测</w:t>
      </w:r>
    </w:p>
    <w:p w14:paraId="342769EC">
      <w:pPr>
        <w:ind w:firstLine="480"/>
        <w:rPr>
          <w:rFonts w:ascii="Times New Roman" w:hAnsi="Times New Roman" w:eastAsia="宋体"/>
          <w:color w:val="auto"/>
          <w:highlight w:val="none"/>
        </w:rPr>
      </w:pPr>
      <w:r>
        <w:rPr>
          <w:rFonts w:hint="eastAsia" w:ascii="Times New Roman" w:hAnsi="Times New Roman" w:eastAsia="宋体"/>
          <w:color w:val="auto"/>
          <w:highlight w:val="none"/>
        </w:rPr>
        <w:t>（1）监测点位</w:t>
      </w:r>
    </w:p>
    <w:p w14:paraId="2268F1F6">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根据《环境影响评价技术导则土壤环境》（HJ964-2018）的要求确定土壤跟踪监测点布设原则，结合厂区占地位置，共布设1个土壤跟踪监测点，考虑项目运营期土壤最可能受到污染同时受到污染后应交较严重的</w:t>
      </w:r>
      <w:r>
        <w:rPr>
          <w:rFonts w:hint="eastAsia"/>
          <w:color w:val="auto"/>
          <w:highlight w:val="none"/>
          <w:lang w:val="en-US" w:eastAsia="zh-CN"/>
        </w:rPr>
        <w:t>废水收集池</w:t>
      </w:r>
      <w:r>
        <w:rPr>
          <w:rFonts w:hint="eastAsia" w:ascii="Times New Roman" w:hAnsi="Times New Roman" w:eastAsia="宋体"/>
          <w:color w:val="auto"/>
          <w:highlight w:val="none"/>
        </w:rPr>
        <w:t>，因此在上述区域分别设置1个土壤跟踪监测点位。</w:t>
      </w:r>
    </w:p>
    <w:p w14:paraId="2EFC0A01">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监测点布设情况见表6.2-</w:t>
      </w:r>
      <w:r>
        <w:rPr>
          <w:rFonts w:ascii="Times New Roman" w:hAnsi="Times New Roman" w:eastAsia="宋体"/>
          <w:color w:val="auto"/>
          <w:highlight w:val="none"/>
        </w:rPr>
        <w:t>5</w:t>
      </w:r>
      <w:r>
        <w:rPr>
          <w:rFonts w:hint="eastAsia" w:ascii="Times New Roman" w:hAnsi="Times New Roman" w:eastAsia="宋体"/>
          <w:color w:val="auto"/>
          <w:highlight w:val="none"/>
        </w:rPr>
        <w:t>。</w:t>
      </w:r>
    </w:p>
    <w:p w14:paraId="4055FED9">
      <w:pPr>
        <w:pStyle w:val="1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表6.2-</w:t>
      </w:r>
      <w:r>
        <w:rPr>
          <w:rFonts w:ascii="Times New Roman" w:hAnsi="Times New Roman" w:eastAsia="宋体"/>
          <w:color w:val="auto"/>
          <w:sz w:val="24"/>
          <w:szCs w:val="22"/>
          <w:highlight w:val="none"/>
        </w:rPr>
        <w:t>5</w:t>
      </w:r>
      <w:r>
        <w:rPr>
          <w:rFonts w:hint="eastAsia" w:ascii="Times New Roman" w:hAnsi="Times New Roman" w:eastAsia="宋体"/>
          <w:color w:val="auto"/>
          <w:sz w:val="24"/>
          <w:szCs w:val="22"/>
          <w:highlight w:val="none"/>
        </w:rPr>
        <w:t>环境监测点一览表</w:t>
      </w:r>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0361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vAlign w:val="center"/>
          </w:tcPr>
          <w:p w14:paraId="3476D00D">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功能</w:t>
            </w:r>
          </w:p>
        </w:tc>
        <w:tc>
          <w:tcPr>
            <w:tcW w:w="2130" w:type="dxa"/>
            <w:vAlign w:val="center"/>
          </w:tcPr>
          <w:p w14:paraId="1C5F2DB7">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编号</w:t>
            </w:r>
          </w:p>
        </w:tc>
        <w:tc>
          <w:tcPr>
            <w:tcW w:w="2131" w:type="dxa"/>
            <w:vAlign w:val="center"/>
          </w:tcPr>
          <w:p w14:paraId="27FAB74B">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位置</w:t>
            </w:r>
          </w:p>
        </w:tc>
        <w:tc>
          <w:tcPr>
            <w:tcW w:w="2131" w:type="dxa"/>
            <w:vAlign w:val="center"/>
          </w:tcPr>
          <w:p w14:paraId="198F1D3B">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监测要求</w:t>
            </w:r>
          </w:p>
        </w:tc>
      </w:tr>
      <w:tr w14:paraId="5BB5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0" w:type="dxa"/>
            <w:vAlign w:val="center"/>
          </w:tcPr>
          <w:p w14:paraId="25DA94FD">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占地范围内</w:t>
            </w:r>
          </w:p>
        </w:tc>
        <w:tc>
          <w:tcPr>
            <w:tcW w:w="2130" w:type="dxa"/>
            <w:vAlign w:val="center"/>
          </w:tcPr>
          <w:p w14:paraId="088E4FE3">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T1</w:t>
            </w:r>
          </w:p>
        </w:tc>
        <w:tc>
          <w:tcPr>
            <w:tcW w:w="2131" w:type="dxa"/>
            <w:vAlign w:val="center"/>
          </w:tcPr>
          <w:p w14:paraId="60EEBE67">
            <w:pPr>
              <w:snapToGrid w:val="0"/>
              <w:spacing w:line="240" w:lineRule="auto"/>
              <w:ind w:firstLine="0" w:firstLineChars="0"/>
              <w:jc w:val="center"/>
              <w:rPr>
                <w:rFonts w:hint="eastAsia" w:ascii="Times New Roman" w:hAnsi="Times New Roman" w:eastAsia="宋体"/>
                <w:color w:val="auto"/>
                <w:kern w:val="2"/>
                <w:sz w:val="21"/>
                <w:szCs w:val="21"/>
                <w:highlight w:val="none"/>
                <w:lang w:eastAsia="zh-CN"/>
              </w:rPr>
            </w:pPr>
            <w:r>
              <w:rPr>
                <w:rFonts w:hint="eastAsia"/>
                <w:color w:val="auto"/>
                <w:kern w:val="2"/>
                <w:sz w:val="21"/>
                <w:szCs w:val="21"/>
                <w:highlight w:val="none"/>
                <w:lang w:eastAsia="zh-CN"/>
              </w:rPr>
              <w:t>废水收集池</w:t>
            </w:r>
          </w:p>
        </w:tc>
        <w:tc>
          <w:tcPr>
            <w:tcW w:w="2131" w:type="dxa"/>
            <w:vAlign w:val="center"/>
          </w:tcPr>
          <w:p w14:paraId="5EE50D84">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柱状样</w:t>
            </w:r>
          </w:p>
        </w:tc>
      </w:tr>
    </w:tbl>
    <w:p w14:paraId="435ED72B">
      <w:pPr>
        <w:ind w:firstLine="480"/>
        <w:rPr>
          <w:rFonts w:ascii="Times New Roman" w:hAnsi="Times New Roman" w:eastAsia="宋体"/>
          <w:color w:val="auto"/>
          <w:highlight w:val="none"/>
        </w:rPr>
      </w:pPr>
      <w:r>
        <w:rPr>
          <w:rFonts w:hint="eastAsia" w:ascii="Times New Roman" w:hAnsi="Times New Roman" w:eastAsia="宋体"/>
          <w:color w:val="auto"/>
          <w:highlight w:val="none"/>
        </w:rPr>
        <w:t>（2）监测频率及监测因子</w:t>
      </w:r>
    </w:p>
    <w:p w14:paraId="2BBF81EA">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监测频率：1次/年。</w:t>
      </w:r>
    </w:p>
    <w:p w14:paraId="4CDF14B1">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监测项目为：《畜禽养殖产地评价规范》（HJ568-2010）中表4养殖场土壤环境质量评价标准全值。</w:t>
      </w:r>
    </w:p>
    <w:p w14:paraId="2EB499CE">
      <w:pPr>
        <w:pStyle w:val="5"/>
        <w:rPr>
          <w:rFonts w:ascii="Times New Roman" w:hAnsi="Times New Roman" w:eastAsia="宋体"/>
          <w:color w:val="auto"/>
          <w:highlight w:val="none"/>
        </w:rPr>
      </w:pPr>
      <w:bookmarkStart w:id="240" w:name="_Toc106663530"/>
      <w:r>
        <w:rPr>
          <w:rFonts w:hint="eastAsia" w:ascii="Times New Roman" w:hAnsi="Times New Roman" w:eastAsia="宋体"/>
          <w:color w:val="auto"/>
          <w:highlight w:val="none"/>
        </w:rPr>
        <w:t>6.2.7生态防治措施</w:t>
      </w:r>
      <w:bookmarkEnd w:id="240"/>
    </w:p>
    <w:p w14:paraId="697FD0AC">
      <w:pPr>
        <w:ind w:firstLine="480"/>
        <w:rPr>
          <w:rFonts w:ascii="Times New Roman" w:hAnsi="Times New Roman" w:eastAsia="宋体"/>
          <w:color w:val="auto"/>
          <w:highlight w:val="none"/>
        </w:rPr>
      </w:pPr>
      <w:r>
        <w:rPr>
          <w:rFonts w:ascii="Times New Roman" w:hAnsi="Times New Roman" w:eastAsia="宋体"/>
          <w:color w:val="auto"/>
          <w:highlight w:val="none"/>
        </w:rPr>
        <w:t>（1）工程设计时应做好厂区绿化的规划设计，落实绿化费用，设置专职绿化管理人员，保证绿化效果。</w:t>
      </w:r>
    </w:p>
    <w:p w14:paraId="3BBA4624">
      <w:pPr>
        <w:ind w:firstLine="480"/>
        <w:rPr>
          <w:rFonts w:ascii="Times New Roman" w:hAnsi="Times New Roman" w:eastAsia="宋体"/>
          <w:color w:val="auto"/>
          <w:highlight w:val="none"/>
        </w:rPr>
      </w:pPr>
      <w:r>
        <w:rPr>
          <w:rFonts w:ascii="Times New Roman" w:hAnsi="Times New Roman" w:eastAsia="宋体"/>
          <w:color w:val="auto"/>
          <w:highlight w:val="none"/>
        </w:rPr>
        <w:t>（2）规划本项目绿化对项目区的生态环境将起到一定的恢复作用，使局部生态环境得到改善，对项目区生态环境产生的影响不大。</w:t>
      </w:r>
    </w:p>
    <w:p w14:paraId="73BCCBB0">
      <w:pPr>
        <w:ind w:firstLine="480"/>
        <w:rPr>
          <w:rFonts w:ascii="Times New Roman" w:hAnsi="Times New Roman" w:eastAsia="宋体"/>
          <w:color w:val="auto"/>
          <w:highlight w:val="none"/>
        </w:rPr>
      </w:pPr>
      <w:r>
        <w:rPr>
          <w:rFonts w:ascii="Times New Roman" w:hAnsi="Times New Roman" w:eastAsia="宋体"/>
          <w:color w:val="auto"/>
          <w:highlight w:val="none"/>
        </w:rPr>
        <w:t>（3）另外为了原料运输及检修、消防需要，为了环境保护的要求，厂内其他未绿化裸露地面必须进行平整、硬化，主干道和人行道必须铺设混凝土或沥青路面，以达到美化厂区环境，为生产营造所需的良好环境的目的。</w:t>
      </w:r>
    </w:p>
    <w:p w14:paraId="5092A0D0">
      <w:pPr>
        <w:pStyle w:val="4"/>
        <w:rPr>
          <w:rFonts w:ascii="Times New Roman" w:hAnsi="Times New Roman" w:eastAsia="宋体"/>
          <w:color w:val="auto"/>
          <w:highlight w:val="none"/>
        </w:rPr>
      </w:pPr>
      <w:bookmarkStart w:id="241" w:name="_Toc89619350"/>
      <w:bookmarkStart w:id="242" w:name="_Toc106663531"/>
      <w:r>
        <w:rPr>
          <w:rFonts w:hint="eastAsia" w:ascii="Times New Roman" w:hAnsi="Times New Roman" w:eastAsia="宋体"/>
          <w:color w:val="auto"/>
          <w:highlight w:val="none"/>
        </w:rPr>
        <w:t>6.3环境风险防范措施</w:t>
      </w:r>
      <w:bookmarkEnd w:id="241"/>
      <w:bookmarkEnd w:id="242"/>
    </w:p>
    <w:p w14:paraId="113391F9">
      <w:pPr>
        <w:ind w:firstLine="480"/>
        <w:rPr>
          <w:rFonts w:ascii="Times New Roman" w:hAnsi="Times New Roman" w:eastAsia="宋体"/>
          <w:color w:val="auto"/>
          <w:highlight w:val="none"/>
        </w:rPr>
      </w:pPr>
      <w:r>
        <w:rPr>
          <w:rFonts w:hint="eastAsia" w:ascii="Times New Roman" w:hAnsi="Times New Roman" w:eastAsia="宋体"/>
          <w:color w:val="auto"/>
          <w:highlight w:val="none"/>
        </w:rPr>
        <w:t>应加大事故防范措施建设，加大防范力度，防患于未然。另外，要制定合理可行的事故应急预案，以控制事故和减少对环境造成的危害。</w:t>
      </w:r>
    </w:p>
    <w:p w14:paraId="7ACA055C">
      <w:pPr>
        <w:pStyle w:val="5"/>
        <w:rPr>
          <w:rFonts w:ascii="Times New Roman" w:hAnsi="Times New Roman" w:eastAsia="宋体"/>
          <w:color w:val="auto"/>
          <w:highlight w:val="none"/>
        </w:rPr>
      </w:pPr>
      <w:bookmarkStart w:id="243" w:name="_Toc106663532"/>
      <w:r>
        <w:rPr>
          <w:rFonts w:hint="eastAsia" w:ascii="Times New Roman" w:hAnsi="Times New Roman" w:eastAsia="宋体"/>
          <w:color w:val="auto"/>
          <w:highlight w:val="none"/>
        </w:rPr>
        <w:t>6.3.1火灾防范措施</w:t>
      </w:r>
      <w:bookmarkEnd w:id="243"/>
    </w:p>
    <w:p w14:paraId="7EE719B4">
      <w:pPr>
        <w:ind w:firstLine="480"/>
        <w:rPr>
          <w:rFonts w:ascii="Times New Roman" w:hAnsi="Times New Roman" w:eastAsia="宋体"/>
          <w:color w:val="auto"/>
          <w:highlight w:val="none"/>
        </w:rPr>
      </w:pPr>
      <w:r>
        <w:rPr>
          <w:rFonts w:hint="eastAsia" w:ascii="Times New Roman" w:hAnsi="Times New Roman" w:eastAsia="宋体"/>
          <w:color w:val="auto"/>
          <w:highlight w:val="none"/>
        </w:rPr>
        <w:t>（1）制定安全管理制度、安全操作规程和工艺操作规程。</w:t>
      </w:r>
    </w:p>
    <w:p w14:paraId="353924F5">
      <w:pPr>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color w:val="auto"/>
          <w:highlight w:val="none"/>
          <w:lang w:val="en-US" w:eastAsia="zh-CN"/>
        </w:rPr>
        <w:t>2</w:t>
      </w:r>
      <w:r>
        <w:rPr>
          <w:rFonts w:hint="eastAsia" w:ascii="Times New Roman" w:hAnsi="Times New Roman" w:eastAsia="宋体"/>
          <w:color w:val="auto"/>
          <w:highlight w:val="none"/>
        </w:rPr>
        <w:t>）生产工人必须经过考核录用，认真培训。认真学习工艺生产技术、安全生产要点和岗位安全操作规程，熟悉生产原辅料及产品日常防护、急救措施以及泄漏处理和灭火方法，考试合格后，持证上岗。</w:t>
      </w:r>
    </w:p>
    <w:p w14:paraId="4B9FD86D">
      <w:pPr>
        <w:pStyle w:val="5"/>
        <w:rPr>
          <w:rFonts w:ascii="Times New Roman" w:hAnsi="Times New Roman" w:eastAsia="宋体"/>
          <w:color w:val="auto"/>
          <w:highlight w:val="none"/>
        </w:rPr>
      </w:pPr>
      <w:bookmarkStart w:id="244" w:name="_Toc106663533"/>
      <w:r>
        <w:rPr>
          <w:rFonts w:hint="eastAsia" w:ascii="Times New Roman" w:hAnsi="Times New Roman" w:eastAsia="宋体"/>
          <w:color w:val="auto"/>
          <w:highlight w:val="none"/>
        </w:rPr>
        <w:t>6.3.2废气处理措施故障防范措施</w:t>
      </w:r>
      <w:bookmarkEnd w:id="244"/>
    </w:p>
    <w:p w14:paraId="562A7B6A">
      <w:pPr>
        <w:ind w:firstLine="480"/>
        <w:rPr>
          <w:rFonts w:ascii="Times New Roman" w:hAnsi="Times New Roman" w:eastAsia="宋体"/>
          <w:color w:val="auto"/>
          <w:highlight w:val="none"/>
        </w:rPr>
      </w:pPr>
      <w:r>
        <w:rPr>
          <w:rFonts w:hint="eastAsia" w:ascii="Times New Roman" w:hAnsi="Times New Roman" w:eastAsia="宋体"/>
          <w:color w:val="auto"/>
          <w:highlight w:val="none"/>
        </w:rPr>
        <w:t>要求建设单位必须加强环保设备的管理和维护，减小净化系统失效概率，降低对环境的不良影响。一旦发生废气非正常及事故排放，应立即停止生产，并及时检修，待故障解除后，方可恢复生产。</w:t>
      </w:r>
    </w:p>
    <w:p w14:paraId="652C6C81">
      <w:pPr>
        <w:pStyle w:val="5"/>
        <w:rPr>
          <w:rFonts w:ascii="Times New Roman" w:hAnsi="Times New Roman" w:eastAsia="宋体"/>
          <w:color w:val="auto"/>
          <w:highlight w:val="none"/>
        </w:rPr>
      </w:pPr>
      <w:bookmarkStart w:id="245" w:name="_Toc106663534"/>
      <w:r>
        <w:rPr>
          <w:rFonts w:hint="eastAsia" w:ascii="Times New Roman" w:hAnsi="Times New Roman" w:eastAsia="宋体"/>
          <w:color w:val="auto"/>
          <w:highlight w:val="none"/>
        </w:rPr>
        <w:t>6.3.3有害物质泄漏防范措施</w:t>
      </w:r>
      <w:bookmarkEnd w:id="245"/>
    </w:p>
    <w:p w14:paraId="4A45D261">
      <w:pPr>
        <w:ind w:firstLine="480"/>
        <w:rPr>
          <w:rFonts w:ascii="Times New Roman" w:hAnsi="Times New Roman" w:eastAsia="宋体"/>
          <w:color w:val="auto"/>
          <w:highlight w:val="none"/>
        </w:rPr>
      </w:pPr>
      <w:r>
        <w:rPr>
          <w:rFonts w:hint="eastAsia" w:ascii="Times New Roman" w:hAnsi="Times New Roman" w:eastAsia="宋体"/>
          <w:color w:val="auto"/>
          <w:highlight w:val="none"/>
        </w:rPr>
        <w:t>（1）项目区内一般区域采用水泥硬化路面，</w:t>
      </w:r>
      <w:r>
        <w:rPr>
          <w:rFonts w:hint="eastAsia"/>
          <w:color w:val="auto"/>
          <w:highlight w:val="none"/>
          <w:lang w:eastAsia="zh-CN"/>
        </w:rPr>
        <w:t>医疗废物暂存间</w:t>
      </w:r>
      <w:r>
        <w:rPr>
          <w:rFonts w:hint="eastAsia" w:ascii="Times New Roman" w:hAnsi="Times New Roman" w:eastAsia="宋体"/>
          <w:color w:val="auto"/>
          <w:highlight w:val="none"/>
        </w:rPr>
        <w:t>、</w:t>
      </w:r>
      <w:r>
        <w:rPr>
          <w:rFonts w:hint="eastAsia"/>
          <w:color w:val="auto"/>
          <w:highlight w:val="none"/>
          <w:lang w:val="en-US" w:eastAsia="zh-CN"/>
        </w:rPr>
        <w:t>安全填埋井</w:t>
      </w:r>
      <w:r>
        <w:rPr>
          <w:rFonts w:hint="eastAsia" w:ascii="Times New Roman" w:hAnsi="Times New Roman" w:eastAsia="宋体"/>
          <w:color w:val="auto"/>
          <w:highlight w:val="none"/>
        </w:rPr>
        <w:t>、</w:t>
      </w:r>
      <w:r>
        <w:rPr>
          <w:rFonts w:hint="eastAsia"/>
          <w:color w:val="auto"/>
          <w:highlight w:val="none"/>
          <w:lang w:eastAsia="zh-CN"/>
        </w:rPr>
        <w:t>废水收集池</w:t>
      </w:r>
      <w:r>
        <w:rPr>
          <w:rFonts w:hint="eastAsia" w:ascii="Times New Roman" w:hAnsi="Times New Roman" w:eastAsia="宋体"/>
          <w:color w:val="auto"/>
          <w:highlight w:val="none"/>
        </w:rPr>
        <w:t>为重点防渗区，对于重点防治污染区执行地面防渗设计；要求防渗等级不大于1.0×10</w:t>
      </w:r>
      <w:r>
        <w:rPr>
          <w:rFonts w:hint="eastAsia" w:ascii="Times New Roman" w:hAnsi="Times New Roman" w:eastAsia="宋体"/>
          <w:color w:val="auto"/>
          <w:highlight w:val="none"/>
          <w:vertAlign w:val="superscript"/>
        </w:rPr>
        <w:t>-12</w:t>
      </w:r>
      <w:r>
        <w:rPr>
          <w:rFonts w:hint="eastAsia" w:ascii="Times New Roman" w:hAnsi="Times New Roman" w:eastAsia="宋体"/>
          <w:color w:val="auto"/>
          <w:highlight w:val="none"/>
        </w:rPr>
        <w:t>cm/s，可采用现浇防渗钢筋钢纤维混凝土层（渗透系数不大于1.0×10</w:t>
      </w:r>
      <w:r>
        <w:rPr>
          <w:rFonts w:hint="eastAsia" w:ascii="Times New Roman" w:hAnsi="Times New Roman" w:eastAsia="宋体"/>
          <w:color w:val="auto"/>
          <w:highlight w:val="none"/>
          <w:vertAlign w:val="superscript"/>
        </w:rPr>
        <w:t>-12</w:t>
      </w:r>
      <w:r>
        <w:rPr>
          <w:rFonts w:hint="eastAsia" w:ascii="Times New Roman" w:hAnsi="Times New Roman" w:eastAsia="宋体"/>
          <w:color w:val="auto"/>
          <w:highlight w:val="none"/>
        </w:rPr>
        <w:t>cm/s）、防渗涂料面层（渗透系数不大于1.0×10</w:t>
      </w:r>
      <w:r>
        <w:rPr>
          <w:rFonts w:hint="eastAsia" w:ascii="Times New Roman" w:hAnsi="Times New Roman" w:eastAsia="宋体"/>
          <w:color w:val="auto"/>
          <w:highlight w:val="none"/>
          <w:vertAlign w:val="superscript"/>
        </w:rPr>
        <w:t>-12</w:t>
      </w:r>
      <w:r>
        <w:rPr>
          <w:rFonts w:hint="eastAsia" w:ascii="Times New Roman" w:hAnsi="Times New Roman" w:eastAsia="宋体"/>
          <w:color w:val="auto"/>
          <w:highlight w:val="none"/>
        </w:rPr>
        <w:t>cm/s）。项目</w:t>
      </w:r>
      <w:r>
        <w:rPr>
          <w:rFonts w:hint="eastAsia"/>
          <w:color w:val="auto"/>
          <w:highlight w:val="none"/>
          <w:lang w:val="en-US" w:eastAsia="zh-CN"/>
        </w:rPr>
        <w:t>鸡</w:t>
      </w:r>
      <w:r>
        <w:rPr>
          <w:rFonts w:hint="eastAsia" w:ascii="Times New Roman" w:hAnsi="Times New Roman" w:eastAsia="宋体"/>
          <w:color w:val="auto"/>
          <w:highlight w:val="none"/>
        </w:rPr>
        <w:t>舍为一般防渗区。对于一般污染防治区，参照《一般工业固体废物贮存、处置场污染控制标准》（GB18599-2001）Ⅱ类场进行设计，天然基础层的渗透系数均大于1.0×10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cm/s，因此应采用天然或人工材料构筑防渗层，防渗层的厚度应相当于渗透系数1.0×10</w:t>
      </w:r>
      <w:r>
        <w:rPr>
          <w:rFonts w:hint="eastAsia" w:ascii="Times New Roman" w:hAnsi="Times New Roman" w:eastAsia="宋体"/>
          <w:color w:val="auto"/>
          <w:highlight w:val="none"/>
          <w:vertAlign w:val="superscript"/>
        </w:rPr>
        <w:t>-7</w:t>
      </w:r>
      <w:r>
        <w:rPr>
          <w:rFonts w:hint="eastAsia" w:ascii="Times New Roman" w:hAnsi="Times New Roman" w:eastAsia="宋体"/>
          <w:color w:val="auto"/>
          <w:highlight w:val="none"/>
        </w:rPr>
        <w:t>cm/s和厚度1.5m的粘土层的防渗性能。</w:t>
      </w:r>
    </w:p>
    <w:p w14:paraId="653F925F">
      <w:pPr>
        <w:ind w:firstLine="480"/>
        <w:rPr>
          <w:rFonts w:ascii="Times New Roman" w:hAnsi="Times New Roman" w:eastAsia="宋体"/>
          <w:color w:val="auto"/>
          <w:highlight w:val="none"/>
        </w:rPr>
      </w:pPr>
      <w:r>
        <w:rPr>
          <w:rFonts w:hint="eastAsia" w:ascii="Times New Roman" w:hAnsi="Times New Roman" w:eastAsia="宋体"/>
          <w:color w:val="auto"/>
          <w:highlight w:val="none"/>
        </w:rPr>
        <w:t>（2）加强环境监测，定期检查厂区硫化物、氨等恶臭气的气体浓度；发现异常情况立即处理。</w:t>
      </w:r>
    </w:p>
    <w:p w14:paraId="6E778C47">
      <w:pPr>
        <w:pStyle w:val="5"/>
        <w:rPr>
          <w:rFonts w:ascii="Times New Roman" w:hAnsi="Times New Roman" w:eastAsia="宋体"/>
          <w:color w:val="auto"/>
          <w:highlight w:val="none"/>
        </w:rPr>
      </w:pPr>
      <w:bookmarkStart w:id="246" w:name="_Toc106663535"/>
      <w:r>
        <w:rPr>
          <w:rFonts w:hint="eastAsia" w:ascii="Times New Roman" w:hAnsi="Times New Roman" w:eastAsia="宋体"/>
          <w:color w:val="auto"/>
          <w:highlight w:val="none"/>
        </w:rPr>
        <w:t>6.3.4疫病风险防范措施</w:t>
      </w:r>
      <w:bookmarkEnd w:id="246"/>
    </w:p>
    <w:p w14:paraId="18DD7A28">
      <w:pPr>
        <w:ind w:firstLine="480"/>
        <w:rPr>
          <w:rFonts w:ascii="Times New Roman" w:hAnsi="Times New Roman" w:eastAsia="宋体"/>
          <w:color w:val="auto"/>
          <w:highlight w:val="none"/>
        </w:rPr>
      </w:pPr>
      <w:r>
        <w:rPr>
          <w:rFonts w:hint="eastAsia" w:ascii="Times New Roman" w:hAnsi="Times New Roman" w:eastAsia="宋体"/>
          <w:color w:val="auto"/>
          <w:highlight w:val="none"/>
        </w:rPr>
        <w:t>为预防</w:t>
      </w:r>
      <w:r>
        <w:rPr>
          <w:rFonts w:hint="eastAsia"/>
          <w:color w:val="auto"/>
          <w:highlight w:val="none"/>
          <w:lang w:val="en-US" w:eastAsia="zh-CN"/>
        </w:rPr>
        <w:t>鸡</w:t>
      </w:r>
      <w:r>
        <w:rPr>
          <w:rFonts w:hint="eastAsia" w:ascii="Times New Roman" w:hAnsi="Times New Roman" w:eastAsia="宋体"/>
          <w:color w:val="auto"/>
          <w:highlight w:val="none"/>
        </w:rPr>
        <w:t>疫情的发生，本养殖场首先做好综合预防措施和扑灭措施，预防措施包括：加强饲养管理，增强</w:t>
      </w:r>
      <w:r>
        <w:rPr>
          <w:rFonts w:hint="eastAsia"/>
          <w:color w:val="auto"/>
          <w:highlight w:val="none"/>
          <w:lang w:val="en-US" w:eastAsia="zh-CN"/>
        </w:rPr>
        <w:t>鸡</w:t>
      </w:r>
      <w:r>
        <w:rPr>
          <w:rFonts w:hint="eastAsia" w:ascii="Times New Roman" w:hAnsi="Times New Roman" w:eastAsia="宋体"/>
          <w:color w:val="auto"/>
          <w:highlight w:val="none"/>
        </w:rPr>
        <w:t>的抵抗力；坚持自繁自养；制订合理的免疫程序；药物预防。扑灭措施包括：疫情上报、诊断、隔离和封锁、紧急接种和治疗、消毒、尸体处理。当发生重大动物疫情时应按照当地政府和主管部门要求采取措施：</w:t>
      </w:r>
    </w:p>
    <w:p w14:paraId="052F52BF">
      <w:pPr>
        <w:ind w:firstLine="480"/>
        <w:rPr>
          <w:rFonts w:ascii="Times New Roman" w:hAnsi="Times New Roman" w:eastAsia="宋体"/>
          <w:color w:val="auto"/>
          <w:highlight w:val="none"/>
        </w:rPr>
      </w:pPr>
      <w:r>
        <w:rPr>
          <w:rFonts w:hint="eastAsia" w:ascii="Times New Roman" w:hAnsi="Times New Roman" w:eastAsia="宋体"/>
          <w:color w:val="auto"/>
          <w:highlight w:val="none"/>
        </w:rPr>
        <w:t>（1）加强饲养管理，增强</w:t>
      </w:r>
      <w:r>
        <w:rPr>
          <w:rFonts w:hint="eastAsia"/>
          <w:color w:val="auto"/>
          <w:highlight w:val="none"/>
          <w:lang w:val="en-US" w:eastAsia="zh-CN"/>
        </w:rPr>
        <w:t>鸡</w:t>
      </w:r>
      <w:r>
        <w:rPr>
          <w:rFonts w:hint="eastAsia" w:ascii="Times New Roman" w:hAnsi="Times New Roman" w:eastAsia="宋体"/>
          <w:color w:val="auto"/>
          <w:highlight w:val="none"/>
        </w:rPr>
        <w:t>抵抗力。</w:t>
      </w:r>
    </w:p>
    <w:p w14:paraId="4CAFBF21">
      <w:pPr>
        <w:ind w:firstLine="480"/>
        <w:rPr>
          <w:rFonts w:ascii="Times New Roman" w:hAnsi="Times New Roman" w:eastAsia="宋体"/>
          <w:color w:val="auto"/>
          <w:highlight w:val="none"/>
        </w:rPr>
      </w:pPr>
      <w:r>
        <w:rPr>
          <w:rFonts w:hint="eastAsia" w:ascii="Times New Roman" w:hAnsi="Times New Roman" w:eastAsia="宋体"/>
          <w:color w:val="auto"/>
          <w:highlight w:val="none"/>
        </w:rPr>
        <w:t>1）要按照</w:t>
      </w:r>
      <w:r>
        <w:rPr>
          <w:rFonts w:hint="eastAsia"/>
          <w:color w:val="auto"/>
          <w:highlight w:val="none"/>
          <w:lang w:val="en-US" w:eastAsia="zh-CN"/>
        </w:rPr>
        <w:t>鸡</w:t>
      </w:r>
      <w:r>
        <w:rPr>
          <w:rFonts w:hint="eastAsia" w:ascii="Times New Roman" w:hAnsi="Times New Roman" w:eastAsia="宋体"/>
          <w:color w:val="auto"/>
          <w:highlight w:val="none"/>
        </w:rPr>
        <w:t>的品种、性别、年龄、体重、强弱等进行合理分群饲养。根据各类</w:t>
      </w:r>
      <w:r>
        <w:rPr>
          <w:rFonts w:hint="eastAsia"/>
          <w:color w:val="auto"/>
          <w:highlight w:val="none"/>
          <w:lang w:val="en-US" w:eastAsia="zh-CN"/>
        </w:rPr>
        <w:t>鸡</w:t>
      </w:r>
      <w:r>
        <w:rPr>
          <w:rFonts w:hint="eastAsia" w:ascii="Times New Roman" w:hAnsi="Times New Roman" w:eastAsia="宋体"/>
          <w:color w:val="auto"/>
          <w:highlight w:val="none"/>
        </w:rPr>
        <w:t>的营养需要、饲养标准，确定适宜的饲粮和饲喂方法。</w:t>
      </w:r>
    </w:p>
    <w:p w14:paraId="3F6651D6">
      <w:pPr>
        <w:ind w:firstLine="480"/>
        <w:rPr>
          <w:rFonts w:ascii="Times New Roman" w:hAnsi="Times New Roman" w:eastAsia="宋体"/>
          <w:color w:val="auto"/>
          <w:highlight w:val="none"/>
        </w:rPr>
      </w:pPr>
      <w:r>
        <w:rPr>
          <w:rFonts w:hint="eastAsia" w:ascii="Times New Roman" w:hAnsi="Times New Roman" w:eastAsia="宋体"/>
          <w:color w:val="auto"/>
          <w:highlight w:val="none"/>
        </w:rPr>
        <w:t>2）保证</w:t>
      </w:r>
      <w:r>
        <w:rPr>
          <w:rFonts w:hint="eastAsia"/>
          <w:color w:val="auto"/>
          <w:highlight w:val="none"/>
          <w:lang w:val="en-US" w:eastAsia="zh-CN"/>
        </w:rPr>
        <w:t>鸡</w:t>
      </w:r>
      <w:r>
        <w:rPr>
          <w:rFonts w:hint="eastAsia" w:ascii="Times New Roman" w:hAnsi="Times New Roman" w:eastAsia="宋体"/>
          <w:color w:val="auto"/>
          <w:highlight w:val="none"/>
        </w:rPr>
        <w:t>舍清洁舒适，通风良好。每月用药物进行1～2次定期消毒。空出的</w:t>
      </w:r>
      <w:r>
        <w:rPr>
          <w:rFonts w:hint="eastAsia"/>
          <w:color w:val="auto"/>
          <w:highlight w:val="none"/>
          <w:lang w:val="en-US" w:eastAsia="zh-CN"/>
        </w:rPr>
        <w:t>鸡</w:t>
      </w:r>
      <w:r>
        <w:rPr>
          <w:rFonts w:hint="eastAsia" w:ascii="Times New Roman" w:hAnsi="Times New Roman" w:eastAsia="宋体"/>
          <w:color w:val="auto"/>
          <w:highlight w:val="none"/>
        </w:rPr>
        <w:t>舍，一定要彻底消毒，一周后才可进</w:t>
      </w:r>
      <w:r>
        <w:rPr>
          <w:rFonts w:hint="eastAsia"/>
          <w:color w:val="auto"/>
          <w:highlight w:val="none"/>
          <w:lang w:val="en-US" w:eastAsia="zh-CN"/>
        </w:rPr>
        <w:t>鸡</w:t>
      </w:r>
      <w:r>
        <w:rPr>
          <w:rFonts w:hint="eastAsia" w:ascii="Times New Roman" w:hAnsi="Times New Roman" w:eastAsia="宋体"/>
          <w:color w:val="auto"/>
          <w:highlight w:val="none"/>
        </w:rPr>
        <w:t>。</w:t>
      </w:r>
    </w:p>
    <w:p w14:paraId="52669576">
      <w:pPr>
        <w:ind w:firstLine="480"/>
        <w:rPr>
          <w:rFonts w:ascii="Times New Roman" w:hAnsi="Times New Roman" w:eastAsia="宋体"/>
          <w:color w:val="auto"/>
          <w:highlight w:val="none"/>
        </w:rPr>
      </w:pPr>
      <w:r>
        <w:rPr>
          <w:rFonts w:hint="eastAsia" w:ascii="Times New Roman" w:hAnsi="Times New Roman" w:eastAsia="宋体"/>
          <w:color w:val="auto"/>
          <w:highlight w:val="none"/>
        </w:rPr>
        <w:t>（2）制订合理的免疫程序，与当地兽医主管理部门保持联系，做好场区</w:t>
      </w:r>
      <w:r>
        <w:rPr>
          <w:rFonts w:hint="eastAsia"/>
          <w:color w:val="auto"/>
          <w:highlight w:val="none"/>
          <w:lang w:val="en-US" w:eastAsia="zh-CN"/>
        </w:rPr>
        <w:t>鸡</w:t>
      </w:r>
      <w:r>
        <w:rPr>
          <w:rFonts w:hint="eastAsia" w:ascii="Times New Roman" w:hAnsi="Times New Roman" w:eastAsia="宋体"/>
          <w:color w:val="auto"/>
          <w:highlight w:val="none"/>
        </w:rPr>
        <w:t>免疫工作。</w:t>
      </w:r>
    </w:p>
    <w:p w14:paraId="29BAA707">
      <w:pPr>
        <w:ind w:firstLine="480"/>
        <w:rPr>
          <w:rFonts w:ascii="Times New Roman" w:hAnsi="Times New Roman" w:eastAsia="宋体"/>
          <w:color w:val="auto"/>
          <w:highlight w:val="none"/>
        </w:rPr>
      </w:pPr>
      <w:r>
        <w:rPr>
          <w:rFonts w:hint="eastAsia" w:ascii="Times New Roman" w:hAnsi="Times New Roman" w:eastAsia="宋体"/>
          <w:color w:val="auto"/>
          <w:highlight w:val="none"/>
        </w:rPr>
        <w:t>（3）发现传染病的紧急处理</w:t>
      </w:r>
    </w:p>
    <w:p w14:paraId="4F673294">
      <w:pPr>
        <w:ind w:firstLine="480"/>
        <w:rPr>
          <w:rFonts w:ascii="Times New Roman" w:hAnsi="Times New Roman" w:eastAsia="宋体"/>
          <w:color w:val="auto"/>
          <w:highlight w:val="none"/>
        </w:rPr>
      </w:pPr>
      <w:r>
        <w:rPr>
          <w:rFonts w:hint="eastAsia" w:ascii="Times New Roman" w:hAnsi="Times New Roman" w:eastAsia="宋体"/>
          <w:color w:val="auto"/>
          <w:highlight w:val="none"/>
        </w:rPr>
        <w:t>发现传染病或疑似传染病时，应按照《中华人民共和国动物防疫法》的有关条款，采取相应的紧急防治措施，就地扑灭，尸体应作无害化处理。</w:t>
      </w:r>
    </w:p>
    <w:p w14:paraId="2576579F">
      <w:pPr>
        <w:ind w:firstLine="480"/>
        <w:rPr>
          <w:rFonts w:ascii="Times New Roman" w:hAnsi="Times New Roman" w:eastAsia="宋体"/>
          <w:color w:val="auto"/>
          <w:highlight w:val="none"/>
        </w:rPr>
      </w:pPr>
      <w:r>
        <w:rPr>
          <w:rFonts w:hint="eastAsia" w:ascii="Times New Roman" w:hAnsi="Times New Roman" w:eastAsia="宋体"/>
          <w:color w:val="auto"/>
          <w:highlight w:val="none"/>
        </w:rPr>
        <w:t>具体实施措施有：</w:t>
      </w:r>
    </w:p>
    <w:p w14:paraId="4B616D56">
      <w:pPr>
        <w:ind w:firstLine="480"/>
        <w:rPr>
          <w:rFonts w:ascii="Times New Roman" w:hAnsi="Times New Roman" w:eastAsia="宋体"/>
          <w:color w:val="auto"/>
          <w:highlight w:val="none"/>
        </w:rPr>
      </w:pPr>
      <w:r>
        <w:rPr>
          <w:rFonts w:hint="eastAsia" w:ascii="Times New Roman" w:hAnsi="Times New Roman" w:eastAsia="宋体"/>
          <w:color w:val="auto"/>
          <w:highlight w:val="none"/>
        </w:rPr>
        <w:t>1）封闭管理。</w:t>
      </w:r>
    </w:p>
    <w:p w14:paraId="58A3A205">
      <w:pPr>
        <w:ind w:firstLine="480"/>
        <w:rPr>
          <w:rFonts w:ascii="Times New Roman" w:hAnsi="Times New Roman" w:eastAsia="宋体"/>
          <w:color w:val="auto"/>
          <w:highlight w:val="none"/>
        </w:rPr>
      </w:pPr>
      <w:r>
        <w:rPr>
          <w:rFonts w:hint="eastAsia" w:ascii="Times New Roman" w:hAnsi="Times New Roman" w:eastAsia="宋体"/>
          <w:color w:val="auto"/>
          <w:highlight w:val="none"/>
        </w:rPr>
        <w:t>人员管理：禁止非本场人员进入生产区；本场饲养人员进入生产区时，必须更换工作衣鞋，通过紫外线消毒后，经消毒池入内；本场兽医不得到场外就诊、防疫。</w:t>
      </w:r>
    </w:p>
    <w:p w14:paraId="27946A01">
      <w:pPr>
        <w:ind w:firstLine="480"/>
        <w:rPr>
          <w:rFonts w:ascii="Times New Roman" w:hAnsi="Times New Roman" w:eastAsia="宋体"/>
          <w:color w:val="auto"/>
          <w:highlight w:val="none"/>
        </w:rPr>
      </w:pPr>
      <w:r>
        <w:rPr>
          <w:rFonts w:hint="eastAsia" w:ascii="Times New Roman" w:hAnsi="Times New Roman" w:eastAsia="宋体"/>
          <w:color w:val="auto"/>
          <w:highlight w:val="none"/>
        </w:rPr>
        <w:t>工具、车辆要求：场内外工具、车辆要严格分开，并定期消毒；外来工具、车辆一般不予进入。力争做到饲养</w:t>
      </w:r>
      <w:r>
        <w:rPr>
          <w:rFonts w:hint="eastAsia"/>
          <w:color w:val="auto"/>
          <w:highlight w:val="none"/>
          <w:lang w:val="en-US" w:eastAsia="zh-CN"/>
        </w:rPr>
        <w:t>鸡苗</w:t>
      </w:r>
      <w:r>
        <w:rPr>
          <w:rFonts w:hint="eastAsia" w:ascii="Times New Roman" w:hAnsi="Times New Roman" w:eastAsia="宋体"/>
          <w:color w:val="auto"/>
          <w:highlight w:val="none"/>
        </w:rPr>
        <w:t>全进全出，禁止与其他动物混养；禁止生的畜产品带入生产区。</w:t>
      </w:r>
    </w:p>
    <w:p w14:paraId="15463715">
      <w:pPr>
        <w:ind w:firstLine="480"/>
        <w:rPr>
          <w:rFonts w:ascii="Times New Roman" w:hAnsi="Times New Roman" w:eastAsia="宋体"/>
          <w:color w:val="auto"/>
          <w:highlight w:val="none"/>
        </w:rPr>
      </w:pPr>
      <w:r>
        <w:rPr>
          <w:rFonts w:hint="eastAsia" w:ascii="Times New Roman" w:hAnsi="Times New Roman" w:eastAsia="宋体"/>
          <w:color w:val="auto"/>
          <w:highlight w:val="none"/>
        </w:rPr>
        <w:t>把好引种关：引种前要了解产地疫病情况，并经动物防疫部门监测检疫，引入后要隔离饲养观察。</w:t>
      </w:r>
    </w:p>
    <w:p w14:paraId="7678A0A1">
      <w:pPr>
        <w:ind w:firstLine="480"/>
        <w:rPr>
          <w:rFonts w:ascii="Times New Roman" w:hAnsi="Times New Roman" w:eastAsia="宋体"/>
          <w:color w:val="auto"/>
          <w:highlight w:val="none"/>
        </w:rPr>
      </w:pPr>
      <w:r>
        <w:rPr>
          <w:rFonts w:hint="eastAsia" w:ascii="Times New Roman" w:hAnsi="Times New Roman" w:eastAsia="宋体"/>
          <w:color w:val="auto"/>
          <w:highlight w:val="none"/>
        </w:rPr>
        <w:t>2）科学免疫。</w:t>
      </w:r>
    </w:p>
    <w:p w14:paraId="25857AC7">
      <w:pPr>
        <w:ind w:firstLine="480"/>
        <w:rPr>
          <w:rFonts w:ascii="Times New Roman" w:hAnsi="Times New Roman" w:eastAsia="宋体"/>
          <w:color w:val="auto"/>
          <w:highlight w:val="none"/>
        </w:rPr>
      </w:pPr>
      <w:r>
        <w:rPr>
          <w:rFonts w:hint="eastAsia" w:ascii="Times New Roman" w:hAnsi="Times New Roman" w:eastAsia="宋体"/>
          <w:color w:val="auto"/>
          <w:highlight w:val="none"/>
        </w:rPr>
        <w:t>对</w:t>
      </w:r>
      <w:r>
        <w:rPr>
          <w:rFonts w:hint="eastAsia"/>
          <w:color w:val="auto"/>
          <w:highlight w:val="none"/>
          <w:lang w:val="en-US" w:eastAsia="zh-CN"/>
        </w:rPr>
        <w:t>鸡</w:t>
      </w:r>
      <w:r>
        <w:rPr>
          <w:rFonts w:hint="eastAsia" w:ascii="Times New Roman" w:hAnsi="Times New Roman" w:eastAsia="宋体"/>
          <w:color w:val="auto"/>
          <w:highlight w:val="none"/>
        </w:rPr>
        <w:t>实行科学免疫是有效防止疫病发生的重要措施。养殖场应根据本场的疫病史、场周围的疫情、</w:t>
      </w:r>
      <w:r>
        <w:rPr>
          <w:rFonts w:hint="eastAsia"/>
          <w:color w:val="auto"/>
          <w:highlight w:val="none"/>
          <w:lang w:val="en-US" w:eastAsia="zh-CN"/>
        </w:rPr>
        <w:t>鸡</w:t>
      </w:r>
      <w:r>
        <w:rPr>
          <w:rFonts w:hint="eastAsia" w:ascii="Times New Roman" w:hAnsi="Times New Roman" w:eastAsia="宋体"/>
          <w:color w:val="auto"/>
          <w:highlight w:val="none"/>
        </w:rPr>
        <w:t>免疫抗体水平及</w:t>
      </w:r>
      <w:r>
        <w:rPr>
          <w:rFonts w:hint="eastAsia"/>
          <w:color w:val="auto"/>
          <w:highlight w:val="none"/>
          <w:lang w:val="en-US" w:eastAsia="zh-CN"/>
        </w:rPr>
        <w:t>鸡</w:t>
      </w:r>
      <w:r>
        <w:rPr>
          <w:rFonts w:hint="eastAsia" w:ascii="Times New Roman" w:hAnsi="Times New Roman" w:eastAsia="宋体"/>
          <w:color w:val="auto"/>
          <w:highlight w:val="none"/>
        </w:rPr>
        <w:t>的不同饲养阶段等情况，有针对性地制定免疫计划。</w:t>
      </w:r>
    </w:p>
    <w:p w14:paraId="76EE0B19">
      <w:pPr>
        <w:ind w:firstLine="480"/>
        <w:rPr>
          <w:rFonts w:ascii="Times New Roman" w:hAnsi="Times New Roman" w:eastAsia="宋体"/>
          <w:color w:val="auto"/>
          <w:highlight w:val="none"/>
        </w:rPr>
      </w:pPr>
      <w:r>
        <w:rPr>
          <w:rFonts w:hint="eastAsia" w:ascii="Times New Roman" w:hAnsi="Times New Roman" w:eastAsia="宋体"/>
          <w:color w:val="auto"/>
          <w:highlight w:val="none"/>
        </w:rPr>
        <w:t>选择购买由国家畜牧兽医行政管理部门定点生产的疫苗，加强疫苗保管储存，并由兽医按防疫注射操作规程实行免疫，同时建立免疫档案。有条件的应及时开展免疫效果监测，并根据监测情况调整免疫程序。</w:t>
      </w:r>
    </w:p>
    <w:p w14:paraId="4B081B82">
      <w:pPr>
        <w:ind w:firstLine="480"/>
        <w:rPr>
          <w:rFonts w:ascii="Times New Roman" w:hAnsi="Times New Roman" w:eastAsia="宋体"/>
          <w:color w:val="auto"/>
          <w:highlight w:val="none"/>
        </w:rPr>
      </w:pPr>
      <w:r>
        <w:rPr>
          <w:rFonts w:hint="eastAsia" w:ascii="Times New Roman" w:hAnsi="Times New Roman" w:eastAsia="宋体"/>
          <w:color w:val="auto"/>
          <w:highlight w:val="none"/>
        </w:rPr>
        <w:t>3）规范消毒。</w:t>
      </w:r>
    </w:p>
    <w:p w14:paraId="79A654ED">
      <w:pPr>
        <w:ind w:firstLine="480"/>
        <w:rPr>
          <w:rFonts w:ascii="Times New Roman" w:hAnsi="Times New Roman" w:eastAsia="宋体"/>
          <w:color w:val="auto"/>
          <w:highlight w:val="none"/>
        </w:rPr>
      </w:pPr>
      <w:r>
        <w:rPr>
          <w:rFonts w:hint="eastAsia" w:ascii="Times New Roman" w:hAnsi="Times New Roman" w:eastAsia="宋体"/>
          <w:color w:val="auto"/>
          <w:highlight w:val="none"/>
        </w:rPr>
        <w:t>消毒工作须做到经常化、制度化，要定期交替使用广谱、高效、低毒的消毒剂；制定科学的消毒程序，定期对</w:t>
      </w:r>
      <w:r>
        <w:rPr>
          <w:rFonts w:hint="eastAsia"/>
          <w:color w:val="auto"/>
          <w:highlight w:val="none"/>
          <w:lang w:val="en-US" w:eastAsia="zh-CN"/>
        </w:rPr>
        <w:t>鸡</w:t>
      </w:r>
      <w:r>
        <w:rPr>
          <w:rFonts w:hint="eastAsia" w:ascii="Times New Roman" w:hAnsi="Times New Roman" w:eastAsia="宋体"/>
          <w:color w:val="auto"/>
          <w:highlight w:val="none"/>
        </w:rPr>
        <w:t>舍周边环境消毒，任何饲养阶段的</w:t>
      </w:r>
      <w:r>
        <w:rPr>
          <w:rFonts w:hint="eastAsia"/>
          <w:color w:val="auto"/>
          <w:highlight w:val="none"/>
          <w:lang w:val="en-US" w:eastAsia="zh-CN"/>
        </w:rPr>
        <w:t>鸡</w:t>
      </w:r>
      <w:r>
        <w:rPr>
          <w:rFonts w:hint="eastAsia" w:ascii="Times New Roman" w:hAnsi="Times New Roman" w:eastAsia="宋体"/>
          <w:color w:val="auto"/>
          <w:highlight w:val="none"/>
        </w:rPr>
        <w:t>舍每周至少消毒2次，在条件允许的情况下，要实施带体消毒。</w:t>
      </w:r>
    </w:p>
    <w:p w14:paraId="186ECA93">
      <w:pPr>
        <w:ind w:firstLine="480"/>
        <w:rPr>
          <w:rFonts w:ascii="Times New Roman" w:hAnsi="Times New Roman" w:eastAsia="宋体"/>
          <w:color w:val="auto"/>
          <w:highlight w:val="none"/>
        </w:rPr>
      </w:pPr>
      <w:r>
        <w:rPr>
          <w:rFonts w:hint="eastAsia" w:ascii="Times New Roman" w:hAnsi="Times New Roman" w:eastAsia="宋体"/>
          <w:color w:val="auto"/>
          <w:highlight w:val="none"/>
        </w:rPr>
        <w:t>4）合理用药。</w:t>
      </w:r>
    </w:p>
    <w:p w14:paraId="5263B1AB">
      <w:pPr>
        <w:ind w:firstLine="480"/>
        <w:rPr>
          <w:rFonts w:ascii="Times New Roman" w:hAnsi="Times New Roman" w:eastAsia="宋体"/>
          <w:color w:val="auto"/>
          <w:highlight w:val="none"/>
        </w:rPr>
      </w:pPr>
      <w:r>
        <w:rPr>
          <w:rFonts w:hint="eastAsia" w:ascii="Times New Roman" w:hAnsi="Times New Roman" w:eastAsia="宋体"/>
          <w:color w:val="auto"/>
          <w:highlight w:val="none"/>
        </w:rPr>
        <w:t>规模养殖场兽医用药要严格实行处方用药制度，定期采集一些病</w:t>
      </w:r>
      <w:r>
        <w:rPr>
          <w:rFonts w:hint="eastAsia"/>
          <w:color w:val="auto"/>
          <w:highlight w:val="none"/>
          <w:lang w:val="en-US" w:eastAsia="zh-CN"/>
        </w:rPr>
        <w:t>鸡</w:t>
      </w:r>
      <w:r>
        <w:rPr>
          <w:rFonts w:hint="eastAsia" w:ascii="Times New Roman" w:hAnsi="Times New Roman" w:eastAsia="宋体"/>
          <w:color w:val="auto"/>
          <w:highlight w:val="none"/>
        </w:rPr>
        <w:t>的病料进行细菌分离培养和药敏试验，并根据药敏试验结果选择敏感药物进行预防、治疗，避免耐药菌株的产生。</w:t>
      </w:r>
    </w:p>
    <w:p w14:paraId="08089BA8">
      <w:pPr>
        <w:ind w:firstLine="480"/>
        <w:rPr>
          <w:rFonts w:ascii="Times New Roman" w:hAnsi="Times New Roman" w:eastAsia="宋体"/>
          <w:color w:val="auto"/>
          <w:highlight w:val="none"/>
        </w:rPr>
      </w:pPr>
      <w:r>
        <w:rPr>
          <w:rFonts w:hint="eastAsia" w:ascii="Times New Roman" w:hAnsi="Times New Roman" w:eastAsia="宋体"/>
          <w:color w:val="auto"/>
          <w:highlight w:val="none"/>
        </w:rPr>
        <w:t>5）疫情监测。</w:t>
      </w:r>
    </w:p>
    <w:p w14:paraId="5CB0ACFC">
      <w:pPr>
        <w:ind w:firstLine="480"/>
        <w:rPr>
          <w:rFonts w:ascii="Times New Roman" w:hAnsi="Times New Roman" w:eastAsia="宋体"/>
          <w:color w:val="auto"/>
          <w:highlight w:val="none"/>
        </w:rPr>
      </w:pPr>
      <w:r>
        <w:rPr>
          <w:rFonts w:hint="eastAsia" w:ascii="Times New Roman" w:hAnsi="Times New Roman" w:eastAsia="宋体"/>
          <w:color w:val="auto"/>
          <w:highlight w:val="none"/>
        </w:rPr>
        <w:t>兽医每天要定期巡查</w:t>
      </w:r>
      <w:r>
        <w:rPr>
          <w:rFonts w:hint="eastAsia"/>
          <w:color w:val="auto"/>
          <w:highlight w:val="none"/>
          <w:lang w:eastAsia="zh-CN"/>
        </w:rPr>
        <w:t>鸡</w:t>
      </w:r>
      <w:r>
        <w:rPr>
          <w:rFonts w:hint="eastAsia" w:ascii="Times New Roman" w:hAnsi="Times New Roman" w:eastAsia="宋体"/>
          <w:color w:val="auto"/>
          <w:highlight w:val="none"/>
        </w:rPr>
        <w:t>舍，发现疫情要及时采取应对措施。规模养殖场一旦发生重大动物疫情时，要立即向当地动物防疫监督机构报告，并及时采取隔离、消毒、扑杀、紧急免疫等有效措施，控制疫情，防止疫情扩散。</w:t>
      </w:r>
    </w:p>
    <w:p w14:paraId="383FA1B4">
      <w:pPr>
        <w:ind w:firstLine="480"/>
        <w:rPr>
          <w:rFonts w:ascii="Times New Roman" w:hAnsi="Times New Roman" w:eastAsia="宋体"/>
          <w:color w:val="auto"/>
          <w:highlight w:val="none"/>
        </w:rPr>
      </w:pPr>
      <w:r>
        <w:rPr>
          <w:rFonts w:hint="eastAsia" w:ascii="Times New Roman" w:hAnsi="Times New Roman" w:eastAsia="宋体"/>
          <w:color w:val="auto"/>
          <w:highlight w:val="none"/>
        </w:rPr>
        <w:t>6）日常卫生。</w:t>
      </w:r>
    </w:p>
    <w:p w14:paraId="37C27723">
      <w:pPr>
        <w:ind w:firstLine="480"/>
        <w:rPr>
          <w:rFonts w:ascii="Times New Roman" w:hAnsi="Times New Roman" w:eastAsia="宋体"/>
          <w:color w:val="auto"/>
          <w:highlight w:val="none"/>
        </w:rPr>
      </w:pPr>
      <w:r>
        <w:rPr>
          <w:rFonts w:hint="eastAsia" w:ascii="Times New Roman" w:hAnsi="Times New Roman" w:eastAsia="宋体"/>
          <w:color w:val="auto"/>
          <w:highlight w:val="none"/>
        </w:rPr>
        <w:t>平常要认真做好牧场卫生工作，及时处理粪便，定期进行灭鼠、灭蝇、灭蚊等工作。</w:t>
      </w:r>
    </w:p>
    <w:p w14:paraId="0215C2C4">
      <w:pPr>
        <w:pStyle w:val="5"/>
        <w:rPr>
          <w:rFonts w:ascii="Times New Roman" w:hAnsi="Times New Roman" w:eastAsia="宋体"/>
          <w:color w:val="auto"/>
          <w:highlight w:val="none"/>
        </w:rPr>
      </w:pPr>
      <w:bookmarkStart w:id="247" w:name="_Toc106663536"/>
      <w:r>
        <w:rPr>
          <w:rFonts w:hint="eastAsia" w:ascii="Times New Roman" w:hAnsi="Times New Roman" w:eastAsia="宋体"/>
          <w:color w:val="auto"/>
          <w:highlight w:val="none"/>
        </w:rPr>
        <w:t>6.3.5养殖场隔离舍建设要求及日常防治措施</w:t>
      </w:r>
      <w:bookmarkEnd w:id="247"/>
    </w:p>
    <w:p w14:paraId="02B52D6B">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次环评建议设置隔离舍，隔离舍必须在年主导风向的下风向，并且不得在地下水径流的上游区。此外隔离区必须与生产区、生活办公区隔开，一般隔离舍区设置在距离生产区、生活办公区50-100m远处较为合适。要求隔离舍四周绿化隔离带隔开，并设专用消毒设施，隔离场的入口处设置警示标志。</w:t>
      </w:r>
    </w:p>
    <w:p w14:paraId="1CE560C7">
      <w:pPr>
        <w:ind w:firstLine="480"/>
        <w:rPr>
          <w:rFonts w:ascii="Times New Roman" w:hAnsi="Times New Roman" w:eastAsia="宋体"/>
          <w:color w:val="auto"/>
          <w:highlight w:val="none"/>
        </w:rPr>
      </w:pPr>
      <w:r>
        <w:rPr>
          <w:rFonts w:hint="eastAsia" w:ascii="Times New Roman" w:hAnsi="Times New Roman" w:eastAsia="宋体"/>
          <w:color w:val="auto"/>
          <w:highlight w:val="none"/>
        </w:rPr>
        <w:t>另外隔离舍区要加强管理：要求工作人员无人兽共患传染病；严禁非工作人员进入隔离区；工作人员进出隔离区应该遵循程序，更衣→换鞋→经消毒池→消毒通道进出；隔离舍要定期彻底清洗/毒隔设备（运输车辆等）；工作人员未经管理人员批准随意进出隔离舍；不得携进（出）任何物品。</w:t>
      </w:r>
    </w:p>
    <w:p w14:paraId="11AE9901">
      <w:pPr>
        <w:ind w:firstLine="480"/>
        <w:rPr>
          <w:rFonts w:ascii="Times New Roman" w:hAnsi="Times New Roman" w:eastAsia="宋体"/>
          <w:color w:val="auto"/>
          <w:highlight w:val="none"/>
        </w:rPr>
        <w:sectPr>
          <w:footerReference r:id="rId27" w:type="default"/>
          <w:footerReference r:id="rId28"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14:paraId="77B394C8">
      <w:pPr>
        <w:pStyle w:val="3"/>
        <w:rPr>
          <w:rFonts w:ascii="Times New Roman" w:hAnsi="Times New Roman" w:eastAsia="宋体"/>
          <w:color w:val="auto"/>
          <w:highlight w:val="none"/>
        </w:rPr>
      </w:pPr>
      <w:bookmarkStart w:id="248" w:name="_Toc106663537"/>
      <w:bookmarkStart w:id="249" w:name="_Toc89619351"/>
      <w:r>
        <w:rPr>
          <w:rFonts w:hint="eastAsia" w:ascii="Times New Roman" w:hAnsi="Times New Roman" w:eastAsia="宋体"/>
          <w:color w:val="auto"/>
          <w:highlight w:val="none"/>
        </w:rPr>
        <w:t>7、环境影响经济损益分析</w:t>
      </w:r>
      <w:bookmarkEnd w:id="248"/>
      <w:bookmarkEnd w:id="249"/>
    </w:p>
    <w:p w14:paraId="05F03AEE">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影响经济损益分析的主要任务是衡量项目的环保投资所能收到的环境效益和经济效益，衡量建设项目的环保投资在经济上的合理水平。建设项目的社会影响、经济影响、环境影响是一个系统的三要素，最终以提高人类的生活质量为目的。它们之间既是互相促进，又互相制约，必须通过全面规划、综合平衡、正确地把全局利益和局部利益、长远利益和近期利益结合起来，对环境保护和经济发展进行协调，实现社会效益、经济效益、环境效益的三统一，实现经济的持续发展和环境质量的不断改善。本项目属于畜牧养殖行业，通过对本项目的经济、社会和环境效益分析，使项目的建设论证更加充分可靠，工程的设计和实施更加完善，为项目决策者更好地考虑环境、经济和社会效益的统一提供依据，以实现经济的持续增长、社会的良性发展和环境质量的保持与改善。</w:t>
      </w:r>
    </w:p>
    <w:p w14:paraId="1567DBCE">
      <w:pPr>
        <w:pStyle w:val="4"/>
        <w:rPr>
          <w:rFonts w:ascii="Times New Roman" w:hAnsi="Times New Roman" w:eastAsia="宋体"/>
          <w:color w:val="auto"/>
          <w:highlight w:val="none"/>
        </w:rPr>
      </w:pPr>
      <w:bookmarkStart w:id="250" w:name="_Toc89619352"/>
      <w:bookmarkStart w:id="251" w:name="_Toc106663538"/>
      <w:r>
        <w:rPr>
          <w:rFonts w:hint="eastAsia" w:ascii="Times New Roman" w:hAnsi="Times New Roman" w:eastAsia="宋体"/>
          <w:color w:val="auto"/>
          <w:highlight w:val="none"/>
        </w:rPr>
        <w:t>7.1社会效益分析</w:t>
      </w:r>
      <w:bookmarkEnd w:id="250"/>
      <w:bookmarkEnd w:id="251"/>
    </w:p>
    <w:p w14:paraId="3CF77C82">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本项目的社会效益主要表现在：</w:t>
      </w:r>
    </w:p>
    <w:p w14:paraId="767821EF">
      <w:pPr>
        <w:ind w:firstLine="480"/>
        <w:rPr>
          <w:rFonts w:ascii="Times New Roman" w:hAnsi="Times New Roman" w:eastAsia="宋体"/>
          <w:color w:val="auto"/>
          <w:highlight w:val="none"/>
        </w:rPr>
      </w:pPr>
      <w:r>
        <w:rPr>
          <w:rFonts w:hint="eastAsia" w:ascii="Times New Roman" w:hAnsi="Times New Roman" w:eastAsia="宋体"/>
          <w:color w:val="auto"/>
          <w:highlight w:val="none"/>
        </w:rPr>
        <w:t>1、通过该项目的实施，调整种植业结构，加大农业综合开发利用的力度，将现有的资源优势转化为产业优势，提高土地的产出效益。</w:t>
      </w:r>
    </w:p>
    <w:p w14:paraId="45B59E24">
      <w:pPr>
        <w:ind w:firstLine="480"/>
        <w:rPr>
          <w:rFonts w:ascii="Times New Roman" w:hAnsi="Times New Roman" w:eastAsia="宋体"/>
          <w:color w:val="auto"/>
          <w:highlight w:val="none"/>
        </w:rPr>
      </w:pPr>
      <w:r>
        <w:rPr>
          <w:rFonts w:hint="eastAsia" w:ascii="Times New Roman" w:hAnsi="Times New Roman" w:eastAsia="宋体"/>
          <w:color w:val="auto"/>
          <w:highlight w:val="none"/>
        </w:rPr>
        <w:t>2、通过引进优良品质，采用现代化的养殖工艺与装备，通过标准化、规模化</w:t>
      </w:r>
      <w:r>
        <w:rPr>
          <w:rFonts w:hint="eastAsia" w:ascii="Times New Roman" w:hAnsi="Times New Roman" w:eastAsia="宋体"/>
          <w:color w:val="auto"/>
          <w:highlight w:val="none"/>
          <w:lang w:eastAsia="zh-CN"/>
        </w:rPr>
        <w:t>蛋鸡养殖</w:t>
      </w:r>
      <w:r>
        <w:rPr>
          <w:rFonts w:hint="eastAsia" w:ascii="Times New Roman" w:hAnsi="Times New Roman" w:eastAsia="宋体"/>
          <w:color w:val="auto"/>
          <w:highlight w:val="none"/>
        </w:rPr>
        <w:t>模式，加速</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畜牧业产业化进程，推动</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畜牧业实现高效生产和可持续发展具有较好的示范作用。</w:t>
      </w:r>
    </w:p>
    <w:p w14:paraId="58E787E2">
      <w:pPr>
        <w:ind w:firstLine="480"/>
        <w:rPr>
          <w:rFonts w:ascii="Times New Roman" w:hAnsi="Times New Roman" w:eastAsia="宋体"/>
          <w:color w:val="auto"/>
          <w:highlight w:val="none"/>
        </w:rPr>
      </w:pPr>
      <w:r>
        <w:rPr>
          <w:rFonts w:hint="eastAsia" w:ascii="Times New Roman" w:hAnsi="Times New Roman" w:eastAsia="宋体"/>
          <w:color w:val="auto"/>
          <w:highlight w:val="none"/>
        </w:rPr>
        <w:t>3、项目实施后将促进和带动周边加工业等相关产业的发展。同时，结合本项目的实施，可以进一步促进规划区内基础设施的建设。</w:t>
      </w:r>
    </w:p>
    <w:p w14:paraId="10997BBD">
      <w:pPr>
        <w:ind w:firstLine="480"/>
        <w:rPr>
          <w:rFonts w:ascii="Times New Roman" w:hAnsi="Times New Roman" w:eastAsia="宋体"/>
          <w:color w:val="auto"/>
          <w:highlight w:val="none"/>
        </w:rPr>
      </w:pPr>
      <w:r>
        <w:rPr>
          <w:rFonts w:hint="eastAsia" w:ascii="Times New Roman" w:hAnsi="Times New Roman" w:eastAsia="宋体"/>
          <w:color w:val="auto"/>
          <w:highlight w:val="none"/>
        </w:rPr>
        <w:t>4、本项目的实施可以直接或间接的增加许多就业机会，促进社会的安定团结。</w:t>
      </w:r>
    </w:p>
    <w:p w14:paraId="134BD8A3">
      <w:pPr>
        <w:ind w:firstLine="480"/>
        <w:rPr>
          <w:rFonts w:ascii="Times New Roman" w:hAnsi="Times New Roman" w:eastAsia="宋体"/>
          <w:color w:val="auto"/>
          <w:highlight w:val="none"/>
        </w:rPr>
      </w:pPr>
      <w:r>
        <w:rPr>
          <w:rFonts w:hint="eastAsia" w:ascii="Times New Roman" w:hAnsi="Times New Roman" w:eastAsia="宋体"/>
          <w:color w:val="auto"/>
          <w:highlight w:val="none"/>
        </w:rPr>
        <w:t>5、项目的实施可以增加当地政府的税收，促进当地经济发展和人民生活质量。</w:t>
      </w:r>
    </w:p>
    <w:p w14:paraId="2853E055">
      <w:pPr>
        <w:pStyle w:val="4"/>
        <w:rPr>
          <w:rFonts w:ascii="Times New Roman" w:hAnsi="Times New Roman" w:eastAsia="宋体"/>
          <w:color w:val="auto"/>
          <w:highlight w:val="none"/>
        </w:rPr>
      </w:pPr>
      <w:bookmarkStart w:id="252" w:name="_Toc106663539"/>
      <w:bookmarkStart w:id="253" w:name="_Toc89619353"/>
      <w:r>
        <w:rPr>
          <w:rFonts w:hint="eastAsia" w:ascii="Times New Roman" w:hAnsi="Times New Roman" w:eastAsia="宋体"/>
          <w:color w:val="auto"/>
          <w:highlight w:val="none"/>
        </w:rPr>
        <w:t>7.2经济效益分析</w:t>
      </w:r>
      <w:bookmarkEnd w:id="252"/>
      <w:bookmarkEnd w:id="253"/>
    </w:p>
    <w:p w14:paraId="7496FFE5">
      <w:pPr>
        <w:ind w:firstLine="480"/>
        <w:rPr>
          <w:rFonts w:ascii="Times New Roman" w:hAnsi="Times New Roman" w:eastAsia="宋体"/>
          <w:color w:val="auto"/>
          <w:highlight w:val="none"/>
        </w:rPr>
      </w:pPr>
      <w:r>
        <w:rPr>
          <w:rFonts w:hint="eastAsia" w:ascii="Times New Roman" w:hAnsi="Times New Roman" w:eastAsia="宋体"/>
          <w:color w:val="auto"/>
          <w:highlight w:val="none"/>
        </w:rPr>
        <w:t>1、直接经济效益</w:t>
      </w:r>
    </w:p>
    <w:p w14:paraId="420D6C67">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根据项目可研提供数据，项目建成后，年收益可达</w:t>
      </w:r>
      <w:r>
        <w:rPr>
          <w:rFonts w:hint="eastAsia"/>
          <w:color w:val="auto"/>
          <w:highlight w:val="none"/>
          <w:lang w:val="en-US" w:eastAsia="zh-CN"/>
        </w:rPr>
        <w:t>3240</w:t>
      </w:r>
      <w:r>
        <w:rPr>
          <w:rFonts w:hint="eastAsia" w:ascii="Times New Roman" w:hAnsi="Times New Roman" w:eastAsia="宋体"/>
          <w:color w:val="auto"/>
          <w:highlight w:val="none"/>
        </w:rPr>
        <w:t>万元，项目总投资</w:t>
      </w:r>
      <w:r>
        <w:rPr>
          <w:rFonts w:hint="eastAsia" w:ascii="Times New Roman" w:hAnsi="Times New Roman" w:eastAsia="宋体"/>
          <w:color w:val="auto"/>
          <w:highlight w:val="none"/>
          <w:lang w:eastAsia="zh-CN"/>
        </w:rPr>
        <w:t>1870</w:t>
      </w:r>
      <w:r>
        <w:rPr>
          <w:rFonts w:hint="eastAsia" w:ascii="Times New Roman" w:hAnsi="Times New Roman" w:eastAsia="宋体"/>
          <w:color w:val="auto"/>
          <w:highlight w:val="none"/>
        </w:rPr>
        <w:t>万元，项目收益率较高。</w:t>
      </w:r>
    </w:p>
    <w:p w14:paraId="473C62D0">
      <w:pPr>
        <w:ind w:firstLine="480"/>
        <w:rPr>
          <w:rFonts w:ascii="Times New Roman" w:hAnsi="Times New Roman" w:eastAsia="宋体"/>
          <w:color w:val="auto"/>
          <w:highlight w:val="none"/>
        </w:rPr>
      </w:pPr>
      <w:r>
        <w:rPr>
          <w:rFonts w:hint="eastAsia" w:ascii="Times New Roman" w:hAnsi="Times New Roman" w:eastAsia="宋体"/>
          <w:color w:val="auto"/>
          <w:highlight w:val="none"/>
        </w:rPr>
        <w:t>2、间接经济效益</w:t>
      </w:r>
    </w:p>
    <w:p w14:paraId="2152C563">
      <w:pPr>
        <w:ind w:firstLine="480"/>
        <w:rPr>
          <w:rFonts w:ascii="Times New Roman" w:hAnsi="Times New Roman" w:eastAsia="宋体"/>
          <w:color w:val="auto"/>
          <w:highlight w:val="none"/>
        </w:rPr>
      </w:pPr>
      <w:r>
        <w:rPr>
          <w:rFonts w:hint="eastAsia" w:ascii="Times New Roman" w:hAnsi="Times New Roman" w:eastAsia="宋体"/>
          <w:color w:val="auto"/>
          <w:highlight w:val="none"/>
        </w:rPr>
        <w:t>该项目建设有利于调整区域农业结构，带动</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及周边地区种植业、运输业及相关产业的发展，形成</w:t>
      </w:r>
      <w:r>
        <w:rPr>
          <w:rFonts w:hint="eastAsia" w:ascii="Times New Roman" w:hAnsi="Times New Roman" w:eastAsia="宋体"/>
          <w:color w:val="auto"/>
          <w:highlight w:val="none"/>
          <w:lang w:eastAsia="zh-CN"/>
        </w:rPr>
        <w:t>蛋鸡养殖</w:t>
      </w:r>
      <w:r>
        <w:rPr>
          <w:rFonts w:hint="eastAsia" w:ascii="Times New Roman" w:hAnsi="Times New Roman" w:eastAsia="宋体"/>
          <w:color w:val="auto"/>
          <w:highlight w:val="none"/>
        </w:rPr>
        <w:t>产业链，加快农业产业化进程，有效解决</w:t>
      </w:r>
      <w:r>
        <w:rPr>
          <w:rFonts w:hint="eastAsia"/>
          <w:color w:val="auto"/>
          <w:highlight w:val="none"/>
          <w:lang w:eastAsia="zh-CN"/>
        </w:rPr>
        <w:t>”</w:t>
      </w:r>
      <w:r>
        <w:rPr>
          <w:rFonts w:hint="eastAsia" w:ascii="Times New Roman" w:hAnsi="Times New Roman" w:eastAsia="宋体"/>
          <w:color w:val="auto"/>
          <w:highlight w:val="none"/>
        </w:rPr>
        <w:t>三农</w:t>
      </w:r>
      <w:r>
        <w:rPr>
          <w:rFonts w:hint="eastAsia"/>
          <w:color w:val="auto"/>
          <w:highlight w:val="none"/>
          <w:lang w:eastAsia="zh-CN"/>
        </w:rPr>
        <w:t>”</w:t>
      </w:r>
      <w:r>
        <w:rPr>
          <w:rFonts w:hint="eastAsia" w:ascii="Times New Roman" w:hAnsi="Times New Roman" w:eastAsia="宋体"/>
          <w:color w:val="auto"/>
          <w:highlight w:val="none"/>
        </w:rPr>
        <w:t>问题，增加当地农民的收入。</w:t>
      </w:r>
    </w:p>
    <w:p w14:paraId="4D3BF47A">
      <w:pPr>
        <w:pStyle w:val="5"/>
        <w:rPr>
          <w:rFonts w:ascii="Times New Roman" w:hAnsi="Times New Roman" w:eastAsia="宋体"/>
          <w:color w:val="auto"/>
          <w:highlight w:val="none"/>
        </w:rPr>
      </w:pPr>
      <w:bookmarkStart w:id="254" w:name="_Toc106663540"/>
      <w:r>
        <w:rPr>
          <w:rFonts w:hint="eastAsia" w:ascii="Times New Roman" w:hAnsi="Times New Roman" w:eastAsia="宋体"/>
          <w:color w:val="auto"/>
          <w:highlight w:val="none"/>
        </w:rPr>
        <w:t>7.3环境效益分析</w:t>
      </w:r>
      <w:bookmarkEnd w:id="254"/>
    </w:p>
    <w:p w14:paraId="0531F252">
      <w:pPr>
        <w:ind w:firstLine="480"/>
        <w:rPr>
          <w:rFonts w:ascii="Times New Roman" w:hAnsi="Times New Roman" w:eastAsia="宋体"/>
          <w:color w:val="auto"/>
          <w:highlight w:val="none"/>
        </w:rPr>
      </w:pPr>
      <w:r>
        <w:rPr>
          <w:rFonts w:ascii="Times New Roman" w:hAnsi="Times New Roman" w:eastAsia="宋体"/>
          <w:color w:val="auto"/>
          <w:highlight w:val="none"/>
        </w:rPr>
        <w:t>本项目拟投资327万元，用于废水处理、场区绿化、恶臭治理及病死鸡只无害化填埋处理等，保证对环境的影响降低到最小程度，满足建设项目环境保护管理的要求。</w:t>
      </w:r>
    </w:p>
    <w:p w14:paraId="77D0BE29">
      <w:pPr>
        <w:ind w:firstLine="480"/>
        <w:rPr>
          <w:rFonts w:ascii="Times New Roman" w:hAnsi="Times New Roman" w:eastAsia="宋体"/>
          <w:color w:val="auto"/>
          <w:highlight w:val="none"/>
        </w:rPr>
      </w:pPr>
      <w:r>
        <w:rPr>
          <w:rFonts w:ascii="Times New Roman" w:hAnsi="Times New Roman" w:eastAsia="宋体"/>
          <w:color w:val="auto"/>
          <w:highlight w:val="none"/>
        </w:rPr>
        <w:t>建设项目环保措施主要是体现国家环保政策，贯彻</w:t>
      </w:r>
      <w:r>
        <w:rPr>
          <w:rFonts w:hint="eastAsia"/>
          <w:color w:val="auto"/>
          <w:highlight w:val="none"/>
          <w:lang w:eastAsia="zh-CN"/>
        </w:rPr>
        <w:t>”</w:t>
      </w:r>
      <w:r>
        <w:rPr>
          <w:rFonts w:ascii="Times New Roman" w:hAnsi="Times New Roman" w:eastAsia="宋体"/>
          <w:color w:val="auto"/>
          <w:highlight w:val="none"/>
        </w:rPr>
        <w:t>总量控制</w:t>
      </w:r>
      <w:r>
        <w:rPr>
          <w:rFonts w:hint="eastAsia"/>
          <w:color w:val="auto"/>
          <w:highlight w:val="none"/>
          <w:lang w:eastAsia="zh-CN"/>
        </w:rPr>
        <w:t>”</w:t>
      </w:r>
      <w:r>
        <w:rPr>
          <w:rFonts w:ascii="Times New Roman" w:hAnsi="Times New Roman" w:eastAsia="宋体"/>
          <w:color w:val="auto"/>
          <w:highlight w:val="none"/>
        </w:rPr>
        <w:t>、</w:t>
      </w:r>
      <w:r>
        <w:rPr>
          <w:rFonts w:hint="eastAsia"/>
          <w:color w:val="auto"/>
          <w:highlight w:val="none"/>
          <w:lang w:eastAsia="zh-CN"/>
        </w:rPr>
        <w:t>”</w:t>
      </w:r>
      <w:r>
        <w:rPr>
          <w:rFonts w:ascii="Times New Roman" w:hAnsi="Times New Roman" w:eastAsia="宋体"/>
          <w:color w:val="auto"/>
          <w:highlight w:val="none"/>
        </w:rPr>
        <w:t>达标排放</w:t>
      </w:r>
      <w:r>
        <w:rPr>
          <w:rFonts w:hint="eastAsia"/>
          <w:color w:val="auto"/>
          <w:highlight w:val="none"/>
          <w:lang w:eastAsia="zh-CN"/>
        </w:rPr>
        <w:t>”</w:t>
      </w:r>
      <w:r>
        <w:rPr>
          <w:rFonts w:ascii="Times New Roman" w:hAnsi="Times New Roman" w:eastAsia="宋体"/>
          <w:color w:val="auto"/>
          <w:highlight w:val="none"/>
        </w:rPr>
        <w:t>污染控制原则，达到保护环境的目的。通过治理措施，本项目包括鸡粪、鸡舍鸡舍冲洗废水，生活污水等可以实现达标排放，厂界噪声达标。这些措施的实施产生的环境效益较明显。</w:t>
      </w:r>
    </w:p>
    <w:p w14:paraId="48949522">
      <w:pPr>
        <w:pStyle w:val="4"/>
        <w:rPr>
          <w:rFonts w:ascii="Times New Roman" w:hAnsi="Times New Roman" w:eastAsia="宋体"/>
          <w:color w:val="auto"/>
          <w:highlight w:val="none"/>
        </w:rPr>
      </w:pPr>
      <w:bookmarkStart w:id="255" w:name="_Toc106663541"/>
      <w:bookmarkStart w:id="256" w:name="_Toc89619354"/>
      <w:r>
        <w:rPr>
          <w:rFonts w:hint="eastAsia" w:ascii="Times New Roman" w:hAnsi="Times New Roman" w:eastAsia="宋体"/>
          <w:color w:val="auto"/>
          <w:highlight w:val="none"/>
        </w:rPr>
        <w:t>7.4环境经济效益分析</w:t>
      </w:r>
      <w:bookmarkEnd w:id="255"/>
      <w:bookmarkEnd w:id="256"/>
    </w:p>
    <w:p w14:paraId="6685EFD6">
      <w:pPr>
        <w:pStyle w:val="5"/>
        <w:rPr>
          <w:rFonts w:ascii="Times New Roman" w:hAnsi="Times New Roman" w:eastAsia="宋体"/>
          <w:color w:val="auto"/>
          <w:highlight w:val="none"/>
        </w:rPr>
      </w:pPr>
      <w:bookmarkStart w:id="257" w:name="_Toc106663542"/>
      <w:r>
        <w:rPr>
          <w:rFonts w:hint="eastAsia" w:ascii="Times New Roman" w:hAnsi="Times New Roman" w:eastAsia="宋体"/>
          <w:color w:val="auto"/>
          <w:highlight w:val="none"/>
        </w:rPr>
        <w:t>7.4.1环保投资</w:t>
      </w:r>
      <w:bookmarkEnd w:id="257"/>
    </w:p>
    <w:p w14:paraId="0626037A">
      <w:pPr>
        <w:ind w:firstLine="480"/>
        <w:rPr>
          <w:rFonts w:ascii="Times New Roman" w:hAnsi="Times New Roman" w:eastAsia="宋体"/>
          <w:color w:val="auto"/>
          <w:highlight w:val="none"/>
        </w:rPr>
      </w:pPr>
      <w:r>
        <w:rPr>
          <w:rFonts w:hint="eastAsia" w:ascii="Times New Roman" w:hAnsi="Times New Roman" w:eastAsia="宋体"/>
          <w:color w:val="auto"/>
          <w:highlight w:val="none"/>
        </w:rPr>
        <w:t>依据《建设项目环境保护设计规定》，环保设施划分的基本原则是，污染治理环境保护所需的设施、装置和工程设施，生产工艺需要又为环境保护服务的设施，为保证生产有良好环境所采取的防尘、绿化设施等均属环保设施。</w:t>
      </w:r>
    </w:p>
    <w:p w14:paraId="5390D197">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本项目总投资</w:t>
      </w:r>
      <w:r>
        <w:rPr>
          <w:rFonts w:hint="eastAsia" w:ascii="Times New Roman" w:hAnsi="Times New Roman" w:eastAsia="宋体"/>
          <w:color w:val="auto"/>
          <w:highlight w:val="none"/>
          <w:lang w:eastAsia="zh-CN"/>
        </w:rPr>
        <w:t>1870</w:t>
      </w:r>
      <w:r>
        <w:rPr>
          <w:rFonts w:hint="eastAsia" w:ascii="Times New Roman" w:hAnsi="Times New Roman" w:eastAsia="宋体"/>
          <w:color w:val="auto"/>
          <w:highlight w:val="none"/>
        </w:rPr>
        <w:t>万元，其中环保投资为</w:t>
      </w:r>
      <w:r>
        <w:rPr>
          <w:rFonts w:hint="eastAsia"/>
          <w:color w:val="auto"/>
          <w:highlight w:val="none"/>
          <w:lang w:val="en-US" w:eastAsia="zh-CN"/>
        </w:rPr>
        <w:t>327</w:t>
      </w:r>
      <w:r>
        <w:rPr>
          <w:rFonts w:hint="eastAsia" w:ascii="Times New Roman" w:hAnsi="Times New Roman" w:eastAsia="宋体"/>
          <w:color w:val="auto"/>
          <w:highlight w:val="none"/>
        </w:rPr>
        <w:t>万元，占总投资的</w:t>
      </w:r>
      <w:r>
        <w:rPr>
          <w:rFonts w:hint="eastAsia"/>
          <w:color w:val="auto"/>
          <w:highlight w:val="none"/>
          <w:lang w:val="en-US" w:eastAsia="zh-CN"/>
        </w:rPr>
        <w:t>17.5</w:t>
      </w:r>
      <w:r>
        <w:rPr>
          <w:rFonts w:hint="eastAsia" w:ascii="Times New Roman" w:hAnsi="Times New Roman" w:eastAsia="宋体"/>
          <w:color w:val="auto"/>
          <w:highlight w:val="none"/>
        </w:rPr>
        <w:t>%。环保投资明细见表7.3-1。</w:t>
      </w:r>
    </w:p>
    <w:p w14:paraId="52C3F1B6">
      <w:pPr>
        <w:pStyle w:val="10"/>
        <w:rPr>
          <w:rFonts w:hint="eastAsia" w:ascii="Times New Roman" w:hAnsi="Times New Roman" w:eastAsia="宋体"/>
          <w:color w:val="auto"/>
          <w:highlight w:val="none"/>
        </w:rPr>
      </w:pPr>
    </w:p>
    <w:p w14:paraId="55410A31">
      <w:pPr>
        <w:pStyle w:val="10"/>
        <w:rPr>
          <w:rFonts w:hint="eastAsia" w:ascii="Times New Roman" w:hAnsi="Times New Roman" w:eastAsia="宋体"/>
          <w:color w:val="auto"/>
          <w:highlight w:val="none"/>
        </w:rPr>
      </w:pPr>
    </w:p>
    <w:p w14:paraId="05CD1A33">
      <w:pPr>
        <w:pStyle w:val="10"/>
        <w:rPr>
          <w:rFonts w:hint="eastAsia" w:ascii="Times New Roman" w:hAnsi="Times New Roman" w:eastAsia="宋体"/>
          <w:color w:val="auto"/>
          <w:highlight w:val="none"/>
        </w:rPr>
      </w:pPr>
    </w:p>
    <w:p w14:paraId="257A4E79">
      <w:pPr>
        <w:pStyle w:val="10"/>
        <w:rPr>
          <w:rFonts w:hint="eastAsia" w:ascii="Times New Roman" w:hAnsi="Times New Roman" w:eastAsia="宋体"/>
          <w:color w:val="auto"/>
          <w:highlight w:val="none"/>
        </w:rPr>
      </w:pPr>
    </w:p>
    <w:p w14:paraId="091416F9">
      <w:pPr>
        <w:pStyle w:val="10"/>
        <w:rPr>
          <w:rFonts w:hint="eastAsia" w:ascii="Times New Roman" w:hAnsi="Times New Roman" w:eastAsia="宋体"/>
          <w:color w:val="auto"/>
          <w:highlight w:val="none"/>
        </w:rPr>
      </w:pPr>
    </w:p>
    <w:p w14:paraId="50997E10">
      <w:pPr>
        <w:pStyle w:val="10"/>
        <w:rPr>
          <w:rFonts w:ascii="Times New Roman" w:hAnsi="Times New Roman" w:eastAsia="宋体"/>
          <w:color w:val="auto"/>
          <w:highlight w:val="none"/>
        </w:rPr>
      </w:pPr>
      <w:r>
        <w:rPr>
          <w:rFonts w:hint="eastAsia" w:ascii="Times New Roman" w:hAnsi="Times New Roman" w:eastAsia="宋体"/>
          <w:color w:val="auto"/>
          <w:highlight w:val="none"/>
        </w:rPr>
        <w:t>表7</w:t>
      </w:r>
      <w:r>
        <w:rPr>
          <w:rFonts w:ascii="Times New Roman" w:hAnsi="Times New Roman" w:eastAsia="宋体"/>
          <w:color w:val="auto"/>
          <w:highlight w:val="none"/>
        </w:rPr>
        <w:t>.3-1</w:t>
      </w:r>
      <w:r>
        <w:rPr>
          <w:rFonts w:hint="eastAsia" w:ascii="Times New Roman" w:hAnsi="Times New Roman" w:eastAsia="宋体"/>
          <w:color w:val="auto"/>
          <w:highlight w:val="none"/>
        </w:rPr>
        <w:t>环境保护投资估算一览表</w:t>
      </w:r>
    </w:p>
    <w:tbl>
      <w:tblPr>
        <w:tblStyle w:val="176"/>
        <w:tblW w:w="501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20"/>
        <w:gridCol w:w="699"/>
        <w:gridCol w:w="1270"/>
        <w:gridCol w:w="3504"/>
        <w:gridCol w:w="978"/>
        <w:gridCol w:w="1368"/>
      </w:tblGrid>
      <w:tr w14:paraId="0615B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jc w:val="center"/>
        </w:trPr>
        <w:tc>
          <w:tcPr>
            <w:tcW w:w="312" w:type="pct"/>
            <w:textDirection w:val="tbRlV"/>
            <w:vAlign w:val="center"/>
          </w:tcPr>
          <w:p w14:paraId="1954E5D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序号</w:t>
            </w:r>
          </w:p>
        </w:tc>
        <w:tc>
          <w:tcPr>
            <w:tcW w:w="419" w:type="pct"/>
            <w:vAlign w:val="center"/>
          </w:tcPr>
          <w:p w14:paraId="2F573A2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类别</w:t>
            </w:r>
          </w:p>
        </w:tc>
        <w:tc>
          <w:tcPr>
            <w:tcW w:w="760" w:type="pct"/>
            <w:vAlign w:val="center"/>
          </w:tcPr>
          <w:p w14:paraId="3B9219D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污染环节源</w:t>
            </w:r>
          </w:p>
        </w:tc>
        <w:tc>
          <w:tcPr>
            <w:tcW w:w="2100" w:type="pct"/>
            <w:vAlign w:val="center"/>
          </w:tcPr>
          <w:p w14:paraId="3283A45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治理措施</w:t>
            </w:r>
          </w:p>
        </w:tc>
        <w:tc>
          <w:tcPr>
            <w:tcW w:w="586" w:type="pct"/>
            <w:vAlign w:val="center"/>
          </w:tcPr>
          <w:p w14:paraId="45C23C8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投资</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万元</w:t>
            </w:r>
            <w:r>
              <w:rPr>
                <w:rFonts w:hint="eastAsia" w:ascii="Times New Roman" w:hAnsi="Times New Roman" w:eastAsia="宋体" w:cs="宋体"/>
                <w:color w:val="auto"/>
                <w:spacing w:val="0"/>
                <w:position w:val="0"/>
                <w:sz w:val="21"/>
                <w:szCs w:val="21"/>
                <w:highlight w:val="none"/>
                <w:lang w:eastAsia="zh-CN"/>
              </w:rPr>
              <w:t>）</w:t>
            </w:r>
          </w:p>
        </w:tc>
        <w:tc>
          <w:tcPr>
            <w:tcW w:w="820" w:type="pct"/>
            <w:vAlign w:val="center"/>
          </w:tcPr>
          <w:p w14:paraId="6DF15F6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备注</w:t>
            </w:r>
          </w:p>
        </w:tc>
      </w:tr>
      <w:tr w14:paraId="08163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2" w:type="pct"/>
            <w:vAlign w:val="center"/>
          </w:tcPr>
          <w:p w14:paraId="2F1E513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w:t>
            </w:r>
          </w:p>
        </w:tc>
        <w:tc>
          <w:tcPr>
            <w:tcW w:w="419" w:type="pct"/>
            <w:vAlign w:val="center"/>
          </w:tcPr>
          <w:p w14:paraId="315A99E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废气</w:t>
            </w:r>
          </w:p>
        </w:tc>
        <w:tc>
          <w:tcPr>
            <w:tcW w:w="760" w:type="pct"/>
            <w:vAlign w:val="center"/>
          </w:tcPr>
          <w:p w14:paraId="1577681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养殖区恶臭</w:t>
            </w:r>
          </w:p>
        </w:tc>
        <w:tc>
          <w:tcPr>
            <w:tcW w:w="2100" w:type="pct"/>
            <w:vAlign w:val="center"/>
          </w:tcPr>
          <w:p w14:paraId="22D2783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喷洒除臭剂、场区绿化</w:t>
            </w:r>
          </w:p>
        </w:tc>
        <w:tc>
          <w:tcPr>
            <w:tcW w:w="586" w:type="pct"/>
            <w:vAlign w:val="center"/>
          </w:tcPr>
          <w:p w14:paraId="2EDAA93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50</w:t>
            </w:r>
          </w:p>
        </w:tc>
        <w:tc>
          <w:tcPr>
            <w:tcW w:w="820" w:type="pct"/>
            <w:vAlign w:val="center"/>
          </w:tcPr>
          <w:p w14:paraId="1A4D9C8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14:paraId="09979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jc w:val="center"/>
        </w:trPr>
        <w:tc>
          <w:tcPr>
            <w:tcW w:w="312" w:type="pct"/>
            <w:vAlign w:val="center"/>
          </w:tcPr>
          <w:p w14:paraId="639510C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w:t>
            </w:r>
          </w:p>
        </w:tc>
        <w:tc>
          <w:tcPr>
            <w:tcW w:w="419" w:type="pct"/>
            <w:vAlign w:val="center"/>
          </w:tcPr>
          <w:p w14:paraId="79D3A8D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废水</w:t>
            </w:r>
          </w:p>
        </w:tc>
        <w:tc>
          <w:tcPr>
            <w:tcW w:w="760" w:type="pct"/>
            <w:vAlign w:val="center"/>
          </w:tcPr>
          <w:p w14:paraId="1A1CB43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鸡舍冲洗废水</w:t>
            </w:r>
          </w:p>
        </w:tc>
        <w:tc>
          <w:tcPr>
            <w:tcW w:w="2100" w:type="pct"/>
            <w:vAlign w:val="center"/>
          </w:tcPr>
          <w:p w14:paraId="07F5679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冲洗废水排入</w:t>
            </w:r>
            <w:r>
              <w:rPr>
                <w:rFonts w:hint="eastAsia" w:ascii="Times New Roman" w:hAnsi="Times New Roman" w:eastAsia="宋体" w:cs="宋体"/>
                <w:color w:val="auto"/>
                <w:spacing w:val="0"/>
                <w:position w:val="0"/>
                <w:sz w:val="21"/>
                <w:szCs w:val="21"/>
                <w:highlight w:val="none"/>
                <w:lang w:eastAsia="zh-CN"/>
              </w:rPr>
              <w:t>废水收集池（</w:t>
            </w:r>
            <w:r>
              <w:rPr>
                <w:rFonts w:hint="eastAsia" w:ascii="Times New Roman" w:hAnsi="Times New Roman" w:eastAsia="宋体" w:cs="宋体"/>
                <w:color w:val="auto"/>
                <w:spacing w:val="0"/>
                <w:position w:val="0"/>
                <w:sz w:val="21"/>
                <w:szCs w:val="21"/>
                <w:highlight w:val="none"/>
                <w:lang w:val="en-US" w:eastAsia="zh-CN"/>
              </w:rPr>
              <w:t>150m</w:t>
            </w:r>
            <w:r>
              <w:rPr>
                <w:rFonts w:hint="eastAsia" w:ascii="Times New Roman" w:hAnsi="Times New Roman" w:eastAsia="宋体" w:cs="宋体"/>
                <w:color w:val="auto"/>
                <w:spacing w:val="0"/>
                <w:position w:val="0"/>
                <w:sz w:val="21"/>
                <w:szCs w:val="21"/>
                <w:highlight w:val="none"/>
                <w:vertAlign w:val="superscript"/>
                <w:lang w:val="en-US" w:eastAsia="zh-CN"/>
              </w:rPr>
              <w:t>3</w:t>
            </w:r>
            <w:r>
              <w:rPr>
                <w:rFonts w:hint="eastAsia" w:ascii="Times New Roman" w:hAnsi="Times New Roman" w:eastAsia="宋体" w:cs="宋体"/>
                <w:color w:val="auto"/>
                <w:spacing w:val="0"/>
                <w:position w:val="0"/>
                <w:sz w:val="21"/>
                <w:szCs w:val="21"/>
                <w:highlight w:val="none"/>
                <w:lang w:eastAsia="zh-CN"/>
              </w:rPr>
              <w:t>）</w:t>
            </w:r>
          </w:p>
        </w:tc>
        <w:tc>
          <w:tcPr>
            <w:tcW w:w="586" w:type="pct"/>
            <w:vAlign w:val="center"/>
          </w:tcPr>
          <w:p w14:paraId="5EF36DE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20</w:t>
            </w:r>
          </w:p>
        </w:tc>
        <w:tc>
          <w:tcPr>
            <w:tcW w:w="820" w:type="pct"/>
            <w:vAlign w:val="center"/>
          </w:tcPr>
          <w:p w14:paraId="72EA6F5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14:paraId="0C64D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312" w:type="pct"/>
            <w:vAlign w:val="center"/>
          </w:tcPr>
          <w:p w14:paraId="1230204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w:t>
            </w:r>
          </w:p>
        </w:tc>
        <w:tc>
          <w:tcPr>
            <w:tcW w:w="419" w:type="pct"/>
            <w:vMerge w:val="restart"/>
            <w:tcBorders>
              <w:bottom w:val="nil"/>
            </w:tcBorders>
            <w:vAlign w:val="center"/>
          </w:tcPr>
          <w:p w14:paraId="4806DCF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固废</w:t>
            </w:r>
          </w:p>
        </w:tc>
        <w:tc>
          <w:tcPr>
            <w:tcW w:w="760" w:type="pct"/>
            <w:vAlign w:val="center"/>
          </w:tcPr>
          <w:p w14:paraId="744C7EC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病死鸡只</w:t>
            </w:r>
          </w:p>
        </w:tc>
        <w:tc>
          <w:tcPr>
            <w:tcW w:w="2100" w:type="pct"/>
            <w:vAlign w:val="center"/>
          </w:tcPr>
          <w:p w14:paraId="2FA5D13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设置</w:t>
            </w:r>
            <w:r>
              <w:rPr>
                <w:rFonts w:hint="eastAsia" w:cs="Times New Roman"/>
                <w:color w:val="auto"/>
                <w:spacing w:val="0"/>
                <w:position w:val="0"/>
                <w:sz w:val="21"/>
                <w:szCs w:val="21"/>
                <w:highlight w:val="none"/>
                <w:lang w:eastAsia="zh-CN"/>
              </w:rPr>
              <w:t>9口</w:t>
            </w:r>
            <w:r>
              <w:rPr>
                <w:rFonts w:ascii="Times New Roman" w:hAnsi="Times New Roman" w:eastAsia="宋体" w:cs="宋体"/>
                <w:color w:val="auto"/>
                <w:spacing w:val="0"/>
                <w:position w:val="0"/>
                <w:sz w:val="21"/>
                <w:szCs w:val="21"/>
                <w:highlight w:val="none"/>
              </w:rPr>
              <w:t>安全填埋井</w:t>
            </w:r>
          </w:p>
        </w:tc>
        <w:tc>
          <w:tcPr>
            <w:tcW w:w="586" w:type="pct"/>
            <w:vAlign w:val="center"/>
          </w:tcPr>
          <w:p w14:paraId="2166E80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90</w:t>
            </w:r>
          </w:p>
        </w:tc>
        <w:tc>
          <w:tcPr>
            <w:tcW w:w="820" w:type="pct"/>
            <w:vAlign w:val="center"/>
          </w:tcPr>
          <w:p w14:paraId="0E53A66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14:paraId="4C860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312" w:type="pct"/>
            <w:vAlign w:val="center"/>
          </w:tcPr>
          <w:p w14:paraId="571B6F7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4</w:t>
            </w:r>
          </w:p>
        </w:tc>
        <w:tc>
          <w:tcPr>
            <w:tcW w:w="419" w:type="pct"/>
            <w:vMerge w:val="continue"/>
            <w:tcBorders>
              <w:top w:val="nil"/>
              <w:bottom w:val="nil"/>
            </w:tcBorders>
            <w:vAlign w:val="center"/>
          </w:tcPr>
          <w:p w14:paraId="4604077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60" w:type="pct"/>
            <w:vAlign w:val="center"/>
          </w:tcPr>
          <w:p w14:paraId="00431DF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医疗垃圾</w:t>
            </w:r>
          </w:p>
        </w:tc>
        <w:tc>
          <w:tcPr>
            <w:tcW w:w="2100" w:type="pct"/>
            <w:vAlign w:val="center"/>
          </w:tcPr>
          <w:p w14:paraId="0FE4827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设置医疗废物暂存间一座，占地面积</w:t>
            </w:r>
            <w:r>
              <w:rPr>
                <w:rFonts w:ascii="Times New Roman" w:hAnsi="Times New Roman" w:eastAsia="宋体" w:cs="Times New Roman"/>
                <w:color w:val="auto"/>
                <w:spacing w:val="0"/>
                <w:position w:val="0"/>
                <w:sz w:val="21"/>
                <w:szCs w:val="21"/>
                <w:highlight w:val="none"/>
              </w:rPr>
              <w:t>15m</w:t>
            </w:r>
            <w:r>
              <w:rPr>
                <w:rFonts w:ascii="Times New Roman" w:hAnsi="Times New Roman" w:eastAsia="宋体" w:cs="Times New Roman"/>
                <w:color w:val="auto"/>
                <w:spacing w:val="0"/>
                <w:position w:val="0"/>
                <w:sz w:val="21"/>
                <w:szCs w:val="14"/>
                <w:highlight w:val="none"/>
                <w:vertAlign w:val="superscript"/>
              </w:rPr>
              <w:t>2</w:t>
            </w:r>
          </w:p>
        </w:tc>
        <w:tc>
          <w:tcPr>
            <w:tcW w:w="586" w:type="pct"/>
            <w:vAlign w:val="center"/>
          </w:tcPr>
          <w:p w14:paraId="30D519D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20</w:t>
            </w:r>
          </w:p>
        </w:tc>
        <w:tc>
          <w:tcPr>
            <w:tcW w:w="820" w:type="pct"/>
            <w:vAlign w:val="center"/>
          </w:tcPr>
          <w:p w14:paraId="074E3FC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14:paraId="677FA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312" w:type="pct"/>
            <w:vAlign w:val="center"/>
          </w:tcPr>
          <w:p w14:paraId="1C33C2F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5</w:t>
            </w:r>
          </w:p>
        </w:tc>
        <w:tc>
          <w:tcPr>
            <w:tcW w:w="419" w:type="pct"/>
            <w:vMerge w:val="continue"/>
            <w:tcBorders>
              <w:top w:val="nil"/>
            </w:tcBorders>
            <w:vAlign w:val="center"/>
          </w:tcPr>
          <w:p w14:paraId="0E6ABF2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760" w:type="pct"/>
            <w:vAlign w:val="center"/>
          </w:tcPr>
          <w:p w14:paraId="54EF263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生活垃圾</w:t>
            </w:r>
          </w:p>
        </w:tc>
        <w:tc>
          <w:tcPr>
            <w:tcW w:w="2100" w:type="pct"/>
            <w:vAlign w:val="center"/>
          </w:tcPr>
          <w:p w14:paraId="793973C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厂区设置垃圾桶，集中收集后交环卫部门统一处理</w:t>
            </w:r>
          </w:p>
        </w:tc>
        <w:tc>
          <w:tcPr>
            <w:tcW w:w="586" w:type="pct"/>
            <w:vAlign w:val="center"/>
          </w:tcPr>
          <w:p w14:paraId="4FBF9AC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2</w:t>
            </w:r>
          </w:p>
        </w:tc>
        <w:tc>
          <w:tcPr>
            <w:tcW w:w="820" w:type="pct"/>
            <w:vAlign w:val="center"/>
          </w:tcPr>
          <w:p w14:paraId="4C80223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14:paraId="5AA65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312" w:type="pct"/>
            <w:vAlign w:val="center"/>
          </w:tcPr>
          <w:p w14:paraId="5B241CD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6</w:t>
            </w:r>
          </w:p>
        </w:tc>
        <w:tc>
          <w:tcPr>
            <w:tcW w:w="419" w:type="pct"/>
            <w:vAlign w:val="center"/>
          </w:tcPr>
          <w:p w14:paraId="3039D05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噪声</w:t>
            </w:r>
          </w:p>
        </w:tc>
        <w:tc>
          <w:tcPr>
            <w:tcW w:w="760" w:type="pct"/>
            <w:vAlign w:val="center"/>
          </w:tcPr>
          <w:p w14:paraId="7DA8964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设备噪声</w:t>
            </w:r>
          </w:p>
        </w:tc>
        <w:tc>
          <w:tcPr>
            <w:tcW w:w="2100" w:type="pct"/>
            <w:vAlign w:val="center"/>
          </w:tcPr>
          <w:p w14:paraId="27960FD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合理布局，选用低噪声设备、减振、厂房隔声等</w:t>
            </w:r>
          </w:p>
        </w:tc>
        <w:tc>
          <w:tcPr>
            <w:tcW w:w="586" w:type="pct"/>
            <w:vAlign w:val="center"/>
          </w:tcPr>
          <w:p w14:paraId="1735D9C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15</w:t>
            </w:r>
          </w:p>
        </w:tc>
        <w:tc>
          <w:tcPr>
            <w:tcW w:w="820" w:type="pct"/>
            <w:vAlign w:val="center"/>
          </w:tcPr>
          <w:p w14:paraId="4F4CA58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14:paraId="2A686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312" w:type="pct"/>
            <w:vAlign w:val="center"/>
          </w:tcPr>
          <w:p w14:paraId="7A3090F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7</w:t>
            </w:r>
          </w:p>
        </w:tc>
        <w:tc>
          <w:tcPr>
            <w:tcW w:w="1180" w:type="pct"/>
            <w:gridSpan w:val="2"/>
            <w:vAlign w:val="center"/>
          </w:tcPr>
          <w:p w14:paraId="54EF112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绿化</w:t>
            </w:r>
          </w:p>
        </w:tc>
        <w:tc>
          <w:tcPr>
            <w:tcW w:w="2100" w:type="pct"/>
            <w:vAlign w:val="center"/>
          </w:tcPr>
          <w:p w14:paraId="7071AC4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在厂区空地植树种草</w:t>
            </w:r>
          </w:p>
        </w:tc>
        <w:tc>
          <w:tcPr>
            <w:tcW w:w="586" w:type="pct"/>
            <w:vAlign w:val="center"/>
          </w:tcPr>
          <w:p w14:paraId="2C6C91B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10</w:t>
            </w:r>
          </w:p>
        </w:tc>
        <w:tc>
          <w:tcPr>
            <w:tcW w:w="820" w:type="pct"/>
            <w:vAlign w:val="center"/>
          </w:tcPr>
          <w:p w14:paraId="16CAF00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14:paraId="06FAE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5" w:hRule="atLeast"/>
          <w:jc w:val="center"/>
        </w:trPr>
        <w:tc>
          <w:tcPr>
            <w:tcW w:w="312" w:type="pct"/>
            <w:vAlign w:val="center"/>
          </w:tcPr>
          <w:p w14:paraId="4348D32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8</w:t>
            </w:r>
          </w:p>
        </w:tc>
        <w:tc>
          <w:tcPr>
            <w:tcW w:w="419" w:type="pct"/>
            <w:vAlign w:val="center"/>
          </w:tcPr>
          <w:p w14:paraId="6911C8F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地下水及土壤防治</w:t>
            </w:r>
          </w:p>
        </w:tc>
        <w:tc>
          <w:tcPr>
            <w:tcW w:w="760" w:type="pct"/>
            <w:vAlign w:val="center"/>
          </w:tcPr>
          <w:p w14:paraId="7226081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防渗工程</w:t>
            </w:r>
          </w:p>
        </w:tc>
        <w:tc>
          <w:tcPr>
            <w:tcW w:w="2100" w:type="pct"/>
            <w:vAlign w:val="center"/>
          </w:tcPr>
          <w:p w14:paraId="47B9A41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根据</w:t>
            </w:r>
            <w:r>
              <w:rPr>
                <w:rFonts w:ascii="Times New Roman" w:hAnsi="Times New Roman" w:eastAsia="宋体" w:cs="Times New Roman"/>
                <w:color w:val="auto"/>
                <w:spacing w:val="0"/>
                <w:position w:val="0"/>
                <w:sz w:val="21"/>
                <w:szCs w:val="21"/>
                <w:highlight w:val="none"/>
              </w:rPr>
              <w:t>HJ610-2016</w:t>
            </w:r>
            <w:r>
              <w:rPr>
                <w:rFonts w:ascii="Times New Roman" w:hAnsi="Times New Roman" w:eastAsia="宋体" w:cs="宋体"/>
                <w:color w:val="auto"/>
                <w:spacing w:val="0"/>
                <w:position w:val="0"/>
                <w:sz w:val="21"/>
                <w:szCs w:val="21"/>
                <w:highlight w:val="none"/>
              </w:rPr>
              <w:t>《环境影响评价技</w:t>
            </w:r>
          </w:p>
          <w:p w14:paraId="0C460AB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术导则地下水环境》及</w:t>
            </w:r>
            <w:r>
              <w:rPr>
                <w:rFonts w:ascii="Times New Roman" w:hAnsi="Times New Roman" w:eastAsia="宋体" w:cs="Times New Roman"/>
                <w:color w:val="auto"/>
                <w:spacing w:val="0"/>
                <w:position w:val="0"/>
                <w:sz w:val="21"/>
                <w:szCs w:val="21"/>
                <w:highlight w:val="none"/>
              </w:rPr>
              <w:t>GB18597-2001</w:t>
            </w:r>
            <w:r>
              <w:rPr>
                <w:rFonts w:ascii="Times New Roman" w:hAnsi="Times New Roman" w:eastAsia="宋体" w:cs="宋体"/>
                <w:color w:val="auto"/>
                <w:spacing w:val="0"/>
                <w:position w:val="0"/>
                <w:sz w:val="21"/>
                <w:szCs w:val="21"/>
                <w:highlight w:val="none"/>
              </w:rPr>
              <w:t>《危险废物贮存污染控制标准》进行分区防渗，具体如下：重点防渗区包括：危废暂存间、安全填埋井。重点污染区各单元防渗层等效黏土防渗层</w:t>
            </w:r>
            <w:r>
              <w:rPr>
                <w:rFonts w:ascii="Times New Roman" w:hAnsi="Times New Roman" w:eastAsia="宋体" w:cs="Times New Roman"/>
                <w:color w:val="auto"/>
                <w:spacing w:val="0"/>
                <w:position w:val="0"/>
                <w:sz w:val="21"/>
                <w:szCs w:val="21"/>
                <w:highlight w:val="none"/>
              </w:rPr>
              <w:t>Mb≥6.0m</w:t>
            </w:r>
            <w:r>
              <w:rPr>
                <w:rFonts w:ascii="Times New Roman" w:hAnsi="Times New Roman" w:eastAsia="宋体" w:cs="宋体"/>
                <w:color w:val="auto"/>
                <w:spacing w:val="0"/>
                <w:position w:val="0"/>
                <w:sz w:val="21"/>
                <w:szCs w:val="21"/>
                <w:highlight w:val="none"/>
              </w:rPr>
              <w:t>，渗透系数</w:t>
            </w:r>
            <w:r>
              <w:rPr>
                <w:rFonts w:ascii="Times New Roman" w:hAnsi="Times New Roman" w:eastAsia="宋体" w:cs="Times New Roman"/>
                <w:color w:val="auto"/>
                <w:spacing w:val="0"/>
                <w:position w:val="0"/>
                <w:sz w:val="21"/>
                <w:szCs w:val="21"/>
                <w:highlight w:val="none"/>
              </w:rPr>
              <w:t>≤10</w:t>
            </w:r>
            <w:r>
              <w:rPr>
                <w:rFonts w:ascii="Times New Roman" w:hAnsi="Times New Roman" w:eastAsia="宋体" w:cs="Times New Roman"/>
                <w:color w:val="auto"/>
                <w:spacing w:val="0"/>
                <w:position w:val="0"/>
                <w:sz w:val="21"/>
                <w:szCs w:val="21"/>
                <w:highlight w:val="none"/>
                <w:vertAlign w:val="superscript"/>
              </w:rPr>
              <w:t>-7</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。危废暂存间、安全填埋井混凝土地面采用混凝土防渗、</w:t>
            </w:r>
            <w:r>
              <w:rPr>
                <w:rFonts w:ascii="Times New Roman" w:hAnsi="Times New Roman" w:eastAsia="宋体" w:cs="Times New Roman"/>
                <w:color w:val="auto"/>
                <w:spacing w:val="0"/>
                <w:position w:val="0"/>
                <w:sz w:val="21"/>
                <w:szCs w:val="21"/>
                <w:highlight w:val="none"/>
              </w:rPr>
              <w:t>HDPE</w:t>
            </w:r>
            <w:r>
              <w:rPr>
                <w:rFonts w:ascii="Times New Roman" w:hAnsi="Times New Roman" w:eastAsia="宋体" w:cs="宋体"/>
                <w:color w:val="auto"/>
                <w:spacing w:val="0"/>
                <w:position w:val="0"/>
                <w:sz w:val="21"/>
                <w:szCs w:val="21"/>
                <w:highlight w:val="none"/>
              </w:rPr>
              <w:t>膜防渗和钠基膨润土防水毯防渗层，确保等效黏土防渗层</w:t>
            </w:r>
            <w:r>
              <w:rPr>
                <w:rFonts w:ascii="Times New Roman" w:hAnsi="Times New Roman" w:eastAsia="宋体" w:cs="Times New Roman"/>
                <w:color w:val="auto"/>
                <w:spacing w:val="0"/>
                <w:position w:val="0"/>
                <w:sz w:val="21"/>
                <w:szCs w:val="21"/>
                <w:highlight w:val="none"/>
              </w:rPr>
              <w:t>Mb≥6.0m</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K≤1×10-7cm/s</w:t>
            </w:r>
            <w:r>
              <w:rPr>
                <w:rFonts w:ascii="Times New Roman" w:hAnsi="Times New Roman" w:eastAsia="宋体" w:cs="宋体"/>
                <w:color w:val="auto"/>
                <w:spacing w:val="0"/>
                <w:position w:val="0"/>
                <w:sz w:val="21"/>
                <w:szCs w:val="21"/>
                <w:highlight w:val="none"/>
              </w:rPr>
              <w:t>。一般防渗区包括：鸡舍。对一般防渗区采取的防渗措施：等效黏土防渗层</w:t>
            </w:r>
            <w:r>
              <w:rPr>
                <w:rFonts w:ascii="Times New Roman" w:hAnsi="Times New Roman" w:eastAsia="宋体" w:cs="Times New Roman"/>
                <w:color w:val="auto"/>
                <w:spacing w:val="0"/>
                <w:position w:val="0"/>
                <w:sz w:val="21"/>
                <w:szCs w:val="21"/>
                <w:highlight w:val="none"/>
              </w:rPr>
              <w:t>Mb≥1.5m</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K≤1×10</w:t>
            </w:r>
            <w:r>
              <w:rPr>
                <w:rFonts w:ascii="Times New Roman" w:hAnsi="Times New Roman" w:eastAsia="宋体" w:cs="Times New Roman"/>
                <w:color w:val="auto"/>
                <w:spacing w:val="0"/>
                <w:position w:val="0"/>
                <w:sz w:val="21"/>
                <w:szCs w:val="21"/>
                <w:highlight w:val="none"/>
                <w:vertAlign w:val="superscript"/>
              </w:rPr>
              <w:t>-7</w:t>
            </w:r>
            <w:r>
              <w:rPr>
                <w:rFonts w:ascii="Times New Roman" w:hAnsi="Times New Roman" w:eastAsia="宋体" w:cs="Times New Roman"/>
                <w:color w:val="auto"/>
                <w:spacing w:val="0"/>
                <w:position w:val="0"/>
                <w:sz w:val="21"/>
                <w:szCs w:val="21"/>
                <w:highlight w:val="none"/>
              </w:rPr>
              <w:t>cm/s</w:t>
            </w:r>
            <w:r>
              <w:rPr>
                <w:rFonts w:ascii="Times New Roman" w:hAnsi="Times New Roman" w:eastAsia="宋体" w:cs="宋体"/>
                <w:color w:val="auto"/>
                <w:spacing w:val="0"/>
                <w:position w:val="0"/>
                <w:sz w:val="21"/>
                <w:szCs w:val="21"/>
                <w:highlight w:val="none"/>
              </w:rPr>
              <w:t>，再在上层铺</w:t>
            </w:r>
            <w:r>
              <w:rPr>
                <w:rFonts w:ascii="Times New Roman" w:hAnsi="Times New Roman" w:eastAsia="宋体" w:cs="Times New Roman"/>
                <w:color w:val="auto"/>
                <w:spacing w:val="0"/>
                <w:position w:val="0"/>
                <w:sz w:val="21"/>
                <w:szCs w:val="21"/>
                <w:highlight w:val="none"/>
              </w:rPr>
              <w:t>10~15cm</w:t>
            </w:r>
            <w:r>
              <w:rPr>
                <w:rFonts w:ascii="Times New Roman" w:hAnsi="Times New Roman" w:eastAsia="宋体" w:cs="宋体"/>
                <w:color w:val="auto"/>
                <w:spacing w:val="0"/>
                <w:position w:val="0"/>
                <w:sz w:val="21"/>
                <w:szCs w:val="21"/>
                <w:highlight w:val="none"/>
              </w:rPr>
              <w:t>水泥进行硬化。简单防渗区：包括办公生活区等地面水泥硬化处理。</w:t>
            </w:r>
          </w:p>
        </w:tc>
        <w:tc>
          <w:tcPr>
            <w:tcW w:w="586" w:type="pct"/>
            <w:vAlign w:val="center"/>
          </w:tcPr>
          <w:p w14:paraId="20A78E1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120</w:t>
            </w:r>
          </w:p>
        </w:tc>
        <w:tc>
          <w:tcPr>
            <w:tcW w:w="820" w:type="pct"/>
            <w:vAlign w:val="center"/>
          </w:tcPr>
          <w:p w14:paraId="4905210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r w14:paraId="70594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1492" w:type="pct"/>
            <w:gridSpan w:val="3"/>
            <w:vAlign w:val="center"/>
          </w:tcPr>
          <w:p w14:paraId="271B63B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合计</w:t>
            </w:r>
          </w:p>
        </w:tc>
        <w:tc>
          <w:tcPr>
            <w:tcW w:w="2100" w:type="pct"/>
            <w:vAlign w:val="center"/>
          </w:tcPr>
          <w:p w14:paraId="53D99ED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c>
          <w:tcPr>
            <w:tcW w:w="586" w:type="pct"/>
            <w:vAlign w:val="center"/>
          </w:tcPr>
          <w:p w14:paraId="7F95932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327</w:t>
            </w:r>
          </w:p>
        </w:tc>
        <w:tc>
          <w:tcPr>
            <w:tcW w:w="820" w:type="pct"/>
            <w:vAlign w:val="center"/>
          </w:tcPr>
          <w:p w14:paraId="0AF2BCA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position w:val="0"/>
                <w:sz w:val="21"/>
                <w:highlight w:val="none"/>
              </w:rPr>
            </w:pPr>
          </w:p>
        </w:tc>
      </w:tr>
    </w:tbl>
    <w:p w14:paraId="72F3C04E">
      <w:pPr>
        <w:pStyle w:val="10"/>
        <w:rPr>
          <w:rFonts w:ascii="Times New Roman" w:hAnsi="Times New Roman" w:eastAsia="宋体"/>
          <w:color w:val="auto"/>
          <w:highlight w:val="none"/>
        </w:rPr>
      </w:pPr>
    </w:p>
    <w:p w14:paraId="1988E3B4">
      <w:pPr>
        <w:pStyle w:val="5"/>
        <w:rPr>
          <w:rFonts w:ascii="Times New Roman" w:hAnsi="Times New Roman" w:eastAsia="宋体"/>
          <w:color w:val="auto"/>
          <w:highlight w:val="none"/>
        </w:rPr>
      </w:pPr>
      <w:bookmarkStart w:id="258" w:name="_Toc106663543"/>
      <w:r>
        <w:rPr>
          <w:rFonts w:hint="eastAsia" w:ascii="Times New Roman" w:hAnsi="Times New Roman" w:eastAsia="宋体"/>
          <w:color w:val="auto"/>
          <w:highlight w:val="none"/>
        </w:rPr>
        <w:t>7.4.2环境效益分析</w:t>
      </w:r>
      <w:bookmarkEnd w:id="258"/>
    </w:p>
    <w:p w14:paraId="24DE0FA0">
      <w:pPr>
        <w:ind w:firstLine="480"/>
        <w:rPr>
          <w:rFonts w:ascii="Times New Roman" w:hAnsi="Times New Roman" w:eastAsia="宋体"/>
          <w:color w:val="auto"/>
          <w:highlight w:val="none"/>
        </w:rPr>
      </w:pPr>
      <w:r>
        <w:rPr>
          <w:rFonts w:ascii="Times New Roman" w:hAnsi="Times New Roman" w:eastAsia="宋体"/>
          <w:color w:val="auto"/>
          <w:highlight w:val="none"/>
        </w:rPr>
        <w:t>总体来说，本项目生产运行后所产生的环境正面影响相对来说是较大的，这在环境影响预测评价中已经进行了详细评述。污染损失值以潜在损失值为主体，所含因素较多，难以完全量化估算，故本环评重点对所采取的污染防治措施的环境损益进行分析评述。</w:t>
      </w:r>
    </w:p>
    <w:p w14:paraId="0425DC0F">
      <w:pPr>
        <w:ind w:firstLine="480"/>
        <w:rPr>
          <w:rFonts w:ascii="Times New Roman" w:hAnsi="Times New Roman" w:eastAsia="宋体"/>
          <w:color w:val="auto"/>
          <w:highlight w:val="none"/>
        </w:rPr>
      </w:pPr>
      <w:r>
        <w:rPr>
          <w:rFonts w:ascii="Times New Roman" w:hAnsi="Times New Roman" w:eastAsia="宋体"/>
          <w:color w:val="auto"/>
          <w:highlight w:val="none"/>
        </w:rPr>
        <w:t>污染控制措施的经济损益包括两个方面：一是直接经济效益，二是间接经济效益。直接经济效益是指环保措施直接提供的产品价值</w:t>
      </w:r>
      <w:r>
        <w:rPr>
          <w:rFonts w:hint="eastAsia"/>
          <w:color w:val="auto"/>
          <w:highlight w:val="none"/>
          <w:lang w:eastAsia="zh-CN"/>
        </w:rPr>
        <w:t>（</w:t>
      </w:r>
      <w:r>
        <w:rPr>
          <w:rFonts w:ascii="Times New Roman" w:hAnsi="Times New Roman" w:eastAsia="宋体"/>
          <w:color w:val="auto"/>
          <w:highlight w:val="none"/>
        </w:rPr>
        <w:t>即内部效益</w:t>
      </w:r>
      <w:r>
        <w:rPr>
          <w:rFonts w:hint="eastAsia"/>
          <w:color w:val="auto"/>
          <w:highlight w:val="none"/>
          <w:lang w:eastAsia="zh-CN"/>
        </w:rPr>
        <w:t>）</w:t>
      </w:r>
      <w:r>
        <w:rPr>
          <w:rFonts w:ascii="Times New Roman" w:hAnsi="Times New Roman" w:eastAsia="宋体"/>
          <w:color w:val="auto"/>
          <w:highlight w:val="none"/>
        </w:rPr>
        <w:t>，间接经济效益是指污染物治理后所能减少的因污染带来的损失费用</w:t>
      </w:r>
      <w:r>
        <w:rPr>
          <w:rFonts w:hint="eastAsia"/>
          <w:color w:val="auto"/>
          <w:highlight w:val="none"/>
          <w:lang w:eastAsia="zh-CN"/>
        </w:rPr>
        <w:t>（</w:t>
      </w:r>
      <w:r>
        <w:rPr>
          <w:rFonts w:ascii="Times New Roman" w:hAnsi="Times New Roman" w:eastAsia="宋体"/>
          <w:color w:val="auto"/>
          <w:highlight w:val="none"/>
        </w:rPr>
        <w:t>即外部效益</w:t>
      </w:r>
      <w:r>
        <w:rPr>
          <w:rFonts w:hint="eastAsia"/>
          <w:color w:val="auto"/>
          <w:highlight w:val="none"/>
          <w:lang w:eastAsia="zh-CN"/>
        </w:rPr>
        <w:t>）</w:t>
      </w:r>
      <w:r>
        <w:rPr>
          <w:rFonts w:ascii="Times New Roman" w:hAnsi="Times New Roman" w:eastAsia="宋体"/>
          <w:color w:val="auto"/>
          <w:highlight w:val="none"/>
        </w:rPr>
        <w:t>。间接经济效益和损失是一个问题的两个方面，两者之间存在着互换关系，即环境污染使污染区域使用功能下降所造成的损失值，可以作为减少污染所得到的利益。</w:t>
      </w:r>
    </w:p>
    <w:p w14:paraId="0872B21C">
      <w:pPr>
        <w:ind w:firstLine="480"/>
        <w:rPr>
          <w:rFonts w:ascii="Times New Roman" w:hAnsi="Times New Roman" w:eastAsia="宋体"/>
          <w:color w:val="auto"/>
          <w:highlight w:val="none"/>
        </w:rPr>
      </w:pPr>
      <w:r>
        <w:rPr>
          <w:rFonts w:ascii="Times New Roman" w:hAnsi="Times New Roman" w:eastAsia="宋体"/>
          <w:color w:val="auto"/>
          <w:highlight w:val="none"/>
        </w:rPr>
        <w:t>本项目建成后，鸡舍冲洗废水排入</w:t>
      </w:r>
      <w:r>
        <w:rPr>
          <w:rFonts w:hint="eastAsia"/>
          <w:color w:val="auto"/>
          <w:highlight w:val="none"/>
          <w:lang w:eastAsia="zh-CN"/>
        </w:rPr>
        <w:t>废水收集池经预处理后用作农肥。</w:t>
      </w:r>
      <w:r>
        <w:rPr>
          <w:rFonts w:ascii="Times New Roman" w:hAnsi="Times New Roman" w:eastAsia="宋体"/>
          <w:color w:val="auto"/>
          <w:highlight w:val="none"/>
        </w:rPr>
        <w:t>产生的鸡粪采用自动清粪系统清理后直接拉运至有机肥生产公司作为有机肥生产的原料，由其负责定期清运工作，实现资源的综合利用。</w:t>
      </w:r>
    </w:p>
    <w:p w14:paraId="03A1F1A5">
      <w:pPr>
        <w:ind w:firstLine="480"/>
        <w:rPr>
          <w:rFonts w:ascii="Times New Roman" w:hAnsi="Times New Roman" w:eastAsia="宋体"/>
          <w:color w:val="auto"/>
          <w:highlight w:val="none"/>
        </w:rPr>
      </w:pPr>
      <w:r>
        <w:rPr>
          <w:rFonts w:ascii="Times New Roman" w:hAnsi="Times New Roman" w:eastAsia="宋体"/>
          <w:color w:val="auto"/>
          <w:highlight w:val="none"/>
        </w:rPr>
        <w:t>在此，间接经济效益是指因采取污染防治措施而避免或减缓环境影响而降低的环境经济损失。根据间接经济效益和损失可以互换的关系，本环评采用污染损失值反推因减少污染所得到的利益，进行环境经济损益分析。</w:t>
      </w:r>
    </w:p>
    <w:p w14:paraId="40E3AC55">
      <w:pPr>
        <w:ind w:firstLine="480"/>
        <w:rPr>
          <w:rFonts w:ascii="Times New Roman" w:hAnsi="Times New Roman" w:eastAsia="宋体"/>
          <w:color w:val="auto"/>
          <w:highlight w:val="none"/>
        </w:rPr>
      </w:pPr>
      <w:r>
        <w:rPr>
          <w:rFonts w:ascii="Times New Roman" w:hAnsi="Times New Roman" w:eastAsia="宋体"/>
          <w:color w:val="auto"/>
          <w:highlight w:val="none"/>
        </w:rPr>
        <w:t>从项目所处位置来看，如果本项目不加治理任意排放，会造成地表水、地下水质量下降，直接影响到项目区附近人群的生活。因此，本项目</w:t>
      </w:r>
      <w:r>
        <w:rPr>
          <w:rFonts w:hint="eastAsia"/>
          <w:color w:val="auto"/>
          <w:highlight w:val="none"/>
          <w:lang w:eastAsia="zh-CN"/>
        </w:rPr>
        <w:t>”</w:t>
      </w:r>
      <w:r>
        <w:rPr>
          <w:rFonts w:ascii="Times New Roman" w:hAnsi="Times New Roman" w:eastAsia="宋体"/>
          <w:color w:val="auto"/>
          <w:highlight w:val="none"/>
        </w:rPr>
        <w:t>三废</w:t>
      </w:r>
      <w:r>
        <w:rPr>
          <w:rFonts w:hint="eastAsia"/>
          <w:color w:val="auto"/>
          <w:highlight w:val="none"/>
          <w:lang w:eastAsia="zh-CN"/>
        </w:rPr>
        <w:t>”</w:t>
      </w:r>
      <w:r>
        <w:rPr>
          <w:rFonts w:ascii="Times New Roman" w:hAnsi="Times New Roman" w:eastAsia="宋体"/>
          <w:color w:val="auto"/>
          <w:highlight w:val="none"/>
        </w:rPr>
        <w:t>若不加治理的排放，所造成的经济损失十分巨大，从反面说明污染治理工程的间接效益巨大。</w:t>
      </w:r>
    </w:p>
    <w:p w14:paraId="07CAD490">
      <w:pPr>
        <w:pStyle w:val="4"/>
        <w:rPr>
          <w:rFonts w:ascii="Times New Roman" w:hAnsi="Times New Roman" w:eastAsia="宋体"/>
          <w:color w:val="auto"/>
          <w:highlight w:val="none"/>
        </w:rPr>
      </w:pPr>
      <w:bookmarkStart w:id="259" w:name="_Toc24143"/>
      <w:bookmarkStart w:id="260" w:name="_Toc89619355"/>
      <w:bookmarkStart w:id="261" w:name="_Toc106663544"/>
      <w:r>
        <w:rPr>
          <w:rFonts w:hint="eastAsia" w:ascii="Times New Roman" w:hAnsi="Times New Roman" w:eastAsia="宋体"/>
          <w:color w:val="auto"/>
          <w:highlight w:val="none"/>
        </w:rPr>
        <w:t>7.5小结</w:t>
      </w:r>
      <w:bookmarkEnd w:id="259"/>
      <w:bookmarkEnd w:id="260"/>
      <w:bookmarkEnd w:id="261"/>
    </w:p>
    <w:p w14:paraId="303883DB">
      <w:pPr>
        <w:ind w:firstLine="480"/>
        <w:rPr>
          <w:rFonts w:ascii="Times New Roman" w:hAnsi="Times New Roman" w:eastAsia="宋体"/>
          <w:color w:val="auto"/>
          <w:highlight w:val="none"/>
        </w:rPr>
      </w:pPr>
      <w:r>
        <w:rPr>
          <w:rFonts w:ascii="Times New Roman" w:hAnsi="Times New Roman" w:eastAsia="宋体"/>
          <w:color w:val="auto"/>
          <w:highlight w:val="none"/>
        </w:rPr>
        <w:t>综上分析，本项目的实施在促进地方经济发展的同时又具有良好的社会效益。该项目市场前景良好，能促进当地经济的发展，将为周围群众扩大就业机会，能提高群众的生活质量，所以从社会经济角度看是可行的。同时，项目在保证环保投资的前提下，能够实现达标排放，环境效益比较明显，因此从环境经济角度来看也是合理可行的。本项目具有较好的经济效益、社会效益和环境效益。</w:t>
      </w:r>
    </w:p>
    <w:p w14:paraId="0219FA1E">
      <w:pPr>
        <w:tabs>
          <w:tab w:val="center" w:pos="4393"/>
        </w:tabs>
        <w:ind w:firstLine="480"/>
        <w:rPr>
          <w:rFonts w:ascii="Times New Roman" w:hAnsi="Times New Roman" w:eastAsia="宋体"/>
          <w:color w:val="auto"/>
          <w:highlight w:val="none"/>
        </w:rPr>
        <w:sectPr>
          <w:footerReference r:id="rId29" w:type="default"/>
          <w:pgSz w:w="11906" w:h="16838"/>
          <w:pgMar w:top="1440" w:right="1800" w:bottom="1440" w:left="1800" w:header="851" w:footer="720" w:gutter="0"/>
          <w:pgBorders>
            <w:top w:val="none" w:sz="0" w:space="0"/>
            <w:left w:val="none" w:sz="0" w:space="0"/>
            <w:bottom w:val="none" w:sz="0" w:space="0"/>
            <w:right w:val="none" w:sz="0" w:space="0"/>
          </w:pgBorders>
          <w:pgNumType w:fmt="decimal"/>
          <w:cols w:space="425" w:num="1"/>
          <w:docGrid w:type="lines" w:linePitch="326" w:charSpace="0"/>
        </w:sectPr>
      </w:pPr>
      <w:r>
        <w:rPr>
          <w:rFonts w:ascii="Times New Roman" w:hAnsi="Times New Roman" w:eastAsia="宋体"/>
          <w:color w:val="auto"/>
          <w:highlight w:val="none"/>
        </w:rPr>
        <w:tab/>
      </w:r>
    </w:p>
    <w:p w14:paraId="75A642A4">
      <w:pPr>
        <w:pStyle w:val="3"/>
        <w:rPr>
          <w:rFonts w:ascii="Times New Roman" w:hAnsi="Times New Roman" w:eastAsia="宋体"/>
          <w:color w:val="auto"/>
          <w:highlight w:val="none"/>
        </w:rPr>
      </w:pPr>
      <w:bookmarkStart w:id="262" w:name="_Toc106663545"/>
      <w:bookmarkStart w:id="263" w:name="_Toc31169"/>
      <w:bookmarkStart w:id="264" w:name="_Toc89619356"/>
      <w:r>
        <w:rPr>
          <w:rFonts w:hint="eastAsia" w:ascii="Times New Roman" w:hAnsi="Times New Roman" w:eastAsia="宋体"/>
          <w:color w:val="auto"/>
          <w:highlight w:val="none"/>
        </w:rPr>
        <w:t>8</w:t>
      </w:r>
      <w:r>
        <w:rPr>
          <w:rFonts w:ascii="Times New Roman" w:hAnsi="Times New Roman" w:eastAsia="宋体"/>
          <w:color w:val="auto"/>
          <w:highlight w:val="none"/>
        </w:rPr>
        <w:t>、环境管理与</w:t>
      </w:r>
      <w:r>
        <w:rPr>
          <w:rFonts w:hint="eastAsia" w:ascii="Times New Roman" w:hAnsi="Times New Roman" w:eastAsia="宋体"/>
          <w:color w:val="auto"/>
          <w:highlight w:val="none"/>
        </w:rPr>
        <w:t>环境</w:t>
      </w:r>
      <w:r>
        <w:rPr>
          <w:rFonts w:ascii="Times New Roman" w:hAnsi="Times New Roman" w:eastAsia="宋体"/>
          <w:color w:val="auto"/>
          <w:highlight w:val="none"/>
        </w:rPr>
        <w:t>监测计划</w:t>
      </w:r>
      <w:bookmarkEnd w:id="262"/>
      <w:bookmarkEnd w:id="263"/>
      <w:bookmarkEnd w:id="264"/>
    </w:p>
    <w:p w14:paraId="72CFCB47">
      <w:pPr>
        <w:pStyle w:val="4"/>
        <w:rPr>
          <w:rFonts w:ascii="Times New Roman" w:hAnsi="Times New Roman" w:eastAsia="宋体"/>
          <w:color w:val="auto"/>
          <w:highlight w:val="none"/>
        </w:rPr>
      </w:pPr>
      <w:bookmarkStart w:id="265" w:name="_Toc89619357"/>
      <w:bookmarkStart w:id="266" w:name="_Toc27120"/>
      <w:bookmarkStart w:id="267" w:name="_Toc106663546"/>
      <w:bookmarkStart w:id="268" w:name="_Toc117518136"/>
      <w:bookmarkStart w:id="269" w:name="_Toc117518302"/>
      <w:bookmarkStart w:id="270" w:name="_Toc273384091"/>
      <w:bookmarkStart w:id="271" w:name="_Toc23478"/>
      <w:bookmarkStart w:id="272" w:name="_Toc265225833"/>
      <w:bookmarkStart w:id="273" w:name="_Toc269723052"/>
      <w:bookmarkStart w:id="274" w:name="_Toc304234029"/>
      <w:bookmarkStart w:id="275" w:name="_Toc117517872"/>
      <w:bookmarkStart w:id="276" w:name="_Toc117518217"/>
      <w:bookmarkStart w:id="277" w:name="_Toc370052948"/>
      <w:bookmarkStart w:id="278" w:name="_Toc265225645"/>
      <w:bookmarkStart w:id="279" w:name="_Toc117518382"/>
      <w:bookmarkStart w:id="280" w:name="_Toc117518577"/>
      <w:r>
        <w:rPr>
          <w:rFonts w:hint="eastAsia" w:ascii="Times New Roman" w:hAnsi="Times New Roman" w:eastAsia="宋体"/>
          <w:color w:val="auto"/>
          <w:highlight w:val="none"/>
        </w:rPr>
        <w:t>8.1环境管理</w:t>
      </w:r>
      <w:bookmarkEnd w:id="265"/>
      <w:bookmarkEnd w:id="266"/>
      <w:bookmarkEnd w:id="267"/>
    </w:p>
    <w:p w14:paraId="3B96E035">
      <w:pPr>
        <w:ind w:firstLine="480"/>
        <w:rPr>
          <w:rFonts w:ascii="Times New Roman" w:hAnsi="Times New Roman" w:eastAsia="宋体"/>
          <w:color w:val="auto"/>
          <w:highlight w:val="none"/>
        </w:rPr>
      </w:pPr>
      <w:bookmarkStart w:id="281" w:name="_Toc9027"/>
      <w:r>
        <w:rPr>
          <w:rFonts w:hint="eastAsia" w:ascii="Times New Roman" w:hAnsi="Times New Roman" w:eastAsia="宋体"/>
          <w:color w:val="auto"/>
          <w:highlight w:val="none"/>
        </w:rPr>
        <w:t>环境管理是指建设单位、设计单位和施工单位在工程的可行性研究、工程设计、建设期和运行期必须遵守国家、省市的有关环境保护法规、政策、标准，落实环境影响评价报告中拟定采取的减缓措施，并确保环境保护设施处于正常运行状态。环境管理计划制定出机构的能力建设、执行各项防治措施的职责、实施进度、监测内容和报告程序，以及资金投入和来源等内容。在工程建设期和运行期，接受地方生态环境主管部门的监督和指导，并配合生态环境主管部门完成对工程建设的</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审查。</w:t>
      </w:r>
      <w:bookmarkEnd w:id="281"/>
    </w:p>
    <w:p w14:paraId="4253752B">
      <w:pPr>
        <w:pStyle w:val="5"/>
        <w:rPr>
          <w:rFonts w:ascii="Times New Roman" w:hAnsi="Times New Roman" w:eastAsia="宋体"/>
          <w:color w:val="auto"/>
          <w:highlight w:val="none"/>
        </w:rPr>
      </w:pPr>
      <w:bookmarkStart w:id="282" w:name="_Toc9564"/>
      <w:bookmarkStart w:id="283" w:name="_Toc106663547"/>
      <w:r>
        <w:rPr>
          <w:rFonts w:hint="eastAsia" w:ascii="Times New Roman" w:hAnsi="Times New Roman" w:eastAsia="宋体"/>
          <w:color w:val="auto"/>
          <w:highlight w:val="none"/>
        </w:rPr>
        <w:t>8.1.1设置环境管理机构</w:t>
      </w:r>
      <w:bookmarkEnd w:id="282"/>
      <w:bookmarkEnd w:id="283"/>
    </w:p>
    <w:p w14:paraId="6BD4A283">
      <w:pPr>
        <w:ind w:firstLine="480"/>
        <w:rPr>
          <w:rFonts w:ascii="Times New Roman" w:hAnsi="Times New Roman" w:eastAsia="宋体"/>
          <w:color w:val="auto"/>
          <w:highlight w:val="none"/>
        </w:rPr>
      </w:pPr>
      <w:bookmarkStart w:id="284" w:name="_Toc29128"/>
      <w:r>
        <w:rPr>
          <w:rFonts w:hint="eastAsia" w:ascii="Times New Roman" w:hAnsi="Times New Roman" w:eastAsia="宋体"/>
          <w:color w:val="auto"/>
          <w:highlight w:val="none"/>
        </w:rPr>
        <w:t>厂区内设置专门的安全生产、环境保护与事故应急管理机构（环保处），并设置专职环保人员负责环境管理、环境监测和事故应急处理。环保处设置专职处长1名，直接向企业领导负责，统一负责管理、组织、落实、监督企业的环境保护工作。厂区内设置兼职环保人员，承担各级环境管理职责，并向环保处负责。</w:t>
      </w:r>
      <w:bookmarkEnd w:id="284"/>
    </w:p>
    <w:p w14:paraId="6F3C6B76">
      <w:pPr>
        <w:ind w:firstLine="480"/>
        <w:rPr>
          <w:rFonts w:ascii="Times New Roman" w:hAnsi="Times New Roman" w:eastAsia="宋体"/>
          <w:color w:val="auto"/>
          <w:highlight w:val="none"/>
        </w:rPr>
      </w:pPr>
      <w:bookmarkStart w:id="285" w:name="_Toc15753"/>
      <w:r>
        <w:rPr>
          <w:rFonts w:hint="eastAsia" w:ascii="Times New Roman" w:hAnsi="Times New Roman" w:eastAsia="宋体"/>
          <w:color w:val="auto"/>
          <w:highlight w:val="none"/>
        </w:rPr>
        <w:t>环保处设置专职管理人员2～3名，负责与各单项污染治理设施的沟通、协调与日常管理。对工作人员实行培训后持证上岗，制定工作人员岗位责任制，增强操作人员的环境保护意识。机构人员具体职责为：</w:t>
      </w:r>
      <w:bookmarkEnd w:id="285"/>
    </w:p>
    <w:p w14:paraId="6D57F6D7">
      <w:pPr>
        <w:ind w:firstLine="480"/>
        <w:rPr>
          <w:rFonts w:ascii="Times New Roman" w:hAnsi="Times New Roman" w:eastAsia="宋体"/>
          <w:color w:val="auto"/>
          <w:highlight w:val="none"/>
        </w:rPr>
      </w:pPr>
      <w:bookmarkStart w:id="286" w:name="_Toc2979"/>
      <w:r>
        <w:rPr>
          <w:rFonts w:hint="eastAsia" w:ascii="Times New Roman" w:hAnsi="Times New Roman" w:eastAsia="宋体"/>
          <w:color w:val="auto"/>
          <w:highlight w:val="none"/>
        </w:rPr>
        <w:t>（1）认真贯彻执行国家以及昌吉州、</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环保法规及行业环保规定，负责制定全场近、远期环境保护规划并督促计划实施。落实环保要求，解决存在的环保问题。</w:t>
      </w:r>
      <w:bookmarkEnd w:id="286"/>
    </w:p>
    <w:p w14:paraId="2A59BFE3">
      <w:pPr>
        <w:ind w:firstLine="480"/>
        <w:rPr>
          <w:rFonts w:ascii="Times New Roman" w:hAnsi="Times New Roman" w:eastAsia="宋体"/>
          <w:color w:val="auto"/>
          <w:highlight w:val="none"/>
        </w:rPr>
      </w:pPr>
      <w:bookmarkStart w:id="287" w:name="_Toc32751"/>
      <w:r>
        <w:rPr>
          <w:rFonts w:hint="eastAsia" w:ascii="Times New Roman" w:hAnsi="Times New Roman" w:eastAsia="宋体"/>
          <w:color w:val="auto"/>
          <w:highlight w:val="none"/>
        </w:rPr>
        <w:t>（2）组织制定厂内的环境保护管理规章制度，并监督检查其执行情况，针对企业的具体情况，制定并组织实施环境保护规划和年度工作计划；</w:t>
      </w:r>
      <w:bookmarkEnd w:id="287"/>
    </w:p>
    <w:p w14:paraId="306EE206">
      <w:pPr>
        <w:ind w:firstLine="480"/>
        <w:rPr>
          <w:rFonts w:ascii="Times New Roman" w:hAnsi="Times New Roman" w:eastAsia="宋体"/>
          <w:color w:val="auto"/>
          <w:highlight w:val="none"/>
        </w:rPr>
      </w:pPr>
      <w:bookmarkStart w:id="288" w:name="_Toc28465"/>
      <w:r>
        <w:rPr>
          <w:rFonts w:hint="eastAsia" w:ascii="Times New Roman" w:hAnsi="Times New Roman" w:eastAsia="宋体"/>
          <w:color w:val="auto"/>
          <w:highlight w:val="none"/>
        </w:rPr>
        <w:t>（3）落实环保设施运行的管理计划、操作规程，及时汇总存在的问题，提交技术部门改进解决。</w:t>
      </w:r>
      <w:bookmarkEnd w:id="288"/>
    </w:p>
    <w:p w14:paraId="46B24BAE">
      <w:pPr>
        <w:ind w:firstLine="480"/>
        <w:rPr>
          <w:rFonts w:ascii="Times New Roman" w:hAnsi="Times New Roman" w:eastAsia="宋体"/>
          <w:color w:val="auto"/>
          <w:highlight w:val="none"/>
        </w:rPr>
      </w:pPr>
      <w:bookmarkStart w:id="289" w:name="_Toc17709"/>
      <w:r>
        <w:rPr>
          <w:rFonts w:ascii="Times New Roman" w:hAnsi="Times New Roman" w:eastAsia="宋体"/>
          <w:color w:val="auto"/>
          <w:highlight w:val="none"/>
        </w:rPr>
        <w:t>（4）负责开展日常的环境监测工作，建立健全原始记录，分析掌握污染动态以及</w:t>
      </w:r>
      <w:r>
        <w:rPr>
          <w:rFonts w:hint="eastAsia"/>
          <w:color w:val="auto"/>
          <w:highlight w:val="none"/>
          <w:lang w:eastAsia="zh-CN"/>
        </w:rPr>
        <w:t>”</w:t>
      </w:r>
      <w:r>
        <w:rPr>
          <w:rFonts w:ascii="Times New Roman" w:hAnsi="Times New Roman" w:eastAsia="宋体"/>
          <w:color w:val="auto"/>
          <w:highlight w:val="none"/>
        </w:rPr>
        <w:t>三废</w:t>
      </w:r>
      <w:r>
        <w:rPr>
          <w:rFonts w:hint="eastAsia"/>
          <w:color w:val="auto"/>
          <w:highlight w:val="none"/>
          <w:lang w:eastAsia="zh-CN"/>
        </w:rPr>
        <w:t>”</w:t>
      </w:r>
      <w:r>
        <w:rPr>
          <w:rFonts w:ascii="Times New Roman" w:hAnsi="Times New Roman" w:eastAsia="宋体"/>
          <w:color w:val="auto"/>
          <w:highlight w:val="none"/>
        </w:rPr>
        <w:t>的综合处置情况；</w:t>
      </w:r>
      <w:bookmarkEnd w:id="289"/>
    </w:p>
    <w:p w14:paraId="26B97E33">
      <w:pPr>
        <w:ind w:firstLine="480"/>
        <w:rPr>
          <w:rFonts w:ascii="Times New Roman" w:hAnsi="Times New Roman" w:eastAsia="宋体"/>
          <w:color w:val="auto"/>
          <w:highlight w:val="none"/>
        </w:rPr>
      </w:pPr>
      <w:bookmarkStart w:id="290" w:name="_Toc32609"/>
      <w:r>
        <w:rPr>
          <w:rFonts w:ascii="Times New Roman" w:hAnsi="Times New Roman" w:eastAsia="宋体"/>
          <w:color w:val="auto"/>
          <w:highlight w:val="none"/>
        </w:rPr>
        <w:t>（5）建立环保档案，做好企业环境管理台账记录和企业环保资料的统计整理工作，及时向当地环保部门上报环保工作报表以及提供相应的技术数据；</w:t>
      </w:r>
      <w:bookmarkEnd w:id="290"/>
    </w:p>
    <w:p w14:paraId="30FC0875">
      <w:pPr>
        <w:ind w:firstLine="480"/>
        <w:rPr>
          <w:rFonts w:ascii="Times New Roman" w:hAnsi="Times New Roman" w:eastAsia="宋体"/>
          <w:color w:val="auto"/>
          <w:highlight w:val="none"/>
        </w:rPr>
      </w:pPr>
      <w:bookmarkStart w:id="291" w:name="_Toc26113"/>
      <w:r>
        <w:rPr>
          <w:rFonts w:ascii="Times New Roman" w:hAnsi="Times New Roman" w:eastAsia="宋体"/>
          <w:color w:val="auto"/>
          <w:highlight w:val="none"/>
        </w:rPr>
        <w:t>（7）检查落实安全消防措施，开展环保、安全知识教育，对从事与环保工作有关的特殊岗位（如承担环保设施运行与维护）的员工的技能进行定期培训和考核；</w:t>
      </w:r>
      <w:bookmarkEnd w:id="291"/>
    </w:p>
    <w:p w14:paraId="73BC6A79">
      <w:pPr>
        <w:ind w:firstLine="480"/>
        <w:rPr>
          <w:rFonts w:ascii="Times New Roman" w:hAnsi="Times New Roman" w:eastAsia="宋体"/>
          <w:color w:val="auto"/>
          <w:highlight w:val="none"/>
        </w:rPr>
      </w:pPr>
      <w:bookmarkStart w:id="292" w:name="_Toc21851"/>
      <w:r>
        <w:rPr>
          <w:rFonts w:ascii="Times New Roman" w:hAnsi="Times New Roman" w:eastAsia="宋体"/>
          <w:color w:val="auto"/>
          <w:highlight w:val="none"/>
        </w:rPr>
        <w:t>（8）负责处理各类污染事故和突发紧急事件，组织抢救和善后处理工作；</w:t>
      </w:r>
      <w:bookmarkEnd w:id="292"/>
    </w:p>
    <w:p w14:paraId="7BA9BAE2">
      <w:pPr>
        <w:ind w:firstLine="480"/>
        <w:rPr>
          <w:rFonts w:ascii="Times New Roman" w:hAnsi="Times New Roman" w:eastAsia="宋体"/>
          <w:color w:val="auto"/>
          <w:highlight w:val="none"/>
        </w:rPr>
      </w:pPr>
      <w:bookmarkStart w:id="293" w:name="_Toc13513"/>
      <w:r>
        <w:rPr>
          <w:rFonts w:ascii="Times New Roman" w:hAnsi="Times New Roman" w:eastAsia="宋体"/>
          <w:color w:val="auto"/>
          <w:highlight w:val="none"/>
        </w:rPr>
        <w:t>（9）负责企业的清洁生产工作的开展和维持，配合当地环境保护部门对企业的环境管理。</w:t>
      </w:r>
      <w:bookmarkEnd w:id="293"/>
    </w:p>
    <w:p w14:paraId="57D83118">
      <w:pPr>
        <w:ind w:firstLine="480"/>
        <w:rPr>
          <w:rFonts w:ascii="Times New Roman" w:hAnsi="Times New Roman" w:eastAsia="宋体"/>
          <w:color w:val="auto"/>
          <w:highlight w:val="none"/>
        </w:rPr>
      </w:pPr>
      <w:bookmarkStart w:id="294" w:name="_Toc2172"/>
      <w:r>
        <w:rPr>
          <w:rFonts w:ascii="Times New Roman" w:hAnsi="Times New Roman" w:eastAsia="宋体"/>
          <w:color w:val="auto"/>
          <w:highlight w:val="none"/>
        </w:rPr>
        <w:t>（10）做好企业环境管理信息公开工作。</w:t>
      </w:r>
      <w:bookmarkEnd w:id="294"/>
    </w:p>
    <w:p w14:paraId="365325FF">
      <w:pPr>
        <w:pStyle w:val="5"/>
        <w:rPr>
          <w:rFonts w:ascii="Times New Roman" w:hAnsi="Times New Roman" w:eastAsia="宋体"/>
          <w:color w:val="auto"/>
          <w:highlight w:val="none"/>
        </w:rPr>
      </w:pPr>
      <w:bookmarkStart w:id="295" w:name="_Toc2076"/>
      <w:bookmarkStart w:id="296" w:name="_Toc106663548"/>
      <w:r>
        <w:rPr>
          <w:rFonts w:ascii="Times New Roman" w:hAnsi="Times New Roman" w:eastAsia="宋体"/>
          <w:color w:val="auto"/>
          <w:highlight w:val="none"/>
        </w:rPr>
        <w:t>8.1.2落实环境管理制度</w:t>
      </w:r>
      <w:bookmarkEnd w:id="295"/>
      <w:bookmarkEnd w:id="296"/>
    </w:p>
    <w:p w14:paraId="6D092857">
      <w:pPr>
        <w:ind w:firstLine="480"/>
        <w:rPr>
          <w:rFonts w:ascii="Times New Roman" w:hAnsi="Times New Roman" w:eastAsia="宋体"/>
          <w:color w:val="auto"/>
          <w:highlight w:val="none"/>
        </w:rPr>
      </w:pPr>
      <w:bookmarkStart w:id="297" w:name="_Toc26364"/>
      <w:r>
        <w:rPr>
          <w:rFonts w:ascii="Times New Roman" w:hAnsi="Times New Roman" w:eastAsia="宋体"/>
          <w:color w:val="auto"/>
          <w:highlight w:val="none"/>
        </w:rPr>
        <w:t>在本项目设计以及施工与营运过程中必须制定严格的环境管理计划。环境管理由项目负责人直接领导，由具有环境保护知识与经验的工程技术人员担任环保员，负责并协调有关环境监测的具体事项，环保业务上同时接受各子项目所在地的指导和监督。</w:t>
      </w:r>
      <w:bookmarkEnd w:id="297"/>
    </w:p>
    <w:p w14:paraId="5E32E22D">
      <w:pPr>
        <w:ind w:firstLine="480"/>
        <w:rPr>
          <w:rFonts w:ascii="Times New Roman" w:hAnsi="Times New Roman" w:eastAsia="宋体"/>
          <w:color w:val="auto"/>
          <w:highlight w:val="none"/>
        </w:rPr>
      </w:pPr>
      <w:bookmarkStart w:id="298" w:name="_Toc1869"/>
      <w:r>
        <w:rPr>
          <w:rFonts w:hint="eastAsia"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三同时</w:t>
      </w:r>
      <w:r>
        <w:rPr>
          <w:rFonts w:hint="eastAsia"/>
          <w:color w:val="auto"/>
          <w:highlight w:val="none"/>
          <w:lang w:eastAsia="zh-CN"/>
        </w:rPr>
        <w:t>”</w:t>
      </w:r>
      <w:r>
        <w:rPr>
          <w:rFonts w:ascii="Times New Roman" w:hAnsi="Times New Roman" w:eastAsia="宋体"/>
          <w:color w:val="auto"/>
          <w:highlight w:val="none"/>
        </w:rPr>
        <w:t>制度</w:t>
      </w:r>
      <w:bookmarkEnd w:id="298"/>
    </w:p>
    <w:p w14:paraId="402ADFAE">
      <w:pPr>
        <w:ind w:firstLine="480"/>
        <w:rPr>
          <w:rFonts w:ascii="Times New Roman" w:hAnsi="Times New Roman" w:eastAsia="宋体"/>
          <w:color w:val="auto"/>
          <w:highlight w:val="none"/>
        </w:rPr>
      </w:pPr>
      <w:bookmarkStart w:id="299" w:name="_Toc11513"/>
      <w:r>
        <w:rPr>
          <w:rFonts w:ascii="Times New Roman" w:hAnsi="Times New Roman" w:eastAsia="宋体"/>
          <w:color w:val="auto"/>
          <w:highlight w:val="none"/>
        </w:rPr>
        <w:t>根据《建设项目环境保护管理条例》，建设项目需要配套建设的环境保护设施，必须与主体工程同时设计、同时施工、同时投产使用。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本项目配套建设的环境保护设施经验收合格，方可再次投入生产或者使用。</w:t>
      </w:r>
      <w:bookmarkEnd w:id="299"/>
    </w:p>
    <w:p w14:paraId="0674DD1C">
      <w:pPr>
        <w:ind w:firstLine="480"/>
        <w:rPr>
          <w:rFonts w:ascii="Times New Roman" w:hAnsi="Times New Roman" w:eastAsia="宋体"/>
          <w:color w:val="auto"/>
          <w:highlight w:val="none"/>
        </w:rPr>
      </w:pPr>
      <w:bookmarkStart w:id="300" w:name="_Toc12235"/>
      <w:r>
        <w:rPr>
          <w:rFonts w:hint="eastAsia" w:ascii="Times New Roman" w:hAnsi="Times New Roman" w:eastAsia="宋体"/>
          <w:color w:val="auto"/>
          <w:highlight w:val="none"/>
        </w:rPr>
        <w:t>（2）排污许可证制度</w:t>
      </w:r>
      <w:bookmarkEnd w:id="300"/>
    </w:p>
    <w:p w14:paraId="3CE708E9">
      <w:pPr>
        <w:ind w:firstLine="480"/>
        <w:rPr>
          <w:rFonts w:ascii="Times New Roman" w:hAnsi="Times New Roman" w:eastAsia="宋体"/>
          <w:color w:val="auto"/>
          <w:highlight w:val="none"/>
        </w:rPr>
      </w:pPr>
      <w:bookmarkStart w:id="301" w:name="_Toc29891"/>
      <w:r>
        <w:rPr>
          <w:rFonts w:hint="eastAsia"/>
          <w:color w:val="auto"/>
          <w:highlight w:val="none"/>
          <w:lang w:val="en-US" w:eastAsia="zh-CN"/>
        </w:rPr>
        <w:t>根据《固定污染源排污许可分类管理名录（2019年版）》，本项目为“一、畜牧业03中的家禽饲养032-无污水排放口的规模化畜禽养殖场、养殖小区”因此为登记管理。</w:t>
      </w:r>
      <w:r>
        <w:rPr>
          <w:rFonts w:ascii="Times New Roman" w:hAnsi="Times New Roman" w:eastAsia="宋体"/>
          <w:color w:val="auto"/>
          <w:highlight w:val="none"/>
        </w:rPr>
        <w:t>建设单位应当在项目投入生产或使用并产生实际排污行为之前申请领取排污许可证。依法按照排污许可证申请与核发技术规范提交排污许可申请，申报排放污染物种类、排放浓度等，测算并申报污染物排放量。建设单位应当严格执行排污许可证的规定，禁止无证排污或不按证排污。</w:t>
      </w:r>
      <w:bookmarkEnd w:id="301"/>
    </w:p>
    <w:p w14:paraId="6427EC26">
      <w:pPr>
        <w:ind w:firstLine="480"/>
        <w:rPr>
          <w:rFonts w:ascii="Times New Roman" w:hAnsi="Times New Roman" w:eastAsia="宋体"/>
          <w:color w:val="auto"/>
          <w:highlight w:val="none"/>
        </w:rPr>
      </w:pPr>
      <w:bookmarkStart w:id="302" w:name="_Toc701"/>
      <w:r>
        <w:rPr>
          <w:rFonts w:hint="eastAsia" w:ascii="Times New Roman" w:hAnsi="Times New Roman" w:eastAsia="宋体"/>
          <w:color w:val="auto"/>
          <w:highlight w:val="none"/>
        </w:rPr>
        <w:t>（3）</w:t>
      </w:r>
      <w:r>
        <w:rPr>
          <w:rFonts w:ascii="Times New Roman" w:hAnsi="Times New Roman" w:eastAsia="宋体"/>
          <w:color w:val="auto"/>
          <w:highlight w:val="none"/>
        </w:rPr>
        <w:t>环保台账制度</w:t>
      </w:r>
      <w:bookmarkEnd w:id="302"/>
    </w:p>
    <w:p w14:paraId="4632D376">
      <w:pPr>
        <w:ind w:firstLine="480"/>
        <w:rPr>
          <w:rFonts w:ascii="Times New Roman" w:hAnsi="Times New Roman" w:eastAsia="宋体"/>
          <w:color w:val="auto"/>
          <w:highlight w:val="none"/>
        </w:rPr>
      </w:pPr>
      <w:bookmarkStart w:id="303" w:name="_Toc12954"/>
      <w:r>
        <w:rPr>
          <w:rFonts w:ascii="Times New Roman" w:hAnsi="Times New Roman" w:eastAsia="宋体"/>
          <w:color w:val="auto"/>
          <w:highlight w:val="none"/>
        </w:rPr>
        <w:t>厂内需完善记录制度和档案保存制度，有利于环境管理质量的追踪和持续改进；记录和台帐包括设施运行和维护记录、危险废物进出台帐、废水、废气污染物监测台帐、所有化学品使用台帐、突发性事件的处理、调查记录等，妥善保存所有记录、台帐及污染物排放监测资料、环境管理档案资料等。</w:t>
      </w:r>
      <w:bookmarkEnd w:id="303"/>
    </w:p>
    <w:p w14:paraId="66C5D1A8">
      <w:pPr>
        <w:ind w:firstLine="480"/>
        <w:rPr>
          <w:rFonts w:ascii="Times New Roman" w:hAnsi="Times New Roman" w:eastAsia="宋体"/>
          <w:color w:val="auto"/>
          <w:highlight w:val="none"/>
        </w:rPr>
      </w:pPr>
      <w:bookmarkStart w:id="304" w:name="_Toc1104"/>
      <w:r>
        <w:rPr>
          <w:rFonts w:hint="eastAsia" w:ascii="Times New Roman" w:hAnsi="Times New Roman" w:eastAsia="宋体"/>
          <w:color w:val="auto"/>
          <w:highlight w:val="none"/>
        </w:rPr>
        <w:t>（4）</w:t>
      </w:r>
      <w:r>
        <w:rPr>
          <w:rFonts w:ascii="Times New Roman" w:hAnsi="Times New Roman" w:eastAsia="宋体"/>
          <w:color w:val="auto"/>
          <w:highlight w:val="none"/>
        </w:rPr>
        <w:t>污染治理设施管理制度</w:t>
      </w:r>
      <w:bookmarkEnd w:id="304"/>
    </w:p>
    <w:p w14:paraId="2DE9F290">
      <w:pPr>
        <w:ind w:firstLine="480"/>
        <w:rPr>
          <w:rFonts w:ascii="Times New Roman" w:hAnsi="Times New Roman" w:eastAsia="宋体"/>
          <w:color w:val="auto"/>
          <w:highlight w:val="none"/>
        </w:rPr>
      </w:pPr>
      <w:bookmarkStart w:id="305" w:name="_Toc24380"/>
      <w:r>
        <w:rPr>
          <w:rFonts w:ascii="Times New Roman" w:hAnsi="Times New Roman" w:eastAsia="宋体"/>
          <w:color w:val="auto"/>
          <w:highlight w:val="none"/>
        </w:rPr>
        <w:t>厂内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其他原辅材料。同时要建立岗位责任制、制定操作规程、建立管理台帐。</w:t>
      </w:r>
      <w:bookmarkEnd w:id="305"/>
    </w:p>
    <w:p w14:paraId="676E03DF">
      <w:pPr>
        <w:ind w:firstLine="480"/>
        <w:rPr>
          <w:rFonts w:ascii="Times New Roman" w:hAnsi="Times New Roman" w:eastAsia="宋体"/>
          <w:color w:val="auto"/>
          <w:highlight w:val="none"/>
        </w:rPr>
      </w:pPr>
      <w:bookmarkStart w:id="306" w:name="_Toc17029"/>
      <w:r>
        <w:rPr>
          <w:rFonts w:hint="eastAsia" w:ascii="Times New Roman" w:hAnsi="Times New Roman" w:eastAsia="宋体"/>
          <w:color w:val="auto"/>
          <w:highlight w:val="none"/>
        </w:rPr>
        <w:t>（5）</w:t>
      </w:r>
      <w:r>
        <w:rPr>
          <w:rFonts w:ascii="Times New Roman" w:hAnsi="Times New Roman" w:eastAsia="宋体"/>
          <w:color w:val="auto"/>
          <w:highlight w:val="none"/>
        </w:rPr>
        <w:t>报告制度</w:t>
      </w:r>
      <w:bookmarkEnd w:id="306"/>
    </w:p>
    <w:p w14:paraId="0846D23E">
      <w:pPr>
        <w:ind w:firstLine="480"/>
        <w:rPr>
          <w:rFonts w:ascii="Times New Roman" w:hAnsi="Times New Roman" w:eastAsia="宋体"/>
          <w:color w:val="auto"/>
          <w:highlight w:val="none"/>
        </w:rPr>
      </w:pPr>
      <w:bookmarkStart w:id="307" w:name="_Toc20462"/>
      <w:r>
        <w:rPr>
          <w:rFonts w:ascii="Times New Roman" w:hAnsi="Times New Roman" w:eastAsia="宋体"/>
          <w:color w:val="auto"/>
          <w:highlight w:val="none"/>
        </w:rPr>
        <w:t>报告内容主要为污染治理设施的运行情况、污染物排放情况及污染事故或污染纠纷等。厂内环境保护相关的所有记录、台帐及污染物排放监测资料、环境管理档案资料等应妥善保存并定期上报，发现污染因子超标，快速果断采取应对措施。建设单位应定期向属地环保部门报告污染治理设施运行情况、污染物排放情况以及污染事故、污染纠纷等情况，便于政府部门及时了解污染动态，以利于采取相应的对策措施。</w:t>
      </w:r>
      <w:bookmarkEnd w:id="307"/>
    </w:p>
    <w:p w14:paraId="2F347991">
      <w:pPr>
        <w:ind w:firstLine="480"/>
        <w:rPr>
          <w:rFonts w:ascii="Times New Roman" w:hAnsi="Times New Roman" w:eastAsia="宋体"/>
          <w:color w:val="auto"/>
          <w:highlight w:val="none"/>
        </w:rPr>
      </w:pPr>
      <w:bookmarkStart w:id="308" w:name="_Toc1940"/>
      <w:r>
        <w:rPr>
          <w:rFonts w:hint="eastAsia" w:ascii="Times New Roman" w:hAnsi="Times New Roman" w:eastAsia="宋体"/>
          <w:color w:val="auto"/>
          <w:highlight w:val="none"/>
        </w:rPr>
        <w:t>（6）</w:t>
      </w:r>
      <w:r>
        <w:rPr>
          <w:rFonts w:ascii="Times New Roman" w:hAnsi="Times New Roman" w:eastAsia="宋体"/>
          <w:color w:val="auto"/>
          <w:highlight w:val="none"/>
        </w:rPr>
        <w:t>环保奖惩制度</w:t>
      </w:r>
      <w:bookmarkEnd w:id="308"/>
    </w:p>
    <w:p w14:paraId="78D2EA0C">
      <w:pPr>
        <w:ind w:firstLine="480"/>
        <w:rPr>
          <w:rFonts w:ascii="Times New Roman" w:hAnsi="Times New Roman" w:eastAsia="宋体"/>
          <w:color w:val="auto"/>
          <w:highlight w:val="none"/>
        </w:rPr>
      </w:pPr>
      <w:bookmarkStart w:id="309" w:name="_Toc28659"/>
      <w:r>
        <w:rPr>
          <w:rFonts w:ascii="Times New Roman" w:hAnsi="Times New Roman" w:eastAsia="宋体"/>
          <w:color w:val="auto"/>
          <w:highlight w:val="none"/>
        </w:rPr>
        <w:t>企业应加强宣传教育，提高员工的污染隐患意识和环境风险意识；制定员工参与环保技术培训的计划，提高员工技术素质水平；设立岗位实责制，制定严格的奖、罚制度。建议企业设置环境保护奖励条例，纳入人员考核体系。对爱护环保设施、节能降耗、改善环境者实行奖励。</w:t>
      </w:r>
      <w:bookmarkEnd w:id="309"/>
    </w:p>
    <w:p w14:paraId="4F195AA0">
      <w:pPr>
        <w:ind w:firstLine="480"/>
        <w:rPr>
          <w:rFonts w:ascii="Times New Roman" w:hAnsi="Times New Roman" w:eastAsia="宋体"/>
          <w:color w:val="auto"/>
          <w:highlight w:val="none"/>
        </w:rPr>
      </w:pPr>
      <w:bookmarkStart w:id="310" w:name="_Toc15374"/>
      <w:r>
        <w:rPr>
          <w:rFonts w:ascii="Times New Roman" w:hAnsi="Times New Roman" w:eastAsia="宋体"/>
          <w:color w:val="auto"/>
          <w:highlight w:val="none"/>
        </w:rPr>
        <w:t>对环保观念淡薄、不按环保管理要求，造成环保设施损坏、环境污染及资源和能源浪费者一律处以重罚。</w:t>
      </w:r>
      <w:bookmarkEnd w:id="310"/>
    </w:p>
    <w:p w14:paraId="1463F34D">
      <w:pPr>
        <w:ind w:firstLine="480"/>
        <w:rPr>
          <w:rFonts w:ascii="Times New Roman" w:hAnsi="Times New Roman" w:eastAsia="宋体"/>
          <w:color w:val="auto"/>
          <w:highlight w:val="none"/>
        </w:rPr>
      </w:pPr>
      <w:bookmarkStart w:id="311" w:name="_Toc28298"/>
      <w:r>
        <w:rPr>
          <w:rFonts w:hint="eastAsia" w:ascii="Times New Roman" w:hAnsi="Times New Roman" w:eastAsia="宋体"/>
          <w:color w:val="auto"/>
          <w:highlight w:val="none"/>
        </w:rPr>
        <w:t>（7）</w:t>
      </w:r>
      <w:r>
        <w:rPr>
          <w:rFonts w:ascii="Times New Roman" w:hAnsi="Times New Roman" w:eastAsia="宋体"/>
          <w:color w:val="auto"/>
          <w:highlight w:val="none"/>
        </w:rPr>
        <w:t>信息公开制度</w:t>
      </w:r>
      <w:bookmarkEnd w:id="311"/>
    </w:p>
    <w:p w14:paraId="214043D1">
      <w:pPr>
        <w:ind w:firstLine="480"/>
        <w:rPr>
          <w:rFonts w:ascii="Times New Roman" w:hAnsi="Times New Roman" w:eastAsia="宋体"/>
          <w:color w:val="auto"/>
          <w:highlight w:val="none"/>
        </w:rPr>
      </w:pPr>
      <w:bookmarkStart w:id="312" w:name="_Toc24420"/>
      <w:r>
        <w:rPr>
          <w:rFonts w:ascii="Times New Roman" w:hAnsi="Times New Roman" w:eastAsia="宋体"/>
          <w:color w:val="auto"/>
          <w:highlight w:val="none"/>
        </w:rPr>
        <w:t>建设单位在环评编制、审批、排污许可证申请、竣工环保验收、正常运行等各阶段均应按照有关要求，通过网站或者其他便于公众知悉的方式，依法向社会公开本项目污染物排放清单，明确污染物排放的管理要求。包括工程组成及原辅材料组分要求，建设项目采取的环境保护措施及主要运行参数，排放的污染物种类、排放浓度和总量指标，排污口信息，执行的环境标准，环境风险防范措施以及环境监测等相关内容。</w:t>
      </w:r>
      <w:bookmarkEnd w:id="312"/>
    </w:p>
    <w:bookmarkEnd w:id="268"/>
    <w:bookmarkEnd w:id="269"/>
    <w:bookmarkEnd w:id="270"/>
    <w:bookmarkEnd w:id="271"/>
    <w:bookmarkEnd w:id="272"/>
    <w:bookmarkEnd w:id="273"/>
    <w:bookmarkEnd w:id="274"/>
    <w:bookmarkEnd w:id="275"/>
    <w:bookmarkEnd w:id="276"/>
    <w:bookmarkEnd w:id="277"/>
    <w:bookmarkEnd w:id="278"/>
    <w:bookmarkEnd w:id="279"/>
    <w:bookmarkEnd w:id="280"/>
    <w:p w14:paraId="44ACFD7E">
      <w:pPr>
        <w:pStyle w:val="5"/>
        <w:rPr>
          <w:rFonts w:ascii="Times New Roman" w:hAnsi="Times New Roman" w:eastAsia="宋体"/>
          <w:color w:val="auto"/>
          <w:highlight w:val="none"/>
        </w:rPr>
      </w:pPr>
      <w:bookmarkStart w:id="313" w:name="_Toc106663549"/>
      <w:r>
        <w:rPr>
          <w:rFonts w:hint="eastAsia" w:ascii="Times New Roman" w:hAnsi="Times New Roman" w:eastAsia="宋体"/>
          <w:color w:val="auto"/>
          <w:highlight w:val="none"/>
        </w:rPr>
        <w:t>8.1.3制定环境管理计划</w:t>
      </w:r>
      <w:bookmarkEnd w:id="313"/>
    </w:p>
    <w:p w14:paraId="6D97B4C5">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8.1.3.1施工期环境管理要求</w:t>
      </w:r>
    </w:p>
    <w:p w14:paraId="19DF0800">
      <w:pPr>
        <w:ind w:firstLine="480"/>
        <w:rPr>
          <w:rFonts w:ascii="Times New Roman" w:hAnsi="Times New Roman" w:eastAsia="宋体"/>
          <w:color w:val="auto"/>
          <w:highlight w:val="none"/>
        </w:rPr>
      </w:pPr>
      <w:r>
        <w:rPr>
          <w:rFonts w:hint="eastAsia" w:ascii="Times New Roman" w:hAnsi="Times New Roman" w:eastAsia="宋体"/>
          <w:color w:val="auto"/>
          <w:highlight w:val="none"/>
        </w:rPr>
        <w:t>针对项目施工期的环境的影响，采取以下措施：</w:t>
      </w:r>
    </w:p>
    <w:p w14:paraId="2FDB5C13">
      <w:pPr>
        <w:ind w:firstLine="480"/>
        <w:rPr>
          <w:rFonts w:ascii="Times New Roman" w:hAnsi="Times New Roman" w:eastAsia="宋体"/>
          <w:color w:val="auto"/>
          <w:highlight w:val="none"/>
        </w:rPr>
      </w:pPr>
      <w:r>
        <w:rPr>
          <w:rFonts w:hint="eastAsia" w:ascii="Times New Roman" w:hAnsi="Times New Roman" w:eastAsia="宋体"/>
          <w:color w:val="auto"/>
          <w:highlight w:val="none"/>
        </w:rPr>
        <w:t>（1）本项目属于新建项目，建设单位要求施工方采取水、气、声、生态保护及水土保持措施等，将环保工作的执行情况作为工程验收的标准之一等。</w:t>
      </w:r>
    </w:p>
    <w:p w14:paraId="2D80B71C">
      <w:pPr>
        <w:ind w:firstLine="480"/>
        <w:rPr>
          <w:rFonts w:ascii="Times New Roman" w:hAnsi="Times New Roman" w:eastAsia="宋体"/>
          <w:color w:val="auto"/>
          <w:highlight w:val="none"/>
        </w:rPr>
      </w:pPr>
      <w:r>
        <w:rPr>
          <w:rFonts w:hint="eastAsia" w:ascii="Times New Roman" w:hAnsi="Times New Roman" w:eastAsia="宋体"/>
          <w:color w:val="auto"/>
          <w:highlight w:val="none"/>
        </w:rPr>
        <w:t>（2）施工承包方应明确管理人员、职责等，并按照其承包施工段的环保要求，编制详细的</w:t>
      </w:r>
      <w:r>
        <w:rPr>
          <w:rFonts w:hint="eastAsia"/>
          <w:color w:val="auto"/>
          <w:highlight w:val="none"/>
          <w:lang w:eastAsia="zh-CN"/>
        </w:rPr>
        <w:t>”</w:t>
      </w:r>
      <w:r>
        <w:rPr>
          <w:rFonts w:hint="eastAsia" w:ascii="Times New Roman" w:hAnsi="Times New Roman" w:eastAsia="宋体"/>
          <w:color w:val="auto"/>
          <w:highlight w:val="none"/>
        </w:rPr>
        <w:t>工程施工环境管理方案</w:t>
      </w:r>
      <w:r>
        <w:rPr>
          <w:rFonts w:hint="eastAsia"/>
          <w:color w:val="auto"/>
          <w:highlight w:val="none"/>
          <w:lang w:eastAsia="zh-CN"/>
        </w:rPr>
        <w:t>”</w:t>
      </w:r>
      <w:r>
        <w:rPr>
          <w:rFonts w:hint="eastAsia" w:ascii="Times New Roman" w:hAnsi="Times New Roman" w:eastAsia="宋体"/>
          <w:color w:val="auto"/>
          <w:highlight w:val="none"/>
        </w:rPr>
        <w:t>，连同施工计划一起呈报业主环保管理部门以及相关的地方环保部门，前期工程进行回顾性分析。</w:t>
      </w:r>
    </w:p>
    <w:p w14:paraId="331B5F36">
      <w:pPr>
        <w:ind w:firstLine="480"/>
        <w:rPr>
          <w:rFonts w:ascii="Times New Roman" w:hAnsi="Times New Roman" w:eastAsia="宋体"/>
          <w:color w:val="auto"/>
          <w:highlight w:val="none"/>
        </w:rPr>
      </w:pPr>
      <w:r>
        <w:rPr>
          <w:rFonts w:hint="eastAsia" w:ascii="Times New Roman" w:hAnsi="Times New Roman" w:eastAsia="宋体"/>
          <w:color w:val="auto"/>
          <w:highlight w:val="none"/>
        </w:rPr>
        <w:t>（3）在施工作业之前，对全体施工人员进行培训，包括环保知识、意识和能力的培训。在施工作业过程中，施工承包方应严格执行批准的工程施工环境管理方案，并认真落实各项环境保护措施。</w:t>
      </w:r>
    </w:p>
    <w:p w14:paraId="08E9C165">
      <w:pPr>
        <w:ind w:firstLine="480"/>
        <w:rPr>
          <w:rFonts w:ascii="Times New Roman" w:hAnsi="Times New Roman" w:eastAsia="宋体"/>
          <w:color w:val="auto"/>
          <w:highlight w:val="none"/>
        </w:rPr>
      </w:pPr>
      <w:r>
        <w:rPr>
          <w:rFonts w:hint="eastAsia" w:ascii="Times New Roman" w:hAnsi="Times New Roman" w:eastAsia="宋体"/>
          <w:color w:val="auto"/>
          <w:highlight w:val="none"/>
        </w:rPr>
        <w:t>（4）建议对该工程实施工程环境监督机制，并纳入到整体工程监理当中。环境监督工作方式以定期巡查为主，对存在重大环境问题隐患的施工区随时进行跟踪检查，做好记录，及时处理。监督环评报告书提出的环保措施得到落实，通过工程监理发出指令来控制施工中的环境问题。</w:t>
      </w:r>
    </w:p>
    <w:p w14:paraId="0C341483">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8.1.3.2运营期环境管理要求</w:t>
      </w:r>
    </w:p>
    <w:p w14:paraId="3C687ED7">
      <w:pPr>
        <w:ind w:firstLine="480"/>
        <w:rPr>
          <w:rFonts w:ascii="Times New Roman" w:hAnsi="Times New Roman" w:eastAsia="宋体"/>
          <w:color w:val="auto"/>
          <w:highlight w:val="none"/>
        </w:rPr>
      </w:pPr>
      <w:r>
        <w:rPr>
          <w:rFonts w:hint="eastAsia" w:ascii="Times New Roman" w:hAnsi="Times New Roman" w:eastAsia="宋体"/>
          <w:color w:val="auto"/>
          <w:highlight w:val="none"/>
        </w:rPr>
        <w:t>运营期环境管理主要包括以下几方面：</w:t>
      </w:r>
    </w:p>
    <w:p w14:paraId="1B304314">
      <w:pPr>
        <w:ind w:firstLine="480"/>
        <w:rPr>
          <w:rFonts w:ascii="Times New Roman" w:hAnsi="Times New Roman" w:eastAsia="宋体"/>
          <w:color w:val="auto"/>
          <w:highlight w:val="none"/>
        </w:rPr>
      </w:pPr>
      <w:r>
        <w:rPr>
          <w:rFonts w:hint="eastAsia" w:ascii="Times New Roman" w:hAnsi="Times New Roman" w:eastAsia="宋体"/>
          <w:color w:val="auto"/>
          <w:highlight w:val="none"/>
        </w:rPr>
        <w:t>（1）检查本项目生产运营过程中是否对圈舍的畜禽粪及时清理冲洗，污粪收集至</w:t>
      </w:r>
      <w:r>
        <w:rPr>
          <w:rFonts w:hint="eastAsia"/>
          <w:color w:val="auto"/>
          <w:highlight w:val="none"/>
          <w:lang w:eastAsia="zh-CN"/>
        </w:rPr>
        <w:t>废水收集池</w:t>
      </w:r>
      <w:r>
        <w:rPr>
          <w:rFonts w:hint="eastAsia" w:ascii="Times New Roman" w:hAnsi="Times New Roman" w:eastAsia="宋体"/>
          <w:color w:val="auto"/>
          <w:highlight w:val="none"/>
        </w:rPr>
        <w:t>，臭气防护的效果是否符合有关标准。</w:t>
      </w:r>
    </w:p>
    <w:p w14:paraId="4197C8F9">
      <w:pPr>
        <w:ind w:firstLine="480"/>
        <w:rPr>
          <w:rFonts w:ascii="Times New Roman" w:hAnsi="Times New Roman" w:eastAsia="宋体"/>
          <w:color w:val="auto"/>
          <w:highlight w:val="none"/>
        </w:rPr>
      </w:pPr>
      <w:r>
        <w:rPr>
          <w:rFonts w:hint="eastAsia" w:ascii="Times New Roman" w:hAnsi="Times New Roman" w:eastAsia="宋体"/>
          <w:color w:val="auto"/>
          <w:highlight w:val="none"/>
        </w:rPr>
        <w:t>（2）检查企业是否对生产过程中产生生活污水进行了无害化处理。</w:t>
      </w:r>
      <w:r>
        <w:rPr>
          <w:rFonts w:hint="eastAsia"/>
          <w:color w:val="auto"/>
          <w:highlight w:val="none"/>
          <w:lang w:eastAsia="zh-CN"/>
        </w:rPr>
        <w:t>废水收集池</w:t>
      </w:r>
      <w:r>
        <w:rPr>
          <w:rFonts w:hint="eastAsia" w:ascii="Times New Roman" w:hAnsi="Times New Roman" w:eastAsia="宋体"/>
          <w:color w:val="auto"/>
          <w:highlight w:val="none"/>
        </w:rPr>
        <w:t>应建立规范的运行管理和操作责任制度，搞好设备维护。对排放废水水质进行监控，严禁不达标废水排放。</w:t>
      </w:r>
    </w:p>
    <w:p w14:paraId="69A79610">
      <w:pPr>
        <w:ind w:firstLine="480"/>
        <w:rPr>
          <w:rFonts w:ascii="Times New Roman" w:hAnsi="Times New Roman" w:eastAsia="宋体"/>
          <w:color w:val="auto"/>
          <w:highlight w:val="none"/>
        </w:rPr>
      </w:pPr>
      <w:r>
        <w:rPr>
          <w:rFonts w:hint="eastAsia" w:ascii="Times New Roman" w:hAnsi="Times New Roman" w:eastAsia="宋体"/>
          <w:color w:val="auto"/>
          <w:highlight w:val="none"/>
        </w:rPr>
        <w:t>（3）厂区产生噪声的设备如风机、水泵是否为国家禁止生产、销售、使用的淘汰产品。一些设备在运行了一段时期后，会产生额外的噪声与振动，也会使噪声值升高，应监督企业加强设备的维护，及时更换磨损部件，降低噪声，以确保厂界噪声满足标准要求。定期对厂界进行噪声监测，发现噪声超标应及时采取有效措施。</w:t>
      </w:r>
    </w:p>
    <w:p w14:paraId="43F953F6">
      <w:pPr>
        <w:ind w:firstLine="480"/>
        <w:rPr>
          <w:rFonts w:ascii="Times New Roman" w:hAnsi="Times New Roman" w:eastAsia="宋体"/>
          <w:color w:val="auto"/>
          <w:highlight w:val="none"/>
        </w:rPr>
      </w:pPr>
      <w:r>
        <w:rPr>
          <w:rFonts w:hint="eastAsia" w:ascii="Times New Roman" w:hAnsi="Times New Roman" w:eastAsia="宋体"/>
          <w:color w:val="auto"/>
          <w:highlight w:val="none"/>
        </w:rPr>
        <w:t>（4）检查企业是否对生产过程中产生的畜禽粪、污泥进行合理的用于生产有机肥，病死畜禽尸体是否采用无害化处理。监督企业不准将未处理的固体废物随意排放。</w:t>
      </w:r>
    </w:p>
    <w:p w14:paraId="63915A9B">
      <w:pPr>
        <w:ind w:firstLine="480"/>
        <w:rPr>
          <w:rFonts w:ascii="Times New Roman" w:hAnsi="Times New Roman" w:eastAsia="宋体"/>
          <w:color w:val="auto"/>
          <w:highlight w:val="none"/>
        </w:rPr>
      </w:pPr>
      <w:r>
        <w:rPr>
          <w:rFonts w:hint="eastAsia" w:ascii="Times New Roman" w:hAnsi="Times New Roman" w:eastAsia="宋体"/>
          <w:color w:val="auto"/>
          <w:highlight w:val="none"/>
        </w:rPr>
        <w:t>（5）厂界周围进行绿化，选择净化效率高的物种，建立绿化带；</w:t>
      </w:r>
    </w:p>
    <w:p w14:paraId="576CCE4F">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本项目环境管理措施及要求见表8.1-1。</w:t>
      </w:r>
    </w:p>
    <w:p w14:paraId="2D5B36F9">
      <w:pPr>
        <w:pStyle w:val="10"/>
        <w:rPr>
          <w:rFonts w:ascii="Times New Roman" w:hAnsi="Times New Roman" w:eastAsia="宋体"/>
          <w:color w:val="auto"/>
          <w:highlight w:val="none"/>
        </w:rPr>
      </w:pPr>
      <w:r>
        <w:rPr>
          <w:rFonts w:hint="eastAsia" w:ascii="Times New Roman" w:hAnsi="Times New Roman" w:eastAsia="宋体"/>
          <w:color w:val="auto"/>
          <w:highlight w:val="none"/>
        </w:rPr>
        <w:t>表8.1-1环境管理措施及要求一览表</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5250"/>
        <w:gridCol w:w="1077"/>
        <w:gridCol w:w="1091"/>
      </w:tblGrid>
      <w:tr w14:paraId="092F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pct"/>
            <w:vAlign w:val="center"/>
          </w:tcPr>
          <w:p w14:paraId="2A640A35">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建设阶段</w:t>
            </w:r>
          </w:p>
        </w:tc>
        <w:tc>
          <w:tcPr>
            <w:tcW w:w="3080" w:type="pct"/>
            <w:vAlign w:val="center"/>
          </w:tcPr>
          <w:p w14:paraId="4C1CDF9E">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环境监控管理措施</w:t>
            </w:r>
          </w:p>
        </w:tc>
        <w:tc>
          <w:tcPr>
            <w:tcW w:w="632" w:type="pct"/>
            <w:vAlign w:val="center"/>
          </w:tcPr>
          <w:p w14:paraId="24A1D9B6">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实施方</w:t>
            </w:r>
          </w:p>
        </w:tc>
        <w:tc>
          <w:tcPr>
            <w:tcW w:w="640" w:type="pct"/>
            <w:vAlign w:val="center"/>
          </w:tcPr>
          <w:p w14:paraId="542F58AA">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监督管理</w:t>
            </w:r>
          </w:p>
        </w:tc>
      </w:tr>
      <w:tr w14:paraId="6D87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Align w:val="center"/>
          </w:tcPr>
          <w:p w14:paraId="2E4EFAAD">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施工期</w:t>
            </w:r>
          </w:p>
        </w:tc>
        <w:tc>
          <w:tcPr>
            <w:tcW w:w="3080" w:type="pct"/>
            <w:vAlign w:val="center"/>
          </w:tcPr>
          <w:p w14:paraId="4E44B633">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（1）注意控制施工现场对地面的扰动，减少扬尘；</w:t>
            </w:r>
          </w:p>
          <w:p w14:paraId="539B3DC7">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（2）施工完毕及时清理现场垃圾；</w:t>
            </w:r>
          </w:p>
          <w:p w14:paraId="1F2A1DDE">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（3）加强施工管理，禁止现场随意乱排生活污水；</w:t>
            </w:r>
          </w:p>
          <w:p w14:paraId="21C1D157">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（4）环保投资、环保措施</w:t>
            </w:r>
            <w:r>
              <w:rPr>
                <w:rFonts w:hint="eastAsia"/>
                <w:color w:val="auto"/>
                <w:kern w:val="2"/>
                <w:sz w:val="21"/>
                <w:szCs w:val="21"/>
                <w:highlight w:val="none"/>
                <w:lang w:eastAsia="zh-CN"/>
              </w:rPr>
              <w:t>”</w:t>
            </w:r>
            <w:r>
              <w:rPr>
                <w:rFonts w:ascii="Times New Roman" w:hAnsi="Times New Roman" w:eastAsia="宋体"/>
                <w:color w:val="auto"/>
                <w:kern w:val="2"/>
                <w:sz w:val="21"/>
                <w:szCs w:val="21"/>
                <w:highlight w:val="none"/>
              </w:rPr>
              <w:t>三同时</w:t>
            </w:r>
            <w:r>
              <w:rPr>
                <w:rFonts w:hint="eastAsia"/>
                <w:color w:val="auto"/>
                <w:kern w:val="2"/>
                <w:sz w:val="21"/>
                <w:szCs w:val="21"/>
                <w:highlight w:val="none"/>
                <w:lang w:eastAsia="zh-CN"/>
              </w:rPr>
              <w:t>”</w:t>
            </w:r>
            <w:r>
              <w:rPr>
                <w:rFonts w:ascii="Times New Roman" w:hAnsi="Times New Roman" w:eastAsia="宋体"/>
                <w:color w:val="auto"/>
                <w:kern w:val="2"/>
                <w:sz w:val="21"/>
                <w:szCs w:val="21"/>
                <w:highlight w:val="none"/>
              </w:rPr>
              <w:t>。</w:t>
            </w:r>
          </w:p>
        </w:tc>
        <w:tc>
          <w:tcPr>
            <w:tcW w:w="632" w:type="pct"/>
            <w:vAlign w:val="center"/>
          </w:tcPr>
          <w:p w14:paraId="6C5FC23B">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施工单位、建设单位</w:t>
            </w:r>
          </w:p>
        </w:tc>
        <w:tc>
          <w:tcPr>
            <w:tcW w:w="640" w:type="pct"/>
            <w:vMerge w:val="restart"/>
            <w:vAlign w:val="center"/>
          </w:tcPr>
          <w:p w14:paraId="0C3C0F23">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昌吉州生态环境局、环境监察大队</w:t>
            </w:r>
          </w:p>
        </w:tc>
      </w:tr>
      <w:tr w14:paraId="6852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648" w:type="pct"/>
            <w:vMerge w:val="restart"/>
            <w:vAlign w:val="center"/>
          </w:tcPr>
          <w:p w14:paraId="6AE3FC2C">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运营期</w:t>
            </w:r>
          </w:p>
        </w:tc>
        <w:tc>
          <w:tcPr>
            <w:tcW w:w="3080" w:type="pct"/>
            <w:vAlign w:val="center"/>
          </w:tcPr>
          <w:p w14:paraId="03FFAA32">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（1）废气治理</w:t>
            </w:r>
          </w:p>
          <w:p w14:paraId="179C6375">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1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①</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圈舍的恶臭气体以无组织形式排放；</w:t>
            </w:r>
          </w:p>
          <w:p w14:paraId="334A5D04">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2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②</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定期对臭气排放进行监测，环保设施严格控制、定期检查、减少臭气排放；</w:t>
            </w:r>
          </w:p>
          <w:p w14:paraId="1F393FD0">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3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③</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加强环保设施维护工作，保持其正常运行</w:t>
            </w:r>
          </w:p>
        </w:tc>
        <w:tc>
          <w:tcPr>
            <w:tcW w:w="632" w:type="pct"/>
            <w:vAlign w:val="center"/>
          </w:tcPr>
          <w:p w14:paraId="30F9DCC3">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建设单位</w:t>
            </w:r>
          </w:p>
        </w:tc>
        <w:tc>
          <w:tcPr>
            <w:tcW w:w="640" w:type="pct"/>
            <w:vMerge w:val="continue"/>
            <w:vAlign w:val="center"/>
          </w:tcPr>
          <w:p w14:paraId="4806DB0B">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1934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14:paraId="2F4E0984">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3080" w:type="pct"/>
            <w:vAlign w:val="center"/>
          </w:tcPr>
          <w:p w14:paraId="78330404">
            <w:pPr>
              <w:snapToGrid w:val="0"/>
              <w:spacing w:line="240" w:lineRule="auto"/>
              <w:ind w:firstLine="0" w:firstLineChars="0"/>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（2）</w:t>
            </w:r>
            <w:r>
              <w:rPr>
                <w:rFonts w:ascii="Times New Roman" w:hAnsi="Times New Roman" w:eastAsia="宋体"/>
                <w:color w:val="auto"/>
                <w:kern w:val="2"/>
                <w:sz w:val="21"/>
                <w:szCs w:val="21"/>
                <w:highlight w:val="none"/>
              </w:rPr>
              <w:t>加强管理，保证粪污处理设施正常运行。</w:t>
            </w:r>
          </w:p>
        </w:tc>
        <w:tc>
          <w:tcPr>
            <w:tcW w:w="632" w:type="pct"/>
            <w:vAlign w:val="center"/>
          </w:tcPr>
          <w:p w14:paraId="547DE143">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建设单位</w:t>
            </w:r>
          </w:p>
        </w:tc>
        <w:tc>
          <w:tcPr>
            <w:tcW w:w="640" w:type="pct"/>
            <w:vMerge w:val="continue"/>
            <w:vAlign w:val="center"/>
          </w:tcPr>
          <w:p w14:paraId="1E3B176C">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5FAB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14:paraId="1FE946F3">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3080" w:type="pct"/>
            <w:vAlign w:val="center"/>
          </w:tcPr>
          <w:p w14:paraId="5E8CC5F0">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（3）噪声</w:t>
            </w:r>
          </w:p>
          <w:p w14:paraId="5D8BC8F5">
            <w:pPr>
              <w:snapToGrid w:val="0"/>
              <w:spacing w:line="240" w:lineRule="auto"/>
              <w:ind w:firstLine="0" w:firstLineChars="0"/>
              <w:rPr>
                <w:rFonts w:ascii="Times New Roman" w:hAnsi="Times New Roman" w:eastAsia="宋体"/>
                <w:color w:val="auto"/>
                <w:kern w:val="2"/>
                <w:sz w:val="21"/>
                <w:szCs w:val="21"/>
                <w:highlight w:val="none"/>
              </w:rPr>
            </w:pPr>
            <w:r>
              <w:rPr>
                <w:rFonts w:hint="eastAsia" w:ascii="Times New Roman" w:hAnsi="Times New Roman" w:eastAsia="宋体" w:cs="宋体"/>
                <w:color w:val="auto"/>
                <w:kern w:val="2"/>
                <w:sz w:val="21"/>
                <w:szCs w:val="21"/>
                <w:highlight w:val="none"/>
              </w:rPr>
              <w:t>①</w:t>
            </w:r>
            <w:r>
              <w:rPr>
                <w:rFonts w:ascii="Times New Roman" w:hAnsi="Times New Roman" w:eastAsia="宋体"/>
                <w:color w:val="auto"/>
                <w:kern w:val="2"/>
                <w:sz w:val="21"/>
                <w:szCs w:val="21"/>
                <w:highlight w:val="none"/>
              </w:rPr>
              <w:t>选用低噪声设备及必要的隔声、减震措施；</w:t>
            </w:r>
          </w:p>
          <w:p w14:paraId="0DE33329">
            <w:pPr>
              <w:snapToGrid w:val="0"/>
              <w:spacing w:line="240" w:lineRule="auto"/>
              <w:ind w:firstLine="0" w:firstLineChars="0"/>
              <w:rPr>
                <w:rFonts w:ascii="Times New Roman" w:hAnsi="Times New Roman" w:eastAsia="宋体"/>
                <w:color w:val="auto"/>
                <w:kern w:val="2"/>
                <w:sz w:val="21"/>
                <w:szCs w:val="21"/>
                <w:highlight w:val="none"/>
              </w:rPr>
            </w:pPr>
            <w:r>
              <w:rPr>
                <w:rFonts w:hint="eastAsia" w:ascii="Times New Roman" w:hAnsi="Times New Roman" w:eastAsia="宋体" w:cs="宋体"/>
                <w:color w:val="auto"/>
                <w:kern w:val="2"/>
                <w:sz w:val="21"/>
                <w:szCs w:val="21"/>
                <w:highlight w:val="none"/>
              </w:rPr>
              <w:t>②</w:t>
            </w:r>
            <w:r>
              <w:rPr>
                <w:rFonts w:ascii="Times New Roman" w:hAnsi="Times New Roman" w:eastAsia="宋体"/>
                <w:color w:val="auto"/>
                <w:kern w:val="2"/>
                <w:sz w:val="21"/>
                <w:szCs w:val="21"/>
                <w:highlight w:val="none"/>
              </w:rPr>
              <w:t>保持设备良好的运营工况，及时维修检修。</w:t>
            </w:r>
          </w:p>
        </w:tc>
        <w:tc>
          <w:tcPr>
            <w:tcW w:w="632" w:type="pct"/>
            <w:vAlign w:val="center"/>
          </w:tcPr>
          <w:p w14:paraId="625B890B">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建设单位</w:t>
            </w:r>
          </w:p>
        </w:tc>
        <w:tc>
          <w:tcPr>
            <w:tcW w:w="640" w:type="pct"/>
            <w:vMerge w:val="continue"/>
            <w:vAlign w:val="center"/>
          </w:tcPr>
          <w:p w14:paraId="5E70E743">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738A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14:paraId="53795213">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3080" w:type="pct"/>
            <w:vAlign w:val="center"/>
          </w:tcPr>
          <w:p w14:paraId="6F6D35AA">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（4）固体废物</w:t>
            </w:r>
          </w:p>
          <w:p w14:paraId="2A5BECB9">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1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①</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粪便污泥均</w:t>
            </w:r>
            <w:r>
              <w:rPr>
                <w:rFonts w:hint="eastAsia"/>
                <w:color w:val="auto"/>
                <w:kern w:val="2"/>
                <w:sz w:val="21"/>
                <w:szCs w:val="21"/>
                <w:highlight w:val="none"/>
                <w:lang w:val="en-US" w:eastAsia="zh-CN"/>
              </w:rPr>
              <w:t>外售有机肥厂</w:t>
            </w:r>
            <w:r>
              <w:rPr>
                <w:rFonts w:ascii="Times New Roman" w:hAnsi="Times New Roman" w:eastAsia="宋体"/>
                <w:color w:val="auto"/>
                <w:kern w:val="2"/>
                <w:sz w:val="21"/>
                <w:szCs w:val="21"/>
                <w:highlight w:val="none"/>
              </w:rPr>
              <w:t>；</w:t>
            </w:r>
          </w:p>
          <w:p w14:paraId="20FEAC74">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2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②</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医疗废物等暂存在</w:t>
            </w:r>
            <w:r>
              <w:rPr>
                <w:rFonts w:hint="eastAsia"/>
                <w:color w:val="auto"/>
                <w:kern w:val="2"/>
                <w:sz w:val="21"/>
                <w:szCs w:val="21"/>
                <w:highlight w:val="none"/>
                <w:lang w:eastAsia="zh-CN"/>
              </w:rPr>
              <w:t>医疗废物暂存间</w:t>
            </w:r>
            <w:r>
              <w:rPr>
                <w:rFonts w:ascii="Times New Roman" w:hAnsi="Times New Roman" w:eastAsia="宋体"/>
                <w:color w:val="auto"/>
                <w:kern w:val="2"/>
                <w:sz w:val="21"/>
                <w:szCs w:val="21"/>
                <w:highlight w:val="none"/>
              </w:rPr>
              <w:t>的专用容器内，定期委托当地有资质的单位处理；</w:t>
            </w:r>
          </w:p>
          <w:p w14:paraId="60E6ADE1">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3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③</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病死</w:t>
            </w:r>
            <w:r>
              <w:rPr>
                <w:rFonts w:hint="eastAsia"/>
                <w:color w:val="auto"/>
                <w:kern w:val="2"/>
                <w:sz w:val="21"/>
                <w:szCs w:val="21"/>
                <w:highlight w:val="none"/>
                <w:lang w:val="en-US" w:eastAsia="zh-CN"/>
              </w:rPr>
              <w:t>鸡</w:t>
            </w:r>
            <w:r>
              <w:rPr>
                <w:rFonts w:hint="eastAsia" w:ascii="Times New Roman" w:hAnsi="Times New Roman" w:eastAsia="宋体"/>
                <w:color w:val="auto"/>
                <w:kern w:val="2"/>
                <w:sz w:val="21"/>
                <w:szCs w:val="21"/>
                <w:highlight w:val="none"/>
              </w:rPr>
              <w:t>尸体委托</w:t>
            </w:r>
            <w:r>
              <w:rPr>
                <w:rFonts w:hint="eastAsia"/>
                <w:color w:val="auto"/>
                <w:kern w:val="2"/>
                <w:sz w:val="21"/>
                <w:szCs w:val="21"/>
                <w:highlight w:val="none"/>
                <w:lang w:val="en-US" w:eastAsia="zh-CN"/>
              </w:rPr>
              <w:t>有资质单位</w:t>
            </w:r>
            <w:r>
              <w:rPr>
                <w:rFonts w:hint="eastAsia" w:ascii="Times New Roman" w:hAnsi="Times New Roman" w:eastAsia="宋体"/>
                <w:color w:val="auto"/>
                <w:kern w:val="2"/>
                <w:sz w:val="21"/>
                <w:szCs w:val="21"/>
                <w:highlight w:val="none"/>
              </w:rPr>
              <w:t>处置</w:t>
            </w:r>
            <w:r>
              <w:rPr>
                <w:rFonts w:ascii="Times New Roman" w:hAnsi="Times New Roman" w:eastAsia="宋体"/>
                <w:color w:val="auto"/>
                <w:kern w:val="2"/>
                <w:sz w:val="21"/>
                <w:szCs w:val="21"/>
                <w:highlight w:val="none"/>
              </w:rPr>
              <w:t>；</w:t>
            </w:r>
          </w:p>
          <w:p w14:paraId="24EDF818">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fldChar w:fldCharType="begin"/>
            </w:r>
            <w:r>
              <w:rPr>
                <w:rFonts w:ascii="Times New Roman" w:hAnsi="Times New Roman" w:eastAsia="宋体"/>
                <w:color w:val="auto"/>
                <w:kern w:val="2"/>
                <w:sz w:val="21"/>
                <w:szCs w:val="21"/>
                <w:highlight w:val="none"/>
              </w:rPr>
              <w:instrText xml:space="preserve"> </w:instrText>
            </w:r>
            <w:r>
              <w:rPr>
                <w:rFonts w:hint="eastAsia" w:ascii="Times New Roman" w:hAnsi="Times New Roman" w:eastAsia="宋体"/>
                <w:color w:val="auto"/>
                <w:kern w:val="2"/>
                <w:sz w:val="21"/>
                <w:szCs w:val="21"/>
                <w:highlight w:val="none"/>
              </w:rPr>
              <w:instrText xml:space="preserve">= 4 \* GB3</w:instrText>
            </w:r>
            <w:r>
              <w:rPr>
                <w:rFonts w:ascii="Times New Roman" w:hAnsi="Times New Roman" w:eastAsia="宋体"/>
                <w:color w:val="auto"/>
                <w:kern w:val="2"/>
                <w:sz w:val="21"/>
                <w:szCs w:val="21"/>
                <w:highlight w:val="none"/>
              </w:rPr>
              <w:instrText xml:space="preserve"> </w:instrText>
            </w:r>
            <w:r>
              <w:rPr>
                <w:rFonts w:ascii="Times New Roman" w:hAnsi="Times New Roman" w:eastAsia="宋体"/>
                <w:color w:val="auto"/>
                <w:kern w:val="2"/>
                <w:sz w:val="21"/>
                <w:szCs w:val="21"/>
                <w:highlight w:val="none"/>
              </w:rPr>
              <w:fldChar w:fldCharType="separate"/>
            </w:r>
            <w:r>
              <w:rPr>
                <w:rFonts w:hint="eastAsia" w:ascii="Times New Roman" w:hAnsi="Times New Roman" w:eastAsia="宋体"/>
                <w:color w:val="auto"/>
                <w:kern w:val="2"/>
                <w:sz w:val="21"/>
                <w:szCs w:val="21"/>
                <w:highlight w:val="none"/>
              </w:rPr>
              <w:t>④</w:t>
            </w:r>
            <w:r>
              <w:rPr>
                <w:rFonts w:ascii="Times New Roman" w:hAnsi="Times New Roman" w:eastAsia="宋体"/>
                <w:color w:val="auto"/>
                <w:kern w:val="2"/>
                <w:sz w:val="21"/>
                <w:szCs w:val="21"/>
                <w:highlight w:val="none"/>
              </w:rPr>
              <w:fldChar w:fldCharType="end"/>
            </w:r>
            <w:r>
              <w:rPr>
                <w:rFonts w:ascii="Times New Roman" w:hAnsi="Times New Roman" w:eastAsia="宋体"/>
                <w:color w:val="auto"/>
                <w:kern w:val="2"/>
                <w:sz w:val="21"/>
                <w:szCs w:val="21"/>
                <w:highlight w:val="none"/>
              </w:rPr>
              <w:t>生活垃圾委托环卫部门定期统一清运。</w:t>
            </w:r>
          </w:p>
        </w:tc>
        <w:tc>
          <w:tcPr>
            <w:tcW w:w="632" w:type="pct"/>
            <w:vAlign w:val="center"/>
          </w:tcPr>
          <w:p w14:paraId="29B85340">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建设单位</w:t>
            </w:r>
          </w:p>
        </w:tc>
        <w:tc>
          <w:tcPr>
            <w:tcW w:w="640" w:type="pct"/>
            <w:vMerge w:val="continue"/>
            <w:vAlign w:val="center"/>
          </w:tcPr>
          <w:p w14:paraId="4DCAF33A">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6B68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14:paraId="6735EE30">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3080" w:type="pct"/>
            <w:vAlign w:val="center"/>
          </w:tcPr>
          <w:p w14:paraId="036A172B">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（5）生态保护</w:t>
            </w:r>
          </w:p>
          <w:p w14:paraId="2EEF82C3">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加强厂区及外围绿化，厂区绿化系数达到</w:t>
            </w:r>
            <w:r>
              <w:rPr>
                <w:rFonts w:hint="eastAsia" w:ascii="Times New Roman" w:hAnsi="Times New Roman" w:eastAsia="宋体"/>
                <w:color w:val="auto"/>
                <w:kern w:val="2"/>
                <w:sz w:val="21"/>
                <w:szCs w:val="21"/>
                <w:highlight w:val="none"/>
              </w:rPr>
              <w:t>1</w:t>
            </w:r>
            <w:r>
              <w:rPr>
                <w:rFonts w:ascii="Times New Roman" w:hAnsi="Times New Roman" w:eastAsia="宋体"/>
                <w:color w:val="auto"/>
                <w:kern w:val="2"/>
                <w:sz w:val="21"/>
                <w:szCs w:val="21"/>
                <w:highlight w:val="none"/>
              </w:rPr>
              <w:t>%的要求。</w:t>
            </w:r>
          </w:p>
        </w:tc>
        <w:tc>
          <w:tcPr>
            <w:tcW w:w="632" w:type="pct"/>
            <w:vAlign w:val="center"/>
          </w:tcPr>
          <w:p w14:paraId="111E8411">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建设单位</w:t>
            </w:r>
          </w:p>
        </w:tc>
        <w:tc>
          <w:tcPr>
            <w:tcW w:w="640" w:type="pct"/>
            <w:vMerge w:val="continue"/>
            <w:vAlign w:val="center"/>
          </w:tcPr>
          <w:p w14:paraId="14B330D8">
            <w:pPr>
              <w:snapToGrid w:val="0"/>
              <w:spacing w:line="240" w:lineRule="auto"/>
              <w:ind w:firstLine="0" w:firstLineChars="0"/>
              <w:jc w:val="center"/>
              <w:rPr>
                <w:rFonts w:ascii="Times New Roman" w:hAnsi="Times New Roman" w:eastAsia="宋体"/>
                <w:color w:val="auto"/>
                <w:kern w:val="2"/>
                <w:sz w:val="21"/>
                <w:szCs w:val="21"/>
                <w:highlight w:val="none"/>
              </w:rPr>
            </w:pPr>
          </w:p>
        </w:tc>
      </w:tr>
      <w:tr w14:paraId="67F9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pct"/>
            <w:vMerge w:val="continue"/>
            <w:vAlign w:val="center"/>
          </w:tcPr>
          <w:p w14:paraId="079B2D66">
            <w:pPr>
              <w:snapToGrid w:val="0"/>
              <w:spacing w:line="240" w:lineRule="auto"/>
              <w:ind w:firstLine="0" w:firstLineChars="0"/>
              <w:jc w:val="center"/>
              <w:rPr>
                <w:rFonts w:ascii="Times New Roman" w:hAnsi="Times New Roman" w:eastAsia="宋体"/>
                <w:color w:val="auto"/>
                <w:kern w:val="2"/>
                <w:sz w:val="21"/>
                <w:szCs w:val="21"/>
                <w:highlight w:val="none"/>
              </w:rPr>
            </w:pPr>
          </w:p>
        </w:tc>
        <w:tc>
          <w:tcPr>
            <w:tcW w:w="3080" w:type="pct"/>
            <w:vAlign w:val="center"/>
          </w:tcPr>
          <w:p w14:paraId="57E4B5DF">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（6）环境管理</w:t>
            </w:r>
          </w:p>
          <w:p w14:paraId="24A586CE">
            <w:pPr>
              <w:snapToGrid w:val="0"/>
              <w:spacing w:line="240" w:lineRule="auto"/>
              <w:ind w:firstLine="0" w:firstLineChars="0"/>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建立经常性环境监测制度，完善厂、工段、班组环保机构及环境目标管理。</w:t>
            </w:r>
          </w:p>
        </w:tc>
        <w:tc>
          <w:tcPr>
            <w:tcW w:w="632" w:type="pct"/>
            <w:vAlign w:val="center"/>
          </w:tcPr>
          <w:p w14:paraId="0758508D">
            <w:pPr>
              <w:snapToGrid w:val="0"/>
              <w:spacing w:line="240" w:lineRule="auto"/>
              <w:ind w:firstLine="0" w:firstLineChars="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建设单位</w:t>
            </w:r>
          </w:p>
        </w:tc>
        <w:tc>
          <w:tcPr>
            <w:tcW w:w="640" w:type="pct"/>
            <w:vMerge w:val="continue"/>
            <w:vAlign w:val="center"/>
          </w:tcPr>
          <w:p w14:paraId="4BA17C0F">
            <w:pPr>
              <w:snapToGrid w:val="0"/>
              <w:spacing w:line="240" w:lineRule="auto"/>
              <w:ind w:firstLine="0" w:firstLineChars="0"/>
              <w:jc w:val="center"/>
              <w:rPr>
                <w:rFonts w:ascii="Times New Roman" w:hAnsi="Times New Roman" w:eastAsia="宋体"/>
                <w:color w:val="auto"/>
                <w:kern w:val="2"/>
                <w:sz w:val="21"/>
                <w:szCs w:val="21"/>
                <w:highlight w:val="none"/>
              </w:rPr>
            </w:pPr>
          </w:p>
        </w:tc>
      </w:tr>
    </w:tbl>
    <w:p w14:paraId="52A58D72">
      <w:pPr>
        <w:pStyle w:val="5"/>
        <w:rPr>
          <w:rFonts w:ascii="Times New Roman" w:hAnsi="Times New Roman" w:eastAsia="宋体"/>
          <w:color w:val="auto"/>
          <w:highlight w:val="none"/>
        </w:rPr>
      </w:pPr>
      <w:bookmarkStart w:id="314" w:name="_Toc106663550"/>
      <w:r>
        <w:rPr>
          <w:rFonts w:ascii="Times New Roman" w:hAnsi="Times New Roman" w:eastAsia="宋体"/>
          <w:color w:val="auto"/>
          <w:highlight w:val="none"/>
        </w:rPr>
        <w:t>8.1.4排污</w:t>
      </w:r>
      <w:r>
        <w:rPr>
          <w:rFonts w:hint="eastAsia" w:ascii="Times New Roman" w:hAnsi="Times New Roman" w:eastAsia="宋体"/>
          <w:color w:val="auto"/>
          <w:highlight w:val="none"/>
        </w:rPr>
        <w:t>口规范化设置</w:t>
      </w:r>
      <w:bookmarkEnd w:id="314"/>
    </w:p>
    <w:p w14:paraId="330A1E60">
      <w:pPr>
        <w:ind w:firstLine="480"/>
        <w:rPr>
          <w:rFonts w:ascii="Times New Roman" w:hAnsi="Times New Roman" w:eastAsia="宋体"/>
          <w:color w:val="auto"/>
          <w:highlight w:val="none"/>
        </w:rPr>
      </w:pPr>
      <w:r>
        <w:rPr>
          <w:rFonts w:ascii="Times New Roman" w:hAnsi="Times New Roman" w:eastAsia="宋体"/>
          <w:color w:val="auto"/>
          <w:highlight w:val="none"/>
        </w:rPr>
        <w:t>根据《排污许可管理办法（试行）》（环境保护部令第48号），排污单位应当依法持有排污许可证，并按照排污许可证的规定排放污染物。应当取得排污许可证而未取得的，不得排放污染物。固定噪声源、固体废物贮存和排气筒必须按照国家和自治区的有关规定进行建设，应符合</w:t>
      </w:r>
      <w:r>
        <w:rPr>
          <w:rFonts w:hint="eastAsia"/>
          <w:color w:val="auto"/>
          <w:highlight w:val="none"/>
          <w:lang w:eastAsia="zh-CN"/>
        </w:rPr>
        <w:t>”</w:t>
      </w:r>
      <w:r>
        <w:rPr>
          <w:rFonts w:ascii="Times New Roman" w:hAnsi="Times New Roman" w:eastAsia="宋体"/>
          <w:color w:val="auto"/>
          <w:highlight w:val="none"/>
        </w:rPr>
        <w:t>一明显、二合理、三便于</w:t>
      </w:r>
      <w:r>
        <w:rPr>
          <w:rFonts w:hint="eastAsia"/>
          <w:color w:val="auto"/>
          <w:highlight w:val="none"/>
          <w:lang w:eastAsia="zh-CN"/>
        </w:rPr>
        <w:t>”</w:t>
      </w:r>
      <w:r>
        <w:rPr>
          <w:rFonts w:ascii="Times New Roman" w:hAnsi="Times New Roman" w:eastAsia="宋体"/>
          <w:color w:val="auto"/>
          <w:highlight w:val="none"/>
        </w:rPr>
        <w:t>的要求，即环保标志明显，排污口设置合理，便于采集样品、便于监测计量、便于公众参与和监督管理。同时要求按照国家环保总局制定的《环境保护图形标志实施细则（试行）》的规定，设置与排污口相应的图形标志牌。</w:t>
      </w:r>
    </w:p>
    <w:p w14:paraId="03803989">
      <w:pPr>
        <w:ind w:firstLine="480"/>
        <w:rPr>
          <w:rFonts w:ascii="Times New Roman" w:hAnsi="Times New Roman" w:eastAsia="宋体"/>
          <w:color w:val="auto"/>
          <w:highlight w:val="none"/>
        </w:rPr>
      </w:pPr>
      <w:r>
        <w:rPr>
          <w:rFonts w:ascii="Times New Roman" w:hAnsi="Times New Roman" w:eastAsia="宋体"/>
          <w:color w:val="auto"/>
          <w:highlight w:val="none"/>
        </w:rPr>
        <w:t>本项目应按《环境保护图形标志—排放口（源）》（GB15562.1-1995）</w:t>
      </w:r>
      <w:r>
        <w:rPr>
          <w:rFonts w:hint="eastAsia"/>
          <w:color w:val="auto"/>
          <w:highlight w:val="none"/>
          <w:lang w:val="en-US" w:eastAsia="zh-CN"/>
        </w:rPr>
        <w:t>和《危险废物识别标志设置技术规范》（HJ1276-2022）</w:t>
      </w:r>
      <w:r>
        <w:rPr>
          <w:rFonts w:ascii="Times New Roman" w:hAnsi="Times New Roman" w:eastAsia="宋体"/>
          <w:color w:val="auto"/>
          <w:highlight w:val="none"/>
        </w:rPr>
        <w:t>规定的图形，在各气、水、声排污口（源）挂牌标识，做到各排污口（源）的环保标志明显，便于企业管理和公众监督。污染物排放口的环保图形标志牌应设置在靠近采样点的醒目位置处，标志牌设置高度为其上缘距地面约2m。</w:t>
      </w:r>
    </w:p>
    <w:p w14:paraId="445161A5">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本项目环境保护图形标志具体设置图形见图8.1-1。</w:t>
      </w:r>
    </w:p>
    <w:p w14:paraId="4E1B74A0">
      <w:pPr>
        <w:pStyle w:val="10"/>
        <w:rPr>
          <w:rFonts w:ascii="Times New Roman" w:hAnsi="Times New Roman" w:eastAsia="宋体"/>
          <w:color w:val="auto"/>
          <w:highlight w:val="none"/>
        </w:rPr>
      </w:pPr>
      <w:r>
        <w:rPr>
          <w:rFonts w:hint="eastAsia" w:ascii="Times New Roman" w:hAnsi="Times New Roman" w:eastAsia="宋体"/>
          <w:color w:val="auto"/>
          <w:highlight w:val="none"/>
        </w:rPr>
        <w:t>图8.1-1环境保护图形标志</w:t>
      </w:r>
      <w:r>
        <w:rPr>
          <w:rFonts w:ascii="Times New Roman" w:hAnsi="Times New Roman" w:eastAsia="宋体"/>
          <w:caps w:val="0"/>
          <w:smallCaps w:val="0"/>
          <w:color w:val="auto"/>
          <w:highlight w:val="none"/>
        </w:rPr>
        <w:drawing>
          <wp:inline distT="0" distB="0" distL="114300" distR="114300">
            <wp:extent cx="5276215" cy="1837690"/>
            <wp:effectExtent l="0" t="0" r="635" b="1016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89"/>
                    <a:srcRect t="1025"/>
                    <a:stretch>
                      <a:fillRect/>
                    </a:stretch>
                  </pic:blipFill>
                  <pic:spPr>
                    <a:xfrm>
                      <a:off x="0" y="0"/>
                      <a:ext cx="5276215" cy="1837690"/>
                    </a:xfrm>
                    <a:prstGeom prst="rect">
                      <a:avLst/>
                    </a:prstGeom>
                    <a:noFill/>
                    <a:ln>
                      <a:noFill/>
                    </a:ln>
                  </pic:spPr>
                </pic:pic>
              </a:graphicData>
            </a:graphic>
          </wp:inline>
        </w:drawing>
      </w:r>
    </w:p>
    <w:p w14:paraId="6AEFF694">
      <w:pPr>
        <w:pStyle w:val="5"/>
        <w:rPr>
          <w:rFonts w:ascii="Times New Roman" w:hAnsi="Times New Roman" w:eastAsia="宋体"/>
          <w:color w:val="auto"/>
          <w:highlight w:val="none"/>
        </w:rPr>
      </w:pPr>
      <w:bookmarkStart w:id="315" w:name="_Toc106663551"/>
      <w:r>
        <w:rPr>
          <w:rFonts w:hint="eastAsia" w:ascii="Times New Roman" w:hAnsi="Times New Roman" w:eastAsia="宋体"/>
          <w:color w:val="auto"/>
          <w:highlight w:val="none"/>
        </w:rPr>
        <w:t>8.1.5</w:t>
      </w:r>
      <w:r>
        <w:rPr>
          <w:rFonts w:ascii="Times New Roman" w:hAnsi="Times New Roman" w:eastAsia="宋体"/>
          <w:color w:val="auto"/>
          <w:highlight w:val="none"/>
        </w:rPr>
        <w:t>环境影响评价制度与排污许可制衔接分析</w:t>
      </w:r>
      <w:bookmarkEnd w:id="315"/>
    </w:p>
    <w:p w14:paraId="4DD9E4D4">
      <w:pPr>
        <w:ind w:firstLine="480"/>
        <w:rPr>
          <w:rFonts w:ascii="Times New Roman" w:hAnsi="Times New Roman" w:eastAsia="宋体"/>
          <w:color w:val="auto"/>
          <w:highlight w:val="none"/>
        </w:rPr>
      </w:pPr>
      <w:r>
        <w:rPr>
          <w:rFonts w:ascii="Times New Roman" w:hAnsi="Times New Roman" w:eastAsia="宋体"/>
          <w:color w:val="auto"/>
          <w:highlight w:val="none"/>
        </w:rPr>
        <w:t>根据环办环评[2017]84号《关于做好环境影响评价制度与排污许可制衔接相关工作的通知》，为贯彻落实《国务院办公厅关于印发控制污染物排放许可制实施方案的通知》（国办发〔2016〕81号），推进环境质量改善，现就做好建设项目环境影响评价制度与排污许可制有机衔接相关工作通知。</w:t>
      </w:r>
    </w:p>
    <w:p w14:paraId="5BCEC17D">
      <w:pPr>
        <w:ind w:firstLine="480"/>
        <w:rPr>
          <w:rFonts w:ascii="Times New Roman" w:hAnsi="Times New Roman" w:eastAsia="宋体"/>
          <w:color w:val="auto"/>
          <w:highlight w:val="none"/>
        </w:rPr>
      </w:pPr>
      <w:r>
        <w:rPr>
          <w:rFonts w:ascii="Times New Roman" w:hAnsi="Times New Roman" w:eastAsia="宋体"/>
          <w:color w:val="auto"/>
          <w:highlight w:val="none"/>
        </w:rPr>
        <w:t>建设项目发生实际排污行为之前，排污单位应当按照国家环境保护相关法律法规以及《排污许可证申请与核发技术规范畜禽养殖行业》（HJ1029-2019）中相关规定申请排污许可证，不得无证排污或不按证排污。污染物排放相关的主要内容应当纳入排污许可证。</w:t>
      </w:r>
    </w:p>
    <w:p w14:paraId="403036B6">
      <w:pPr>
        <w:pStyle w:val="5"/>
        <w:rPr>
          <w:rFonts w:ascii="Times New Roman" w:hAnsi="Times New Roman" w:eastAsia="宋体"/>
          <w:color w:val="auto"/>
          <w:highlight w:val="none"/>
        </w:rPr>
      </w:pPr>
      <w:bookmarkStart w:id="316" w:name="_Toc106663552"/>
      <w:r>
        <w:rPr>
          <w:rFonts w:hint="eastAsia" w:ascii="Times New Roman" w:hAnsi="Times New Roman" w:eastAsia="宋体"/>
          <w:color w:val="auto"/>
          <w:highlight w:val="none"/>
        </w:rPr>
        <w:t>8.1.6</w:t>
      </w:r>
      <w:r>
        <w:rPr>
          <w:rFonts w:ascii="Times New Roman" w:hAnsi="Times New Roman" w:eastAsia="宋体"/>
          <w:color w:val="auto"/>
          <w:highlight w:val="none"/>
        </w:rPr>
        <w:t>企业环境信息公开</w:t>
      </w:r>
      <w:bookmarkEnd w:id="316"/>
    </w:p>
    <w:p w14:paraId="5C59D62C">
      <w:pPr>
        <w:ind w:firstLine="480"/>
        <w:rPr>
          <w:rFonts w:ascii="Times New Roman" w:hAnsi="Times New Roman" w:eastAsia="宋体"/>
          <w:color w:val="auto"/>
          <w:highlight w:val="none"/>
        </w:rPr>
      </w:pPr>
      <w:r>
        <w:rPr>
          <w:rFonts w:ascii="Times New Roman" w:hAnsi="Times New Roman" w:eastAsia="宋体"/>
          <w:color w:val="auto"/>
          <w:highlight w:val="none"/>
        </w:rPr>
        <w:t>根据《企业事业单位环境信息公开办法》（环境保护部第31号）相关规定，企业事业单位应当建立健全本单位环境信息公开制度，制定机构负责本单位环境信息公开日常工作。根据企业特点，新疆国瑞牧升科技有限公司网站或本单位的资料索取点、信息公开栏、信息亭、电子屏幕或其他便于公众及时、准确获得信息的场所和方式公开下列信息：</w:t>
      </w:r>
    </w:p>
    <w:p w14:paraId="3D4BDD96">
      <w:pPr>
        <w:ind w:firstLine="480"/>
        <w:rPr>
          <w:rFonts w:ascii="Times New Roman" w:hAnsi="Times New Roman" w:eastAsia="宋体"/>
          <w:color w:val="auto"/>
          <w:highlight w:val="none"/>
        </w:rPr>
      </w:pPr>
      <w:r>
        <w:rPr>
          <w:rFonts w:ascii="Times New Roman" w:hAnsi="Times New Roman" w:eastAsia="宋体"/>
          <w:color w:val="auto"/>
          <w:highlight w:val="none"/>
        </w:rPr>
        <w:t>1、项目基础信息：包括单位名称、组织机构代码、法定代表人、生产地址、联系方式，以及生产经营和管理服务的主要内容、产品及规模。</w:t>
      </w:r>
    </w:p>
    <w:p w14:paraId="23A7F7A0">
      <w:pPr>
        <w:ind w:firstLine="480"/>
        <w:rPr>
          <w:rFonts w:ascii="Times New Roman" w:hAnsi="Times New Roman" w:eastAsia="宋体"/>
          <w:color w:val="auto"/>
          <w:highlight w:val="none"/>
        </w:rPr>
      </w:pPr>
      <w:r>
        <w:rPr>
          <w:rFonts w:ascii="Times New Roman" w:hAnsi="Times New Roman" w:eastAsia="宋体"/>
          <w:color w:val="auto"/>
          <w:highlight w:val="none"/>
        </w:rPr>
        <w:t>2、排污信息：包括主要污染物及特征污染物的名称、排放方式、排放口数量和分布情况、排放浓度和总量、超标情况，及执行的污染物排放标准、核定的排放总量。</w:t>
      </w:r>
    </w:p>
    <w:p w14:paraId="04E576F0">
      <w:pPr>
        <w:ind w:firstLine="480"/>
        <w:rPr>
          <w:rFonts w:ascii="Times New Roman" w:hAnsi="Times New Roman" w:eastAsia="宋体"/>
          <w:color w:val="auto"/>
          <w:highlight w:val="none"/>
        </w:rPr>
      </w:pPr>
      <w:r>
        <w:rPr>
          <w:rFonts w:ascii="Times New Roman" w:hAnsi="Times New Roman" w:eastAsia="宋体"/>
          <w:color w:val="auto"/>
          <w:highlight w:val="none"/>
        </w:rPr>
        <w:t>3、防治污染设施的建设和运行情况。</w:t>
      </w:r>
    </w:p>
    <w:p w14:paraId="0F4036A5">
      <w:pPr>
        <w:ind w:firstLine="480"/>
        <w:rPr>
          <w:rFonts w:ascii="Times New Roman" w:hAnsi="Times New Roman" w:eastAsia="宋体"/>
          <w:color w:val="auto"/>
          <w:highlight w:val="none"/>
        </w:rPr>
      </w:pPr>
      <w:r>
        <w:rPr>
          <w:rFonts w:ascii="Times New Roman" w:hAnsi="Times New Roman" w:eastAsia="宋体"/>
          <w:color w:val="auto"/>
          <w:highlight w:val="none"/>
        </w:rPr>
        <w:t>4、建设项目环境影响评价及其他环境保护行政许可情况。</w:t>
      </w:r>
    </w:p>
    <w:p w14:paraId="21A17470">
      <w:pPr>
        <w:ind w:firstLine="480"/>
        <w:rPr>
          <w:rFonts w:ascii="Times New Roman" w:hAnsi="Times New Roman" w:eastAsia="宋体"/>
          <w:color w:val="auto"/>
          <w:highlight w:val="none"/>
        </w:rPr>
      </w:pPr>
      <w:r>
        <w:rPr>
          <w:rFonts w:ascii="Times New Roman" w:hAnsi="Times New Roman" w:eastAsia="宋体"/>
          <w:color w:val="auto"/>
          <w:highlight w:val="none"/>
        </w:rPr>
        <w:t>5、突发环境事件应急预案。</w:t>
      </w:r>
    </w:p>
    <w:p w14:paraId="6EA2B6A5">
      <w:pPr>
        <w:ind w:firstLine="480"/>
        <w:rPr>
          <w:rFonts w:ascii="Times New Roman" w:hAnsi="Times New Roman" w:eastAsia="宋体"/>
          <w:color w:val="auto"/>
          <w:highlight w:val="none"/>
        </w:rPr>
      </w:pPr>
      <w:r>
        <w:rPr>
          <w:rFonts w:ascii="Times New Roman" w:hAnsi="Times New Roman" w:eastAsia="宋体"/>
          <w:color w:val="auto"/>
          <w:highlight w:val="none"/>
        </w:rPr>
        <w:t>6、其他应当公开的环境信息。</w:t>
      </w:r>
    </w:p>
    <w:p w14:paraId="681B17FB">
      <w:pPr>
        <w:ind w:firstLine="480"/>
        <w:rPr>
          <w:rFonts w:ascii="Times New Roman" w:hAnsi="Times New Roman" w:eastAsia="宋体"/>
          <w:color w:val="auto"/>
          <w:highlight w:val="none"/>
        </w:rPr>
      </w:pPr>
      <w:r>
        <w:rPr>
          <w:rFonts w:ascii="Times New Roman" w:hAnsi="Times New Roman" w:eastAsia="宋体"/>
          <w:color w:val="auto"/>
          <w:highlight w:val="none"/>
        </w:rPr>
        <w:t>如若公司的环境信息发生变更或有新生成时，应在环境信息生成或者变更之日起三十日内予以公开。环境保护主管部门应当宣传和引导公众监督企业事业单位环境信息公开工作</w:t>
      </w:r>
      <w:r>
        <w:rPr>
          <w:rFonts w:hint="eastAsia" w:ascii="Times New Roman" w:hAnsi="Times New Roman" w:eastAsia="宋体"/>
          <w:color w:val="auto"/>
          <w:highlight w:val="none"/>
        </w:rPr>
        <w:t>。</w:t>
      </w:r>
    </w:p>
    <w:p w14:paraId="3415D2CF">
      <w:pPr>
        <w:pStyle w:val="4"/>
        <w:rPr>
          <w:rFonts w:ascii="Times New Roman" w:hAnsi="Times New Roman" w:eastAsia="宋体"/>
          <w:color w:val="auto"/>
          <w:highlight w:val="none"/>
        </w:rPr>
      </w:pPr>
      <w:bookmarkStart w:id="317" w:name="_Toc273384092"/>
      <w:bookmarkStart w:id="318" w:name="_Toc75019041"/>
      <w:bookmarkStart w:id="319" w:name="_Toc112971017"/>
      <w:bookmarkStart w:id="320" w:name="_Toc113254453"/>
      <w:bookmarkStart w:id="321" w:name="_Toc24182"/>
      <w:bookmarkStart w:id="322" w:name="_Toc94001017"/>
      <w:bookmarkStart w:id="323" w:name="_Toc116777512"/>
      <w:bookmarkStart w:id="324" w:name="_Toc370052949"/>
      <w:bookmarkStart w:id="325" w:name="_Toc265225646"/>
      <w:bookmarkStart w:id="326" w:name="_Toc269723053"/>
      <w:bookmarkStart w:id="327" w:name="_Toc265225834"/>
      <w:bookmarkStart w:id="328" w:name="_Toc79578680"/>
      <w:bookmarkStart w:id="329" w:name="_Toc112970953"/>
      <w:bookmarkStart w:id="330" w:name="_Toc113278854"/>
      <w:bookmarkStart w:id="331" w:name="_Toc304234030"/>
      <w:bookmarkStart w:id="332" w:name="_Toc113254183"/>
      <w:bookmarkStart w:id="333" w:name="_Toc89619358"/>
      <w:bookmarkStart w:id="334" w:name="_Toc106663553"/>
      <w:bookmarkStart w:id="335" w:name="_Toc4338"/>
      <w:r>
        <w:rPr>
          <w:rFonts w:hint="eastAsia" w:ascii="Times New Roman" w:hAnsi="Times New Roman" w:eastAsia="宋体"/>
          <w:color w:val="auto"/>
          <w:highlight w:val="none"/>
        </w:rPr>
        <w:t>8.2</w:t>
      </w:r>
      <w:r>
        <w:rPr>
          <w:rFonts w:ascii="Times New Roman" w:hAnsi="Times New Roman" w:eastAsia="宋体"/>
          <w:color w:val="auto"/>
          <w:highlight w:val="none"/>
        </w:rPr>
        <w:t>环境监测</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Pr>
          <w:rFonts w:hint="eastAsia" w:ascii="Times New Roman" w:hAnsi="Times New Roman" w:eastAsia="宋体"/>
          <w:color w:val="auto"/>
          <w:highlight w:val="none"/>
        </w:rPr>
        <w:t>计划</w:t>
      </w:r>
      <w:bookmarkEnd w:id="333"/>
      <w:bookmarkEnd w:id="334"/>
      <w:bookmarkEnd w:id="335"/>
    </w:p>
    <w:p w14:paraId="0CAC0472">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根据本项目污染源和厂址区域环境特点，按照《排污单位自行监测技术指南总则》（HJ819）、《排污许可证申请与核发技术规范畜禽养殖行业》（HJ1029-2019）制定环境监测方案。</w:t>
      </w:r>
    </w:p>
    <w:p w14:paraId="3A93F5AF">
      <w:pPr>
        <w:ind w:firstLine="480"/>
        <w:rPr>
          <w:rFonts w:ascii="Times New Roman" w:hAnsi="Times New Roman" w:eastAsia="宋体"/>
          <w:color w:val="auto"/>
          <w:highlight w:val="none"/>
        </w:rPr>
      </w:pPr>
      <w:r>
        <w:rPr>
          <w:rFonts w:ascii="Times New Roman" w:hAnsi="Times New Roman" w:eastAsia="宋体"/>
          <w:color w:val="auto"/>
          <w:highlight w:val="none"/>
        </w:rPr>
        <w:t>针对本项目所排污染物情况，制定详细监测计划见表</w:t>
      </w:r>
      <w:r>
        <w:rPr>
          <w:rFonts w:hint="eastAsia" w:ascii="Times New Roman" w:hAnsi="Times New Roman" w:eastAsia="宋体"/>
          <w:color w:val="auto"/>
          <w:highlight w:val="none"/>
        </w:rPr>
        <w:t>8.2-1</w:t>
      </w:r>
      <w:r>
        <w:rPr>
          <w:rFonts w:ascii="Times New Roman" w:hAnsi="Times New Roman" w:eastAsia="宋体"/>
          <w:color w:val="auto"/>
          <w:highlight w:val="none"/>
        </w:rPr>
        <w:t>。</w:t>
      </w:r>
    </w:p>
    <w:p w14:paraId="287270E4">
      <w:pPr>
        <w:pStyle w:val="10"/>
        <w:rPr>
          <w:rFonts w:ascii="Times New Roman" w:hAnsi="Times New Roman" w:eastAsia="宋体"/>
          <w:color w:val="auto"/>
          <w:highlight w:val="none"/>
        </w:rPr>
      </w:pPr>
      <w:r>
        <w:rPr>
          <w:rFonts w:ascii="Times New Roman" w:hAnsi="Times New Roman" w:eastAsia="宋体"/>
          <w:color w:val="auto"/>
          <w:highlight w:val="none"/>
        </w:rPr>
        <w:t>表</w:t>
      </w:r>
      <w:r>
        <w:rPr>
          <w:rFonts w:hint="eastAsia" w:ascii="Times New Roman" w:hAnsi="Times New Roman" w:eastAsia="宋体"/>
          <w:color w:val="auto"/>
          <w:highlight w:val="none"/>
        </w:rPr>
        <w:t>8.2-1</w:t>
      </w:r>
      <w:r>
        <w:rPr>
          <w:rFonts w:ascii="Times New Roman" w:hAnsi="Times New Roman" w:eastAsia="宋体"/>
          <w:color w:val="auto"/>
          <w:highlight w:val="none"/>
        </w:rPr>
        <w:t>建设项目环境</w:t>
      </w:r>
      <w:r>
        <w:rPr>
          <w:rFonts w:hint="eastAsia" w:ascii="Times New Roman" w:hAnsi="Times New Roman" w:eastAsia="宋体"/>
          <w:color w:val="auto"/>
          <w:highlight w:val="none"/>
        </w:rPr>
        <w:t>监测</w:t>
      </w:r>
      <w:r>
        <w:rPr>
          <w:rFonts w:ascii="Times New Roman" w:hAnsi="Times New Roman" w:eastAsia="宋体"/>
          <w:color w:val="auto"/>
          <w:highlight w:val="none"/>
        </w:rPr>
        <w:t>计划一览表</w:t>
      </w:r>
    </w:p>
    <w:tbl>
      <w:tblPr>
        <w:tblStyle w:val="34"/>
        <w:tblW w:w="50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0" w:type="dxa"/>
          <w:bottom w:w="0" w:type="dxa"/>
          <w:right w:w="0" w:type="dxa"/>
        </w:tblCellMar>
      </w:tblPr>
      <w:tblGrid>
        <w:gridCol w:w="874"/>
        <w:gridCol w:w="1203"/>
        <w:gridCol w:w="3011"/>
        <w:gridCol w:w="2226"/>
        <w:gridCol w:w="1097"/>
      </w:tblGrid>
      <w:tr w14:paraId="1BD1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97" w:hRule="atLeast"/>
          <w:jc w:val="center"/>
        </w:trPr>
        <w:tc>
          <w:tcPr>
            <w:tcW w:w="520" w:type="pct"/>
            <w:tcBorders>
              <w:tl2br w:val="nil"/>
              <w:tr2bl w:val="nil"/>
            </w:tcBorders>
            <w:shd w:val="clear" w:color="auto" w:fill="auto"/>
            <w:vAlign w:val="center"/>
          </w:tcPr>
          <w:p w14:paraId="644DD195">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类型</w:t>
            </w:r>
          </w:p>
        </w:tc>
        <w:tc>
          <w:tcPr>
            <w:tcW w:w="715" w:type="pct"/>
            <w:tcBorders>
              <w:tl2br w:val="nil"/>
              <w:tr2bl w:val="nil"/>
            </w:tcBorders>
            <w:shd w:val="clear" w:color="000000" w:fill="auto"/>
            <w:vAlign w:val="center"/>
          </w:tcPr>
          <w:p w14:paraId="4941915B">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要素</w:t>
            </w:r>
          </w:p>
        </w:tc>
        <w:tc>
          <w:tcPr>
            <w:tcW w:w="1790" w:type="pct"/>
            <w:tcBorders>
              <w:tl2br w:val="nil"/>
              <w:tr2bl w:val="nil"/>
            </w:tcBorders>
            <w:shd w:val="clear" w:color="000000" w:fill="auto"/>
            <w:vAlign w:val="center"/>
          </w:tcPr>
          <w:p w14:paraId="514CD68C">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监测点位</w:t>
            </w:r>
          </w:p>
        </w:tc>
        <w:tc>
          <w:tcPr>
            <w:tcW w:w="1323" w:type="pct"/>
            <w:tcBorders>
              <w:tl2br w:val="nil"/>
              <w:tr2bl w:val="nil"/>
            </w:tcBorders>
            <w:shd w:val="clear" w:color="000000" w:fill="auto"/>
            <w:vAlign w:val="center"/>
          </w:tcPr>
          <w:p w14:paraId="7C08AA64">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监测项目</w:t>
            </w:r>
          </w:p>
        </w:tc>
        <w:tc>
          <w:tcPr>
            <w:tcW w:w="652" w:type="pct"/>
            <w:tcBorders>
              <w:tl2br w:val="nil"/>
              <w:tr2bl w:val="nil"/>
            </w:tcBorders>
            <w:shd w:val="clear" w:color="000000" w:fill="auto"/>
            <w:vAlign w:val="center"/>
          </w:tcPr>
          <w:p w14:paraId="0CDD0F66">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监测频次</w:t>
            </w:r>
          </w:p>
        </w:tc>
      </w:tr>
      <w:tr w14:paraId="22D6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0" w:type="pct"/>
            <w:vMerge w:val="restart"/>
            <w:tcBorders>
              <w:tl2br w:val="nil"/>
              <w:tr2bl w:val="nil"/>
            </w:tcBorders>
            <w:shd w:val="clear" w:color="auto" w:fill="auto"/>
            <w:vAlign w:val="center"/>
          </w:tcPr>
          <w:p w14:paraId="308F5EAD">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污染源监测</w:t>
            </w:r>
          </w:p>
        </w:tc>
        <w:tc>
          <w:tcPr>
            <w:tcW w:w="715" w:type="pct"/>
            <w:vMerge w:val="restart"/>
            <w:tcBorders>
              <w:tl2br w:val="nil"/>
              <w:tr2bl w:val="nil"/>
            </w:tcBorders>
            <w:shd w:val="clear" w:color="000000" w:fill="auto"/>
            <w:vAlign w:val="center"/>
          </w:tcPr>
          <w:p w14:paraId="55D8F3E7">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废气</w:t>
            </w:r>
          </w:p>
        </w:tc>
        <w:tc>
          <w:tcPr>
            <w:tcW w:w="1790" w:type="pct"/>
            <w:tcBorders>
              <w:tl2br w:val="nil"/>
              <w:tr2bl w:val="nil"/>
            </w:tcBorders>
            <w:shd w:val="clear" w:color="000000" w:fill="auto"/>
            <w:vAlign w:val="center"/>
          </w:tcPr>
          <w:p w14:paraId="142CA42A">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厂界</w:t>
            </w:r>
          </w:p>
        </w:tc>
        <w:tc>
          <w:tcPr>
            <w:tcW w:w="1323" w:type="pct"/>
            <w:tcBorders>
              <w:tl2br w:val="nil"/>
              <w:tr2bl w:val="nil"/>
            </w:tcBorders>
            <w:shd w:val="clear" w:color="000000" w:fill="auto"/>
            <w:vAlign w:val="center"/>
          </w:tcPr>
          <w:p w14:paraId="542E1FA1">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NH</w:t>
            </w:r>
            <w:r>
              <w:rPr>
                <w:rFonts w:hint="eastAsia" w:ascii="Times New Roman" w:hAnsi="Times New Roman" w:eastAsia="宋体"/>
                <w:color w:val="auto"/>
                <w:sz w:val="21"/>
                <w:szCs w:val="24"/>
                <w:highlight w:val="none"/>
                <w:vertAlign w:val="subscript"/>
              </w:rPr>
              <w:t>3</w:t>
            </w:r>
            <w:r>
              <w:rPr>
                <w:rFonts w:hint="eastAsia" w:ascii="Times New Roman" w:hAnsi="Times New Roman" w:eastAsia="宋体"/>
                <w:color w:val="auto"/>
                <w:sz w:val="21"/>
                <w:szCs w:val="24"/>
                <w:highlight w:val="none"/>
              </w:rPr>
              <w:t>、H</w:t>
            </w:r>
            <w:r>
              <w:rPr>
                <w:rFonts w:hint="eastAsia" w:ascii="Times New Roman" w:hAnsi="Times New Roman" w:eastAsia="宋体"/>
                <w:color w:val="auto"/>
                <w:sz w:val="21"/>
                <w:szCs w:val="24"/>
                <w:highlight w:val="none"/>
                <w:vertAlign w:val="subscript"/>
              </w:rPr>
              <w:t>2</w:t>
            </w:r>
            <w:r>
              <w:rPr>
                <w:rFonts w:hint="eastAsia" w:ascii="Times New Roman" w:hAnsi="Times New Roman" w:eastAsia="宋体"/>
                <w:color w:val="auto"/>
                <w:sz w:val="21"/>
                <w:szCs w:val="24"/>
                <w:highlight w:val="none"/>
              </w:rPr>
              <w:t>S、臭气浓度</w:t>
            </w:r>
          </w:p>
        </w:tc>
        <w:tc>
          <w:tcPr>
            <w:tcW w:w="652" w:type="pct"/>
            <w:tcBorders>
              <w:tl2br w:val="nil"/>
              <w:tr2bl w:val="nil"/>
            </w:tcBorders>
            <w:shd w:val="clear" w:color="000000" w:fill="auto"/>
            <w:vAlign w:val="center"/>
          </w:tcPr>
          <w:p w14:paraId="2AA58F29">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1次/</w:t>
            </w:r>
            <w:r>
              <w:rPr>
                <w:rFonts w:hint="eastAsia" w:ascii="Times New Roman" w:hAnsi="Times New Roman" w:eastAsia="宋体"/>
                <w:color w:val="auto"/>
                <w:sz w:val="21"/>
                <w:szCs w:val="24"/>
                <w:highlight w:val="none"/>
              </w:rPr>
              <w:t>年</w:t>
            </w:r>
          </w:p>
        </w:tc>
      </w:tr>
      <w:tr w14:paraId="04B1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40" w:hRule="atLeast"/>
          <w:jc w:val="center"/>
        </w:trPr>
        <w:tc>
          <w:tcPr>
            <w:tcW w:w="520" w:type="pct"/>
            <w:vMerge w:val="continue"/>
            <w:tcBorders>
              <w:tl2br w:val="nil"/>
              <w:tr2bl w:val="nil"/>
            </w:tcBorders>
            <w:shd w:val="clear" w:color="auto" w:fill="auto"/>
            <w:vAlign w:val="center"/>
          </w:tcPr>
          <w:p w14:paraId="6675A758">
            <w:pPr>
              <w:snapToGrid w:val="0"/>
              <w:spacing w:line="240" w:lineRule="auto"/>
              <w:ind w:firstLine="0" w:firstLineChars="0"/>
              <w:jc w:val="center"/>
              <w:rPr>
                <w:rFonts w:ascii="Times New Roman" w:hAnsi="Times New Roman" w:eastAsia="宋体"/>
                <w:color w:val="auto"/>
                <w:sz w:val="21"/>
                <w:szCs w:val="24"/>
                <w:highlight w:val="none"/>
              </w:rPr>
            </w:pPr>
          </w:p>
        </w:tc>
        <w:tc>
          <w:tcPr>
            <w:tcW w:w="715" w:type="pct"/>
            <w:vMerge w:val="continue"/>
            <w:tcBorders>
              <w:tl2br w:val="nil"/>
              <w:tr2bl w:val="nil"/>
            </w:tcBorders>
            <w:shd w:val="clear" w:color="000000" w:fill="auto"/>
            <w:vAlign w:val="center"/>
          </w:tcPr>
          <w:p w14:paraId="47F6B3EA">
            <w:pPr>
              <w:snapToGrid w:val="0"/>
              <w:spacing w:line="240" w:lineRule="auto"/>
              <w:ind w:firstLine="0" w:firstLineChars="0"/>
              <w:jc w:val="center"/>
              <w:rPr>
                <w:rFonts w:ascii="Times New Roman" w:hAnsi="Times New Roman" w:eastAsia="宋体"/>
                <w:color w:val="auto"/>
                <w:sz w:val="21"/>
                <w:szCs w:val="24"/>
                <w:highlight w:val="none"/>
              </w:rPr>
            </w:pPr>
          </w:p>
        </w:tc>
        <w:tc>
          <w:tcPr>
            <w:tcW w:w="1790" w:type="pct"/>
            <w:tcBorders>
              <w:tl2br w:val="nil"/>
              <w:tr2bl w:val="nil"/>
            </w:tcBorders>
            <w:shd w:val="clear" w:color="000000" w:fill="auto"/>
            <w:vAlign w:val="center"/>
          </w:tcPr>
          <w:p w14:paraId="25C4D2FF">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圈舍无组织</w:t>
            </w:r>
          </w:p>
        </w:tc>
        <w:tc>
          <w:tcPr>
            <w:tcW w:w="1323" w:type="pct"/>
            <w:tcBorders>
              <w:tl2br w:val="nil"/>
              <w:tr2bl w:val="nil"/>
            </w:tcBorders>
            <w:shd w:val="clear" w:color="000000" w:fill="auto"/>
            <w:vAlign w:val="center"/>
          </w:tcPr>
          <w:p w14:paraId="40DE2B97">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NH</w:t>
            </w:r>
            <w:r>
              <w:rPr>
                <w:rFonts w:hint="eastAsia" w:ascii="Times New Roman" w:hAnsi="Times New Roman" w:eastAsia="宋体"/>
                <w:color w:val="auto"/>
                <w:sz w:val="21"/>
                <w:szCs w:val="24"/>
                <w:highlight w:val="none"/>
                <w:vertAlign w:val="subscript"/>
              </w:rPr>
              <w:t>3</w:t>
            </w:r>
            <w:r>
              <w:rPr>
                <w:rFonts w:hint="eastAsia" w:ascii="Times New Roman" w:hAnsi="Times New Roman" w:eastAsia="宋体"/>
                <w:color w:val="auto"/>
                <w:sz w:val="21"/>
                <w:szCs w:val="24"/>
                <w:highlight w:val="none"/>
              </w:rPr>
              <w:t>、H</w:t>
            </w:r>
            <w:r>
              <w:rPr>
                <w:rFonts w:hint="eastAsia" w:ascii="Times New Roman" w:hAnsi="Times New Roman" w:eastAsia="宋体"/>
                <w:color w:val="auto"/>
                <w:sz w:val="21"/>
                <w:szCs w:val="24"/>
                <w:highlight w:val="none"/>
                <w:vertAlign w:val="subscript"/>
              </w:rPr>
              <w:t>2</w:t>
            </w:r>
            <w:r>
              <w:rPr>
                <w:rFonts w:hint="eastAsia" w:ascii="Times New Roman" w:hAnsi="Times New Roman" w:eastAsia="宋体"/>
                <w:color w:val="auto"/>
                <w:sz w:val="21"/>
                <w:szCs w:val="24"/>
                <w:highlight w:val="none"/>
              </w:rPr>
              <w:t>S、臭气浓度</w:t>
            </w:r>
          </w:p>
        </w:tc>
        <w:tc>
          <w:tcPr>
            <w:tcW w:w="652" w:type="pct"/>
            <w:tcBorders>
              <w:tl2br w:val="nil"/>
              <w:tr2bl w:val="nil"/>
            </w:tcBorders>
            <w:shd w:val="clear" w:color="000000" w:fill="auto"/>
            <w:vAlign w:val="center"/>
          </w:tcPr>
          <w:p w14:paraId="5D9A2476">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1次/</w:t>
            </w:r>
            <w:r>
              <w:rPr>
                <w:rFonts w:hint="eastAsia" w:ascii="Times New Roman" w:hAnsi="Times New Roman" w:eastAsia="宋体"/>
                <w:color w:val="auto"/>
                <w:sz w:val="21"/>
                <w:szCs w:val="24"/>
                <w:highlight w:val="none"/>
              </w:rPr>
              <w:t>年</w:t>
            </w:r>
          </w:p>
        </w:tc>
      </w:tr>
      <w:tr w14:paraId="32A0D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0" w:type="pct"/>
            <w:vMerge w:val="continue"/>
            <w:tcBorders>
              <w:tl2br w:val="nil"/>
              <w:tr2bl w:val="nil"/>
            </w:tcBorders>
            <w:shd w:val="clear" w:color="auto" w:fill="auto"/>
            <w:vAlign w:val="center"/>
          </w:tcPr>
          <w:p w14:paraId="1892CC53">
            <w:pPr>
              <w:snapToGrid w:val="0"/>
              <w:spacing w:line="240" w:lineRule="auto"/>
              <w:ind w:firstLine="0" w:firstLineChars="0"/>
              <w:jc w:val="center"/>
              <w:rPr>
                <w:rFonts w:ascii="Times New Roman" w:hAnsi="Times New Roman" w:eastAsia="宋体"/>
                <w:color w:val="auto"/>
                <w:sz w:val="21"/>
                <w:szCs w:val="24"/>
                <w:highlight w:val="none"/>
              </w:rPr>
            </w:pPr>
          </w:p>
        </w:tc>
        <w:tc>
          <w:tcPr>
            <w:tcW w:w="715" w:type="pct"/>
            <w:tcBorders>
              <w:tl2br w:val="nil"/>
              <w:tr2bl w:val="nil"/>
            </w:tcBorders>
            <w:shd w:val="clear" w:color="000000" w:fill="auto"/>
            <w:vAlign w:val="center"/>
          </w:tcPr>
          <w:p w14:paraId="167CA85C">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噪声</w:t>
            </w:r>
          </w:p>
        </w:tc>
        <w:tc>
          <w:tcPr>
            <w:tcW w:w="1790" w:type="pct"/>
            <w:tcBorders>
              <w:tl2br w:val="nil"/>
              <w:tr2bl w:val="nil"/>
            </w:tcBorders>
            <w:shd w:val="clear" w:color="000000" w:fill="auto"/>
            <w:vAlign w:val="center"/>
          </w:tcPr>
          <w:p w14:paraId="3985ECE9">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厂界四周外1m</w:t>
            </w:r>
          </w:p>
        </w:tc>
        <w:tc>
          <w:tcPr>
            <w:tcW w:w="1323" w:type="pct"/>
            <w:tcBorders>
              <w:tl2br w:val="nil"/>
              <w:tr2bl w:val="nil"/>
            </w:tcBorders>
            <w:shd w:val="clear" w:color="000000" w:fill="auto"/>
            <w:vAlign w:val="center"/>
          </w:tcPr>
          <w:p w14:paraId="4B457FC6">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等效A声级</w:t>
            </w:r>
          </w:p>
        </w:tc>
        <w:tc>
          <w:tcPr>
            <w:tcW w:w="652" w:type="pct"/>
            <w:tcBorders>
              <w:tl2br w:val="nil"/>
              <w:tr2bl w:val="nil"/>
            </w:tcBorders>
            <w:shd w:val="clear" w:color="000000" w:fill="auto"/>
            <w:vAlign w:val="center"/>
          </w:tcPr>
          <w:p w14:paraId="269D3FFF">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1次/</w:t>
            </w:r>
            <w:r>
              <w:rPr>
                <w:rFonts w:hint="eastAsia" w:ascii="Times New Roman" w:hAnsi="Times New Roman" w:eastAsia="宋体"/>
                <w:color w:val="auto"/>
                <w:sz w:val="21"/>
                <w:szCs w:val="24"/>
                <w:highlight w:val="none"/>
              </w:rPr>
              <w:t>季度</w:t>
            </w:r>
          </w:p>
        </w:tc>
      </w:tr>
      <w:tr w14:paraId="68EB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0" w:type="pct"/>
            <w:vMerge w:val="restart"/>
            <w:tcBorders>
              <w:tl2br w:val="nil"/>
              <w:tr2bl w:val="nil"/>
            </w:tcBorders>
            <w:shd w:val="clear" w:color="auto" w:fill="auto"/>
            <w:vAlign w:val="center"/>
          </w:tcPr>
          <w:p w14:paraId="40C61A4B">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环境质量监测</w:t>
            </w:r>
          </w:p>
        </w:tc>
        <w:tc>
          <w:tcPr>
            <w:tcW w:w="715" w:type="pct"/>
            <w:vMerge w:val="restart"/>
            <w:tcBorders>
              <w:tl2br w:val="nil"/>
              <w:tr2bl w:val="nil"/>
            </w:tcBorders>
            <w:shd w:val="clear" w:color="000000" w:fill="auto"/>
            <w:vAlign w:val="center"/>
          </w:tcPr>
          <w:p w14:paraId="2F92F619">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环境空气</w:t>
            </w:r>
          </w:p>
        </w:tc>
        <w:tc>
          <w:tcPr>
            <w:tcW w:w="1790" w:type="pct"/>
            <w:vMerge w:val="restart"/>
            <w:tcBorders>
              <w:tl2br w:val="nil"/>
              <w:tr2bl w:val="nil"/>
            </w:tcBorders>
            <w:shd w:val="clear" w:color="000000" w:fill="auto"/>
            <w:vAlign w:val="center"/>
          </w:tcPr>
          <w:p w14:paraId="3460A602">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项目区上下风向</w:t>
            </w:r>
          </w:p>
        </w:tc>
        <w:tc>
          <w:tcPr>
            <w:tcW w:w="1323" w:type="pct"/>
            <w:tcBorders>
              <w:tl2br w:val="nil"/>
              <w:tr2bl w:val="nil"/>
            </w:tcBorders>
            <w:shd w:val="clear" w:color="000000" w:fill="auto"/>
            <w:vAlign w:val="center"/>
          </w:tcPr>
          <w:p w14:paraId="5C65393E">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NH</w:t>
            </w:r>
            <w:r>
              <w:rPr>
                <w:rFonts w:hint="eastAsia" w:ascii="Times New Roman" w:hAnsi="Times New Roman" w:eastAsia="宋体"/>
                <w:color w:val="auto"/>
                <w:sz w:val="21"/>
                <w:szCs w:val="24"/>
                <w:highlight w:val="none"/>
                <w:vertAlign w:val="subscript"/>
              </w:rPr>
              <w:t>3</w:t>
            </w:r>
            <w:r>
              <w:rPr>
                <w:rFonts w:hint="eastAsia" w:ascii="Times New Roman" w:hAnsi="Times New Roman" w:eastAsia="宋体"/>
                <w:color w:val="auto"/>
                <w:sz w:val="21"/>
                <w:szCs w:val="24"/>
                <w:highlight w:val="none"/>
              </w:rPr>
              <w:t>、H</w:t>
            </w:r>
            <w:r>
              <w:rPr>
                <w:rFonts w:hint="eastAsia" w:ascii="Times New Roman" w:hAnsi="Times New Roman" w:eastAsia="宋体"/>
                <w:color w:val="auto"/>
                <w:sz w:val="21"/>
                <w:szCs w:val="24"/>
                <w:highlight w:val="none"/>
                <w:vertAlign w:val="subscript"/>
              </w:rPr>
              <w:t>2</w:t>
            </w:r>
            <w:r>
              <w:rPr>
                <w:rFonts w:hint="eastAsia" w:ascii="Times New Roman" w:hAnsi="Times New Roman" w:eastAsia="宋体"/>
                <w:color w:val="auto"/>
                <w:sz w:val="21"/>
                <w:szCs w:val="24"/>
                <w:highlight w:val="none"/>
              </w:rPr>
              <w:t>S</w:t>
            </w:r>
          </w:p>
        </w:tc>
        <w:tc>
          <w:tcPr>
            <w:tcW w:w="652" w:type="pct"/>
            <w:tcBorders>
              <w:tl2br w:val="nil"/>
              <w:tr2bl w:val="nil"/>
            </w:tcBorders>
            <w:shd w:val="clear" w:color="000000" w:fill="auto"/>
            <w:vAlign w:val="center"/>
          </w:tcPr>
          <w:p w14:paraId="30A0C020">
            <w:pPr>
              <w:snapToGrid w:val="0"/>
              <w:spacing w:line="240" w:lineRule="auto"/>
              <w:ind w:firstLine="0" w:firstLineChars="0"/>
              <w:jc w:val="center"/>
              <w:rPr>
                <w:rFonts w:ascii="Times New Roman" w:hAnsi="Times New Roman" w:eastAsia="宋体"/>
                <w:color w:val="auto"/>
                <w:kern w:val="2"/>
                <w:sz w:val="21"/>
                <w:szCs w:val="22"/>
                <w:highlight w:val="none"/>
              </w:rPr>
            </w:pPr>
            <w:r>
              <w:rPr>
                <w:rFonts w:ascii="Times New Roman" w:hAnsi="Times New Roman" w:eastAsia="宋体"/>
                <w:color w:val="auto"/>
                <w:kern w:val="2"/>
                <w:sz w:val="21"/>
                <w:szCs w:val="22"/>
                <w:highlight w:val="none"/>
              </w:rPr>
              <w:t>1次/</w:t>
            </w:r>
            <w:r>
              <w:rPr>
                <w:rFonts w:hint="eastAsia" w:ascii="Times New Roman" w:hAnsi="Times New Roman" w:eastAsia="宋体"/>
                <w:color w:val="auto"/>
                <w:kern w:val="2"/>
                <w:sz w:val="21"/>
                <w:szCs w:val="22"/>
                <w:highlight w:val="none"/>
              </w:rPr>
              <w:t>年</w:t>
            </w:r>
          </w:p>
        </w:tc>
      </w:tr>
      <w:tr w14:paraId="0AEA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40" w:hRule="atLeast"/>
          <w:jc w:val="center"/>
        </w:trPr>
        <w:tc>
          <w:tcPr>
            <w:tcW w:w="520" w:type="pct"/>
            <w:vMerge w:val="continue"/>
            <w:tcBorders>
              <w:tl2br w:val="nil"/>
              <w:tr2bl w:val="nil"/>
            </w:tcBorders>
            <w:shd w:val="clear" w:color="auto" w:fill="auto"/>
            <w:vAlign w:val="center"/>
          </w:tcPr>
          <w:p w14:paraId="4E26D56C">
            <w:pPr>
              <w:snapToGrid w:val="0"/>
              <w:spacing w:line="240" w:lineRule="auto"/>
              <w:ind w:firstLine="0" w:firstLineChars="0"/>
              <w:jc w:val="center"/>
              <w:rPr>
                <w:rFonts w:ascii="Times New Roman" w:hAnsi="Times New Roman" w:eastAsia="宋体"/>
                <w:color w:val="auto"/>
                <w:sz w:val="21"/>
                <w:szCs w:val="24"/>
                <w:highlight w:val="none"/>
              </w:rPr>
            </w:pPr>
          </w:p>
        </w:tc>
        <w:tc>
          <w:tcPr>
            <w:tcW w:w="715" w:type="pct"/>
            <w:vMerge w:val="continue"/>
            <w:tcBorders>
              <w:tl2br w:val="nil"/>
              <w:tr2bl w:val="nil"/>
            </w:tcBorders>
            <w:shd w:val="clear" w:color="000000" w:fill="auto"/>
            <w:vAlign w:val="center"/>
          </w:tcPr>
          <w:p w14:paraId="3220CD4D">
            <w:pPr>
              <w:snapToGrid w:val="0"/>
              <w:spacing w:line="240" w:lineRule="auto"/>
              <w:ind w:firstLine="0" w:firstLineChars="0"/>
              <w:jc w:val="center"/>
              <w:rPr>
                <w:rFonts w:ascii="Times New Roman" w:hAnsi="Times New Roman" w:eastAsia="宋体"/>
                <w:color w:val="auto"/>
                <w:sz w:val="21"/>
                <w:szCs w:val="24"/>
                <w:highlight w:val="none"/>
              </w:rPr>
            </w:pPr>
          </w:p>
        </w:tc>
        <w:tc>
          <w:tcPr>
            <w:tcW w:w="1790" w:type="pct"/>
            <w:vMerge w:val="continue"/>
            <w:tcBorders>
              <w:tl2br w:val="nil"/>
              <w:tr2bl w:val="nil"/>
            </w:tcBorders>
            <w:shd w:val="clear" w:color="000000" w:fill="auto"/>
            <w:vAlign w:val="center"/>
          </w:tcPr>
          <w:p w14:paraId="492B2912">
            <w:pPr>
              <w:snapToGrid w:val="0"/>
              <w:spacing w:line="240" w:lineRule="auto"/>
              <w:ind w:firstLine="0" w:firstLineChars="0"/>
              <w:jc w:val="center"/>
              <w:rPr>
                <w:rFonts w:ascii="Times New Roman" w:hAnsi="Times New Roman" w:eastAsia="宋体"/>
                <w:color w:val="auto"/>
                <w:sz w:val="21"/>
                <w:szCs w:val="24"/>
                <w:highlight w:val="none"/>
              </w:rPr>
            </w:pPr>
          </w:p>
        </w:tc>
        <w:tc>
          <w:tcPr>
            <w:tcW w:w="1323" w:type="pct"/>
            <w:tcBorders>
              <w:tl2br w:val="nil"/>
              <w:tr2bl w:val="nil"/>
            </w:tcBorders>
            <w:shd w:val="clear" w:color="000000" w:fill="auto"/>
            <w:vAlign w:val="center"/>
          </w:tcPr>
          <w:p w14:paraId="2528676F">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臭气浓度</w:t>
            </w:r>
          </w:p>
        </w:tc>
        <w:tc>
          <w:tcPr>
            <w:tcW w:w="652" w:type="pct"/>
            <w:tcBorders>
              <w:tl2br w:val="nil"/>
              <w:tr2bl w:val="nil"/>
            </w:tcBorders>
            <w:shd w:val="clear" w:color="000000" w:fill="auto"/>
            <w:vAlign w:val="center"/>
          </w:tcPr>
          <w:p w14:paraId="289D4E47">
            <w:pPr>
              <w:snapToGrid w:val="0"/>
              <w:spacing w:line="240" w:lineRule="auto"/>
              <w:ind w:firstLine="0" w:firstLineChars="0"/>
              <w:jc w:val="center"/>
              <w:rPr>
                <w:rFonts w:ascii="Times New Roman" w:hAnsi="Times New Roman" w:eastAsia="宋体"/>
                <w:color w:val="auto"/>
                <w:kern w:val="2"/>
                <w:sz w:val="21"/>
                <w:szCs w:val="22"/>
                <w:highlight w:val="none"/>
              </w:rPr>
            </w:pPr>
            <w:r>
              <w:rPr>
                <w:rFonts w:ascii="Times New Roman" w:hAnsi="Times New Roman" w:eastAsia="宋体"/>
                <w:color w:val="auto"/>
                <w:kern w:val="2"/>
                <w:sz w:val="21"/>
                <w:szCs w:val="22"/>
                <w:highlight w:val="none"/>
              </w:rPr>
              <w:t>1次/</w:t>
            </w:r>
            <w:r>
              <w:rPr>
                <w:rFonts w:hint="eastAsia" w:ascii="Times New Roman" w:hAnsi="Times New Roman" w:eastAsia="宋体"/>
                <w:color w:val="auto"/>
                <w:kern w:val="2"/>
                <w:sz w:val="21"/>
                <w:szCs w:val="22"/>
                <w:highlight w:val="none"/>
              </w:rPr>
              <w:t>年</w:t>
            </w:r>
          </w:p>
        </w:tc>
      </w:tr>
      <w:tr w14:paraId="4C96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0" w:type="pct"/>
            <w:vMerge w:val="continue"/>
            <w:tcBorders>
              <w:tl2br w:val="nil"/>
              <w:tr2bl w:val="nil"/>
            </w:tcBorders>
            <w:shd w:val="clear" w:color="auto" w:fill="auto"/>
            <w:vAlign w:val="center"/>
          </w:tcPr>
          <w:p w14:paraId="717B25E5">
            <w:pPr>
              <w:snapToGrid w:val="0"/>
              <w:spacing w:line="240" w:lineRule="auto"/>
              <w:ind w:firstLine="0" w:firstLineChars="0"/>
              <w:jc w:val="center"/>
              <w:rPr>
                <w:rFonts w:ascii="Times New Roman" w:hAnsi="Times New Roman" w:eastAsia="宋体"/>
                <w:color w:val="auto"/>
                <w:sz w:val="21"/>
                <w:szCs w:val="24"/>
                <w:highlight w:val="none"/>
              </w:rPr>
            </w:pPr>
          </w:p>
        </w:tc>
        <w:tc>
          <w:tcPr>
            <w:tcW w:w="715" w:type="pct"/>
            <w:tcBorders>
              <w:tl2br w:val="nil"/>
              <w:tr2bl w:val="nil"/>
            </w:tcBorders>
            <w:shd w:val="clear" w:color="000000" w:fill="auto"/>
            <w:vAlign w:val="center"/>
          </w:tcPr>
          <w:p w14:paraId="434CA5DB">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地下水</w:t>
            </w:r>
          </w:p>
        </w:tc>
        <w:tc>
          <w:tcPr>
            <w:tcW w:w="1790" w:type="pct"/>
            <w:tcBorders>
              <w:tl2br w:val="nil"/>
              <w:tr2bl w:val="nil"/>
            </w:tcBorders>
            <w:shd w:val="clear" w:color="000000" w:fill="auto"/>
            <w:vAlign w:val="center"/>
          </w:tcPr>
          <w:p w14:paraId="02EFF73C">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建设项目场地下游500m范围内</w:t>
            </w:r>
          </w:p>
        </w:tc>
        <w:tc>
          <w:tcPr>
            <w:tcW w:w="1323" w:type="pct"/>
            <w:tcBorders>
              <w:tl2br w:val="nil"/>
              <w:tr2bl w:val="nil"/>
            </w:tcBorders>
            <w:shd w:val="clear" w:color="000000" w:fill="auto"/>
            <w:vAlign w:val="center"/>
          </w:tcPr>
          <w:p w14:paraId="01EA107F">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pH、总硬度、溶解性总固体、耗氧量、硝酸盐、亚硝酸盐、氨氮、六价铬、硫酸盐、氯化物、氟化物、挥发酚、汞、砷、镉、铅、锰、氰化物、总大肠菌群</w:t>
            </w:r>
          </w:p>
        </w:tc>
        <w:tc>
          <w:tcPr>
            <w:tcW w:w="652" w:type="pct"/>
            <w:tcBorders>
              <w:tl2br w:val="nil"/>
              <w:tr2bl w:val="nil"/>
            </w:tcBorders>
            <w:shd w:val="clear" w:color="000000" w:fill="auto"/>
            <w:vAlign w:val="center"/>
          </w:tcPr>
          <w:p w14:paraId="26188006">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1次/</w:t>
            </w:r>
            <w:r>
              <w:rPr>
                <w:rFonts w:hint="eastAsia"/>
                <w:color w:val="auto"/>
                <w:sz w:val="21"/>
                <w:szCs w:val="24"/>
                <w:highlight w:val="none"/>
                <w:lang w:val="en-US" w:eastAsia="zh-CN"/>
              </w:rPr>
              <w:t>1</w:t>
            </w:r>
            <w:r>
              <w:rPr>
                <w:rFonts w:hint="eastAsia" w:ascii="Times New Roman" w:hAnsi="Times New Roman" w:eastAsia="宋体"/>
                <w:color w:val="auto"/>
                <w:sz w:val="21"/>
                <w:szCs w:val="24"/>
                <w:highlight w:val="none"/>
              </w:rPr>
              <w:t>年</w:t>
            </w:r>
          </w:p>
        </w:tc>
      </w:tr>
      <w:tr w14:paraId="20B0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0" w:type="pct"/>
            <w:vMerge w:val="continue"/>
            <w:tcBorders>
              <w:tl2br w:val="nil"/>
              <w:tr2bl w:val="nil"/>
            </w:tcBorders>
            <w:shd w:val="clear" w:color="auto" w:fill="auto"/>
            <w:vAlign w:val="center"/>
          </w:tcPr>
          <w:p w14:paraId="54C6C21D">
            <w:pPr>
              <w:snapToGrid w:val="0"/>
              <w:spacing w:line="240" w:lineRule="auto"/>
              <w:ind w:firstLine="0" w:firstLineChars="0"/>
              <w:jc w:val="center"/>
              <w:rPr>
                <w:rFonts w:ascii="Times New Roman" w:hAnsi="Times New Roman" w:eastAsia="宋体"/>
                <w:color w:val="auto"/>
                <w:sz w:val="21"/>
                <w:szCs w:val="24"/>
                <w:highlight w:val="none"/>
              </w:rPr>
            </w:pPr>
          </w:p>
        </w:tc>
        <w:tc>
          <w:tcPr>
            <w:tcW w:w="715" w:type="pct"/>
            <w:tcBorders>
              <w:tl2br w:val="nil"/>
              <w:tr2bl w:val="nil"/>
            </w:tcBorders>
            <w:shd w:val="clear" w:color="000000" w:fill="auto"/>
            <w:vAlign w:val="center"/>
          </w:tcPr>
          <w:p w14:paraId="29207404">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土壤</w:t>
            </w:r>
          </w:p>
        </w:tc>
        <w:tc>
          <w:tcPr>
            <w:tcW w:w="1790" w:type="pct"/>
            <w:tcBorders>
              <w:tl2br w:val="nil"/>
              <w:tr2bl w:val="nil"/>
            </w:tcBorders>
            <w:shd w:val="clear" w:color="000000" w:fill="auto"/>
            <w:vAlign w:val="center"/>
          </w:tcPr>
          <w:p w14:paraId="563C8EB1">
            <w:pPr>
              <w:snapToGrid w:val="0"/>
              <w:spacing w:line="240" w:lineRule="auto"/>
              <w:ind w:firstLine="0" w:firstLineChars="0"/>
              <w:jc w:val="center"/>
              <w:rPr>
                <w:rFonts w:hint="eastAsia" w:ascii="Times New Roman" w:hAnsi="Times New Roman" w:eastAsia="宋体"/>
                <w:color w:val="auto"/>
                <w:sz w:val="21"/>
                <w:szCs w:val="24"/>
                <w:highlight w:val="none"/>
                <w:lang w:eastAsia="zh-CN"/>
              </w:rPr>
            </w:pPr>
            <w:r>
              <w:rPr>
                <w:rFonts w:hint="eastAsia"/>
                <w:color w:val="auto"/>
                <w:sz w:val="21"/>
                <w:szCs w:val="24"/>
                <w:highlight w:val="none"/>
                <w:lang w:val="en-US" w:eastAsia="zh-CN"/>
              </w:rPr>
              <w:t>项目区内</w:t>
            </w:r>
          </w:p>
        </w:tc>
        <w:tc>
          <w:tcPr>
            <w:tcW w:w="1323" w:type="pct"/>
            <w:tcBorders>
              <w:tl2br w:val="nil"/>
              <w:tr2bl w:val="nil"/>
            </w:tcBorders>
            <w:shd w:val="clear" w:color="000000" w:fill="auto"/>
            <w:vAlign w:val="center"/>
          </w:tcPr>
          <w:p w14:paraId="7D5C4AB3">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铜、铅、砷</w:t>
            </w:r>
          </w:p>
        </w:tc>
        <w:tc>
          <w:tcPr>
            <w:tcW w:w="652" w:type="pct"/>
            <w:tcBorders>
              <w:tl2br w:val="nil"/>
              <w:tr2bl w:val="nil"/>
            </w:tcBorders>
            <w:shd w:val="clear" w:color="000000" w:fill="auto"/>
            <w:vAlign w:val="center"/>
          </w:tcPr>
          <w:p w14:paraId="10C65A4A">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1次/年</w:t>
            </w:r>
          </w:p>
        </w:tc>
      </w:tr>
      <w:tr w14:paraId="35AE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0" w:type="dxa"/>
            <w:bottom w:w="0" w:type="dxa"/>
            <w:right w:w="0" w:type="dxa"/>
          </w:tblCellMar>
        </w:tblPrEx>
        <w:trPr>
          <w:trHeight w:val="340" w:hRule="atLeast"/>
          <w:jc w:val="center"/>
        </w:trPr>
        <w:tc>
          <w:tcPr>
            <w:tcW w:w="520" w:type="pct"/>
            <w:vMerge w:val="continue"/>
            <w:tcBorders>
              <w:tl2br w:val="nil"/>
              <w:tr2bl w:val="nil"/>
            </w:tcBorders>
            <w:shd w:val="clear" w:color="auto" w:fill="auto"/>
            <w:vAlign w:val="center"/>
          </w:tcPr>
          <w:p w14:paraId="1C8BACEC">
            <w:pPr>
              <w:snapToGrid w:val="0"/>
              <w:spacing w:line="240" w:lineRule="auto"/>
              <w:ind w:firstLine="0" w:firstLineChars="0"/>
              <w:jc w:val="center"/>
              <w:rPr>
                <w:rFonts w:ascii="Times New Roman" w:hAnsi="Times New Roman" w:eastAsia="宋体"/>
                <w:color w:val="auto"/>
                <w:sz w:val="21"/>
                <w:szCs w:val="24"/>
                <w:highlight w:val="none"/>
              </w:rPr>
            </w:pPr>
          </w:p>
        </w:tc>
        <w:tc>
          <w:tcPr>
            <w:tcW w:w="715" w:type="pct"/>
            <w:tcBorders>
              <w:tl2br w:val="nil"/>
              <w:tr2bl w:val="nil"/>
            </w:tcBorders>
            <w:shd w:val="clear" w:color="000000" w:fill="auto"/>
            <w:vAlign w:val="center"/>
          </w:tcPr>
          <w:p w14:paraId="370D0019">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噪声</w:t>
            </w:r>
          </w:p>
        </w:tc>
        <w:tc>
          <w:tcPr>
            <w:tcW w:w="1790" w:type="pct"/>
            <w:tcBorders>
              <w:tl2br w:val="nil"/>
              <w:tr2bl w:val="nil"/>
            </w:tcBorders>
            <w:shd w:val="clear" w:color="000000" w:fill="auto"/>
            <w:vAlign w:val="center"/>
          </w:tcPr>
          <w:p w14:paraId="4EACDE09">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厂界四周</w:t>
            </w:r>
          </w:p>
        </w:tc>
        <w:tc>
          <w:tcPr>
            <w:tcW w:w="1323" w:type="pct"/>
            <w:tcBorders>
              <w:tl2br w:val="nil"/>
              <w:tr2bl w:val="nil"/>
            </w:tcBorders>
            <w:shd w:val="clear" w:color="000000" w:fill="auto"/>
            <w:vAlign w:val="center"/>
          </w:tcPr>
          <w:p w14:paraId="2CDEEDB4">
            <w:pPr>
              <w:snapToGrid w:val="0"/>
              <w:spacing w:line="240" w:lineRule="auto"/>
              <w:ind w:firstLine="0" w:firstLineChars="0"/>
              <w:jc w:val="center"/>
              <w:rPr>
                <w:rFonts w:ascii="Times New Roman" w:hAnsi="Times New Roman" w:eastAsia="宋体"/>
                <w:color w:val="auto"/>
                <w:sz w:val="21"/>
                <w:szCs w:val="24"/>
                <w:highlight w:val="none"/>
              </w:rPr>
            </w:pPr>
            <w:r>
              <w:rPr>
                <w:rFonts w:hint="eastAsia" w:ascii="Times New Roman" w:hAnsi="Times New Roman" w:eastAsia="宋体"/>
                <w:color w:val="auto"/>
                <w:sz w:val="21"/>
                <w:szCs w:val="24"/>
                <w:highlight w:val="none"/>
              </w:rPr>
              <w:t>等效A声级</w:t>
            </w:r>
          </w:p>
        </w:tc>
        <w:tc>
          <w:tcPr>
            <w:tcW w:w="652" w:type="pct"/>
            <w:tcBorders>
              <w:tl2br w:val="nil"/>
              <w:tr2bl w:val="nil"/>
            </w:tcBorders>
            <w:shd w:val="clear" w:color="000000" w:fill="auto"/>
            <w:vAlign w:val="center"/>
          </w:tcPr>
          <w:p w14:paraId="58A9486C">
            <w:pPr>
              <w:snapToGrid w:val="0"/>
              <w:spacing w:line="240" w:lineRule="auto"/>
              <w:ind w:firstLine="0" w:firstLineChars="0"/>
              <w:jc w:val="center"/>
              <w:rPr>
                <w:rFonts w:ascii="Times New Roman" w:hAnsi="Times New Roman" w:eastAsia="宋体"/>
                <w:color w:val="auto"/>
                <w:sz w:val="21"/>
                <w:szCs w:val="24"/>
                <w:highlight w:val="none"/>
              </w:rPr>
            </w:pPr>
            <w:r>
              <w:rPr>
                <w:rFonts w:ascii="Times New Roman" w:hAnsi="Times New Roman" w:eastAsia="宋体"/>
                <w:color w:val="auto"/>
                <w:sz w:val="21"/>
                <w:szCs w:val="24"/>
                <w:highlight w:val="none"/>
              </w:rPr>
              <w:t>1次/</w:t>
            </w:r>
            <w:r>
              <w:rPr>
                <w:rFonts w:hint="eastAsia" w:ascii="Times New Roman" w:hAnsi="Times New Roman" w:eastAsia="宋体"/>
                <w:color w:val="auto"/>
                <w:sz w:val="21"/>
                <w:szCs w:val="24"/>
                <w:highlight w:val="none"/>
              </w:rPr>
              <w:t>季度</w:t>
            </w:r>
          </w:p>
        </w:tc>
      </w:tr>
    </w:tbl>
    <w:p w14:paraId="6C854535">
      <w:pPr>
        <w:ind w:firstLine="480"/>
        <w:rPr>
          <w:rFonts w:ascii="Times New Roman" w:hAnsi="Times New Roman" w:eastAsia="宋体"/>
          <w:color w:val="auto"/>
          <w:highlight w:val="none"/>
        </w:rPr>
      </w:pPr>
      <w:r>
        <w:rPr>
          <w:rFonts w:hint="eastAsia" w:ascii="Times New Roman" w:hAnsi="Times New Roman" w:eastAsia="宋体"/>
          <w:color w:val="auto"/>
          <w:highlight w:val="none"/>
        </w:rPr>
        <w:t>关于监测点的选取、监测项目及监测周期的确定应根据国家规定的环境监测技术规范进行。</w:t>
      </w:r>
    </w:p>
    <w:p w14:paraId="70C64A78">
      <w:pPr>
        <w:ind w:firstLine="480"/>
        <w:rPr>
          <w:rFonts w:ascii="Times New Roman" w:hAnsi="Times New Roman" w:eastAsia="宋体"/>
          <w:color w:val="auto"/>
          <w:highlight w:val="none"/>
        </w:rPr>
      </w:pPr>
      <w:r>
        <w:rPr>
          <w:rFonts w:hint="eastAsia" w:ascii="Times New Roman" w:hAnsi="Times New Roman" w:eastAsia="宋体"/>
          <w:color w:val="auto"/>
          <w:highlight w:val="none"/>
        </w:rPr>
        <w:t>非正常工况根据实际情况随时进行监测，如发生异常或对环境产生不利影响需立即采取相应措施进行处理。</w:t>
      </w:r>
    </w:p>
    <w:p w14:paraId="692A3276">
      <w:pPr>
        <w:pStyle w:val="4"/>
        <w:rPr>
          <w:rFonts w:ascii="Times New Roman" w:hAnsi="Times New Roman" w:eastAsia="宋体"/>
          <w:color w:val="auto"/>
          <w:highlight w:val="none"/>
        </w:rPr>
      </w:pPr>
      <w:bookmarkStart w:id="336" w:name="_Toc106663554"/>
      <w:bookmarkStart w:id="337" w:name="_Toc89619359"/>
      <w:bookmarkStart w:id="338" w:name="_Toc18212"/>
      <w:bookmarkStart w:id="339" w:name="_Toc15438"/>
      <w:r>
        <w:rPr>
          <w:rFonts w:hint="eastAsia" w:ascii="Times New Roman" w:hAnsi="Times New Roman" w:eastAsia="宋体"/>
          <w:color w:val="auto"/>
          <w:highlight w:val="none"/>
        </w:rPr>
        <w:t>8.3</w:t>
      </w:r>
      <w:r>
        <w:rPr>
          <w:rFonts w:ascii="Times New Roman" w:hAnsi="Times New Roman" w:eastAsia="宋体"/>
          <w:color w:val="auto"/>
          <w:highlight w:val="none"/>
        </w:rPr>
        <w:t>竣工验收管理</w:t>
      </w:r>
      <w:bookmarkEnd w:id="336"/>
      <w:bookmarkEnd w:id="337"/>
      <w:bookmarkEnd w:id="338"/>
      <w:bookmarkEnd w:id="339"/>
    </w:p>
    <w:p w14:paraId="5E8FC30B">
      <w:pPr>
        <w:pStyle w:val="5"/>
        <w:rPr>
          <w:rFonts w:ascii="Times New Roman" w:hAnsi="Times New Roman" w:eastAsia="宋体"/>
          <w:color w:val="auto"/>
          <w:highlight w:val="none"/>
        </w:rPr>
      </w:pPr>
      <w:bookmarkStart w:id="340" w:name="_Toc106663555"/>
      <w:r>
        <w:rPr>
          <w:rFonts w:hint="eastAsia" w:ascii="Times New Roman" w:hAnsi="Times New Roman" w:eastAsia="宋体"/>
          <w:color w:val="auto"/>
          <w:highlight w:val="none"/>
        </w:rPr>
        <w:t>8.3.1竣工验收管理及要求</w:t>
      </w:r>
      <w:bookmarkEnd w:id="340"/>
    </w:p>
    <w:p w14:paraId="00130683">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建设项目竣工环境保护验收暂行办法》，建设项目竣工后建设单位自主开展环境保护验收及相关监督管理。项目建设中应配套建设气、水、噪声或者固体废物污染防治设施，正式投入生产或使用之前自主开展环境保护验收。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环境保护设施是指防治环境污染和生态破坏以及开展环境监测所需的装置、设备和工程设施等。验收报告分为验收监测（调查）报告、验收意见和其他需要说明的事项等三项内容。</w:t>
      </w:r>
    </w:p>
    <w:p w14:paraId="4C0D6C98">
      <w:pPr>
        <w:ind w:firstLine="480"/>
        <w:rPr>
          <w:rFonts w:ascii="Times New Roman" w:hAnsi="Times New Roman" w:eastAsia="宋体"/>
          <w:color w:val="auto"/>
          <w:highlight w:val="none"/>
        </w:rPr>
      </w:pPr>
      <w:r>
        <w:rPr>
          <w:rFonts w:hint="eastAsia" w:ascii="Times New Roman" w:hAnsi="Times New Roman" w:eastAsia="宋体"/>
          <w:color w:val="auto"/>
          <w:highlight w:val="none"/>
        </w:rPr>
        <w:t>（1）建设项目竣工环境保护验收的主要依据包括：</w:t>
      </w:r>
    </w:p>
    <w:p w14:paraId="305FFD02">
      <w:pPr>
        <w:ind w:firstLine="480"/>
        <w:rPr>
          <w:rFonts w:ascii="Times New Roman" w:hAnsi="Times New Roman" w:eastAsia="宋体"/>
          <w:color w:val="auto"/>
          <w:highlight w:val="none"/>
        </w:rPr>
      </w:pPr>
      <w:r>
        <w:rPr>
          <w:rFonts w:hint="eastAsia" w:ascii="Times New Roman" w:hAnsi="Times New Roman" w:eastAsia="宋体"/>
          <w:color w:val="auto"/>
          <w:highlight w:val="none"/>
        </w:rPr>
        <w:t>①建设项目环境保护相关法律、法规、规章、标准和规范性文件；</w:t>
      </w:r>
    </w:p>
    <w:p w14:paraId="032E4CE0">
      <w:pPr>
        <w:ind w:firstLine="480"/>
        <w:rPr>
          <w:rFonts w:ascii="Times New Roman" w:hAnsi="Times New Roman" w:eastAsia="宋体"/>
          <w:color w:val="auto"/>
          <w:highlight w:val="none"/>
        </w:rPr>
      </w:pPr>
      <w:r>
        <w:rPr>
          <w:rFonts w:hint="eastAsia" w:ascii="Times New Roman" w:hAnsi="Times New Roman" w:eastAsia="宋体"/>
          <w:color w:val="auto"/>
          <w:highlight w:val="none"/>
        </w:rPr>
        <w:t>②建设项目竣工环境保护验收技术规范；</w:t>
      </w:r>
    </w:p>
    <w:p w14:paraId="234ED30D">
      <w:pPr>
        <w:ind w:firstLine="480"/>
        <w:rPr>
          <w:rFonts w:ascii="Times New Roman" w:hAnsi="Times New Roman" w:eastAsia="宋体"/>
          <w:color w:val="auto"/>
          <w:highlight w:val="none"/>
        </w:rPr>
      </w:pPr>
      <w:r>
        <w:rPr>
          <w:rFonts w:hint="eastAsia" w:ascii="Times New Roman" w:hAnsi="Times New Roman" w:eastAsia="宋体"/>
          <w:color w:val="auto"/>
          <w:highlight w:val="none"/>
        </w:rPr>
        <w:t>③建设项目环境影响报告书及审批部门审批决定。</w:t>
      </w:r>
    </w:p>
    <w:p w14:paraId="47ED8FF3">
      <w:pPr>
        <w:ind w:firstLine="480"/>
        <w:rPr>
          <w:rFonts w:ascii="Times New Roman" w:hAnsi="Times New Roman" w:eastAsia="宋体"/>
          <w:color w:val="auto"/>
          <w:highlight w:val="none"/>
        </w:rPr>
      </w:pPr>
      <w:r>
        <w:rPr>
          <w:rFonts w:hint="eastAsia" w:ascii="Times New Roman" w:hAnsi="Times New Roman" w:eastAsia="宋体"/>
          <w:color w:val="auto"/>
          <w:highlight w:val="none"/>
        </w:rPr>
        <w:t>（2）验收的程序和内容</w:t>
      </w:r>
    </w:p>
    <w:p w14:paraId="08B1B0A2">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竣工后，建设单位应当如实查验、监测、记载建设项目环境保护设施的建设和调试情况，编制验收监测（调查）报告。以排放污染物为主的建设项目，参照《建设项目竣工环境保护验收技术指南污染影响类》编制验收监测报告。</w:t>
      </w:r>
    </w:p>
    <w:p w14:paraId="14C18131">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建设单位应当确保调试期间污染物排放符合国家和地方有关污染物排放标准和排污许可等相关管理规定。</w:t>
      </w:r>
    </w:p>
    <w:p w14:paraId="73585AE4">
      <w:pPr>
        <w:ind w:firstLine="480"/>
        <w:rPr>
          <w:rFonts w:ascii="Times New Roman" w:hAnsi="Times New Roman" w:eastAsia="宋体"/>
          <w:color w:val="auto"/>
          <w:highlight w:val="none"/>
        </w:rPr>
      </w:pPr>
      <w:r>
        <w:rPr>
          <w:rFonts w:hint="eastAsia" w:ascii="Times New Roman" w:hAnsi="Times New Roman" w:eastAsia="宋体"/>
          <w:color w:val="auto"/>
          <w:highlight w:val="none"/>
        </w:rPr>
        <w:t>环境保护设施未与主体工程同时建成的，或者应当取得排污许可证但未取得的，建设单位不得对该建设项目环境保护设施进行调试。调试期间，建设单位应当对环境保护设施运行情况和建设项目对环境的影响进行监测。验收监测应当在确保主体工程调试工况稳定、环境保护设施运行正常的情况下进行，并如实记录监测时的实际工况。国家和地方有关污染物排放标准或者行业验收技术规范对工况和生产负荷另有规定的，按其规定执行。建设单位开展验收监测活动，可根据自身条件和能力，利用自有人员、场所和设备自行监测；也可以委托其他有能力的监测机构开展监测。</w:t>
      </w:r>
    </w:p>
    <w:p w14:paraId="684BE990">
      <w:pPr>
        <w:ind w:firstLine="480"/>
        <w:rPr>
          <w:rFonts w:ascii="Times New Roman" w:hAnsi="Times New Roman" w:eastAsia="宋体"/>
          <w:color w:val="auto"/>
          <w:highlight w:val="none"/>
        </w:rPr>
      </w:pPr>
      <w:r>
        <w:rPr>
          <w:rFonts w:hint="eastAsia" w:ascii="Times New Roman" w:hAnsi="Times New Roman" w:eastAsia="宋体"/>
          <w:color w:val="auto"/>
          <w:highlight w:val="none"/>
        </w:rPr>
        <w:t>验收监测（调查）报告编制完成后，建设单位应当根据验收监测（调查）报告结论，逐一检查是否存在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14:paraId="2826B5E4">
      <w:pPr>
        <w:pStyle w:val="5"/>
        <w:rPr>
          <w:rFonts w:ascii="Times New Roman" w:hAnsi="Times New Roman" w:eastAsia="宋体"/>
          <w:color w:val="auto"/>
          <w:highlight w:val="none"/>
        </w:rPr>
      </w:pPr>
      <w:bookmarkStart w:id="341" w:name="_Toc106663556"/>
      <w:r>
        <w:rPr>
          <w:rFonts w:hint="eastAsia" w:ascii="Times New Roman" w:hAnsi="Times New Roman" w:eastAsia="宋体"/>
          <w:color w:val="auto"/>
          <w:highlight w:val="none"/>
        </w:rPr>
        <w:t>8.3.2环境保护</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验收</w:t>
      </w:r>
      <w:bookmarkEnd w:id="341"/>
    </w:p>
    <w:p w14:paraId="3D3A948D">
      <w:pPr>
        <w:ind w:firstLine="480"/>
        <w:rPr>
          <w:rFonts w:ascii="Times New Roman" w:hAnsi="Times New Roman" w:eastAsia="宋体"/>
          <w:color w:val="auto"/>
          <w:highlight w:val="none"/>
        </w:rPr>
      </w:pPr>
      <w:r>
        <w:rPr>
          <w:rFonts w:hint="eastAsia" w:ascii="Times New Roman" w:hAnsi="Times New Roman" w:eastAsia="宋体"/>
          <w:color w:val="auto"/>
          <w:highlight w:val="none"/>
        </w:rPr>
        <w:t>根据《中华人民共和国环境保护法》规定，项目建成后，应全面检查项目对周围环境的改变及环保设施</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情况。项目试运行一段时间，达到生产正常、稳定后，由建设单位成立验收组进行自主验收。项目环保设施</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竣工验收内容见表8.3-1。</w:t>
      </w:r>
    </w:p>
    <w:p w14:paraId="4EB27649">
      <w:pPr>
        <w:pStyle w:val="10"/>
        <w:rPr>
          <w:rFonts w:ascii="Times New Roman" w:hAnsi="Times New Roman" w:eastAsia="宋体"/>
          <w:color w:val="auto"/>
          <w:highlight w:val="none"/>
        </w:rPr>
      </w:pPr>
      <w:r>
        <w:rPr>
          <w:rFonts w:hint="eastAsia" w:ascii="Times New Roman" w:hAnsi="Times New Roman" w:eastAsia="宋体"/>
          <w:color w:val="auto"/>
          <w:highlight w:val="none"/>
        </w:rPr>
        <w:t>表8.3-1本项目环保设施</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验收一览表</w:t>
      </w:r>
    </w:p>
    <w:tbl>
      <w:tblPr>
        <w:tblStyle w:val="176"/>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54"/>
        <w:gridCol w:w="663"/>
        <w:gridCol w:w="923"/>
        <w:gridCol w:w="3087"/>
        <w:gridCol w:w="3082"/>
      </w:tblGrid>
      <w:tr w14:paraId="0D08B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Align w:val="center"/>
          </w:tcPr>
          <w:p w14:paraId="0D556E4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val="en-US" w:eastAsia="zh-CN"/>
              </w:rPr>
            </w:pPr>
            <w:r>
              <w:rPr>
                <w:rFonts w:ascii="Times New Roman" w:hAnsi="Times New Roman" w:eastAsia="宋体" w:cs="宋体"/>
                <w:color w:val="auto"/>
                <w:spacing w:val="0"/>
                <w:position w:val="0"/>
                <w:sz w:val="21"/>
                <w:szCs w:val="21"/>
                <w:highlight w:val="none"/>
              </w:rPr>
              <w:t>污染类</w:t>
            </w:r>
            <w:r>
              <w:rPr>
                <w:rFonts w:hint="eastAsia" w:ascii="Times New Roman" w:hAnsi="Times New Roman" w:eastAsia="宋体" w:cs="宋体"/>
                <w:color w:val="auto"/>
                <w:spacing w:val="0"/>
                <w:position w:val="0"/>
                <w:sz w:val="21"/>
                <w:szCs w:val="21"/>
                <w:highlight w:val="none"/>
                <w:lang w:val="en-US" w:eastAsia="zh-CN"/>
              </w:rPr>
              <w:t>别</w:t>
            </w:r>
          </w:p>
        </w:tc>
        <w:tc>
          <w:tcPr>
            <w:tcW w:w="399" w:type="pct"/>
            <w:vAlign w:val="center"/>
          </w:tcPr>
          <w:p w14:paraId="2115DB6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污染源</w:t>
            </w:r>
          </w:p>
        </w:tc>
        <w:tc>
          <w:tcPr>
            <w:tcW w:w="555" w:type="pct"/>
            <w:vAlign w:val="center"/>
          </w:tcPr>
          <w:p w14:paraId="180DF6C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污染物</w:t>
            </w:r>
          </w:p>
        </w:tc>
        <w:tc>
          <w:tcPr>
            <w:tcW w:w="1855" w:type="pct"/>
            <w:vAlign w:val="center"/>
          </w:tcPr>
          <w:p w14:paraId="733FEC1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环保措施</w:t>
            </w:r>
          </w:p>
        </w:tc>
        <w:tc>
          <w:tcPr>
            <w:tcW w:w="1854" w:type="pct"/>
            <w:vAlign w:val="center"/>
          </w:tcPr>
          <w:p w14:paraId="7FF359B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验收标准</w:t>
            </w:r>
          </w:p>
        </w:tc>
      </w:tr>
      <w:tr w14:paraId="28A36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textDirection w:val="tbRlV"/>
            <w:vAlign w:val="center"/>
          </w:tcPr>
          <w:p w14:paraId="4907BCB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废气</w:t>
            </w:r>
          </w:p>
        </w:tc>
        <w:tc>
          <w:tcPr>
            <w:tcW w:w="399" w:type="pct"/>
            <w:vAlign w:val="center"/>
          </w:tcPr>
          <w:p w14:paraId="2FBBFA1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宋体"/>
                <w:color w:val="auto"/>
                <w:spacing w:val="0"/>
                <w:position w:val="0"/>
                <w:sz w:val="21"/>
                <w:szCs w:val="21"/>
                <w:highlight w:val="none"/>
                <w:lang w:eastAsia="zh-CN"/>
              </w:rPr>
            </w:pPr>
            <w:r>
              <w:rPr>
                <w:rFonts w:ascii="Times New Roman" w:hAnsi="Times New Roman" w:eastAsia="宋体" w:cs="宋体"/>
                <w:color w:val="auto"/>
                <w:spacing w:val="0"/>
                <w:position w:val="0"/>
                <w:sz w:val="21"/>
                <w:szCs w:val="21"/>
                <w:highlight w:val="none"/>
              </w:rPr>
              <w:t>鸡舍、</w:t>
            </w:r>
            <w:r>
              <w:rPr>
                <w:rFonts w:hint="eastAsia" w:ascii="Times New Roman" w:hAnsi="Times New Roman" w:eastAsia="宋体" w:cs="宋体"/>
                <w:color w:val="auto"/>
                <w:spacing w:val="0"/>
                <w:position w:val="0"/>
                <w:sz w:val="21"/>
                <w:szCs w:val="21"/>
                <w:highlight w:val="none"/>
                <w:lang w:eastAsia="zh-CN"/>
              </w:rPr>
              <w:t>废水收集池</w:t>
            </w:r>
          </w:p>
        </w:tc>
        <w:tc>
          <w:tcPr>
            <w:tcW w:w="555" w:type="pct"/>
            <w:vAlign w:val="center"/>
          </w:tcPr>
          <w:p w14:paraId="39FF028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14"/>
                <w:highlight w:val="none"/>
              </w:rPr>
            </w:pPr>
            <w:r>
              <w:rPr>
                <w:rFonts w:ascii="Times New Roman" w:hAnsi="Times New Roman" w:eastAsia="宋体" w:cs="宋体"/>
                <w:color w:val="auto"/>
                <w:spacing w:val="0"/>
                <w:position w:val="0"/>
                <w:sz w:val="21"/>
                <w:szCs w:val="21"/>
                <w:highlight w:val="none"/>
              </w:rPr>
              <w:t>臭气浓度、</w:t>
            </w:r>
            <w:r>
              <w:rPr>
                <w:rFonts w:ascii="Times New Roman" w:hAnsi="Times New Roman" w:eastAsia="宋体" w:cs="Times New Roman"/>
                <w:color w:val="auto"/>
                <w:spacing w:val="0"/>
                <w:position w:val="0"/>
                <w:sz w:val="21"/>
                <w:szCs w:val="21"/>
                <w:highlight w:val="none"/>
              </w:rPr>
              <w:t>H</w:t>
            </w:r>
            <w:r>
              <w:rPr>
                <w:rFonts w:ascii="Times New Roman" w:hAnsi="Times New Roman" w:eastAsia="宋体" w:cs="Times New Roman"/>
                <w:color w:val="auto"/>
                <w:spacing w:val="0"/>
                <w:position w:val="0"/>
                <w:sz w:val="21"/>
                <w:szCs w:val="14"/>
                <w:highlight w:val="none"/>
                <w:vertAlign w:val="subscript"/>
              </w:rPr>
              <w:t>2</w:t>
            </w:r>
            <w:r>
              <w:rPr>
                <w:rFonts w:ascii="Times New Roman" w:hAnsi="Times New Roman" w:eastAsia="宋体" w:cs="Times New Roman"/>
                <w:color w:val="auto"/>
                <w:spacing w:val="0"/>
                <w:position w:val="0"/>
                <w:sz w:val="21"/>
                <w:szCs w:val="21"/>
                <w:highlight w:val="none"/>
              </w:rPr>
              <w:t>S</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p>
        </w:tc>
        <w:tc>
          <w:tcPr>
            <w:tcW w:w="1855" w:type="pct"/>
            <w:vAlign w:val="center"/>
          </w:tcPr>
          <w:p w14:paraId="140692D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设置排风扇、鸡舍粪污日产日清，定期采用除臭剂进行喷洒，进行厂区绿化</w:t>
            </w:r>
          </w:p>
        </w:tc>
        <w:tc>
          <w:tcPr>
            <w:tcW w:w="1854" w:type="pct"/>
            <w:vAlign w:val="center"/>
          </w:tcPr>
          <w:p w14:paraId="36F9C6A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臭气浓度排放执行《畜禽养殖业污染物排放标准》</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GB18596-2001</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中集约化畜禽养殖业恶臭污染物排放标准，</w:t>
            </w:r>
            <w:r>
              <w:rPr>
                <w:rFonts w:ascii="Times New Roman" w:hAnsi="Times New Roman" w:eastAsia="宋体" w:cs="Times New Roman"/>
                <w:color w:val="auto"/>
                <w:spacing w:val="0"/>
                <w:position w:val="0"/>
                <w:sz w:val="21"/>
                <w:szCs w:val="21"/>
                <w:highlight w:val="none"/>
              </w:rPr>
              <w:t>H</w:t>
            </w:r>
            <w:r>
              <w:rPr>
                <w:rFonts w:ascii="Times New Roman" w:hAnsi="Times New Roman" w:eastAsia="宋体" w:cs="Times New Roman"/>
                <w:color w:val="auto"/>
                <w:spacing w:val="0"/>
                <w:position w:val="0"/>
                <w:sz w:val="21"/>
                <w:szCs w:val="14"/>
                <w:highlight w:val="none"/>
                <w:vertAlign w:val="subscript"/>
              </w:rPr>
              <w:t>2</w:t>
            </w:r>
            <w:r>
              <w:rPr>
                <w:rFonts w:ascii="Times New Roman" w:hAnsi="Times New Roman" w:eastAsia="宋体" w:cs="Times New Roman"/>
                <w:color w:val="auto"/>
                <w:spacing w:val="0"/>
                <w:position w:val="0"/>
                <w:sz w:val="21"/>
                <w:szCs w:val="21"/>
                <w:highlight w:val="none"/>
              </w:rPr>
              <w:t>S</w:t>
            </w:r>
            <w:r>
              <w:rPr>
                <w:rFonts w:ascii="Times New Roman" w:hAnsi="Times New Roman" w:eastAsia="宋体" w:cs="宋体"/>
                <w:color w:val="auto"/>
                <w:spacing w:val="0"/>
                <w:position w:val="0"/>
                <w:sz w:val="21"/>
                <w:szCs w:val="21"/>
                <w:highlight w:val="none"/>
              </w:rPr>
              <w:t>、</w:t>
            </w:r>
            <w:r>
              <w:rPr>
                <w:rFonts w:ascii="Times New Roman" w:hAnsi="Times New Roman" w:eastAsia="宋体" w:cs="Times New Roman"/>
                <w:color w:val="auto"/>
                <w:spacing w:val="0"/>
                <w:position w:val="0"/>
                <w:sz w:val="21"/>
                <w:szCs w:val="21"/>
                <w:highlight w:val="none"/>
              </w:rPr>
              <w:t>NH</w:t>
            </w:r>
            <w:r>
              <w:rPr>
                <w:rFonts w:ascii="Times New Roman" w:hAnsi="Times New Roman" w:eastAsia="宋体" w:cs="Times New Roman"/>
                <w:color w:val="auto"/>
                <w:spacing w:val="0"/>
                <w:position w:val="0"/>
                <w:sz w:val="21"/>
                <w:szCs w:val="14"/>
                <w:highlight w:val="none"/>
                <w:vertAlign w:val="subscript"/>
              </w:rPr>
              <w:t>3</w:t>
            </w:r>
            <w:r>
              <w:rPr>
                <w:rFonts w:ascii="Times New Roman" w:hAnsi="Times New Roman" w:eastAsia="宋体" w:cs="宋体"/>
                <w:color w:val="auto"/>
                <w:spacing w:val="0"/>
                <w:position w:val="0"/>
                <w:sz w:val="21"/>
                <w:szCs w:val="21"/>
                <w:highlight w:val="none"/>
              </w:rPr>
              <w:t>厂界排放浓度执行《恶臭污染物排放标准》</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GB14554-93</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中表</w:t>
            </w:r>
            <w:r>
              <w:rPr>
                <w:rFonts w:ascii="Times New Roman" w:hAnsi="Times New Roman" w:eastAsia="宋体" w:cs="Times New Roman"/>
                <w:color w:val="auto"/>
                <w:spacing w:val="0"/>
                <w:position w:val="0"/>
                <w:sz w:val="21"/>
                <w:szCs w:val="21"/>
                <w:highlight w:val="none"/>
              </w:rPr>
              <w:t>1</w:t>
            </w:r>
            <w:r>
              <w:rPr>
                <w:rFonts w:ascii="Times New Roman" w:hAnsi="Times New Roman" w:eastAsia="宋体" w:cs="宋体"/>
                <w:color w:val="auto"/>
                <w:spacing w:val="0"/>
                <w:position w:val="0"/>
                <w:sz w:val="21"/>
                <w:szCs w:val="21"/>
                <w:highlight w:val="none"/>
              </w:rPr>
              <w:t>新污染源二级标准</w:t>
            </w:r>
          </w:p>
        </w:tc>
      </w:tr>
      <w:tr w14:paraId="77283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Merge w:val="restart"/>
            <w:tcBorders>
              <w:bottom w:val="nil"/>
            </w:tcBorders>
            <w:textDirection w:val="tbRlV"/>
            <w:vAlign w:val="center"/>
          </w:tcPr>
          <w:p w14:paraId="2BCD593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废水</w:t>
            </w:r>
          </w:p>
        </w:tc>
        <w:tc>
          <w:tcPr>
            <w:tcW w:w="399" w:type="pct"/>
            <w:vMerge w:val="restart"/>
            <w:tcBorders>
              <w:bottom w:val="nil"/>
            </w:tcBorders>
            <w:vAlign w:val="center"/>
          </w:tcPr>
          <w:p w14:paraId="51EF704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鸡舍和管理区</w:t>
            </w:r>
          </w:p>
        </w:tc>
        <w:tc>
          <w:tcPr>
            <w:tcW w:w="555" w:type="pct"/>
            <w:vMerge w:val="restart"/>
            <w:tcBorders>
              <w:bottom w:val="nil"/>
            </w:tcBorders>
            <w:vAlign w:val="center"/>
          </w:tcPr>
          <w:p w14:paraId="176351A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鸡舍冲洗废水、生活污水</w:t>
            </w:r>
          </w:p>
        </w:tc>
        <w:tc>
          <w:tcPr>
            <w:tcW w:w="1855" w:type="pct"/>
            <w:vAlign w:val="center"/>
          </w:tcPr>
          <w:p w14:paraId="59F1210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生活污水直接排入下水管网</w:t>
            </w:r>
          </w:p>
        </w:tc>
        <w:tc>
          <w:tcPr>
            <w:tcW w:w="1854" w:type="pct"/>
            <w:vAlign w:val="center"/>
          </w:tcPr>
          <w:p w14:paraId="5DFA5B8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按照环评要求进行</w:t>
            </w:r>
          </w:p>
        </w:tc>
      </w:tr>
      <w:tr w14:paraId="5CDBA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Merge w:val="continue"/>
            <w:tcBorders>
              <w:top w:val="nil"/>
            </w:tcBorders>
            <w:textDirection w:val="tbRlV"/>
            <w:vAlign w:val="center"/>
          </w:tcPr>
          <w:p w14:paraId="0FAE536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399" w:type="pct"/>
            <w:vMerge w:val="continue"/>
            <w:tcBorders>
              <w:top w:val="nil"/>
            </w:tcBorders>
            <w:vAlign w:val="center"/>
          </w:tcPr>
          <w:p w14:paraId="22D61C1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555" w:type="pct"/>
            <w:vMerge w:val="continue"/>
            <w:tcBorders>
              <w:top w:val="nil"/>
            </w:tcBorders>
            <w:vAlign w:val="center"/>
          </w:tcPr>
          <w:p w14:paraId="7ED4425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1855" w:type="pct"/>
            <w:vAlign w:val="center"/>
          </w:tcPr>
          <w:p w14:paraId="23A08E8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宋体"/>
                <w:color w:val="auto"/>
                <w:spacing w:val="0"/>
                <w:position w:val="0"/>
                <w:sz w:val="21"/>
                <w:szCs w:val="21"/>
                <w:highlight w:val="none"/>
                <w:lang w:val="en-US"/>
              </w:rPr>
            </w:pPr>
            <w:r>
              <w:rPr>
                <w:rFonts w:ascii="Times New Roman" w:hAnsi="Times New Roman" w:eastAsia="宋体" w:cs="宋体"/>
                <w:color w:val="auto"/>
                <w:spacing w:val="0"/>
                <w:position w:val="0"/>
                <w:sz w:val="21"/>
                <w:szCs w:val="21"/>
                <w:highlight w:val="none"/>
              </w:rPr>
              <w:t>鸡舍冲洗废水排入</w:t>
            </w:r>
            <w:r>
              <w:rPr>
                <w:rFonts w:hint="eastAsia" w:ascii="Times New Roman" w:hAnsi="Times New Roman" w:eastAsia="宋体" w:cs="宋体"/>
                <w:color w:val="auto"/>
                <w:spacing w:val="0"/>
                <w:position w:val="0"/>
                <w:sz w:val="21"/>
                <w:szCs w:val="21"/>
                <w:highlight w:val="none"/>
                <w:lang w:eastAsia="zh-CN"/>
              </w:rPr>
              <w:t>废水收集池</w:t>
            </w:r>
            <w:r>
              <w:rPr>
                <w:rFonts w:hint="eastAsia" w:ascii="Times New Roman" w:hAnsi="Times New Roman" w:eastAsia="宋体" w:cs="宋体"/>
                <w:color w:val="auto"/>
                <w:spacing w:val="0"/>
                <w:position w:val="0"/>
                <w:sz w:val="21"/>
                <w:szCs w:val="21"/>
                <w:highlight w:val="none"/>
                <w:lang w:val="en-US" w:eastAsia="zh-CN"/>
              </w:rPr>
              <w:t>预处理后用作农肥</w:t>
            </w:r>
          </w:p>
        </w:tc>
        <w:tc>
          <w:tcPr>
            <w:tcW w:w="1854" w:type="pct"/>
            <w:vAlign w:val="center"/>
          </w:tcPr>
          <w:p w14:paraId="0A44327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按照环评要求进行</w:t>
            </w:r>
          </w:p>
        </w:tc>
      </w:tr>
      <w:tr w14:paraId="058F0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textDirection w:val="tbRlV"/>
            <w:vAlign w:val="center"/>
          </w:tcPr>
          <w:p w14:paraId="01428F1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噪声</w:t>
            </w:r>
          </w:p>
        </w:tc>
        <w:tc>
          <w:tcPr>
            <w:tcW w:w="399" w:type="pct"/>
            <w:vAlign w:val="center"/>
          </w:tcPr>
          <w:p w14:paraId="7306611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w:t>
            </w:r>
          </w:p>
        </w:tc>
        <w:tc>
          <w:tcPr>
            <w:tcW w:w="555" w:type="pct"/>
            <w:vAlign w:val="center"/>
          </w:tcPr>
          <w:p w14:paraId="32B5334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设备噪声</w:t>
            </w:r>
          </w:p>
        </w:tc>
        <w:tc>
          <w:tcPr>
            <w:tcW w:w="1855" w:type="pct"/>
            <w:vAlign w:val="center"/>
          </w:tcPr>
          <w:p w14:paraId="4B76723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合理布置鸡舍间距，选用低噪声设备、厂房隔声减振等措施后</w:t>
            </w:r>
          </w:p>
        </w:tc>
        <w:tc>
          <w:tcPr>
            <w:tcW w:w="1854" w:type="pct"/>
            <w:vAlign w:val="center"/>
          </w:tcPr>
          <w:p w14:paraId="4FBC065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厂界噪声执行《工业企业厂界环境噪声排放标准》</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GB12348-2008</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中</w:t>
            </w:r>
            <w:r>
              <w:rPr>
                <w:rFonts w:ascii="Times New Roman" w:hAnsi="Times New Roman" w:eastAsia="宋体" w:cs="Times New Roman"/>
                <w:color w:val="auto"/>
                <w:spacing w:val="0"/>
                <w:position w:val="0"/>
                <w:sz w:val="21"/>
                <w:szCs w:val="21"/>
                <w:highlight w:val="none"/>
              </w:rPr>
              <w:t>2</w:t>
            </w:r>
            <w:r>
              <w:rPr>
                <w:rFonts w:ascii="Times New Roman" w:hAnsi="Times New Roman" w:eastAsia="宋体" w:cs="宋体"/>
                <w:color w:val="auto"/>
                <w:spacing w:val="0"/>
                <w:position w:val="0"/>
                <w:sz w:val="21"/>
                <w:szCs w:val="21"/>
                <w:highlight w:val="none"/>
              </w:rPr>
              <w:t>类标准限值</w:t>
            </w:r>
          </w:p>
        </w:tc>
      </w:tr>
      <w:tr w14:paraId="481C6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Merge w:val="restart"/>
            <w:textDirection w:val="tbRlV"/>
            <w:vAlign w:val="center"/>
          </w:tcPr>
          <w:p w14:paraId="6EC118A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固废</w:t>
            </w:r>
          </w:p>
        </w:tc>
        <w:tc>
          <w:tcPr>
            <w:tcW w:w="399" w:type="pct"/>
            <w:vAlign w:val="center"/>
          </w:tcPr>
          <w:p w14:paraId="5382996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管理区</w:t>
            </w:r>
          </w:p>
        </w:tc>
        <w:tc>
          <w:tcPr>
            <w:tcW w:w="555" w:type="pct"/>
            <w:vAlign w:val="center"/>
          </w:tcPr>
          <w:p w14:paraId="1E12369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生活垃圾</w:t>
            </w:r>
          </w:p>
        </w:tc>
        <w:tc>
          <w:tcPr>
            <w:tcW w:w="1855" w:type="pct"/>
            <w:vAlign w:val="center"/>
          </w:tcPr>
          <w:p w14:paraId="3CBC797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生活垃圾集中收集合理处置</w:t>
            </w:r>
          </w:p>
        </w:tc>
        <w:tc>
          <w:tcPr>
            <w:tcW w:w="1854" w:type="pct"/>
            <w:vAlign w:val="center"/>
          </w:tcPr>
          <w:p w14:paraId="45AF9C6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按照环评要求进行</w:t>
            </w:r>
          </w:p>
        </w:tc>
      </w:tr>
      <w:tr w14:paraId="626CC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Merge w:val="continue"/>
            <w:textDirection w:val="tbRlV"/>
            <w:vAlign w:val="center"/>
          </w:tcPr>
          <w:p w14:paraId="4B157CB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399" w:type="pct"/>
            <w:vAlign w:val="center"/>
          </w:tcPr>
          <w:p w14:paraId="620F91E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宋体"/>
                <w:color w:val="auto"/>
                <w:spacing w:val="0"/>
                <w:position w:val="0"/>
                <w:sz w:val="21"/>
                <w:szCs w:val="21"/>
                <w:highlight w:val="none"/>
                <w:lang w:val="en-US" w:eastAsia="zh-CN"/>
              </w:rPr>
            </w:pPr>
            <w:r>
              <w:rPr>
                <w:rFonts w:ascii="Times New Roman" w:hAnsi="Times New Roman" w:eastAsia="宋体" w:cs="宋体"/>
                <w:color w:val="auto"/>
                <w:spacing w:val="0"/>
                <w:position w:val="0"/>
                <w:sz w:val="21"/>
                <w:szCs w:val="21"/>
                <w:highlight w:val="none"/>
              </w:rPr>
              <w:t>鸡舍</w:t>
            </w:r>
            <w:r>
              <w:rPr>
                <w:rFonts w:hint="eastAsia" w:ascii="Times New Roman" w:hAnsi="Times New Roman" w:eastAsia="宋体" w:cs="宋体"/>
                <w:color w:val="auto"/>
                <w:spacing w:val="0"/>
                <w:position w:val="0"/>
                <w:sz w:val="21"/>
                <w:szCs w:val="21"/>
                <w:highlight w:val="none"/>
                <w:lang w:eastAsia="zh-CN"/>
              </w:rPr>
              <w:t>、</w:t>
            </w:r>
            <w:r>
              <w:rPr>
                <w:rFonts w:hint="eastAsia" w:ascii="Times New Roman" w:hAnsi="Times New Roman" w:eastAsia="宋体" w:cs="宋体"/>
                <w:color w:val="auto"/>
                <w:spacing w:val="0"/>
                <w:position w:val="0"/>
                <w:sz w:val="21"/>
                <w:szCs w:val="21"/>
                <w:highlight w:val="none"/>
                <w:lang w:val="en-US" w:eastAsia="zh-CN"/>
              </w:rPr>
              <w:t>废水收集池</w:t>
            </w:r>
          </w:p>
        </w:tc>
        <w:tc>
          <w:tcPr>
            <w:tcW w:w="555" w:type="pct"/>
            <w:vAlign w:val="center"/>
          </w:tcPr>
          <w:p w14:paraId="6216748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宋体"/>
                <w:color w:val="auto"/>
                <w:spacing w:val="0"/>
                <w:position w:val="0"/>
                <w:sz w:val="21"/>
                <w:szCs w:val="21"/>
                <w:highlight w:val="none"/>
                <w:lang w:val="en-US" w:eastAsia="zh-CN"/>
              </w:rPr>
            </w:pPr>
            <w:r>
              <w:rPr>
                <w:rFonts w:ascii="Times New Roman" w:hAnsi="Times New Roman" w:eastAsia="宋体" w:cs="宋体"/>
                <w:color w:val="auto"/>
                <w:spacing w:val="0"/>
                <w:position w:val="0"/>
                <w:sz w:val="21"/>
                <w:szCs w:val="21"/>
                <w:highlight w:val="none"/>
              </w:rPr>
              <w:t>鸡粪</w:t>
            </w:r>
            <w:r>
              <w:rPr>
                <w:rFonts w:hint="eastAsia" w:ascii="Times New Roman" w:hAnsi="Times New Roman" w:eastAsia="宋体"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散落羽毛</w:t>
            </w:r>
            <w:r>
              <w:rPr>
                <w:rFonts w:hint="eastAsia" w:ascii="Times New Roman" w:hAnsi="Times New Roman" w:eastAsia="宋体" w:cs="宋体"/>
                <w:color w:val="auto"/>
                <w:spacing w:val="0"/>
                <w:position w:val="0"/>
                <w:sz w:val="21"/>
                <w:szCs w:val="21"/>
                <w:highlight w:val="none"/>
                <w:lang w:val="en-US" w:eastAsia="zh-CN"/>
              </w:rPr>
              <w:t>及污泥</w:t>
            </w:r>
          </w:p>
        </w:tc>
        <w:tc>
          <w:tcPr>
            <w:tcW w:w="1855" w:type="pct"/>
            <w:vAlign w:val="center"/>
          </w:tcPr>
          <w:p w14:paraId="5F1662B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鸡粪采用自动清粪系统清理后</w:t>
            </w:r>
            <w:r>
              <w:rPr>
                <w:rFonts w:hint="eastAsia" w:ascii="Times New Roman" w:hAnsi="Times New Roman" w:eastAsia="宋体" w:cs="宋体"/>
                <w:color w:val="auto"/>
                <w:spacing w:val="0"/>
                <w:position w:val="0"/>
                <w:sz w:val="21"/>
                <w:szCs w:val="21"/>
                <w:highlight w:val="none"/>
                <w:lang w:val="en-US" w:eastAsia="zh-CN"/>
              </w:rPr>
              <w:t>和污泥外售</w:t>
            </w:r>
            <w:r>
              <w:rPr>
                <w:rFonts w:ascii="Times New Roman" w:hAnsi="Times New Roman" w:eastAsia="宋体" w:cs="宋体"/>
                <w:color w:val="auto"/>
                <w:spacing w:val="0"/>
                <w:position w:val="0"/>
                <w:sz w:val="21"/>
                <w:szCs w:val="21"/>
                <w:highlight w:val="none"/>
              </w:rPr>
              <w:t>有机肥厂，由其负责定期清运工作。</w:t>
            </w:r>
          </w:p>
        </w:tc>
        <w:tc>
          <w:tcPr>
            <w:tcW w:w="1854" w:type="pct"/>
            <w:vAlign w:val="center"/>
          </w:tcPr>
          <w:p w14:paraId="2E09FD5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按照环评要求进行</w:t>
            </w:r>
          </w:p>
        </w:tc>
      </w:tr>
      <w:tr w14:paraId="06AD3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0" w:hRule="atLeast"/>
          <w:jc w:val="center"/>
        </w:trPr>
        <w:tc>
          <w:tcPr>
            <w:tcW w:w="334" w:type="pct"/>
            <w:vMerge w:val="continue"/>
            <w:textDirection w:val="tbRlV"/>
            <w:vAlign w:val="center"/>
          </w:tcPr>
          <w:p w14:paraId="4179B04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399" w:type="pct"/>
            <w:vAlign w:val="center"/>
          </w:tcPr>
          <w:p w14:paraId="28C6741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鸡舍</w:t>
            </w:r>
          </w:p>
        </w:tc>
        <w:tc>
          <w:tcPr>
            <w:tcW w:w="555" w:type="pct"/>
            <w:vAlign w:val="center"/>
          </w:tcPr>
          <w:p w14:paraId="5C5389BE">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病死鸡只</w:t>
            </w:r>
          </w:p>
        </w:tc>
        <w:tc>
          <w:tcPr>
            <w:tcW w:w="1855" w:type="pct"/>
            <w:vAlign w:val="center"/>
          </w:tcPr>
          <w:p w14:paraId="5F1C951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设置</w:t>
            </w:r>
            <w:r>
              <w:rPr>
                <w:rFonts w:hint="eastAsia" w:cs="Times New Roman"/>
                <w:color w:val="auto"/>
                <w:spacing w:val="0"/>
                <w:position w:val="0"/>
                <w:sz w:val="21"/>
                <w:szCs w:val="21"/>
                <w:highlight w:val="none"/>
                <w:lang w:eastAsia="zh-CN"/>
              </w:rPr>
              <w:t>9口</w:t>
            </w:r>
            <w:r>
              <w:rPr>
                <w:rFonts w:ascii="Times New Roman" w:hAnsi="Times New Roman" w:eastAsia="宋体" w:cs="宋体"/>
                <w:color w:val="auto"/>
                <w:spacing w:val="0"/>
                <w:position w:val="0"/>
                <w:sz w:val="21"/>
                <w:szCs w:val="21"/>
                <w:highlight w:val="none"/>
              </w:rPr>
              <w:t>安全填埋井填埋处置，安全填埋井按照重点防渗区防渗处置</w:t>
            </w:r>
          </w:p>
        </w:tc>
        <w:tc>
          <w:tcPr>
            <w:tcW w:w="1854" w:type="pct"/>
            <w:vAlign w:val="center"/>
          </w:tcPr>
          <w:p w14:paraId="7C4EC4C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按照《畜禽养殖业污染防治技术规范》</w:t>
            </w:r>
            <w:r>
              <w:rPr>
                <w:rFonts w:hint="eastAsia" w:cs="宋体"/>
                <w:color w:val="auto"/>
                <w:spacing w:val="0"/>
                <w:position w:val="0"/>
                <w:sz w:val="21"/>
                <w:szCs w:val="21"/>
                <w:highlight w:val="none"/>
                <w:lang w:eastAsia="zh-CN"/>
              </w:rPr>
              <w:t>（</w:t>
            </w:r>
            <w:r>
              <w:rPr>
                <w:rFonts w:ascii="Times New Roman" w:hAnsi="Times New Roman" w:eastAsia="宋体" w:cs="Times New Roman"/>
                <w:color w:val="auto"/>
                <w:spacing w:val="0"/>
                <w:position w:val="0"/>
                <w:sz w:val="21"/>
                <w:szCs w:val="21"/>
                <w:highlight w:val="none"/>
              </w:rPr>
              <w:t>HJ/T81-2001</w:t>
            </w:r>
            <w:r>
              <w:rPr>
                <w:rFonts w:hint="eastAsia" w:cs="宋体"/>
                <w:color w:val="auto"/>
                <w:spacing w:val="0"/>
                <w:position w:val="0"/>
                <w:sz w:val="21"/>
                <w:szCs w:val="21"/>
                <w:highlight w:val="none"/>
                <w:lang w:eastAsia="zh-CN"/>
              </w:rPr>
              <w:t>）</w:t>
            </w:r>
            <w:r>
              <w:rPr>
                <w:rFonts w:ascii="Times New Roman" w:hAnsi="Times New Roman" w:eastAsia="宋体" w:cs="宋体"/>
                <w:color w:val="auto"/>
                <w:spacing w:val="0"/>
                <w:position w:val="0"/>
                <w:sz w:val="21"/>
                <w:szCs w:val="21"/>
                <w:highlight w:val="none"/>
              </w:rPr>
              <w:t>要求进行布置</w:t>
            </w:r>
          </w:p>
        </w:tc>
      </w:tr>
      <w:tr w14:paraId="1341E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Merge w:val="continue"/>
            <w:vAlign w:val="center"/>
          </w:tcPr>
          <w:p w14:paraId="3B8DAB2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399" w:type="pct"/>
            <w:vAlign w:val="center"/>
          </w:tcPr>
          <w:p w14:paraId="1255BA8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生产加工区</w:t>
            </w:r>
          </w:p>
        </w:tc>
        <w:tc>
          <w:tcPr>
            <w:tcW w:w="555" w:type="pct"/>
            <w:vAlign w:val="center"/>
          </w:tcPr>
          <w:p w14:paraId="10DCDBF7">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废弃包装袋</w:t>
            </w:r>
          </w:p>
        </w:tc>
        <w:tc>
          <w:tcPr>
            <w:tcW w:w="1855" w:type="pct"/>
            <w:vAlign w:val="center"/>
          </w:tcPr>
          <w:p w14:paraId="504B3DF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饲料包装袋集中收集后外售</w:t>
            </w:r>
          </w:p>
        </w:tc>
        <w:tc>
          <w:tcPr>
            <w:tcW w:w="1854" w:type="pct"/>
            <w:vAlign w:val="center"/>
          </w:tcPr>
          <w:p w14:paraId="081D0A1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合理处置</w:t>
            </w:r>
          </w:p>
        </w:tc>
      </w:tr>
      <w:tr w14:paraId="5A60B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Merge w:val="continue"/>
            <w:vAlign w:val="center"/>
          </w:tcPr>
          <w:p w14:paraId="4261E59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olor w:val="auto"/>
                <w:spacing w:val="0"/>
                <w:position w:val="0"/>
                <w:sz w:val="21"/>
                <w:highlight w:val="none"/>
              </w:rPr>
            </w:pPr>
          </w:p>
        </w:tc>
        <w:tc>
          <w:tcPr>
            <w:tcW w:w="399" w:type="pct"/>
            <w:vAlign w:val="center"/>
          </w:tcPr>
          <w:p w14:paraId="790BF4B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危废暂存间</w:t>
            </w:r>
          </w:p>
        </w:tc>
        <w:tc>
          <w:tcPr>
            <w:tcW w:w="555" w:type="pct"/>
            <w:vAlign w:val="center"/>
          </w:tcPr>
          <w:p w14:paraId="72FA5A6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医疗废物</w:t>
            </w:r>
          </w:p>
        </w:tc>
        <w:tc>
          <w:tcPr>
            <w:tcW w:w="1855" w:type="pct"/>
            <w:vAlign w:val="center"/>
          </w:tcPr>
          <w:p w14:paraId="197F834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按照《危险废物储存场所管理规范》设置医疗废物暂存间，定期</w:t>
            </w:r>
          </w:p>
          <w:p w14:paraId="035F2B4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交由有资质的单位</w:t>
            </w:r>
          </w:p>
        </w:tc>
        <w:tc>
          <w:tcPr>
            <w:tcW w:w="1854" w:type="pct"/>
            <w:vAlign w:val="center"/>
          </w:tcPr>
          <w:p w14:paraId="3501E5B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按照环评要求进行</w:t>
            </w:r>
          </w:p>
        </w:tc>
      </w:tr>
      <w:tr w14:paraId="25DBC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4" w:type="pct"/>
            <w:vAlign w:val="center"/>
          </w:tcPr>
          <w:p w14:paraId="5B2A121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绿化</w:t>
            </w:r>
          </w:p>
        </w:tc>
        <w:tc>
          <w:tcPr>
            <w:tcW w:w="2811" w:type="pct"/>
            <w:gridSpan w:val="3"/>
            <w:vAlign w:val="center"/>
          </w:tcPr>
          <w:p w14:paraId="6685282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宋体"/>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种植草坪、树木，景观造型设计等</w:t>
            </w:r>
          </w:p>
        </w:tc>
        <w:tc>
          <w:tcPr>
            <w:tcW w:w="1854" w:type="pct"/>
            <w:vAlign w:val="center"/>
          </w:tcPr>
          <w:p w14:paraId="16A826E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宋体"/>
                <w:color w:val="auto"/>
                <w:spacing w:val="0"/>
                <w:position w:val="0"/>
                <w:sz w:val="21"/>
                <w:szCs w:val="21"/>
                <w:highlight w:val="none"/>
              </w:rPr>
              <w:t>绿化率达</w:t>
            </w:r>
            <w:r>
              <w:rPr>
                <w:rFonts w:ascii="Times New Roman" w:hAnsi="Times New Roman" w:eastAsia="宋体" w:cs="Times New Roman"/>
                <w:color w:val="auto"/>
                <w:spacing w:val="0"/>
                <w:position w:val="0"/>
                <w:sz w:val="21"/>
                <w:szCs w:val="21"/>
                <w:highlight w:val="none"/>
              </w:rPr>
              <w:t>10%</w:t>
            </w:r>
          </w:p>
        </w:tc>
      </w:tr>
    </w:tbl>
    <w:p w14:paraId="7688419F">
      <w:pPr>
        <w:pStyle w:val="4"/>
        <w:rPr>
          <w:rFonts w:ascii="Times New Roman" w:hAnsi="Times New Roman" w:eastAsia="宋体"/>
          <w:color w:val="auto"/>
          <w:highlight w:val="none"/>
        </w:rPr>
      </w:pPr>
      <w:bookmarkStart w:id="342" w:name="_Toc89619360"/>
      <w:bookmarkStart w:id="343" w:name="_Toc106663557"/>
      <w:r>
        <w:rPr>
          <w:rFonts w:hint="eastAsia" w:ascii="Times New Roman" w:hAnsi="Times New Roman" w:eastAsia="宋体"/>
          <w:color w:val="auto"/>
          <w:highlight w:val="none"/>
        </w:rPr>
        <w:t>8.4污染源排放清单</w:t>
      </w:r>
      <w:bookmarkEnd w:id="342"/>
      <w:bookmarkEnd w:id="343"/>
    </w:p>
    <w:p w14:paraId="7B4334C5">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本项目运营期间污染物排放清单见表8.4-1。</w:t>
      </w:r>
    </w:p>
    <w:p w14:paraId="14B5B701">
      <w:pPr>
        <w:pStyle w:val="10"/>
        <w:spacing w:after="0"/>
        <w:rPr>
          <w:rFonts w:ascii="Times New Roman" w:hAnsi="Times New Roman" w:eastAsia="宋体"/>
          <w:color w:val="auto"/>
          <w:sz w:val="24"/>
          <w:szCs w:val="22"/>
          <w:highlight w:val="none"/>
        </w:rPr>
      </w:pPr>
      <w:r>
        <w:rPr>
          <w:rFonts w:hint="eastAsia" w:ascii="Times New Roman" w:hAnsi="Times New Roman" w:eastAsia="宋体"/>
          <w:color w:val="auto"/>
          <w:sz w:val="24"/>
          <w:szCs w:val="22"/>
          <w:highlight w:val="none"/>
        </w:rPr>
        <w:t>表8.4-1运营期污染源排放清单</w:t>
      </w:r>
    </w:p>
    <w:tbl>
      <w:tblPr>
        <w:tblStyle w:val="176"/>
        <w:tblW w:w="501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7"/>
        <w:gridCol w:w="945"/>
        <w:gridCol w:w="1274"/>
        <w:gridCol w:w="1490"/>
        <w:gridCol w:w="3086"/>
        <w:gridCol w:w="1112"/>
      </w:tblGrid>
      <w:tr w14:paraId="2F807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823" w:type="pct"/>
            <w:gridSpan w:val="2"/>
            <w:tcBorders>
              <w:tl2br w:val="nil"/>
              <w:tr2bl w:val="nil"/>
            </w:tcBorders>
            <w:vAlign w:val="center"/>
          </w:tcPr>
          <w:p w14:paraId="0E186C9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污染源</w:t>
            </w:r>
          </w:p>
        </w:tc>
        <w:tc>
          <w:tcPr>
            <w:tcW w:w="764" w:type="pct"/>
            <w:tcBorders>
              <w:tl2br w:val="nil"/>
              <w:tr2bl w:val="nil"/>
            </w:tcBorders>
            <w:vAlign w:val="center"/>
          </w:tcPr>
          <w:p w14:paraId="2A43226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主要污染物</w:t>
            </w:r>
          </w:p>
        </w:tc>
        <w:tc>
          <w:tcPr>
            <w:tcW w:w="894" w:type="pct"/>
            <w:tcBorders>
              <w:tl2br w:val="nil"/>
              <w:tr2bl w:val="nil"/>
            </w:tcBorders>
            <w:vAlign w:val="center"/>
          </w:tcPr>
          <w:p w14:paraId="607BEC7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产生量</w:t>
            </w:r>
          </w:p>
        </w:tc>
        <w:tc>
          <w:tcPr>
            <w:tcW w:w="1851" w:type="pct"/>
            <w:tcBorders>
              <w:tl2br w:val="nil"/>
              <w:tr2bl w:val="nil"/>
            </w:tcBorders>
            <w:vAlign w:val="center"/>
          </w:tcPr>
          <w:p w14:paraId="2CF5A2B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处置措施</w:t>
            </w:r>
          </w:p>
        </w:tc>
        <w:tc>
          <w:tcPr>
            <w:tcW w:w="666" w:type="pct"/>
            <w:tcBorders>
              <w:tl2br w:val="nil"/>
              <w:tr2bl w:val="nil"/>
            </w:tcBorders>
            <w:vAlign w:val="center"/>
          </w:tcPr>
          <w:p w14:paraId="03098A4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排放量</w:t>
            </w:r>
          </w:p>
        </w:tc>
      </w:tr>
      <w:tr w14:paraId="76D90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6" w:type="pct"/>
            <w:vMerge w:val="restart"/>
            <w:tcBorders>
              <w:tl2br w:val="nil"/>
              <w:tr2bl w:val="nil"/>
            </w:tcBorders>
            <w:textDirection w:val="tbRlV"/>
            <w:vAlign w:val="center"/>
          </w:tcPr>
          <w:p w14:paraId="009DB6A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废气</w:t>
            </w:r>
          </w:p>
        </w:tc>
        <w:tc>
          <w:tcPr>
            <w:tcW w:w="567" w:type="pct"/>
            <w:vMerge w:val="restart"/>
            <w:tcBorders>
              <w:tl2br w:val="nil"/>
              <w:tr2bl w:val="nil"/>
            </w:tcBorders>
            <w:vAlign w:val="center"/>
          </w:tcPr>
          <w:p w14:paraId="3013B6B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圈舍无组织</w:t>
            </w:r>
          </w:p>
        </w:tc>
        <w:tc>
          <w:tcPr>
            <w:tcW w:w="764" w:type="pct"/>
            <w:tcBorders>
              <w:tl2br w:val="nil"/>
              <w:tr2bl w:val="nil"/>
            </w:tcBorders>
            <w:vAlign w:val="center"/>
          </w:tcPr>
          <w:p w14:paraId="7C8EB44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14"/>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894" w:type="pct"/>
            <w:tcBorders>
              <w:tl2br w:val="nil"/>
              <w:tr2bl w:val="nil"/>
            </w:tcBorders>
            <w:vAlign w:val="center"/>
          </w:tcPr>
          <w:p w14:paraId="3BB7C72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10.17</w:t>
            </w:r>
            <w:r>
              <w:rPr>
                <w:rFonts w:ascii="Times New Roman" w:hAnsi="Times New Roman" w:eastAsia="宋体" w:cs="Times New Roman"/>
                <w:color w:val="auto"/>
                <w:spacing w:val="0"/>
                <w:sz w:val="21"/>
                <w:szCs w:val="21"/>
                <w:highlight w:val="none"/>
              </w:rPr>
              <w:t>t/a</w:t>
            </w:r>
          </w:p>
        </w:tc>
        <w:tc>
          <w:tcPr>
            <w:tcW w:w="1851" w:type="pct"/>
            <w:vMerge w:val="restart"/>
            <w:tcBorders>
              <w:tl2br w:val="nil"/>
              <w:tr2bl w:val="nil"/>
            </w:tcBorders>
            <w:vAlign w:val="center"/>
          </w:tcPr>
          <w:p w14:paraId="0D68D46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圈舍定期喷洒除臭剂，鸡粪日产日清；圈舍四周绿化</w:t>
            </w:r>
          </w:p>
        </w:tc>
        <w:tc>
          <w:tcPr>
            <w:tcW w:w="666" w:type="pct"/>
            <w:tcBorders>
              <w:tl2br w:val="nil"/>
              <w:tr2bl w:val="nil"/>
            </w:tcBorders>
            <w:vAlign w:val="center"/>
          </w:tcPr>
          <w:p w14:paraId="2F5D829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cs="Times New Roman"/>
                <w:color w:val="auto"/>
                <w:spacing w:val="0"/>
                <w:sz w:val="21"/>
                <w:szCs w:val="21"/>
                <w:highlight w:val="none"/>
                <w:lang w:val="en-US" w:eastAsia="zh-CN"/>
              </w:rPr>
              <w:t>0.6</w:t>
            </w:r>
            <w:r>
              <w:rPr>
                <w:rFonts w:ascii="Times New Roman" w:hAnsi="Times New Roman" w:eastAsia="宋体" w:cs="Times New Roman"/>
                <w:color w:val="auto"/>
                <w:spacing w:val="0"/>
                <w:sz w:val="21"/>
                <w:szCs w:val="21"/>
                <w:highlight w:val="none"/>
              </w:rPr>
              <w:t>t/a</w:t>
            </w:r>
          </w:p>
        </w:tc>
      </w:tr>
      <w:tr w14:paraId="45038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6" w:type="pct"/>
            <w:vMerge w:val="continue"/>
            <w:tcBorders>
              <w:tl2br w:val="nil"/>
              <w:tr2bl w:val="nil"/>
            </w:tcBorders>
            <w:textDirection w:val="tbRlV"/>
            <w:vAlign w:val="center"/>
          </w:tcPr>
          <w:p w14:paraId="7BE0DDA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vMerge w:val="continue"/>
            <w:tcBorders>
              <w:tl2br w:val="nil"/>
              <w:tr2bl w:val="nil"/>
            </w:tcBorders>
            <w:vAlign w:val="center"/>
          </w:tcPr>
          <w:p w14:paraId="0019B07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764" w:type="pct"/>
            <w:tcBorders>
              <w:tl2br w:val="nil"/>
              <w:tr2bl w:val="nil"/>
            </w:tcBorders>
            <w:vAlign w:val="center"/>
          </w:tcPr>
          <w:p w14:paraId="17D1906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894" w:type="pct"/>
            <w:tcBorders>
              <w:tl2br w:val="nil"/>
              <w:tr2bl w:val="nil"/>
            </w:tcBorders>
            <w:vAlign w:val="center"/>
          </w:tcPr>
          <w:p w14:paraId="6FD0583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1.017</w:t>
            </w:r>
            <w:r>
              <w:rPr>
                <w:rFonts w:ascii="Times New Roman" w:hAnsi="Times New Roman" w:eastAsia="宋体" w:cs="Times New Roman"/>
                <w:color w:val="auto"/>
                <w:spacing w:val="0"/>
                <w:sz w:val="21"/>
                <w:szCs w:val="21"/>
                <w:highlight w:val="none"/>
              </w:rPr>
              <w:t>t/a</w:t>
            </w:r>
          </w:p>
        </w:tc>
        <w:tc>
          <w:tcPr>
            <w:tcW w:w="1851" w:type="pct"/>
            <w:vMerge w:val="continue"/>
            <w:tcBorders>
              <w:tl2br w:val="nil"/>
              <w:tr2bl w:val="nil"/>
            </w:tcBorders>
            <w:vAlign w:val="center"/>
          </w:tcPr>
          <w:p w14:paraId="4205C97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666" w:type="pct"/>
            <w:tcBorders>
              <w:tl2br w:val="nil"/>
              <w:tr2bl w:val="nil"/>
            </w:tcBorders>
            <w:vAlign w:val="center"/>
          </w:tcPr>
          <w:p w14:paraId="62D3CF1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cs="Times New Roman"/>
                <w:color w:val="auto"/>
                <w:spacing w:val="0"/>
                <w:sz w:val="21"/>
                <w:szCs w:val="21"/>
                <w:highlight w:val="none"/>
                <w:lang w:val="en-US" w:eastAsia="zh-CN"/>
              </w:rPr>
              <w:t>0.046</w:t>
            </w:r>
            <w:r>
              <w:rPr>
                <w:rFonts w:ascii="Times New Roman" w:hAnsi="Times New Roman" w:eastAsia="宋体" w:cs="Times New Roman"/>
                <w:color w:val="auto"/>
                <w:spacing w:val="0"/>
                <w:sz w:val="21"/>
                <w:szCs w:val="21"/>
                <w:highlight w:val="none"/>
              </w:rPr>
              <w:t>t/a</w:t>
            </w:r>
          </w:p>
        </w:tc>
      </w:tr>
      <w:tr w14:paraId="529B6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6" w:type="pct"/>
            <w:vMerge w:val="continue"/>
            <w:tcBorders>
              <w:tl2br w:val="nil"/>
              <w:tr2bl w:val="nil"/>
            </w:tcBorders>
            <w:textDirection w:val="tbRlV"/>
            <w:vAlign w:val="center"/>
          </w:tcPr>
          <w:p w14:paraId="7E62B00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vMerge w:val="restart"/>
            <w:tcBorders>
              <w:tl2br w:val="nil"/>
              <w:tr2bl w:val="nil"/>
            </w:tcBorders>
            <w:vAlign w:val="center"/>
          </w:tcPr>
          <w:p w14:paraId="277F31C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olor w:val="auto"/>
                <w:spacing w:val="0"/>
                <w:sz w:val="21"/>
                <w:highlight w:val="none"/>
                <w:lang w:val="en-US" w:eastAsia="zh-CN"/>
              </w:rPr>
            </w:pPr>
            <w:r>
              <w:rPr>
                <w:rFonts w:hint="eastAsia"/>
                <w:color w:val="auto"/>
                <w:spacing w:val="0"/>
                <w:sz w:val="21"/>
                <w:highlight w:val="none"/>
                <w:lang w:val="en-US" w:eastAsia="zh-CN"/>
              </w:rPr>
              <w:t>废水收集池</w:t>
            </w:r>
          </w:p>
        </w:tc>
        <w:tc>
          <w:tcPr>
            <w:tcW w:w="764" w:type="pct"/>
            <w:tcBorders>
              <w:tl2br w:val="nil"/>
              <w:tr2bl w:val="nil"/>
            </w:tcBorders>
            <w:vAlign w:val="center"/>
          </w:tcPr>
          <w:p w14:paraId="39A7CFC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NH</w:t>
            </w:r>
            <w:r>
              <w:rPr>
                <w:rFonts w:ascii="Times New Roman" w:hAnsi="Times New Roman" w:eastAsia="宋体" w:cs="Times New Roman"/>
                <w:color w:val="auto"/>
                <w:spacing w:val="0"/>
                <w:position w:val="-1"/>
                <w:sz w:val="21"/>
                <w:szCs w:val="14"/>
                <w:highlight w:val="none"/>
                <w:vertAlign w:val="subscript"/>
              </w:rPr>
              <w:t>3</w:t>
            </w:r>
          </w:p>
        </w:tc>
        <w:tc>
          <w:tcPr>
            <w:tcW w:w="894" w:type="pct"/>
            <w:tcBorders>
              <w:tl2br w:val="nil"/>
              <w:tr2bl w:val="nil"/>
            </w:tcBorders>
            <w:vAlign w:val="center"/>
          </w:tcPr>
          <w:p w14:paraId="61A3922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c>
          <w:tcPr>
            <w:tcW w:w="1851" w:type="pct"/>
            <w:vMerge w:val="restart"/>
            <w:tcBorders>
              <w:tl2br w:val="nil"/>
              <w:tr2bl w:val="nil"/>
            </w:tcBorders>
            <w:vAlign w:val="center"/>
          </w:tcPr>
          <w:p w14:paraId="6A9CE10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olor w:val="auto"/>
                <w:spacing w:val="0"/>
                <w:sz w:val="21"/>
                <w:highlight w:val="none"/>
                <w:lang w:val="en-US" w:eastAsia="zh-CN"/>
              </w:rPr>
            </w:pPr>
            <w:r>
              <w:rPr>
                <w:rFonts w:hint="eastAsia"/>
                <w:color w:val="auto"/>
                <w:spacing w:val="0"/>
                <w:sz w:val="21"/>
                <w:highlight w:val="none"/>
                <w:lang w:val="en-US" w:eastAsia="zh-CN"/>
              </w:rPr>
              <w:t>进行加盖密闭，定期喷洒除臭剂，加强绿化</w:t>
            </w:r>
          </w:p>
        </w:tc>
        <w:tc>
          <w:tcPr>
            <w:tcW w:w="666" w:type="pct"/>
            <w:tcBorders>
              <w:tl2br w:val="nil"/>
              <w:tr2bl w:val="nil"/>
            </w:tcBorders>
            <w:vAlign w:val="center"/>
          </w:tcPr>
          <w:p w14:paraId="37C957BE">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14:paraId="5B986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56" w:type="pct"/>
            <w:vMerge w:val="continue"/>
            <w:tcBorders>
              <w:tl2br w:val="nil"/>
              <w:tr2bl w:val="nil"/>
            </w:tcBorders>
            <w:textDirection w:val="tbRlV"/>
            <w:vAlign w:val="center"/>
          </w:tcPr>
          <w:p w14:paraId="37F0D8D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vMerge w:val="continue"/>
            <w:tcBorders>
              <w:tl2br w:val="nil"/>
              <w:tr2bl w:val="nil"/>
            </w:tcBorders>
            <w:vAlign w:val="center"/>
          </w:tcPr>
          <w:p w14:paraId="7B77138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764" w:type="pct"/>
            <w:tcBorders>
              <w:tl2br w:val="nil"/>
              <w:tr2bl w:val="nil"/>
            </w:tcBorders>
            <w:vAlign w:val="center"/>
          </w:tcPr>
          <w:p w14:paraId="1667A2B9">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H</w:t>
            </w:r>
            <w:r>
              <w:rPr>
                <w:rFonts w:ascii="Times New Roman" w:hAnsi="Times New Roman" w:eastAsia="宋体" w:cs="Times New Roman"/>
                <w:color w:val="auto"/>
                <w:spacing w:val="0"/>
                <w:position w:val="-1"/>
                <w:sz w:val="21"/>
                <w:szCs w:val="14"/>
                <w:highlight w:val="none"/>
                <w:vertAlign w:val="subscript"/>
              </w:rPr>
              <w:t>2</w:t>
            </w:r>
            <w:r>
              <w:rPr>
                <w:rFonts w:ascii="Times New Roman" w:hAnsi="Times New Roman" w:eastAsia="宋体" w:cs="Times New Roman"/>
                <w:color w:val="auto"/>
                <w:spacing w:val="0"/>
                <w:sz w:val="21"/>
                <w:szCs w:val="21"/>
                <w:highlight w:val="none"/>
              </w:rPr>
              <w:t>S</w:t>
            </w:r>
          </w:p>
        </w:tc>
        <w:tc>
          <w:tcPr>
            <w:tcW w:w="894" w:type="pct"/>
            <w:tcBorders>
              <w:tl2br w:val="nil"/>
              <w:tr2bl w:val="nil"/>
            </w:tcBorders>
            <w:vAlign w:val="center"/>
          </w:tcPr>
          <w:p w14:paraId="497A469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c>
          <w:tcPr>
            <w:tcW w:w="1851" w:type="pct"/>
            <w:vMerge w:val="continue"/>
            <w:tcBorders>
              <w:tl2br w:val="nil"/>
              <w:tr2bl w:val="nil"/>
            </w:tcBorders>
            <w:vAlign w:val="center"/>
          </w:tcPr>
          <w:p w14:paraId="745A6D82">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ascii="Times New Roman" w:hAnsi="Times New Roman" w:eastAsia="宋体"/>
                <w:color w:val="auto"/>
                <w:spacing w:val="0"/>
                <w:sz w:val="21"/>
                <w:highlight w:val="none"/>
              </w:rPr>
            </w:pPr>
          </w:p>
        </w:tc>
        <w:tc>
          <w:tcPr>
            <w:tcW w:w="666" w:type="pct"/>
            <w:tcBorders>
              <w:tl2br w:val="nil"/>
              <w:tr2bl w:val="nil"/>
            </w:tcBorders>
            <w:vAlign w:val="center"/>
          </w:tcPr>
          <w:p w14:paraId="4548034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14:paraId="6AA35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jc w:val="center"/>
        </w:trPr>
        <w:tc>
          <w:tcPr>
            <w:tcW w:w="256" w:type="pct"/>
            <w:vMerge w:val="restart"/>
            <w:tcBorders>
              <w:tl2br w:val="nil"/>
              <w:tr2bl w:val="nil"/>
            </w:tcBorders>
            <w:textDirection w:val="tbRlV"/>
            <w:vAlign w:val="center"/>
          </w:tcPr>
          <w:p w14:paraId="5961DD5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废水</w:t>
            </w:r>
          </w:p>
        </w:tc>
        <w:tc>
          <w:tcPr>
            <w:tcW w:w="567" w:type="pct"/>
            <w:tcBorders>
              <w:tl2br w:val="nil"/>
              <w:tr2bl w:val="nil"/>
            </w:tcBorders>
            <w:vAlign w:val="center"/>
          </w:tcPr>
          <w:p w14:paraId="77E9ACD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w:t>
            </w:r>
          </w:p>
        </w:tc>
        <w:tc>
          <w:tcPr>
            <w:tcW w:w="764" w:type="pct"/>
            <w:tcBorders>
              <w:tl2br w:val="nil"/>
              <w:tr2bl w:val="nil"/>
            </w:tcBorders>
            <w:vAlign w:val="center"/>
          </w:tcPr>
          <w:p w14:paraId="34BEA70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鸡舍冲洗废水</w:t>
            </w:r>
          </w:p>
        </w:tc>
        <w:tc>
          <w:tcPr>
            <w:tcW w:w="894" w:type="pct"/>
            <w:tcBorders>
              <w:tl2br w:val="nil"/>
              <w:tr2bl w:val="nil"/>
            </w:tcBorders>
            <w:vAlign w:val="center"/>
          </w:tcPr>
          <w:p w14:paraId="2526A55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311.04m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Times New Roman"/>
                <w:color w:val="auto"/>
                <w:spacing w:val="0"/>
                <w:sz w:val="21"/>
                <w:szCs w:val="21"/>
                <w:highlight w:val="none"/>
              </w:rPr>
              <w:t>/a</w:t>
            </w:r>
          </w:p>
        </w:tc>
        <w:tc>
          <w:tcPr>
            <w:tcW w:w="1851" w:type="pct"/>
            <w:tcBorders>
              <w:tl2br w:val="nil"/>
              <w:tr2bl w:val="nil"/>
            </w:tcBorders>
            <w:vAlign w:val="center"/>
          </w:tcPr>
          <w:p w14:paraId="68BAA6D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宋体"/>
                <w:color w:val="auto"/>
                <w:spacing w:val="0"/>
                <w:sz w:val="21"/>
                <w:szCs w:val="21"/>
                <w:highlight w:val="none"/>
                <w:lang w:val="en-US"/>
              </w:rPr>
            </w:pPr>
            <w:r>
              <w:rPr>
                <w:rFonts w:ascii="Times New Roman" w:hAnsi="Times New Roman" w:eastAsia="宋体" w:cs="宋体"/>
                <w:color w:val="auto"/>
                <w:spacing w:val="0"/>
                <w:sz w:val="21"/>
                <w:szCs w:val="21"/>
                <w:highlight w:val="none"/>
              </w:rPr>
              <w:t>鸡舍冲洗废水排入</w:t>
            </w:r>
            <w:r>
              <w:rPr>
                <w:rFonts w:hint="eastAsia" w:cs="宋体"/>
                <w:color w:val="auto"/>
                <w:spacing w:val="0"/>
                <w:sz w:val="21"/>
                <w:szCs w:val="21"/>
                <w:highlight w:val="none"/>
                <w:lang w:eastAsia="zh-CN"/>
              </w:rPr>
              <w:t>废水收集池（</w:t>
            </w:r>
            <w:r>
              <w:rPr>
                <w:rFonts w:ascii="Times New Roman" w:hAnsi="Times New Roman" w:eastAsia="宋体" w:cs="宋体"/>
                <w:color w:val="auto"/>
                <w:spacing w:val="0"/>
                <w:sz w:val="21"/>
                <w:szCs w:val="21"/>
                <w:highlight w:val="none"/>
              </w:rPr>
              <w:t>座配备</w:t>
            </w:r>
            <w:r>
              <w:rPr>
                <w:rFonts w:hint="eastAsia" w:cs="宋体"/>
                <w:color w:val="auto"/>
                <w:spacing w:val="0"/>
                <w:sz w:val="21"/>
                <w:szCs w:val="21"/>
                <w:highlight w:val="none"/>
                <w:lang w:val="en-US" w:eastAsia="zh-CN"/>
              </w:rPr>
              <w:t>150</w:t>
            </w:r>
            <w:r>
              <w:rPr>
                <w:rFonts w:ascii="Times New Roman" w:hAnsi="Times New Roman" w:eastAsia="宋体" w:cs="Times New Roman"/>
                <w:color w:val="auto"/>
                <w:spacing w:val="0"/>
                <w:sz w:val="21"/>
                <w:szCs w:val="21"/>
                <w:highlight w:val="none"/>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宋体"/>
                <w:color w:val="auto"/>
                <w:spacing w:val="0"/>
                <w:sz w:val="21"/>
                <w:szCs w:val="21"/>
                <w:highlight w:val="none"/>
              </w:rPr>
              <w:t>的</w:t>
            </w:r>
            <w:r>
              <w:rPr>
                <w:rFonts w:hint="eastAsia" w:cs="宋体"/>
                <w:color w:val="auto"/>
                <w:spacing w:val="0"/>
                <w:sz w:val="21"/>
                <w:szCs w:val="21"/>
                <w:highlight w:val="none"/>
                <w:lang w:eastAsia="zh-CN"/>
              </w:rPr>
              <w:t>废水收集池）</w:t>
            </w:r>
            <w:r>
              <w:rPr>
                <w:rFonts w:hint="eastAsia" w:cs="宋体"/>
                <w:color w:val="auto"/>
                <w:spacing w:val="0"/>
                <w:sz w:val="21"/>
                <w:szCs w:val="21"/>
                <w:highlight w:val="none"/>
                <w:lang w:val="en-US" w:eastAsia="zh-CN"/>
              </w:rPr>
              <w:t>经预处理后用作农肥</w:t>
            </w:r>
          </w:p>
        </w:tc>
        <w:tc>
          <w:tcPr>
            <w:tcW w:w="666" w:type="pct"/>
            <w:tcBorders>
              <w:tl2br w:val="nil"/>
              <w:tr2bl w:val="nil"/>
            </w:tcBorders>
            <w:vAlign w:val="center"/>
          </w:tcPr>
          <w:p w14:paraId="709BEDE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vertAlign w:val="baseline"/>
                <w:lang w:val="en-US"/>
              </w:rPr>
            </w:pPr>
            <w:r>
              <w:rPr>
                <w:rFonts w:hint="eastAsia" w:ascii="Times New Roman" w:hAnsi="Times New Roman" w:eastAsia="宋体" w:cs="Times New Roman"/>
                <w:color w:val="auto"/>
                <w:spacing w:val="0"/>
                <w:position w:val="7"/>
                <w:sz w:val="21"/>
                <w:szCs w:val="21"/>
                <w:highlight w:val="none"/>
                <w:lang w:val="en-US" w:eastAsia="zh-CN"/>
              </w:rPr>
              <w:t>311.04m</w:t>
            </w:r>
            <w:r>
              <w:rPr>
                <w:rFonts w:hint="eastAsia" w:ascii="Times New Roman" w:hAnsi="Times New Roman" w:eastAsia="宋体" w:cs="Times New Roman"/>
                <w:color w:val="auto"/>
                <w:spacing w:val="0"/>
                <w:position w:val="7"/>
                <w:sz w:val="21"/>
                <w:szCs w:val="21"/>
                <w:highlight w:val="none"/>
                <w:vertAlign w:val="superscript"/>
                <w:lang w:val="en-US" w:eastAsia="zh-CN"/>
              </w:rPr>
              <w:t>3</w:t>
            </w:r>
            <w:r>
              <w:rPr>
                <w:rFonts w:hint="eastAsia" w:ascii="Times New Roman" w:hAnsi="Times New Roman" w:eastAsia="宋体" w:cs="Times New Roman"/>
                <w:color w:val="auto"/>
                <w:spacing w:val="0"/>
                <w:position w:val="7"/>
                <w:sz w:val="21"/>
                <w:szCs w:val="21"/>
                <w:highlight w:val="none"/>
                <w:vertAlign w:val="baseline"/>
                <w:lang w:val="en-US" w:eastAsia="zh-CN"/>
              </w:rPr>
              <w:t>/a</w:t>
            </w:r>
          </w:p>
        </w:tc>
      </w:tr>
      <w:tr w14:paraId="73711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6" w:type="pct"/>
            <w:vMerge w:val="continue"/>
            <w:tcBorders>
              <w:tl2br w:val="nil"/>
              <w:tr2bl w:val="nil"/>
            </w:tcBorders>
            <w:textDirection w:val="tbRlV"/>
            <w:vAlign w:val="center"/>
          </w:tcPr>
          <w:p w14:paraId="15E0FCAE">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14:paraId="3A4BC87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生活办公区</w:t>
            </w:r>
          </w:p>
        </w:tc>
        <w:tc>
          <w:tcPr>
            <w:tcW w:w="764" w:type="pct"/>
            <w:tcBorders>
              <w:tl2br w:val="nil"/>
              <w:tr2bl w:val="nil"/>
            </w:tcBorders>
            <w:vAlign w:val="center"/>
          </w:tcPr>
          <w:p w14:paraId="6125A46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生活污水</w:t>
            </w:r>
          </w:p>
        </w:tc>
        <w:tc>
          <w:tcPr>
            <w:tcW w:w="894" w:type="pct"/>
            <w:tcBorders>
              <w:tl2br w:val="nil"/>
              <w:tr2bl w:val="nil"/>
            </w:tcBorders>
            <w:vAlign w:val="center"/>
          </w:tcPr>
          <w:p w14:paraId="3C36156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467.2</w:t>
            </w:r>
            <w:r>
              <w:rPr>
                <w:rFonts w:hint="eastAsia" w:ascii="Times New Roman" w:hAnsi="Times New Roman" w:eastAsia="宋体" w:cs="Times New Roman"/>
                <w:color w:val="auto"/>
                <w:spacing w:val="0"/>
                <w:sz w:val="21"/>
                <w:szCs w:val="21"/>
                <w:highlight w:val="none"/>
                <w:lang w:val="en-US" w:eastAsia="zh-CN"/>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Times New Roman"/>
                <w:color w:val="auto"/>
                <w:spacing w:val="0"/>
                <w:sz w:val="21"/>
                <w:szCs w:val="21"/>
                <w:highlight w:val="none"/>
              </w:rPr>
              <w:t>/a</w:t>
            </w:r>
          </w:p>
        </w:tc>
        <w:tc>
          <w:tcPr>
            <w:tcW w:w="1851" w:type="pct"/>
            <w:tcBorders>
              <w:tl2br w:val="nil"/>
              <w:tr2bl w:val="nil"/>
            </w:tcBorders>
            <w:vAlign w:val="center"/>
          </w:tcPr>
          <w:p w14:paraId="50E14CD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直接排入下水管网，最终进入污水处理厂</w:t>
            </w:r>
          </w:p>
        </w:tc>
        <w:tc>
          <w:tcPr>
            <w:tcW w:w="666" w:type="pct"/>
            <w:tcBorders>
              <w:tl2br w:val="nil"/>
              <w:tr2bl w:val="nil"/>
            </w:tcBorders>
            <w:vAlign w:val="center"/>
          </w:tcPr>
          <w:p w14:paraId="28E9406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467.2</w:t>
            </w:r>
            <w:r>
              <w:rPr>
                <w:rFonts w:hint="eastAsia" w:ascii="Times New Roman" w:hAnsi="Times New Roman" w:eastAsia="宋体" w:cs="Times New Roman"/>
                <w:color w:val="auto"/>
                <w:spacing w:val="0"/>
                <w:sz w:val="21"/>
                <w:szCs w:val="21"/>
                <w:highlight w:val="none"/>
                <w:lang w:val="en-US" w:eastAsia="zh-CN"/>
              </w:rPr>
              <w:t>m</w:t>
            </w:r>
            <w:r>
              <w:rPr>
                <w:rFonts w:hint="eastAsia" w:ascii="Times New Roman" w:hAnsi="Times New Roman" w:eastAsia="宋体" w:cs="Times New Roman"/>
                <w:color w:val="auto"/>
                <w:spacing w:val="0"/>
                <w:sz w:val="21"/>
                <w:szCs w:val="21"/>
                <w:highlight w:val="none"/>
                <w:vertAlign w:val="superscript"/>
                <w:lang w:val="en-US" w:eastAsia="zh-CN"/>
              </w:rPr>
              <w:t>3</w:t>
            </w:r>
            <w:r>
              <w:rPr>
                <w:rFonts w:ascii="Times New Roman" w:hAnsi="Times New Roman" w:eastAsia="宋体" w:cs="Times New Roman"/>
                <w:color w:val="auto"/>
                <w:spacing w:val="0"/>
                <w:sz w:val="21"/>
                <w:szCs w:val="21"/>
                <w:highlight w:val="none"/>
              </w:rPr>
              <w:t>/a</w:t>
            </w:r>
          </w:p>
        </w:tc>
      </w:tr>
      <w:tr w14:paraId="7CCE7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6" w:type="pct"/>
            <w:vMerge w:val="restart"/>
            <w:tcBorders>
              <w:tl2br w:val="nil"/>
              <w:tr2bl w:val="nil"/>
            </w:tcBorders>
            <w:vAlign w:val="center"/>
          </w:tcPr>
          <w:p w14:paraId="444EBE6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固体废物</w:t>
            </w:r>
          </w:p>
        </w:tc>
        <w:tc>
          <w:tcPr>
            <w:tcW w:w="567" w:type="pct"/>
            <w:tcBorders>
              <w:tl2br w:val="nil"/>
              <w:tr2bl w:val="nil"/>
            </w:tcBorders>
            <w:vAlign w:val="center"/>
          </w:tcPr>
          <w:p w14:paraId="65C96821">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圈舍</w:t>
            </w:r>
          </w:p>
        </w:tc>
        <w:tc>
          <w:tcPr>
            <w:tcW w:w="764" w:type="pct"/>
            <w:tcBorders>
              <w:tl2br w:val="nil"/>
              <w:tr2bl w:val="nil"/>
            </w:tcBorders>
            <w:vAlign w:val="center"/>
          </w:tcPr>
          <w:p w14:paraId="025C0FC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鸡粪及散落羽毛</w:t>
            </w:r>
          </w:p>
        </w:tc>
        <w:tc>
          <w:tcPr>
            <w:tcW w:w="894" w:type="pct"/>
            <w:tcBorders>
              <w:tl2br w:val="nil"/>
              <w:tr2bl w:val="nil"/>
            </w:tcBorders>
            <w:vAlign w:val="center"/>
          </w:tcPr>
          <w:p w14:paraId="52DF331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31.2</w:t>
            </w:r>
            <w:r>
              <w:rPr>
                <w:rFonts w:ascii="Times New Roman" w:hAnsi="Times New Roman" w:eastAsia="宋体" w:cs="Times New Roman"/>
                <w:color w:val="auto"/>
                <w:spacing w:val="0"/>
                <w:sz w:val="21"/>
                <w:szCs w:val="21"/>
                <w:highlight w:val="none"/>
              </w:rPr>
              <w:t>t/d</w:t>
            </w:r>
          </w:p>
        </w:tc>
        <w:tc>
          <w:tcPr>
            <w:tcW w:w="1851" w:type="pct"/>
            <w:vMerge w:val="restart"/>
            <w:tcBorders>
              <w:tl2br w:val="nil"/>
              <w:tr2bl w:val="nil"/>
            </w:tcBorders>
            <w:vAlign w:val="center"/>
          </w:tcPr>
          <w:p w14:paraId="61E06D3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清理后外售作为有机肥使用</w:t>
            </w:r>
          </w:p>
        </w:tc>
        <w:tc>
          <w:tcPr>
            <w:tcW w:w="666" w:type="pct"/>
            <w:tcBorders>
              <w:tl2br w:val="nil"/>
              <w:tr2bl w:val="nil"/>
            </w:tcBorders>
            <w:vAlign w:val="center"/>
          </w:tcPr>
          <w:p w14:paraId="533A93E6">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31.2</w:t>
            </w:r>
            <w:r>
              <w:rPr>
                <w:rFonts w:ascii="Times New Roman" w:hAnsi="Times New Roman" w:eastAsia="宋体" w:cs="Times New Roman"/>
                <w:color w:val="auto"/>
                <w:spacing w:val="0"/>
                <w:sz w:val="21"/>
                <w:szCs w:val="21"/>
                <w:highlight w:val="none"/>
              </w:rPr>
              <w:t>t/d</w:t>
            </w:r>
          </w:p>
        </w:tc>
      </w:tr>
      <w:tr w14:paraId="51B7B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256" w:type="pct"/>
            <w:vMerge w:val="continue"/>
            <w:tcBorders>
              <w:tl2br w:val="nil"/>
              <w:tr2bl w:val="nil"/>
            </w:tcBorders>
            <w:vAlign w:val="center"/>
          </w:tcPr>
          <w:p w14:paraId="32871877">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567" w:type="pct"/>
            <w:tcBorders>
              <w:tl2br w:val="nil"/>
              <w:tr2bl w:val="nil"/>
            </w:tcBorders>
            <w:vAlign w:val="center"/>
          </w:tcPr>
          <w:p w14:paraId="520A582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宋体"/>
                <w:color w:val="auto"/>
                <w:spacing w:val="0"/>
                <w:sz w:val="21"/>
                <w:szCs w:val="21"/>
                <w:highlight w:val="none"/>
                <w:lang w:val="en-US" w:eastAsia="zh-CN"/>
              </w:rPr>
            </w:pPr>
            <w:r>
              <w:rPr>
                <w:rFonts w:hint="eastAsia" w:cs="宋体"/>
                <w:color w:val="auto"/>
                <w:spacing w:val="0"/>
                <w:sz w:val="21"/>
                <w:szCs w:val="21"/>
                <w:highlight w:val="none"/>
                <w:lang w:val="en-US" w:eastAsia="zh-CN"/>
              </w:rPr>
              <w:t>废水收集池</w:t>
            </w:r>
          </w:p>
        </w:tc>
        <w:tc>
          <w:tcPr>
            <w:tcW w:w="764" w:type="pct"/>
            <w:tcBorders>
              <w:tl2br w:val="nil"/>
              <w:tr2bl w:val="nil"/>
            </w:tcBorders>
            <w:vAlign w:val="center"/>
          </w:tcPr>
          <w:p w14:paraId="0302BF3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宋体"/>
                <w:color w:val="auto"/>
                <w:spacing w:val="0"/>
                <w:sz w:val="21"/>
                <w:szCs w:val="21"/>
                <w:highlight w:val="none"/>
                <w:lang w:val="en-US" w:eastAsia="zh-CN"/>
              </w:rPr>
            </w:pPr>
            <w:r>
              <w:rPr>
                <w:rFonts w:hint="eastAsia" w:cs="宋体"/>
                <w:color w:val="auto"/>
                <w:spacing w:val="0"/>
                <w:sz w:val="21"/>
                <w:szCs w:val="21"/>
                <w:highlight w:val="none"/>
                <w:lang w:val="en-US" w:eastAsia="zh-CN"/>
              </w:rPr>
              <w:t>污泥</w:t>
            </w:r>
          </w:p>
        </w:tc>
        <w:tc>
          <w:tcPr>
            <w:tcW w:w="894" w:type="pct"/>
            <w:tcBorders>
              <w:tl2br w:val="nil"/>
              <w:tr2bl w:val="nil"/>
            </w:tcBorders>
            <w:vAlign w:val="center"/>
          </w:tcPr>
          <w:p w14:paraId="06E83FB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1.0t/a</w:t>
            </w:r>
          </w:p>
        </w:tc>
        <w:tc>
          <w:tcPr>
            <w:tcW w:w="1851" w:type="pct"/>
            <w:vMerge w:val="continue"/>
            <w:tcBorders>
              <w:tl2br w:val="nil"/>
              <w:tr2bl w:val="nil"/>
            </w:tcBorders>
            <w:vAlign w:val="center"/>
          </w:tcPr>
          <w:p w14:paraId="27B15BA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666" w:type="pct"/>
            <w:tcBorders>
              <w:tl2br w:val="nil"/>
              <w:tr2bl w:val="nil"/>
            </w:tcBorders>
            <w:vAlign w:val="center"/>
          </w:tcPr>
          <w:p w14:paraId="23FB28E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1.0t/a</w:t>
            </w:r>
          </w:p>
        </w:tc>
      </w:tr>
      <w:tr w14:paraId="1514D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256" w:type="pct"/>
            <w:vMerge w:val="continue"/>
            <w:tcBorders>
              <w:tl2br w:val="nil"/>
              <w:tr2bl w:val="nil"/>
            </w:tcBorders>
            <w:textDirection w:val="tbRlV"/>
            <w:vAlign w:val="center"/>
          </w:tcPr>
          <w:p w14:paraId="570C7CB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14:paraId="5BEE9BB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养殖区</w:t>
            </w:r>
          </w:p>
        </w:tc>
        <w:tc>
          <w:tcPr>
            <w:tcW w:w="764" w:type="pct"/>
            <w:tcBorders>
              <w:tl2br w:val="nil"/>
              <w:tr2bl w:val="nil"/>
            </w:tcBorders>
            <w:vAlign w:val="center"/>
          </w:tcPr>
          <w:p w14:paraId="55F5881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病死鸡只</w:t>
            </w:r>
          </w:p>
        </w:tc>
        <w:tc>
          <w:tcPr>
            <w:tcW w:w="894" w:type="pct"/>
            <w:tcBorders>
              <w:tl2br w:val="nil"/>
              <w:tr2bl w:val="nil"/>
            </w:tcBorders>
            <w:vAlign w:val="center"/>
          </w:tcPr>
          <w:p w14:paraId="6A66172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3.6</w:t>
            </w:r>
            <w:r>
              <w:rPr>
                <w:rFonts w:ascii="Times New Roman" w:hAnsi="Times New Roman" w:eastAsia="宋体" w:cs="Times New Roman"/>
                <w:color w:val="auto"/>
                <w:spacing w:val="0"/>
                <w:sz w:val="21"/>
                <w:szCs w:val="21"/>
                <w:highlight w:val="none"/>
              </w:rPr>
              <w:t>t/a</w:t>
            </w:r>
          </w:p>
        </w:tc>
        <w:tc>
          <w:tcPr>
            <w:tcW w:w="1851" w:type="pct"/>
            <w:tcBorders>
              <w:tl2br w:val="nil"/>
              <w:tr2bl w:val="nil"/>
            </w:tcBorders>
            <w:vAlign w:val="center"/>
          </w:tcPr>
          <w:p w14:paraId="5D07712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经设置的安全填埋井深埋处置</w:t>
            </w:r>
          </w:p>
        </w:tc>
        <w:tc>
          <w:tcPr>
            <w:tcW w:w="666" w:type="pct"/>
            <w:tcBorders>
              <w:tl2br w:val="nil"/>
              <w:tr2bl w:val="nil"/>
            </w:tcBorders>
            <w:vAlign w:val="center"/>
          </w:tcPr>
          <w:p w14:paraId="06AA849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w:t>
            </w:r>
          </w:p>
        </w:tc>
      </w:tr>
      <w:tr w14:paraId="73E64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jc w:val="center"/>
        </w:trPr>
        <w:tc>
          <w:tcPr>
            <w:tcW w:w="256" w:type="pct"/>
            <w:vMerge w:val="continue"/>
            <w:tcBorders>
              <w:tl2br w:val="nil"/>
              <w:tr2bl w:val="nil"/>
            </w:tcBorders>
            <w:textDirection w:val="tbRlV"/>
            <w:vAlign w:val="center"/>
          </w:tcPr>
          <w:p w14:paraId="0B2F278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p>
        </w:tc>
        <w:tc>
          <w:tcPr>
            <w:tcW w:w="567" w:type="pct"/>
            <w:tcBorders>
              <w:tl2br w:val="nil"/>
              <w:tr2bl w:val="nil"/>
            </w:tcBorders>
            <w:vAlign w:val="center"/>
          </w:tcPr>
          <w:p w14:paraId="12C4CB7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兽医站</w:t>
            </w:r>
          </w:p>
        </w:tc>
        <w:tc>
          <w:tcPr>
            <w:tcW w:w="764" w:type="pct"/>
            <w:tcBorders>
              <w:tl2br w:val="nil"/>
              <w:tr2bl w:val="nil"/>
            </w:tcBorders>
            <w:vAlign w:val="center"/>
          </w:tcPr>
          <w:p w14:paraId="6392BC8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医疗垃圾</w:t>
            </w:r>
          </w:p>
        </w:tc>
        <w:tc>
          <w:tcPr>
            <w:tcW w:w="894" w:type="pct"/>
            <w:tcBorders>
              <w:tl2br w:val="nil"/>
              <w:tr2bl w:val="nil"/>
            </w:tcBorders>
            <w:vAlign w:val="center"/>
          </w:tcPr>
          <w:p w14:paraId="09E1E43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0.03t/a</w:t>
            </w:r>
          </w:p>
        </w:tc>
        <w:tc>
          <w:tcPr>
            <w:tcW w:w="1851" w:type="pct"/>
            <w:tcBorders>
              <w:tl2br w:val="nil"/>
              <w:tr2bl w:val="nil"/>
            </w:tcBorders>
            <w:vAlign w:val="center"/>
          </w:tcPr>
          <w:p w14:paraId="7515B2D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设置</w:t>
            </w:r>
            <w:r>
              <w:rPr>
                <w:rFonts w:hint="eastAsia" w:cs="宋体"/>
                <w:color w:val="auto"/>
                <w:spacing w:val="0"/>
                <w:sz w:val="21"/>
                <w:szCs w:val="21"/>
                <w:highlight w:val="none"/>
                <w:lang w:eastAsia="zh-CN"/>
              </w:rPr>
              <w:t>医疗废物暂存间</w:t>
            </w:r>
            <w:r>
              <w:rPr>
                <w:rFonts w:ascii="Times New Roman" w:hAnsi="Times New Roman" w:eastAsia="宋体" w:cs="宋体"/>
                <w:color w:val="auto"/>
                <w:spacing w:val="0"/>
                <w:sz w:val="21"/>
                <w:szCs w:val="21"/>
                <w:highlight w:val="none"/>
              </w:rPr>
              <w:t>暂存后定期交由有资质单位处置</w:t>
            </w:r>
          </w:p>
        </w:tc>
        <w:tc>
          <w:tcPr>
            <w:tcW w:w="666" w:type="pct"/>
            <w:tcBorders>
              <w:tl2br w:val="nil"/>
              <w:tr2bl w:val="nil"/>
            </w:tcBorders>
            <w:vAlign w:val="center"/>
          </w:tcPr>
          <w:p w14:paraId="78EEDBC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0.03t/a</w:t>
            </w:r>
          </w:p>
        </w:tc>
      </w:tr>
      <w:tr w14:paraId="0318F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256" w:type="pct"/>
            <w:vMerge w:val="continue"/>
            <w:tcBorders>
              <w:tl2br w:val="nil"/>
              <w:tr2bl w:val="nil"/>
            </w:tcBorders>
            <w:textDirection w:val="tbRlV"/>
            <w:vAlign w:val="center"/>
          </w:tcPr>
          <w:p w14:paraId="7BCD399C">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14:paraId="03415DDD">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鸡舍</w:t>
            </w:r>
          </w:p>
        </w:tc>
        <w:tc>
          <w:tcPr>
            <w:tcW w:w="764" w:type="pct"/>
            <w:tcBorders>
              <w:tl2br w:val="nil"/>
              <w:tr2bl w:val="nil"/>
            </w:tcBorders>
            <w:vAlign w:val="center"/>
          </w:tcPr>
          <w:p w14:paraId="7F1F915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废包装材料</w:t>
            </w:r>
          </w:p>
        </w:tc>
        <w:tc>
          <w:tcPr>
            <w:tcW w:w="894" w:type="pct"/>
            <w:tcBorders>
              <w:tl2br w:val="nil"/>
              <w:tr2bl w:val="nil"/>
            </w:tcBorders>
            <w:vAlign w:val="center"/>
          </w:tcPr>
          <w:p w14:paraId="0E5DDB4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1.2t/a</w:t>
            </w:r>
          </w:p>
        </w:tc>
        <w:tc>
          <w:tcPr>
            <w:tcW w:w="1851" w:type="pct"/>
            <w:tcBorders>
              <w:tl2br w:val="nil"/>
              <w:tr2bl w:val="nil"/>
            </w:tcBorders>
            <w:vAlign w:val="center"/>
          </w:tcPr>
          <w:p w14:paraId="7E256DF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交由废物回收单位处置</w:t>
            </w:r>
          </w:p>
        </w:tc>
        <w:tc>
          <w:tcPr>
            <w:tcW w:w="666" w:type="pct"/>
            <w:tcBorders>
              <w:tl2br w:val="nil"/>
              <w:tr2bl w:val="nil"/>
            </w:tcBorders>
            <w:vAlign w:val="center"/>
          </w:tcPr>
          <w:p w14:paraId="0FA42F3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1.2t/a</w:t>
            </w:r>
          </w:p>
        </w:tc>
      </w:tr>
      <w:tr w14:paraId="23D5A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256" w:type="pct"/>
            <w:vMerge w:val="continue"/>
            <w:tcBorders>
              <w:tl2br w:val="nil"/>
              <w:tr2bl w:val="nil"/>
            </w:tcBorders>
            <w:textDirection w:val="tbRlV"/>
            <w:vAlign w:val="center"/>
          </w:tcPr>
          <w:p w14:paraId="7582D984">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olor w:val="auto"/>
                <w:spacing w:val="0"/>
                <w:sz w:val="21"/>
                <w:highlight w:val="none"/>
              </w:rPr>
            </w:pPr>
          </w:p>
        </w:tc>
        <w:tc>
          <w:tcPr>
            <w:tcW w:w="567" w:type="pct"/>
            <w:tcBorders>
              <w:tl2br w:val="nil"/>
              <w:tr2bl w:val="nil"/>
            </w:tcBorders>
            <w:vAlign w:val="center"/>
          </w:tcPr>
          <w:p w14:paraId="226B2B6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生活办公区</w:t>
            </w:r>
          </w:p>
        </w:tc>
        <w:tc>
          <w:tcPr>
            <w:tcW w:w="764" w:type="pct"/>
            <w:tcBorders>
              <w:tl2br w:val="nil"/>
              <w:tr2bl w:val="nil"/>
            </w:tcBorders>
            <w:vAlign w:val="center"/>
          </w:tcPr>
          <w:p w14:paraId="32978475">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生活垃圾</w:t>
            </w:r>
          </w:p>
        </w:tc>
        <w:tc>
          <w:tcPr>
            <w:tcW w:w="894" w:type="pct"/>
            <w:tcBorders>
              <w:tl2br w:val="nil"/>
              <w:tr2bl w:val="nil"/>
            </w:tcBorders>
            <w:vAlign w:val="center"/>
          </w:tcPr>
          <w:p w14:paraId="088018B2">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3.65t/a</w:t>
            </w:r>
          </w:p>
        </w:tc>
        <w:tc>
          <w:tcPr>
            <w:tcW w:w="1851" w:type="pct"/>
            <w:tcBorders>
              <w:tl2br w:val="nil"/>
              <w:tr2bl w:val="nil"/>
            </w:tcBorders>
            <w:vAlign w:val="center"/>
          </w:tcPr>
          <w:p w14:paraId="0B8DC769">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由环卫部门运至垃圾填埋场</w:t>
            </w:r>
          </w:p>
        </w:tc>
        <w:tc>
          <w:tcPr>
            <w:tcW w:w="666" w:type="pct"/>
            <w:tcBorders>
              <w:tl2br w:val="nil"/>
              <w:tr2bl w:val="nil"/>
            </w:tcBorders>
            <w:vAlign w:val="center"/>
          </w:tcPr>
          <w:p w14:paraId="18C27198">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Times New Roman"/>
                <w:color w:val="auto"/>
                <w:spacing w:val="0"/>
                <w:sz w:val="21"/>
                <w:szCs w:val="21"/>
                <w:highlight w:val="none"/>
              </w:rPr>
              <w:t>3.65t/a</w:t>
            </w:r>
          </w:p>
        </w:tc>
      </w:tr>
      <w:tr w14:paraId="11E7F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jc w:val="center"/>
        </w:trPr>
        <w:tc>
          <w:tcPr>
            <w:tcW w:w="256" w:type="pct"/>
            <w:tcBorders>
              <w:tl2br w:val="nil"/>
              <w:tr2bl w:val="nil"/>
            </w:tcBorders>
            <w:textDirection w:val="tbRlV"/>
            <w:vAlign w:val="center"/>
          </w:tcPr>
          <w:p w14:paraId="4A116D7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噪声</w:t>
            </w:r>
          </w:p>
        </w:tc>
        <w:tc>
          <w:tcPr>
            <w:tcW w:w="1331" w:type="pct"/>
            <w:gridSpan w:val="2"/>
            <w:tcBorders>
              <w:tl2br w:val="nil"/>
              <w:tr2bl w:val="nil"/>
            </w:tcBorders>
            <w:vAlign w:val="center"/>
          </w:tcPr>
          <w:p w14:paraId="303E9310">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Times New Roman"/>
                <w:color w:val="auto"/>
                <w:spacing w:val="0"/>
                <w:sz w:val="21"/>
                <w:szCs w:val="21"/>
                <w:highlight w:val="none"/>
              </w:rPr>
            </w:pPr>
            <w:r>
              <w:rPr>
                <w:rFonts w:ascii="Times New Roman" w:hAnsi="Times New Roman" w:eastAsia="宋体" w:cs="宋体"/>
                <w:color w:val="auto"/>
                <w:spacing w:val="0"/>
                <w:sz w:val="21"/>
                <w:szCs w:val="21"/>
                <w:highlight w:val="none"/>
              </w:rPr>
              <w:t>工艺设备运行噪声，声级在</w:t>
            </w:r>
            <w:r>
              <w:rPr>
                <w:rFonts w:ascii="Times New Roman" w:hAnsi="Times New Roman" w:eastAsia="宋体" w:cs="Times New Roman"/>
                <w:color w:val="auto"/>
                <w:spacing w:val="0"/>
                <w:sz w:val="21"/>
                <w:szCs w:val="21"/>
                <w:highlight w:val="none"/>
              </w:rPr>
              <w:t>75~95dB</w:t>
            </w:r>
          </w:p>
          <w:p w14:paraId="54E3C26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hint="eastAsia" w:cs="宋体"/>
                <w:color w:val="auto"/>
                <w:spacing w:val="0"/>
                <w:sz w:val="21"/>
                <w:szCs w:val="21"/>
                <w:highlight w:val="none"/>
                <w:lang w:eastAsia="zh-CN"/>
              </w:rPr>
              <w:t>（</w:t>
            </w:r>
            <w:r>
              <w:rPr>
                <w:rFonts w:ascii="Times New Roman" w:hAnsi="Times New Roman" w:eastAsia="宋体" w:cs="Times New Roman"/>
                <w:color w:val="auto"/>
                <w:spacing w:val="0"/>
                <w:sz w:val="21"/>
                <w:szCs w:val="21"/>
                <w:highlight w:val="none"/>
              </w:rPr>
              <w:t>A</w:t>
            </w:r>
            <w:r>
              <w:rPr>
                <w:rFonts w:hint="eastAsia" w:cs="宋体"/>
                <w:color w:val="auto"/>
                <w:spacing w:val="0"/>
                <w:sz w:val="21"/>
                <w:szCs w:val="21"/>
                <w:highlight w:val="none"/>
                <w:lang w:eastAsia="zh-CN"/>
              </w:rPr>
              <w:t>）</w:t>
            </w:r>
            <w:r>
              <w:rPr>
                <w:rFonts w:ascii="Times New Roman" w:hAnsi="Times New Roman" w:eastAsia="宋体" w:cs="宋体"/>
                <w:color w:val="auto"/>
                <w:spacing w:val="0"/>
                <w:sz w:val="21"/>
                <w:szCs w:val="21"/>
                <w:highlight w:val="none"/>
              </w:rPr>
              <w:t>之间</w:t>
            </w:r>
          </w:p>
        </w:tc>
        <w:tc>
          <w:tcPr>
            <w:tcW w:w="3412" w:type="pct"/>
            <w:gridSpan w:val="3"/>
            <w:tcBorders>
              <w:tl2br w:val="nil"/>
              <w:tr2bl w:val="nil"/>
            </w:tcBorders>
            <w:vAlign w:val="center"/>
          </w:tcPr>
          <w:p w14:paraId="11E71C3A">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设备选用低噪声设备，在安装时采取降噪减震措施，全部</w:t>
            </w:r>
          </w:p>
          <w:p w14:paraId="24DE433F">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安装于室内，使用时定期检修，做好设备保养，落实工作</w:t>
            </w:r>
          </w:p>
          <w:p w14:paraId="2422C8DB">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jc w:val="center"/>
              <w:textAlignment w:val="auto"/>
              <w:rPr>
                <w:rFonts w:ascii="Times New Roman" w:hAnsi="Times New Roman" w:eastAsia="宋体" w:cs="宋体"/>
                <w:color w:val="auto"/>
                <w:spacing w:val="0"/>
                <w:sz w:val="21"/>
                <w:szCs w:val="21"/>
                <w:highlight w:val="none"/>
              </w:rPr>
            </w:pPr>
            <w:r>
              <w:rPr>
                <w:rFonts w:ascii="Times New Roman" w:hAnsi="Times New Roman" w:eastAsia="宋体" w:cs="宋体"/>
                <w:color w:val="auto"/>
                <w:spacing w:val="0"/>
                <w:sz w:val="21"/>
                <w:szCs w:val="21"/>
                <w:highlight w:val="none"/>
              </w:rPr>
              <w:t>间防噪声劳动保护和管理，完善厂区绿化建设</w:t>
            </w:r>
          </w:p>
        </w:tc>
      </w:tr>
    </w:tbl>
    <w:p w14:paraId="18AA1305">
      <w:pPr>
        <w:ind w:firstLine="480"/>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14:paraId="53E73F0F">
      <w:pPr>
        <w:pStyle w:val="3"/>
        <w:rPr>
          <w:rFonts w:ascii="Times New Roman" w:hAnsi="Times New Roman" w:eastAsia="宋体"/>
          <w:color w:val="auto"/>
          <w:highlight w:val="none"/>
        </w:rPr>
      </w:pPr>
      <w:bookmarkStart w:id="344" w:name="_Toc106663558"/>
      <w:bookmarkStart w:id="345" w:name="_Toc89619361"/>
      <w:r>
        <w:rPr>
          <w:rFonts w:hint="eastAsia" w:ascii="Times New Roman" w:hAnsi="Times New Roman" w:eastAsia="宋体"/>
          <w:color w:val="auto"/>
          <w:highlight w:val="none"/>
        </w:rPr>
        <w:t>9、结论与建议</w:t>
      </w:r>
      <w:bookmarkEnd w:id="344"/>
      <w:bookmarkEnd w:id="345"/>
    </w:p>
    <w:p w14:paraId="4D6E7BBD">
      <w:pPr>
        <w:pStyle w:val="4"/>
        <w:rPr>
          <w:rFonts w:ascii="Times New Roman" w:hAnsi="Times New Roman" w:eastAsia="宋体"/>
          <w:color w:val="auto"/>
          <w:highlight w:val="none"/>
        </w:rPr>
      </w:pPr>
      <w:bookmarkStart w:id="346" w:name="_Toc106663559"/>
      <w:bookmarkStart w:id="347" w:name="_Toc89619362"/>
      <w:r>
        <w:rPr>
          <w:rFonts w:hint="eastAsia" w:ascii="Times New Roman" w:hAnsi="Times New Roman" w:eastAsia="宋体"/>
          <w:color w:val="auto"/>
          <w:highlight w:val="none"/>
        </w:rPr>
        <w:t>9.1建设项目概况</w:t>
      </w:r>
      <w:bookmarkEnd w:id="346"/>
      <w:bookmarkEnd w:id="347"/>
    </w:p>
    <w:p w14:paraId="31B302AA">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（1）项目名称：</w:t>
      </w:r>
      <w:r>
        <w:rPr>
          <w:rFonts w:hint="eastAsia" w:ascii="Times New Roman" w:hAnsi="Times New Roman" w:eastAsia="宋体"/>
          <w:color w:val="auto"/>
          <w:highlight w:val="none"/>
          <w:lang w:eastAsia="zh-CN"/>
        </w:rPr>
        <w:t>玛纳斯县蛋鸡育成鸡圈舍建设及设备采购项目</w:t>
      </w:r>
    </w:p>
    <w:p w14:paraId="6BAFC048">
      <w:pPr>
        <w:ind w:firstLine="480"/>
        <w:rPr>
          <w:rFonts w:hint="eastAsia" w:ascii="Times New Roman" w:hAnsi="Times New Roman" w:eastAsia="宋体"/>
          <w:color w:val="auto"/>
          <w:highlight w:val="none"/>
          <w:lang w:eastAsia="zh-CN"/>
        </w:rPr>
      </w:pPr>
      <w:r>
        <w:rPr>
          <w:rFonts w:hint="eastAsia" w:ascii="Times New Roman" w:hAnsi="Times New Roman" w:eastAsia="宋体"/>
          <w:color w:val="auto"/>
          <w:highlight w:val="none"/>
        </w:rPr>
        <w:t>（2）建设单位：</w:t>
      </w:r>
      <w:r>
        <w:rPr>
          <w:rFonts w:hint="eastAsia" w:ascii="Times New Roman" w:hAnsi="Times New Roman" w:eastAsia="宋体"/>
          <w:color w:val="auto"/>
          <w:highlight w:val="none"/>
          <w:lang w:eastAsia="zh-CN"/>
        </w:rPr>
        <w:t>玛纳斯县广东地乡人民政府</w:t>
      </w:r>
    </w:p>
    <w:p w14:paraId="553F034D">
      <w:pPr>
        <w:ind w:firstLine="480"/>
        <w:rPr>
          <w:rFonts w:ascii="Times New Roman" w:hAnsi="Times New Roman" w:eastAsia="宋体"/>
          <w:color w:val="auto"/>
          <w:highlight w:val="none"/>
        </w:rPr>
      </w:pPr>
      <w:r>
        <w:rPr>
          <w:rFonts w:hint="eastAsia" w:ascii="Times New Roman" w:hAnsi="Times New Roman" w:eastAsia="宋体"/>
          <w:color w:val="auto"/>
          <w:highlight w:val="none"/>
        </w:rPr>
        <w:t>（3）项目性质：新建</w:t>
      </w:r>
    </w:p>
    <w:p w14:paraId="166175D1">
      <w:pPr>
        <w:ind w:firstLine="480"/>
        <w:rPr>
          <w:rFonts w:ascii="Times New Roman" w:hAnsi="Times New Roman" w:eastAsia="宋体"/>
          <w:color w:val="auto"/>
          <w:highlight w:val="none"/>
        </w:rPr>
      </w:pPr>
      <w:r>
        <w:rPr>
          <w:rFonts w:hint="eastAsia" w:ascii="Times New Roman" w:hAnsi="Times New Roman" w:eastAsia="宋体"/>
          <w:color w:val="auto"/>
          <w:highlight w:val="none"/>
        </w:rPr>
        <w:t>（4）建设地点：本项目位于</w:t>
      </w:r>
      <w:r>
        <w:rPr>
          <w:rFonts w:hint="eastAsia" w:ascii="Times New Roman" w:hAnsi="Times New Roman" w:eastAsia="宋体"/>
          <w:color w:val="auto"/>
          <w:highlight w:val="none"/>
          <w:lang w:eastAsia="zh-CN"/>
        </w:rPr>
        <w:t>昌吉玛纳斯县广东地乡广东地村区</w:t>
      </w:r>
      <w:r>
        <w:rPr>
          <w:rFonts w:hint="eastAsia" w:ascii="Times New Roman" w:hAnsi="Times New Roman" w:eastAsia="宋体"/>
          <w:color w:val="auto"/>
          <w:highlight w:val="none"/>
        </w:rPr>
        <w:t>，厂界四周均为农田（种植经济作物）。中心地理坐标：86°19′54″</w:t>
      </w:r>
      <w:r>
        <w:rPr>
          <w:rFonts w:ascii="Times New Roman" w:hAnsi="Times New Roman" w:eastAsia="宋体"/>
          <w:color w:val="auto"/>
          <w:highlight w:val="none"/>
        </w:rPr>
        <w:t>E，44°20′39″N</w:t>
      </w:r>
      <w:r>
        <w:rPr>
          <w:rFonts w:hint="eastAsia" w:ascii="Times New Roman" w:hAnsi="Times New Roman" w:eastAsia="宋体"/>
          <w:color w:val="auto"/>
          <w:highlight w:val="none"/>
        </w:rPr>
        <w:t>。</w:t>
      </w:r>
    </w:p>
    <w:p w14:paraId="23F21B98">
      <w:pPr>
        <w:ind w:firstLine="480"/>
        <w:rPr>
          <w:rFonts w:ascii="Times New Roman" w:hAnsi="Times New Roman" w:eastAsia="宋体"/>
          <w:color w:val="auto"/>
          <w:highlight w:val="none"/>
        </w:rPr>
      </w:pPr>
      <w:r>
        <w:rPr>
          <w:rFonts w:hint="eastAsia" w:ascii="Times New Roman" w:hAnsi="Times New Roman" w:eastAsia="宋体"/>
          <w:color w:val="auto"/>
          <w:highlight w:val="none"/>
        </w:rPr>
        <w:t>（5）项目投资：项目总投资</w:t>
      </w:r>
      <w:r>
        <w:rPr>
          <w:rFonts w:hint="eastAsia" w:ascii="Times New Roman" w:hAnsi="Times New Roman" w:eastAsia="宋体"/>
          <w:color w:val="auto"/>
          <w:highlight w:val="none"/>
          <w:lang w:eastAsia="zh-CN"/>
        </w:rPr>
        <w:t>1870</w:t>
      </w:r>
      <w:r>
        <w:rPr>
          <w:rFonts w:hint="eastAsia" w:ascii="Times New Roman" w:hAnsi="Times New Roman" w:eastAsia="宋体"/>
          <w:color w:val="auto"/>
          <w:highlight w:val="none"/>
        </w:rPr>
        <w:t>万元。</w:t>
      </w:r>
    </w:p>
    <w:p w14:paraId="71709BF7">
      <w:pPr>
        <w:ind w:firstLine="480"/>
        <w:rPr>
          <w:rFonts w:ascii="Times New Roman" w:hAnsi="Times New Roman" w:eastAsia="宋体"/>
          <w:color w:val="auto"/>
          <w:highlight w:val="none"/>
        </w:rPr>
      </w:pPr>
      <w:r>
        <w:rPr>
          <w:rFonts w:hint="eastAsia" w:ascii="Times New Roman" w:hAnsi="Times New Roman" w:eastAsia="宋体"/>
          <w:color w:val="auto"/>
          <w:highlight w:val="none"/>
        </w:rPr>
        <w:t>（6）占地面积：本项目总占地面积为</w:t>
      </w:r>
      <w:r>
        <w:rPr>
          <w:rFonts w:hint="eastAsia" w:ascii="Times New Roman" w:hAnsi="Times New Roman" w:eastAsia="宋体"/>
          <w:color w:val="auto"/>
          <w:highlight w:val="none"/>
          <w:lang w:eastAsia="zh-CN"/>
        </w:rPr>
        <w:t>70119.07</w:t>
      </w:r>
      <w:r>
        <w:rPr>
          <w:rFonts w:hint="eastAsia" w:ascii="Times New Roman" w:hAnsi="Times New Roman" w:eastAsia="宋体"/>
          <w:color w:val="auto"/>
          <w:highlight w:val="none"/>
        </w:rPr>
        <w:t>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p w14:paraId="5443EDDE">
      <w:pPr>
        <w:ind w:firstLine="480"/>
        <w:rPr>
          <w:rFonts w:ascii="Times New Roman" w:hAnsi="Times New Roman" w:eastAsia="宋体"/>
          <w:color w:val="auto"/>
          <w:highlight w:val="none"/>
        </w:rPr>
      </w:pPr>
      <w:r>
        <w:rPr>
          <w:rFonts w:hint="eastAsia" w:ascii="Times New Roman" w:hAnsi="Times New Roman" w:eastAsia="宋体"/>
          <w:color w:val="auto"/>
          <w:highlight w:val="none"/>
        </w:rPr>
        <w:t>（7）生产规模：饲养规模达到</w:t>
      </w:r>
      <w:r>
        <w:rPr>
          <w:rFonts w:hint="eastAsia"/>
          <w:color w:val="auto"/>
          <w:highlight w:val="none"/>
          <w:lang w:val="en-US" w:eastAsia="zh-CN"/>
        </w:rPr>
        <w:t>72</w:t>
      </w:r>
      <w:r>
        <w:rPr>
          <w:rFonts w:hint="eastAsia" w:ascii="Times New Roman" w:hAnsi="Times New Roman" w:eastAsia="宋体"/>
          <w:color w:val="auto"/>
          <w:highlight w:val="none"/>
        </w:rPr>
        <w:t>万羽。</w:t>
      </w:r>
    </w:p>
    <w:p w14:paraId="6FC03B13">
      <w:pPr>
        <w:ind w:firstLine="480"/>
        <w:rPr>
          <w:rFonts w:ascii="Times New Roman" w:hAnsi="Times New Roman" w:eastAsia="宋体"/>
          <w:color w:val="auto"/>
          <w:highlight w:val="none"/>
        </w:rPr>
      </w:pPr>
      <w:r>
        <w:rPr>
          <w:rFonts w:hint="eastAsia" w:ascii="Times New Roman" w:hAnsi="Times New Roman" w:eastAsia="宋体"/>
          <w:color w:val="auto"/>
          <w:highlight w:val="none"/>
        </w:rPr>
        <w:t>（8）劳动定员：本项目建成投产后，劳动定员为</w:t>
      </w:r>
      <w:r>
        <w:rPr>
          <w:rFonts w:hint="eastAsia"/>
          <w:color w:val="auto"/>
          <w:highlight w:val="none"/>
          <w:lang w:val="en-US" w:eastAsia="zh-CN"/>
        </w:rPr>
        <w:t>20</w:t>
      </w:r>
      <w:r>
        <w:rPr>
          <w:rFonts w:hint="eastAsia" w:ascii="Times New Roman" w:hAnsi="Times New Roman" w:eastAsia="宋体"/>
          <w:color w:val="auto"/>
          <w:highlight w:val="none"/>
        </w:rPr>
        <w:t>人，年生产</w:t>
      </w:r>
      <w:r>
        <w:rPr>
          <w:rFonts w:hint="eastAsia"/>
          <w:color w:val="auto"/>
          <w:highlight w:val="none"/>
          <w:lang w:val="en-US" w:eastAsia="zh-CN"/>
        </w:rPr>
        <w:t>365</w:t>
      </w:r>
      <w:r>
        <w:rPr>
          <w:rFonts w:hint="eastAsia" w:ascii="Times New Roman" w:hAnsi="Times New Roman" w:eastAsia="宋体"/>
          <w:color w:val="auto"/>
          <w:highlight w:val="none"/>
        </w:rPr>
        <w:t>天。</w:t>
      </w:r>
    </w:p>
    <w:p w14:paraId="0428C1EF">
      <w:pPr>
        <w:ind w:firstLine="480"/>
        <w:rPr>
          <w:rFonts w:ascii="Times New Roman" w:hAnsi="Times New Roman" w:eastAsia="宋体"/>
          <w:color w:val="auto"/>
          <w:highlight w:val="none"/>
        </w:rPr>
      </w:pPr>
      <w:r>
        <w:rPr>
          <w:rFonts w:hint="eastAsia" w:ascii="Times New Roman" w:hAnsi="Times New Roman" w:eastAsia="宋体"/>
          <w:color w:val="auto"/>
          <w:highlight w:val="none"/>
        </w:rPr>
        <w:t>（9）项目实施规划：计划202</w:t>
      </w:r>
      <w:r>
        <w:rPr>
          <w:rFonts w:hint="eastAsia"/>
          <w:color w:val="auto"/>
          <w:highlight w:val="none"/>
          <w:lang w:val="en-US" w:eastAsia="zh-CN"/>
        </w:rPr>
        <w:t>4</w:t>
      </w:r>
      <w:r>
        <w:rPr>
          <w:rFonts w:hint="eastAsia" w:ascii="Times New Roman" w:hAnsi="Times New Roman" w:eastAsia="宋体"/>
          <w:color w:val="auto"/>
          <w:highlight w:val="none"/>
        </w:rPr>
        <w:t>年</w:t>
      </w:r>
      <w:r>
        <w:rPr>
          <w:rFonts w:hint="eastAsia"/>
          <w:color w:val="auto"/>
          <w:highlight w:val="none"/>
          <w:lang w:val="en-US" w:eastAsia="zh-CN"/>
        </w:rPr>
        <w:t>8</w:t>
      </w:r>
      <w:r>
        <w:rPr>
          <w:rFonts w:hint="eastAsia" w:ascii="Times New Roman" w:hAnsi="Times New Roman" w:eastAsia="宋体"/>
          <w:color w:val="auto"/>
          <w:highlight w:val="none"/>
        </w:rPr>
        <w:t>月建成投产。</w:t>
      </w:r>
    </w:p>
    <w:p w14:paraId="617C9B59">
      <w:pPr>
        <w:pStyle w:val="4"/>
        <w:rPr>
          <w:rFonts w:ascii="Times New Roman" w:hAnsi="Times New Roman" w:eastAsia="宋体"/>
          <w:color w:val="auto"/>
          <w:highlight w:val="none"/>
        </w:rPr>
      </w:pPr>
      <w:bookmarkStart w:id="348" w:name="_Toc89619363"/>
      <w:bookmarkStart w:id="349" w:name="_Toc106663560"/>
      <w:r>
        <w:rPr>
          <w:rFonts w:hint="eastAsia" w:ascii="Times New Roman" w:hAnsi="Times New Roman" w:eastAsia="宋体"/>
          <w:color w:val="auto"/>
          <w:highlight w:val="none"/>
        </w:rPr>
        <w:t>9.2产业政策及相关规划符合性结论</w:t>
      </w:r>
      <w:bookmarkEnd w:id="348"/>
      <w:bookmarkEnd w:id="349"/>
    </w:p>
    <w:p w14:paraId="24126A1E">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本项目为标准化规模</w:t>
      </w:r>
      <w:r>
        <w:rPr>
          <w:rFonts w:hint="eastAsia"/>
          <w:color w:val="auto"/>
          <w:highlight w:val="none"/>
          <w:lang w:val="en-US" w:eastAsia="zh-CN"/>
        </w:rPr>
        <w:t>蛋鸡</w:t>
      </w:r>
      <w:r>
        <w:rPr>
          <w:rFonts w:hint="eastAsia" w:ascii="Times New Roman" w:hAnsi="Times New Roman" w:eastAsia="宋体"/>
          <w:color w:val="auto"/>
          <w:highlight w:val="none"/>
        </w:rPr>
        <w:t>养殖项目，属于《</w:t>
      </w:r>
      <w:r>
        <w:rPr>
          <w:rFonts w:hint="eastAsia"/>
          <w:color w:val="auto"/>
          <w:highlight w:val="none"/>
          <w:lang w:eastAsia="zh-CN"/>
        </w:rPr>
        <w:t>产业结构调整指导目录（2021年本）</w:t>
      </w:r>
      <w:r>
        <w:rPr>
          <w:rFonts w:hint="eastAsia" w:ascii="Times New Roman" w:hAnsi="Times New Roman" w:eastAsia="宋体"/>
          <w:color w:val="auto"/>
          <w:highlight w:val="none"/>
        </w:rPr>
        <w:t>》中</w:t>
      </w:r>
      <w:r>
        <w:rPr>
          <w:rFonts w:hint="eastAsia"/>
          <w:color w:val="auto"/>
          <w:highlight w:val="none"/>
          <w:lang w:eastAsia="zh-CN"/>
        </w:rPr>
        <w:t>”</w:t>
      </w:r>
      <w:r>
        <w:rPr>
          <w:rFonts w:hint="eastAsia" w:ascii="Times New Roman" w:hAnsi="Times New Roman" w:eastAsia="宋体"/>
          <w:color w:val="auto"/>
          <w:highlight w:val="none"/>
        </w:rPr>
        <w:t>第一类鼓励类</w:t>
      </w:r>
      <w:r>
        <w:rPr>
          <w:rFonts w:hint="eastAsia"/>
          <w:color w:val="auto"/>
          <w:highlight w:val="none"/>
          <w:lang w:eastAsia="zh-CN"/>
        </w:rPr>
        <w:t>”</w:t>
      </w:r>
      <w:r>
        <w:rPr>
          <w:rFonts w:hint="eastAsia" w:ascii="Times New Roman" w:hAnsi="Times New Roman" w:eastAsia="宋体"/>
          <w:color w:val="auto"/>
          <w:highlight w:val="none"/>
        </w:rPr>
        <w:t>中</w:t>
      </w:r>
      <w:r>
        <w:rPr>
          <w:rFonts w:hint="eastAsia"/>
          <w:color w:val="auto"/>
          <w:highlight w:val="none"/>
          <w:lang w:eastAsia="zh-CN"/>
        </w:rPr>
        <w:t>”</w:t>
      </w:r>
      <w:r>
        <w:rPr>
          <w:rFonts w:hint="eastAsia" w:ascii="Times New Roman" w:hAnsi="Times New Roman" w:eastAsia="宋体"/>
          <w:color w:val="auto"/>
          <w:highlight w:val="none"/>
        </w:rPr>
        <w:t>一、农林业</w:t>
      </w:r>
      <w:r>
        <w:rPr>
          <w:rFonts w:hint="eastAsia"/>
          <w:color w:val="auto"/>
          <w:highlight w:val="none"/>
          <w:lang w:eastAsia="zh-CN"/>
        </w:rPr>
        <w:t>”</w:t>
      </w:r>
      <w:r>
        <w:rPr>
          <w:rFonts w:hint="eastAsia" w:ascii="Times New Roman" w:hAnsi="Times New Roman" w:eastAsia="宋体"/>
          <w:color w:val="auto"/>
          <w:highlight w:val="none"/>
        </w:rPr>
        <w:t>中的</w:t>
      </w:r>
      <w:r>
        <w:rPr>
          <w:rFonts w:hint="eastAsia"/>
          <w:color w:val="auto"/>
          <w:highlight w:val="none"/>
          <w:lang w:eastAsia="zh-CN"/>
        </w:rPr>
        <w:t>”</w:t>
      </w:r>
      <w:r>
        <w:rPr>
          <w:rFonts w:hint="eastAsia" w:ascii="Times New Roman" w:hAnsi="Times New Roman" w:eastAsia="宋体"/>
          <w:color w:val="auto"/>
          <w:highlight w:val="none"/>
        </w:rPr>
        <w:t>4、畜禽标准化规模养殖技术开发与应用</w:t>
      </w:r>
      <w:r>
        <w:rPr>
          <w:rFonts w:hint="eastAsia"/>
          <w:color w:val="auto"/>
          <w:highlight w:val="none"/>
          <w:lang w:eastAsia="zh-CN"/>
        </w:rPr>
        <w:t>”</w:t>
      </w:r>
      <w:r>
        <w:rPr>
          <w:rFonts w:hint="eastAsia" w:ascii="Times New Roman" w:hAnsi="Times New Roman" w:eastAsia="宋体"/>
          <w:color w:val="auto"/>
          <w:highlight w:val="none"/>
        </w:rPr>
        <w:t>，符合国家产业政策。</w:t>
      </w:r>
    </w:p>
    <w:p w14:paraId="3F7AE4ED">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项目的建设符合《新疆维吾尔自治区国民经济和社会发展第十四个五年规划和2035年远景目标纲要》、《新疆维吾尔自治区畜牧业</w:t>
      </w:r>
      <w:r>
        <w:rPr>
          <w:rFonts w:hint="eastAsia"/>
          <w:color w:val="auto"/>
          <w:highlight w:val="none"/>
          <w:lang w:eastAsia="zh-CN"/>
        </w:rPr>
        <w:t>”</w:t>
      </w:r>
      <w:r>
        <w:rPr>
          <w:rFonts w:hint="eastAsia" w:ascii="Times New Roman" w:hAnsi="Times New Roman" w:eastAsia="宋体"/>
          <w:color w:val="auto"/>
          <w:highlight w:val="none"/>
        </w:rPr>
        <w:t>十四五</w:t>
      </w:r>
      <w:r>
        <w:rPr>
          <w:rFonts w:hint="eastAsia"/>
          <w:color w:val="auto"/>
          <w:highlight w:val="none"/>
          <w:lang w:eastAsia="zh-CN"/>
        </w:rPr>
        <w:t>”</w:t>
      </w:r>
      <w:r>
        <w:rPr>
          <w:rFonts w:hint="eastAsia" w:ascii="Times New Roman" w:hAnsi="Times New Roman" w:eastAsia="宋体"/>
          <w:color w:val="auto"/>
          <w:highlight w:val="none"/>
        </w:rPr>
        <w:t>发展规划》等相关要求，选址符合《畜禽规模养殖污染防治条例》（国务院令第643号）、《畜禽养殖业污染防治技术规范》（HJ/T81-2001）、《畜禽养殖业污染防治技术政策》（环发[2010]151号）等相关要求。项目的建设地点不涉及国家法规、标准规范限定的禁建区，不在</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划定的禁养区内。因此，本项目建设可行。</w:t>
      </w:r>
    </w:p>
    <w:p w14:paraId="7904477B">
      <w:pPr>
        <w:ind w:firstLine="480"/>
        <w:rPr>
          <w:rFonts w:ascii="Times New Roman" w:hAnsi="Times New Roman" w:eastAsia="宋体"/>
          <w:color w:val="auto"/>
          <w:highlight w:val="none"/>
        </w:rPr>
      </w:pPr>
    </w:p>
    <w:p w14:paraId="1329FCB7">
      <w:pPr>
        <w:pStyle w:val="4"/>
        <w:rPr>
          <w:rFonts w:ascii="Times New Roman" w:hAnsi="Times New Roman" w:eastAsia="宋体"/>
          <w:color w:val="auto"/>
          <w:highlight w:val="none"/>
        </w:rPr>
      </w:pPr>
      <w:bookmarkStart w:id="350" w:name="_Toc106663561"/>
      <w:bookmarkStart w:id="351" w:name="_Toc89619364"/>
      <w:r>
        <w:rPr>
          <w:rFonts w:hint="eastAsia" w:ascii="Times New Roman" w:hAnsi="Times New Roman" w:eastAsia="宋体"/>
          <w:color w:val="auto"/>
          <w:highlight w:val="none"/>
        </w:rPr>
        <w:t>9.3环境质量现状评价结论</w:t>
      </w:r>
      <w:bookmarkEnd w:id="350"/>
      <w:bookmarkEnd w:id="351"/>
    </w:p>
    <w:p w14:paraId="520A62E4">
      <w:pPr>
        <w:pStyle w:val="5"/>
        <w:rPr>
          <w:rFonts w:ascii="Times New Roman" w:hAnsi="Times New Roman" w:eastAsia="宋体"/>
          <w:color w:val="auto"/>
          <w:highlight w:val="none"/>
        </w:rPr>
      </w:pPr>
      <w:bookmarkStart w:id="352" w:name="_Toc106663562"/>
      <w:r>
        <w:rPr>
          <w:rFonts w:hint="eastAsia" w:ascii="Times New Roman" w:hAnsi="Times New Roman" w:eastAsia="宋体"/>
          <w:color w:val="auto"/>
          <w:highlight w:val="none"/>
        </w:rPr>
        <w:t>9.3.1大气环境质量现状评价结论</w:t>
      </w:r>
      <w:bookmarkEnd w:id="352"/>
    </w:p>
    <w:p w14:paraId="63186464">
      <w:pPr>
        <w:ind w:firstLine="480"/>
        <w:rPr>
          <w:rFonts w:ascii="Times New Roman" w:hAnsi="Times New Roman" w:eastAsia="宋体"/>
          <w:color w:val="auto"/>
          <w:highlight w:val="none"/>
        </w:rPr>
      </w:pPr>
      <w:r>
        <w:rPr>
          <w:rFonts w:ascii="Times New Roman" w:hAnsi="Times New Roman" w:eastAsia="宋体"/>
          <w:color w:val="auto"/>
          <w:highlight w:val="none"/>
        </w:rPr>
        <w:t>根据项目所在区域环境空气统计数据，环境空气</w:t>
      </w:r>
      <w:r>
        <w:rPr>
          <w:rFonts w:hint="eastAsia" w:ascii="Times New Roman" w:hAnsi="Times New Roman" w:eastAsia="宋体"/>
          <w:color w:val="auto"/>
          <w:highlight w:val="none"/>
        </w:rPr>
        <w:t>基本污染物</w:t>
      </w:r>
      <w:r>
        <w:rPr>
          <w:rFonts w:ascii="Times New Roman" w:hAnsi="Times New Roman" w:eastAsia="宋体"/>
          <w:color w:val="auto"/>
          <w:highlight w:val="none"/>
        </w:rPr>
        <w:t>指标中SO</w:t>
      </w:r>
      <w:r>
        <w:rPr>
          <w:rFonts w:ascii="Times New Roman" w:hAnsi="Times New Roman" w:eastAsia="宋体"/>
          <w:color w:val="auto"/>
          <w:highlight w:val="none"/>
          <w:vertAlign w:val="subscript"/>
        </w:rPr>
        <w:t>2</w:t>
      </w:r>
      <w:r>
        <w:rPr>
          <w:rFonts w:ascii="Times New Roman" w:hAnsi="Times New Roman" w:eastAsia="宋体"/>
          <w:color w:val="auto"/>
          <w:highlight w:val="none"/>
        </w:rPr>
        <w:t>、NO</w:t>
      </w:r>
      <w:r>
        <w:rPr>
          <w:rFonts w:ascii="Times New Roman" w:hAnsi="Times New Roman" w:eastAsia="宋体"/>
          <w:color w:val="auto"/>
          <w:highlight w:val="none"/>
          <w:vertAlign w:val="subscript"/>
        </w:rPr>
        <w:t>2</w:t>
      </w:r>
      <w:r>
        <w:rPr>
          <w:rFonts w:ascii="Times New Roman" w:hAnsi="Times New Roman" w:eastAsia="宋体"/>
          <w:color w:val="auto"/>
          <w:highlight w:val="none"/>
        </w:rPr>
        <w:t>、CO和O</w:t>
      </w:r>
      <w:r>
        <w:rPr>
          <w:rFonts w:ascii="Times New Roman" w:hAnsi="Times New Roman" w:eastAsia="宋体"/>
          <w:color w:val="auto"/>
          <w:highlight w:val="none"/>
          <w:vertAlign w:val="subscript"/>
        </w:rPr>
        <w:t>3</w:t>
      </w:r>
      <w:r>
        <w:rPr>
          <w:rFonts w:ascii="Times New Roman" w:hAnsi="Times New Roman" w:eastAsia="宋体"/>
          <w:color w:val="auto"/>
          <w:highlight w:val="none"/>
        </w:rPr>
        <w:t>达到国家二级标准，PM</w:t>
      </w:r>
      <w:r>
        <w:rPr>
          <w:rFonts w:ascii="Times New Roman" w:hAnsi="Times New Roman" w:eastAsia="宋体"/>
          <w:color w:val="auto"/>
          <w:highlight w:val="none"/>
          <w:vertAlign w:val="subscript"/>
        </w:rPr>
        <w:t>10</w:t>
      </w:r>
      <w:r>
        <w:rPr>
          <w:rFonts w:hint="eastAsia" w:ascii="Times New Roman" w:hAnsi="Times New Roman" w:eastAsia="宋体"/>
          <w:color w:val="auto"/>
          <w:highlight w:val="none"/>
        </w:rPr>
        <w:t>、</w:t>
      </w:r>
      <w:r>
        <w:rPr>
          <w:rFonts w:ascii="Times New Roman" w:hAnsi="Times New Roman" w:eastAsia="宋体"/>
          <w:color w:val="auto"/>
          <w:highlight w:val="none"/>
        </w:rPr>
        <w:t>PM</w:t>
      </w:r>
      <w:r>
        <w:rPr>
          <w:rFonts w:ascii="Times New Roman" w:hAnsi="Times New Roman" w:eastAsia="宋体"/>
          <w:color w:val="auto"/>
          <w:highlight w:val="none"/>
          <w:vertAlign w:val="subscript"/>
        </w:rPr>
        <w:t>2.5</w:t>
      </w:r>
      <w:r>
        <w:rPr>
          <w:rFonts w:hint="eastAsia" w:ascii="Times New Roman" w:hAnsi="Times New Roman" w:eastAsia="宋体"/>
          <w:color w:val="auto"/>
          <w:highlight w:val="none"/>
        </w:rPr>
        <w:t>不符合</w:t>
      </w:r>
      <w:r>
        <w:rPr>
          <w:rFonts w:ascii="Times New Roman" w:hAnsi="Times New Roman" w:eastAsia="宋体"/>
          <w:color w:val="auto"/>
          <w:highlight w:val="none"/>
        </w:rPr>
        <w:t>国家二级标准，本项目所在区域为</w:t>
      </w:r>
      <w:r>
        <w:rPr>
          <w:rFonts w:hint="eastAsia" w:ascii="Times New Roman" w:hAnsi="Times New Roman" w:eastAsia="宋体"/>
          <w:color w:val="auto"/>
          <w:highlight w:val="none"/>
        </w:rPr>
        <w:t>不</w:t>
      </w:r>
      <w:r>
        <w:rPr>
          <w:rFonts w:ascii="Times New Roman" w:hAnsi="Times New Roman" w:eastAsia="宋体"/>
          <w:color w:val="auto"/>
          <w:highlight w:val="none"/>
        </w:rPr>
        <w:t>达标区。</w:t>
      </w:r>
    </w:p>
    <w:p w14:paraId="0D232A4C">
      <w:pPr>
        <w:ind w:firstLine="480"/>
        <w:rPr>
          <w:rFonts w:ascii="Times New Roman" w:hAnsi="Times New Roman" w:eastAsia="宋体"/>
          <w:color w:val="auto"/>
          <w:highlight w:val="none"/>
        </w:rPr>
      </w:pPr>
      <w:r>
        <w:rPr>
          <w:rFonts w:ascii="Times New Roman" w:hAnsi="Times New Roman" w:eastAsia="宋体"/>
          <w:color w:val="auto"/>
          <w:highlight w:val="none"/>
        </w:rPr>
        <w:t>其他污染物各监测点环境空气中氨、硫化氢小时值</w:t>
      </w:r>
      <w:r>
        <w:rPr>
          <w:rFonts w:hint="eastAsia" w:ascii="Times New Roman" w:hAnsi="Times New Roman" w:eastAsia="宋体"/>
          <w:color w:val="auto"/>
          <w:highlight w:val="none"/>
        </w:rPr>
        <w:t>日均值</w:t>
      </w:r>
      <w:r>
        <w:rPr>
          <w:rFonts w:ascii="Times New Roman" w:hAnsi="Times New Roman" w:eastAsia="宋体"/>
          <w:color w:val="auto"/>
          <w:highlight w:val="none"/>
        </w:rPr>
        <w:t>满足《环境影响评价技术导则大气环境》（HJ2.2-2018）附录D中相应的标准限值要求。</w:t>
      </w:r>
    </w:p>
    <w:p w14:paraId="2C4409A7">
      <w:pPr>
        <w:pStyle w:val="5"/>
        <w:rPr>
          <w:rFonts w:ascii="Times New Roman" w:hAnsi="Times New Roman" w:eastAsia="宋体"/>
          <w:color w:val="auto"/>
          <w:highlight w:val="none"/>
        </w:rPr>
      </w:pPr>
      <w:bookmarkStart w:id="353" w:name="_Toc106663563"/>
      <w:r>
        <w:rPr>
          <w:rFonts w:hint="eastAsia" w:ascii="Times New Roman" w:hAnsi="Times New Roman" w:eastAsia="宋体"/>
          <w:color w:val="auto"/>
          <w:highlight w:val="none"/>
        </w:rPr>
        <w:t>9.3.2地下水环境质量现状评价结论</w:t>
      </w:r>
      <w:bookmarkEnd w:id="353"/>
    </w:p>
    <w:p w14:paraId="63BCCE5C">
      <w:pPr>
        <w:ind w:firstLine="480"/>
        <w:rPr>
          <w:rFonts w:ascii="Times New Roman" w:hAnsi="Times New Roman" w:eastAsia="宋体"/>
          <w:color w:val="auto"/>
          <w:highlight w:val="none"/>
        </w:rPr>
      </w:pPr>
      <w:r>
        <w:rPr>
          <w:rFonts w:hint="eastAsia" w:ascii="Times New Roman" w:hAnsi="Times New Roman" w:eastAsia="宋体"/>
          <w:color w:val="auto"/>
          <w:highlight w:val="none"/>
        </w:rPr>
        <w:t>由监测结果可知，地下水监测点中水质指标均符合《地下水质量标准》（GB/T14848-2017）Ⅲ类标准，项目所在区域周边地下水质量现状一般。</w:t>
      </w:r>
    </w:p>
    <w:p w14:paraId="5CAF01EC">
      <w:pPr>
        <w:pStyle w:val="5"/>
        <w:rPr>
          <w:rFonts w:ascii="Times New Roman" w:hAnsi="Times New Roman" w:eastAsia="宋体"/>
          <w:color w:val="auto"/>
          <w:highlight w:val="none"/>
        </w:rPr>
      </w:pPr>
      <w:bookmarkStart w:id="354" w:name="_Toc106663564"/>
      <w:r>
        <w:rPr>
          <w:rFonts w:hint="eastAsia" w:ascii="Times New Roman" w:hAnsi="Times New Roman" w:eastAsia="宋体"/>
          <w:color w:val="auto"/>
          <w:highlight w:val="none"/>
        </w:rPr>
        <w:t>9.3.3声环境质量现状评价结论</w:t>
      </w:r>
      <w:bookmarkEnd w:id="354"/>
    </w:p>
    <w:p w14:paraId="4A4513FC">
      <w:pPr>
        <w:ind w:firstLine="480"/>
        <w:rPr>
          <w:rFonts w:ascii="Times New Roman" w:hAnsi="Times New Roman" w:eastAsia="宋体"/>
          <w:color w:val="auto"/>
          <w:highlight w:val="none"/>
        </w:rPr>
      </w:pPr>
      <w:r>
        <w:rPr>
          <w:rFonts w:hint="eastAsia" w:ascii="Times New Roman" w:hAnsi="Times New Roman" w:eastAsia="宋体"/>
          <w:color w:val="auto"/>
          <w:highlight w:val="none"/>
        </w:rPr>
        <w:t>项目建设地点声环境质量良好，各监测点昼夜间噪声均符合《声环境质量标准》（GB3096-2008）</w:t>
      </w:r>
      <w:r>
        <w:rPr>
          <w:rFonts w:hint="eastAsia"/>
          <w:color w:val="auto"/>
          <w:highlight w:val="none"/>
          <w:lang w:eastAsia="zh-CN"/>
        </w:rPr>
        <w:t>”</w:t>
      </w:r>
      <w:r>
        <w:rPr>
          <w:rFonts w:hint="eastAsia" w:ascii="Times New Roman" w:hAnsi="Times New Roman" w:eastAsia="宋体"/>
          <w:color w:val="auto"/>
          <w:highlight w:val="none"/>
        </w:rPr>
        <w:t>2类声环境功能区噪声限值</w:t>
      </w:r>
      <w:r>
        <w:rPr>
          <w:rFonts w:hint="eastAsia"/>
          <w:color w:val="auto"/>
          <w:highlight w:val="none"/>
          <w:lang w:eastAsia="zh-CN"/>
        </w:rPr>
        <w:t>”</w:t>
      </w:r>
      <w:r>
        <w:rPr>
          <w:rFonts w:hint="eastAsia" w:ascii="Times New Roman" w:hAnsi="Times New Roman" w:eastAsia="宋体"/>
          <w:color w:val="auto"/>
          <w:highlight w:val="none"/>
        </w:rPr>
        <w:t>要求。</w:t>
      </w:r>
    </w:p>
    <w:p w14:paraId="1011ABE0">
      <w:pPr>
        <w:pStyle w:val="5"/>
        <w:rPr>
          <w:rFonts w:ascii="Times New Roman" w:hAnsi="Times New Roman" w:eastAsia="宋体"/>
          <w:color w:val="auto"/>
          <w:highlight w:val="none"/>
        </w:rPr>
      </w:pPr>
      <w:bookmarkStart w:id="355" w:name="_Toc106663565"/>
      <w:r>
        <w:rPr>
          <w:rFonts w:hint="eastAsia" w:ascii="Times New Roman" w:hAnsi="Times New Roman" w:eastAsia="宋体"/>
          <w:color w:val="auto"/>
          <w:highlight w:val="none"/>
        </w:rPr>
        <w:t>9.3.4土壤环境质量现状评价结论</w:t>
      </w:r>
      <w:bookmarkEnd w:id="355"/>
    </w:p>
    <w:p w14:paraId="2E11A7E7">
      <w:pPr>
        <w:ind w:firstLine="480"/>
        <w:rPr>
          <w:rFonts w:ascii="Times New Roman" w:hAnsi="Times New Roman" w:eastAsia="宋体"/>
          <w:color w:val="auto"/>
          <w:highlight w:val="none"/>
        </w:rPr>
      </w:pPr>
      <w:r>
        <w:rPr>
          <w:rFonts w:hint="eastAsia" w:ascii="Times New Roman" w:hAnsi="Times New Roman" w:eastAsia="宋体"/>
          <w:color w:val="auto"/>
          <w:highlight w:val="none"/>
        </w:rPr>
        <w:t>监测结果显示，本项目监测区内土壤环境质量满足《畜禽养殖产地评价规范》（HJ568-2010）中表4养殖场土壤环境质量评价指标和限值。</w:t>
      </w:r>
    </w:p>
    <w:p w14:paraId="1F7368B1">
      <w:pPr>
        <w:pStyle w:val="4"/>
        <w:rPr>
          <w:rFonts w:ascii="Times New Roman" w:hAnsi="Times New Roman" w:eastAsia="宋体"/>
          <w:color w:val="auto"/>
          <w:highlight w:val="none"/>
        </w:rPr>
      </w:pPr>
      <w:bookmarkStart w:id="356" w:name="_Toc89619365"/>
      <w:bookmarkStart w:id="357" w:name="_Toc106663566"/>
      <w:r>
        <w:rPr>
          <w:rFonts w:hint="eastAsia" w:ascii="Times New Roman" w:hAnsi="Times New Roman" w:eastAsia="宋体"/>
          <w:color w:val="auto"/>
          <w:highlight w:val="none"/>
        </w:rPr>
        <w:t>9.4环境影响评价结论</w:t>
      </w:r>
      <w:bookmarkEnd w:id="356"/>
      <w:bookmarkEnd w:id="357"/>
    </w:p>
    <w:p w14:paraId="5B78EC6F">
      <w:pPr>
        <w:pStyle w:val="5"/>
        <w:rPr>
          <w:rFonts w:ascii="Times New Roman" w:hAnsi="Times New Roman" w:eastAsia="宋体"/>
          <w:color w:val="auto"/>
          <w:highlight w:val="none"/>
        </w:rPr>
      </w:pPr>
      <w:bookmarkStart w:id="358" w:name="_Toc106663567"/>
      <w:r>
        <w:rPr>
          <w:rFonts w:hint="eastAsia" w:ascii="Times New Roman" w:hAnsi="Times New Roman" w:eastAsia="宋体"/>
          <w:color w:val="auto"/>
          <w:highlight w:val="none"/>
        </w:rPr>
        <w:t>9.4.1大气环境影响评价结论</w:t>
      </w:r>
      <w:bookmarkEnd w:id="358"/>
    </w:p>
    <w:p w14:paraId="47ECC787">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本项目运行期采取了积极有效的污染治理措施，各大气污染物对环境空气的贡献值均不大，并且可以达标排放。本项目防护距离为500m，周边500m范围内无敏感目标，所以项目运营过程中对周围环境空气影响不大。</w:t>
      </w:r>
    </w:p>
    <w:p w14:paraId="47DC4186">
      <w:pPr>
        <w:ind w:firstLine="480"/>
        <w:rPr>
          <w:rFonts w:ascii="Times New Roman" w:hAnsi="Times New Roman" w:eastAsia="宋体"/>
          <w:color w:val="auto"/>
          <w:highlight w:val="none"/>
        </w:rPr>
      </w:pPr>
      <w:r>
        <w:rPr>
          <w:rFonts w:hint="eastAsia" w:ascii="Times New Roman" w:hAnsi="Times New Roman" w:eastAsia="宋体"/>
          <w:color w:val="auto"/>
          <w:highlight w:val="none"/>
        </w:rPr>
        <w:t>因此，从环境空气的角度来看，本项目是可行的。</w:t>
      </w:r>
    </w:p>
    <w:p w14:paraId="156D8978">
      <w:pPr>
        <w:pStyle w:val="5"/>
        <w:rPr>
          <w:rFonts w:ascii="Times New Roman" w:hAnsi="Times New Roman" w:eastAsia="宋体"/>
          <w:color w:val="auto"/>
          <w:highlight w:val="none"/>
        </w:rPr>
      </w:pPr>
      <w:bookmarkStart w:id="359" w:name="_Toc106663568"/>
      <w:r>
        <w:rPr>
          <w:rFonts w:hint="eastAsia" w:ascii="Times New Roman" w:hAnsi="Times New Roman" w:eastAsia="宋体"/>
          <w:color w:val="auto"/>
          <w:highlight w:val="none"/>
        </w:rPr>
        <w:t>9.4.2水环境影响评价结论</w:t>
      </w:r>
      <w:bookmarkEnd w:id="359"/>
    </w:p>
    <w:p w14:paraId="56CFBC1C">
      <w:pPr>
        <w:ind w:firstLine="480"/>
        <w:rPr>
          <w:rFonts w:ascii="Times New Roman" w:hAnsi="Times New Roman" w:eastAsia="宋体"/>
          <w:color w:val="auto"/>
          <w:highlight w:val="none"/>
        </w:rPr>
      </w:pPr>
      <w:r>
        <w:rPr>
          <w:rFonts w:ascii="Times New Roman" w:hAnsi="Times New Roman" w:eastAsia="宋体"/>
          <w:color w:val="auto"/>
          <w:highlight w:val="none"/>
        </w:rPr>
        <w:t>本项目养殖产生的废水属于有机废水，主要污染物是CODcr、BOD</w:t>
      </w:r>
      <w:r>
        <w:rPr>
          <w:rFonts w:ascii="Times New Roman" w:hAnsi="Times New Roman" w:eastAsia="宋体"/>
          <w:color w:val="auto"/>
          <w:highlight w:val="none"/>
          <w:vertAlign w:val="subscript"/>
        </w:rPr>
        <w:t>5</w:t>
      </w:r>
      <w:r>
        <w:rPr>
          <w:rFonts w:ascii="Times New Roman" w:hAnsi="Times New Roman" w:eastAsia="宋体"/>
          <w:color w:val="auto"/>
          <w:highlight w:val="none"/>
        </w:rPr>
        <w:t>和SS，不含其它有毒有害物质。生活污水直接排入下水管网，最终进入玛纳斯县城污水处理厂；鸡舍冲洗废水排入</w:t>
      </w:r>
      <w:r>
        <w:rPr>
          <w:rFonts w:hint="eastAsia"/>
          <w:color w:val="auto"/>
          <w:highlight w:val="none"/>
          <w:lang w:eastAsia="zh-CN"/>
        </w:rPr>
        <w:t>废水收集池经预处理后用作农肥。</w:t>
      </w:r>
      <w:r>
        <w:rPr>
          <w:rFonts w:ascii="Times New Roman" w:hAnsi="Times New Roman" w:eastAsia="宋体"/>
          <w:color w:val="auto"/>
          <w:highlight w:val="none"/>
        </w:rPr>
        <w:t>本项目废水不会进入地表水体，与地表水也不发生水力联系，对地表水环境影响不大。</w:t>
      </w:r>
    </w:p>
    <w:p w14:paraId="037069C6">
      <w:pPr>
        <w:pStyle w:val="5"/>
        <w:rPr>
          <w:rFonts w:ascii="Times New Roman" w:hAnsi="Times New Roman" w:eastAsia="宋体"/>
          <w:color w:val="auto"/>
          <w:highlight w:val="none"/>
        </w:rPr>
      </w:pPr>
      <w:bookmarkStart w:id="360" w:name="_Toc106663569"/>
      <w:r>
        <w:rPr>
          <w:rFonts w:hint="eastAsia" w:ascii="Times New Roman" w:hAnsi="Times New Roman" w:eastAsia="宋体"/>
          <w:color w:val="auto"/>
          <w:highlight w:val="none"/>
        </w:rPr>
        <w:t>9.4.3声环境影响评价结论</w:t>
      </w:r>
      <w:bookmarkEnd w:id="360"/>
    </w:p>
    <w:p w14:paraId="6235A3DB">
      <w:pPr>
        <w:ind w:firstLine="480"/>
        <w:rPr>
          <w:rFonts w:ascii="Times New Roman" w:hAnsi="Times New Roman" w:eastAsia="宋体"/>
          <w:color w:val="auto"/>
          <w:highlight w:val="none"/>
        </w:rPr>
      </w:pPr>
      <w:r>
        <w:rPr>
          <w:rFonts w:hint="eastAsia" w:ascii="Times New Roman" w:hAnsi="Times New Roman" w:eastAsia="宋体"/>
          <w:color w:val="auto"/>
          <w:highlight w:val="none"/>
        </w:rPr>
        <w:t>在落实本报告提出的各项噪声污染控制措施后，本项目运行期可满足《工业企业厂界环境噪声排放标准》（GB12348-2008）中的声环境2类功能区标准，对区域声环境的影响较小。</w:t>
      </w:r>
    </w:p>
    <w:p w14:paraId="1E17BE0A">
      <w:pPr>
        <w:pStyle w:val="5"/>
        <w:rPr>
          <w:rFonts w:ascii="Times New Roman" w:hAnsi="Times New Roman" w:eastAsia="宋体"/>
          <w:color w:val="auto"/>
          <w:highlight w:val="none"/>
        </w:rPr>
      </w:pPr>
      <w:bookmarkStart w:id="361" w:name="_Toc106663570"/>
      <w:r>
        <w:rPr>
          <w:rFonts w:hint="eastAsia" w:ascii="Times New Roman" w:hAnsi="Times New Roman" w:eastAsia="宋体"/>
          <w:color w:val="auto"/>
          <w:highlight w:val="none"/>
        </w:rPr>
        <w:t>9.4.4固体废物环境影响分析结论</w:t>
      </w:r>
      <w:bookmarkEnd w:id="361"/>
    </w:p>
    <w:p w14:paraId="15B81670">
      <w:pPr>
        <w:ind w:firstLine="480"/>
        <w:rPr>
          <w:rFonts w:ascii="Times New Roman" w:hAnsi="Times New Roman" w:eastAsia="宋体"/>
          <w:color w:val="auto"/>
          <w:highlight w:val="none"/>
        </w:rPr>
      </w:pPr>
      <w:r>
        <w:rPr>
          <w:rFonts w:hint="eastAsia" w:ascii="Times New Roman" w:hAnsi="Times New Roman" w:eastAsia="宋体"/>
          <w:color w:val="auto"/>
          <w:highlight w:val="none"/>
        </w:rPr>
        <w:t>建设项目产生的固体废物均得到了妥善处置和利用，符合《畜禽养殖业污染防治技术规范》，所以本工程固体废物对环境的影响可以接受。</w:t>
      </w:r>
    </w:p>
    <w:p w14:paraId="2A1DC317">
      <w:pPr>
        <w:ind w:firstLine="480"/>
        <w:rPr>
          <w:rFonts w:ascii="Times New Roman" w:hAnsi="Times New Roman" w:eastAsia="宋体"/>
          <w:color w:val="auto"/>
          <w:highlight w:val="none"/>
        </w:rPr>
      </w:pPr>
      <w:r>
        <w:rPr>
          <w:rFonts w:hint="eastAsia" w:ascii="Times New Roman" w:hAnsi="Times New Roman" w:eastAsia="宋体"/>
          <w:color w:val="auto"/>
          <w:highlight w:val="none"/>
        </w:rPr>
        <w:t>综上所述，项目在建设过程中加强管理，定期监测，无事故发生的前提下，从环境角度分析是可行的。</w:t>
      </w:r>
    </w:p>
    <w:p w14:paraId="17A8C597">
      <w:pPr>
        <w:pStyle w:val="4"/>
        <w:rPr>
          <w:rFonts w:ascii="Times New Roman" w:hAnsi="Times New Roman" w:eastAsia="宋体"/>
          <w:color w:val="auto"/>
          <w:highlight w:val="none"/>
        </w:rPr>
      </w:pPr>
      <w:bookmarkStart w:id="362" w:name="_Toc106663571"/>
      <w:bookmarkStart w:id="363" w:name="_Toc89619366"/>
      <w:r>
        <w:rPr>
          <w:rFonts w:hint="eastAsia" w:ascii="Times New Roman" w:hAnsi="Times New Roman" w:eastAsia="宋体"/>
          <w:color w:val="auto"/>
          <w:highlight w:val="none"/>
        </w:rPr>
        <w:t>9.5污染防治措施</w:t>
      </w:r>
      <w:bookmarkEnd w:id="362"/>
      <w:bookmarkEnd w:id="363"/>
    </w:p>
    <w:p w14:paraId="1B2B5218">
      <w:pPr>
        <w:pStyle w:val="5"/>
        <w:rPr>
          <w:rFonts w:ascii="Times New Roman" w:hAnsi="Times New Roman" w:eastAsia="宋体"/>
          <w:color w:val="auto"/>
          <w:highlight w:val="none"/>
        </w:rPr>
      </w:pPr>
      <w:bookmarkStart w:id="364" w:name="_Toc106663572"/>
      <w:r>
        <w:rPr>
          <w:rFonts w:hint="eastAsia" w:ascii="Times New Roman" w:hAnsi="Times New Roman" w:eastAsia="宋体"/>
          <w:color w:val="auto"/>
          <w:highlight w:val="none"/>
        </w:rPr>
        <w:t>9.5.1大气环境保护措施</w:t>
      </w:r>
      <w:bookmarkEnd w:id="364"/>
    </w:p>
    <w:p w14:paraId="005D81B5">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1</w:t>
      </w:r>
      <w:r>
        <w:rPr>
          <w:rFonts w:hint="eastAsia"/>
          <w:color w:val="auto"/>
          <w:highlight w:val="none"/>
          <w:lang w:eastAsia="zh-CN"/>
        </w:rPr>
        <w:t>）</w:t>
      </w:r>
      <w:r>
        <w:rPr>
          <w:rFonts w:ascii="Times New Roman" w:hAnsi="Times New Roman" w:eastAsia="宋体"/>
          <w:color w:val="auto"/>
          <w:highlight w:val="none"/>
        </w:rPr>
        <w:t>施工期环境影响评价</w:t>
      </w:r>
    </w:p>
    <w:p w14:paraId="7FA5FF56">
      <w:pPr>
        <w:ind w:firstLine="480"/>
        <w:rPr>
          <w:rFonts w:ascii="Times New Roman" w:hAnsi="Times New Roman" w:eastAsia="宋体"/>
          <w:color w:val="auto"/>
          <w:highlight w:val="none"/>
        </w:rPr>
      </w:pPr>
      <w:r>
        <w:rPr>
          <w:rFonts w:ascii="Times New Roman" w:hAnsi="Times New Roman" w:eastAsia="宋体"/>
          <w:color w:val="auto"/>
          <w:highlight w:val="none"/>
        </w:rPr>
        <w:t>施工期间主要是噪声和扬尘对环境的影响，而这样的影响是短暂和间歇的，且周围环境简单，在采取一定的措施后，其对环境的影响会降至最小程度。</w:t>
      </w:r>
    </w:p>
    <w:p w14:paraId="2DD6CB9C">
      <w:pPr>
        <w:ind w:firstLine="480"/>
        <w:rPr>
          <w:rFonts w:ascii="Times New Roman" w:hAnsi="Times New Roman" w:eastAsia="宋体"/>
          <w:color w:val="auto"/>
          <w:highlight w:val="none"/>
        </w:rPr>
      </w:pPr>
      <w:r>
        <w:rPr>
          <w:rFonts w:hint="eastAsia"/>
          <w:color w:val="auto"/>
          <w:highlight w:val="none"/>
          <w:lang w:eastAsia="zh-CN"/>
        </w:rPr>
        <w:t>（</w:t>
      </w:r>
      <w:r>
        <w:rPr>
          <w:rFonts w:ascii="Times New Roman" w:hAnsi="Times New Roman" w:eastAsia="宋体"/>
          <w:color w:val="auto"/>
          <w:highlight w:val="none"/>
        </w:rPr>
        <w:t>2</w:t>
      </w:r>
      <w:r>
        <w:rPr>
          <w:rFonts w:hint="eastAsia"/>
          <w:color w:val="auto"/>
          <w:highlight w:val="none"/>
          <w:lang w:eastAsia="zh-CN"/>
        </w:rPr>
        <w:t>）</w:t>
      </w:r>
      <w:r>
        <w:rPr>
          <w:rFonts w:ascii="Times New Roman" w:hAnsi="Times New Roman" w:eastAsia="宋体"/>
          <w:color w:val="auto"/>
          <w:highlight w:val="none"/>
        </w:rPr>
        <w:t>运营期环境影响评价</w:t>
      </w:r>
    </w:p>
    <w:p w14:paraId="198F4A57">
      <w:pPr>
        <w:ind w:firstLine="480"/>
        <w:rPr>
          <w:rFonts w:ascii="Times New Roman" w:hAnsi="Times New Roman" w:eastAsia="宋体"/>
          <w:color w:val="auto"/>
          <w:highlight w:val="none"/>
        </w:rPr>
      </w:pPr>
      <w:r>
        <w:rPr>
          <w:rFonts w:ascii="Times New Roman" w:hAnsi="Times New Roman" w:eastAsia="宋体"/>
          <w:color w:val="auto"/>
          <w:highlight w:val="none"/>
        </w:rPr>
        <w:t>①大气环境影响评价</w:t>
      </w:r>
    </w:p>
    <w:p w14:paraId="481EA41E">
      <w:pPr>
        <w:ind w:firstLine="480"/>
        <w:rPr>
          <w:rFonts w:ascii="Times New Roman" w:hAnsi="Times New Roman" w:eastAsia="宋体"/>
          <w:color w:val="auto"/>
          <w:highlight w:val="none"/>
        </w:rPr>
      </w:pPr>
      <w:r>
        <w:rPr>
          <w:rFonts w:ascii="Times New Roman" w:hAnsi="Times New Roman" w:eastAsia="宋体"/>
          <w:color w:val="auto"/>
          <w:highlight w:val="none"/>
        </w:rPr>
        <w:t>根据预测结果，NH</w:t>
      </w:r>
      <w:r>
        <w:rPr>
          <w:rFonts w:ascii="Times New Roman" w:hAnsi="Times New Roman" w:eastAsia="宋体"/>
          <w:color w:val="auto"/>
          <w:highlight w:val="none"/>
          <w:vertAlign w:val="subscript"/>
        </w:rPr>
        <w:t>3</w:t>
      </w:r>
      <w:r>
        <w:rPr>
          <w:rFonts w:ascii="Times New Roman" w:hAnsi="Times New Roman" w:eastAsia="宋体"/>
          <w:color w:val="auto"/>
          <w:highlight w:val="none"/>
        </w:rPr>
        <w:t>和H</w:t>
      </w:r>
      <w:r>
        <w:rPr>
          <w:rFonts w:ascii="Times New Roman" w:hAnsi="Times New Roman" w:eastAsia="宋体"/>
          <w:color w:val="auto"/>
          <w:highlight w:val="none"/>
          <w:vertAlign w:val="subscript"/>
        </w:rPr>
        <w:t>2</w:t>
      </w:r>
      <w:r>
        <w:rPr>
          <w:rFonts w:ascii="Times New Roman" w:hAnsi="Times New Roman" w:eastAsia="宋体"/>
          <w:color w:val="auto"/>
          <w:highlight w:val="none"/>
        </w:rPr>
        <w:t>S最大地面空气质量浓度不大，占标率不高，为降低臭气对周围环境的影响，可采取以下措施：鸡粪便日产日清、定期对易产生恶臭区域进行除臭液喷洒；</w:t>
      </w:r>
      <w:r>
        <w:rPr>
          <w:rFonts w:hint="eastAsia"/>
          <w:color w:val="auto"/>
          <w:highlight w:val="none"/>
          <w:lang w:eastAsia="zh-CN"/>
        </w:rPr>
        <w:t>废水收集池</w:t>
      </w:r>
      <w:r>
        <w:rPr>
          <w:rFonts w:ascii="Times New Roman" w:hAnsi="Times New Roman" w:eastAsia="宋体"/>
          <w:color w:val="auto"/>
          <w:highlight w:val="none"/>
        </w:rPr>
        <w:t>采取加盖密闭方式，减少污染物排放量。在厂区周围设置绿化，吸收阻隔气味。通过采取以上措施，本项目恶臭污染物最大地面空气质量浓度均满足《环境影响评价技术导则大气环境》</w:t>
      </w:r>
      <w:r>
        <w:rPr>
          <w:rFonts w:hint="eastAsia"/>
          <w:color w:val="auto"/>
          <w:highlight w:val="none"/>
          <w:lang w:eastAsia="zh-CN"/>
        </w:rPr>
        <w:t>（</w:t>
      </w:r>
      <w:r>
        <w:rPr>
          <w:rFonts w:ascii="Times New Roman" w:hAnsi="Times New Roman" w:eastAsia="宋体"/>
          <w:color w:val="auto"/>
          <w:highlight w:val="none"/>
        </w:rPr>
        <w:t>HJ2.2-2018</w:t>
      </w:r>
      <w:r>
        <w:rPr>
          <w:rFonts w:hint="eastAsia"/>
          <w:color w:val="auto"/>
          <w:highlight w:val="none"/>
          <w:lang w:eastAsia="zh-CN"/>
        </w:rPr>
        <w:t>）</w:t>
      </w:r>
      <w:r>
        <w:rPr>
          <w:rFonts w:ascii="Times New Roman" w:hAnsi="Times New Roman" w:eastAsia="宋体"/>
          <w:color w:val="auto"/>
          <w:highlight w:val="none"/>
        </w:rPr>
        <w:t>附录D其他污染物空气质量浓度参考限值。因此，本项目运行期间恶臭气体对环境空气影响不大。</w:t>
      </w:r>
    </w:p>
    <w:p w14:paraId="1487988F">
      <w:pPr>
        <w:pStyle w:val="5"/>
        <w:rPr>
          <w:rFonts w:ascii="Times New Roman" w:hAnsi="Times New Roman" w:eastAsia="宋体"/>
          <w:color w:val="auto"/>
          <w:highlight w:val="none"/>
        </w:rPr>
      </w:pPr>
      <w:bookmarkStart w:id="365" w:name="_Toc106663573"/>
      <w:r>
        <w:rPr>
          <w:rFonts w:hint="eastAsia" w:ascii="Times New Roman" w:hAnsi="Times New Roman" w:eastAsia="宋体"/>
          <w:color w:val="auto"/>
          <w:highlight w:val="none"/>
        </w:rPr>
        <w:t>9.5.2水环境保护措施</w:t>
      </w:r>
      <w:bookmarkEnd w:id="365"/>
    </w:p>
    <w:p w14:paraId="102D7F09">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9.5.2.1污水防治措施</w:t>
      </w:r>
    </w:p>
    <w:p w14:paraId="198EC0B2">
      <w:pPr>
        <w:ind w:firstLine="480"/>
        <w:rPr>
          <w:rFonts w:ascii="Times New Roman" w:hAnsi="Times New Roman" w:eastAsia="宋体"/>
          <w:color w:val="auto"/>
          <w:highlight w:val="none"/>
        </w:rPr>
      </w:pPr>
      <w:r>
        <w:rPr>
          <w:rFonts w:ascii="Times New Roman" w:hAnsi="Times New Roman" w:eastAsia="宋体"/>
          <w:color w:val="auto"/>
          <w:highlight w:val="none"/>
        </w:rPr>
        <w:t>本项目养殖产生的废水属于有机废水，主要污染物是CODcr、BOD</w:t>
      </w:r>
      <w:r>
        <w:rPr>
          <w:rFonts w:ascii="Times New Roman" w:hAnsi="Times New Roman" w:eastAsia="宋体"/>
          <w:color w:val="auto"/>
          <w:highlight w:val="none"/>
          <w:vertAlign w:val="subscript"/>
        </w:rPr>
        <w:t>5</w:t>
      </w:r>
      <w:r>
        <w:rPr>
          <w:rFonts w:ascii="Times New Roman" w:hAnsi="Times New Roman" w:eastAsia="宋体"/>
          <w:color w:val="auto"/>
          <w:highlight w:val="none"/>
        </w:rPr>
        <w:t>和SS，不含其它有毒有害物质。生活污水直接排入下水管网，最终进入玛纳斯县城污水处理厂；鸡舍冲洗废水排入</w:t>
      </w:r>
      <w:r>
        <w:rPr>
          <w:rFonts w:hint="eastAsia"/>
          <w:color w:val="auto"/>
          <w:highlight w:val="none"/>
          <w:lang w:eastAsia="zh-CN"/>
        </w:rPr>
        <w:t>废水收集池经预处理后用作农肥。</w:t>
      </w:r>
      <w:r>
        <w:rPr>
          <w:rFonts w:ascii="Times New Roman" w:hAnsi="Times New Roman" w:eastAsia="宋体"/>
          <w:color w:val="auto"/>
          <w:highlight w:val="none"/>
        </w:rPr>
        <w:t>本项目废水不会进入地表水体，与地表水也不发生水力联系，对地表水环境影响不大。</w:t>
      </w:r>
    </w:p>
    <w:p w14:paraId="16B6007F">
      <w:pPr>
        <w:pStyle w:val="6"/>
        <w:ind w:firstLine="482"/>
        <w:rPr>
          <w:rFonts w:ascii="Times New Roman" w:hAnsi="Times New Roman" w:eastAsia="宋体"/>
          <w:color w:val="auto"/>
          <w:highlight w:val="none"/>
        </w:rPr>
      </w:pPr>
      <w:r>
        <w:rPr>
          <w:rFonts w:hint="eastAsia" w:ascii="Times New Roman" w:hAnsi="Times New Roman" w:eastAsia="宋体"/>
          <w:color w:val="auto"/>
          <w:highlight w:val="none"/>
        </w:rPr>
        <w:t>9.5.2.2地下水污染防治措施</w:t>
      </w:r>
    </w:p>
    <w:p w14:paraId="14A78281">
      <w:pPr>
        <w:ind w:firstLine="480"/>
        <w:rPr>
          <w:rFonts w:ascii="Times New Roman" w:hAnsi="Times New Roman" w:eastAsia="宋体"/>
          <w:color w:val="auto"/>
          <w:highlight w:val="none"/>
        </w:rPr>
      </w:pPr>
      <w:r>
        <w:rPr>
          <w:rFonts w:hint="eastAsia" w:ascii="Times New Roman" w:hAnsi="Times New Roman" w:eastAsia="宋体"/>
          <w:color w:val="auto"/>
          <w:highlight w:val="none"/>
        </w:rPr>
        <w:t>为防止对地下水造成污染，对厂区各区域分别采用不同的防渗措施。项目场地分为重点防渗区、一般防渗区和简单防渗区。一般工业固废临时贮存场所防渗效果应满足《一般工业固体废物贮存和填埋污染控制标准》（GB18599-2020）中的相关要求。危险废物储存场所防渗效果应满足《危险废物贮存污染控制标准》（</w:t>
      </w:r>
      <w:r>
        <w:rPr>
          <w:rFonts w:hint="eastAsia"/>
          <w:color w:val="auto"/>
          <w:highlight w:val="none"/>
          <w:lang w:eastAsia="zh-CN"/>
        </w:rPr>
        <w:t>GB18597-2023</w:t>
      </w:r>
      <w:r>
        <w:rPr>
          <w:rFonts w:hint="eastAsia" w:ascii="Times New Roman" w:hAnsi="Times New Roman" w:eastAsia="宋体"/>
          <w:color w:val="auto"/>
          <w:highlight w:val="none"/>
        </w:rPr>
        <w:t>）及修改单中的有关要求。运营期厂区安排专人定期进行巡查，杜绝</w:t>
      </w:r>
      <w:r>
        <w:rPr>
          <w:rFonts w:hint="eastAsia"/>
          <w:color w:val="auto"/>
          <w:highlight w:val="none"/>
          <w:lang w:eastAsia="zh-CN"/>
        </w:rPr>
        <w:t>”</w:t>
      </w:r>
      <w:r>
        <w:rPr>
          <w:rFonts w:hint="eastAsia" w:ascii="Times New Roman" w:hAnsi="Times New Roman" w:eastAsia="宋体"/>
          <w:color w:val="auto"/>
          <w:highlight w:val="none"/>
        </w:rPr>
        <w:t>跑、冒、滴、漏</w:t>
      </w:r>
      <w:r>
        <w:rPr>
          <w:rFonts w:hint="eastAsia"/>
          <w:color w:val="auto"/>
          <w:highlight w:val="none"/>
          <w:lang w:eastAsia="zh-CN"/>
        </w:rPr>
        <w:t>”</w:t>
      </w:r>
      <w:r>
        <w:rPr>
          <w:rFonts w:hint="eastAsia" w:ascii="Times New Roman" w:hAnsi="Times New Roman" w:eastAsia="宋体"/>
          <w:color w:val="auto"/>
          <w:highlight w:val="none"/>
        </w:rPr>
        <w:t>等事故的发生，进行严格的防渗处理，从源头上防止污水进入地下水含水层之间。</w:t>
      </w:r>
    </w:p>
    <w:p w14:paraId="72B137BE">
      <w:pPr>
        <w:pStyle w:val="5"/>
        <w:rPr>
          <w:rFonts w:ascii="Times New Roman" w:hAnsi="Times New Roman" w:eastAsia="宋体"/>
          <w:color w:val="auto"/>
          <w:highlight w:val="none"/>
        </w:rPr>
      </w:pPr>
      <w:bookmarkStart w:id="366" w:name="_Toc106663574"/>
      <w:r>
        <w:rPr>
          <w:rFonts w:hint="eastAsia" w:ascii="Times New Roman" w:hAnsi="Times New Roman" w:eastAsia="宋体"/>
          <w:color w:val="auto"/>
          <w:highlight w:val="none"/>
        </w:rPr>
        <w:t>9.5.3噪声</w:t>
      </w:r>
      <w:bookmarkEnd w:id="366"/>
    </w:p>
    <w:p w14:paraId="2C6EA1D7">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在建筑上采取隔声、吸声措施，在场区内外种植树木，以降低噪声向外辐射；通过合理布局生产车间，达到阻隔、衰减噪声的目的。降噪后厂界噪声值可达到《工业企业厂界环境噪声排放标准》（GB12348-2008）中的</w:t>
      </w:r>
      <w:r>
        <w:rPr>
          <w:rFonts w:hint="eastAsia"/>
          <w:color w:val="auto"/>
          <w:highlight w:val="none"/>
          <w:lang w:val="en-US" w:eastAsia="zh-CN"/>
        </w:rPr>
        <w:t>2</w:t>
      </w:r>
      <w:r>
        <w:rPr>
          <w:rFonts w:hint="eastAsia" w:ascii="Times New Roman" w:hAnsi="Times New Roman" w:eastAsia="宋体"/>
          <w:color w:val="auto"/>
          <w:highlight w:val="none"/>
        </w:rPr>
        <w:t>类标准。</w:t>
      </w:r>
    </w:p>
    <w:p w14:paraId="0E31DE27">
      <w:pPr>
        <w:pStyle w:val="5"/>
        <w:rPr>
          <w:rFonts w:ascii="Times New Roman" w:hAnsi="Times New Roman" w:eastAsia="宋体"/>
          <w:color w:val="auto"/>
          <w:highlight w:val="none"/>
        </w:rPr>
      </w:pPr>
      <w:bookmarkStart w:id="367" w:name="_Toc106663575"/>
      <w:r>
        <w:rPr>
          <w:rFonts w:hint="eastAsia" w:ascii="Times New Roman" w:hAnsi="Times New Roman" w:eastAsia="宋体"/>
          <w:color w:val="auto"/>
          <w:highlight w:val="none"/>
        </w:rPr>
        <w:t>9.5.4固体废弃物</w:t>
      </w:r>
      <w:bookmarkEnd w:id="367"/>
    </w:p>
    <w:p w14:paraId="388753ED">
      <w:pPr>
        <w:ind w:firstLine="480"/>
        <w:rPr>
          <w:rFonts w:ascii="Times New Roman" w:hAnsi="Times New Roman" w:eastAsia="宋体"/>
          <w:color w:val="auto"/>
          <w:highlight w:val="none"/>
        </w:rPr>
      </w:pPr>
      <w:r>
        <w:rPr>
          <w:rFonts w:ascii="Times New Roman" w:hAnsi="Times New Roman" w:eastAsia="宋体"/>
          <w:color w:val="auto"/>
          <w:highlight w:val="none"/>
        </w:rPr>
        <w:t>本项目产生的固体废物主要为鸡粪及散落羽毛、病死鸡只、废弃包装物、生活垃圾、医疗废物。本项目区产生的</w:t>
      </w:r>
      <w:r>
        <w:rPr>
          <w:rFonts w:hint="eastAsia"/>
          <w:color w:val="auto"/>
          <w:highlight w:val="none"/>
          <w:lang w:eastAsia="zh-CN"/>
        </w:rPr>
        <w:t>鸡粪及散落羽毛采用自动清粪系统清理与废水收集池污泥</w:t>
      </w:r>
      <w:r>
        <w:rPr>
          <w:rFonts w:hint="eastAsia"/>
          <w:color w:val="auto"/>
          <w:highlight w:val="none"/>
          <w:lang w:val="en-US" w:eastAsia="zh-CN"/>
        </w:rPr>
        <w:t>外售</w:t>
      </w:r>
      <w:r>
        <w:rPr>
          <w:rFonts w:ascii="Times New Roman" w:hAnsi="Times New Roman" w:eastAsia="宋体"/>
          <w:color w:val="auto"/>
          <w:highlight w:val="none"/>
        </w:rPr>
        <w:t>有机肥生产公司作为有机肥生产的原料，由其负责定期清运工作。病死鸡只根据具体死因，见疾病病死鸡采用填埋井对其进行无害化处理，若因为鸡瘟、新城疫等传染性疾病死亡的鸡只，交由防疫部门处置。本项目饲料包装袋最终返回原包装袋购置厂家回收，废弃包装物得到了合理利用。本项目生活垃圾集中收集由当地环卫部门处置。本项目对蛋鸡进行防疫、治疗过程中产生少量废弃药品、废针管等，医疗废物属于HW01类危险废物，储存于危废暂存间，交由有资质的单位进行处置。</w:t>
      </w:r>
    </w:p>
    <w:p w14:paraId="5C58B8DF">
      <w:pPr>
        <w:ind w:firstLine="480"/>
        <w:rPr>
          <w:rFonts w:ascii="Times New Roman" w:hAnsi="Times New Roman" w:eastAsia="宋体"/>
          <w:color w:val="auto"/>
          <w:highlight w:val="none"/>
        </w:rPr>
      </w:pPr>
      <w:r>
        <w:rPr>
          <w:rFonts w:ascii="Times New Roman" w:hAnsi="Times New Roman" w:eastAsia="宋体"/>
          <w:color w:val="auto"/>
          <w:highlight w:val="none"/>
        </w:rPr>
        <w:t>综上分析，对固体废物采取相应治理措施后，固废可以得到合理处置，产生的固体废物对周围环境影响不大。</w:t>
      </w:r>
    </w:p>
    <w:p w14:paraId="2B609204">
      <w:pPr>
        <w:pStyle w:val="4"/>
        <w:rPr>
          <w:rFonts w:ascii="Times New Roman" w:hAnsi="Times New Roman" w:eastAsia="宋体"/>
          <w:color w:val="auto"/>
          <w:highlight w:val="none"/>
        </w:rPr>
      </w:pPr>
      <w:bookmarkStart w:id="368" w:name="_Toc106663576"/>
      <w:bookmarkStart w:id="369" w:name="_Toc89619367"/>
      <w:r>
        <w:rPr>
          <w:rFonts w:hint="eastAsia" w:ascii="Times New Roman" w:hAnsi="Times New Roman" w:eastAsia="宋体"/>
          <w:color w:val="auto"/>
          <w:highlight w:val="none"/>
        </w:rPr>
        <w:t>9.6公众意见采纳情况</w:t>
      </w:r>
      <w:bookmarkEnd w:id="368"/>
      <w:bookmarkEnd w:id="369"/>
    </w:p>
    <w:p w14:paraId="639F66F1">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建设单位严格按照《环境影响评价公众参与办法》（部令第4号）的规定，进行了的公众参与工作。首先在确定环评单位后，在环评互联网网站进行了第一次网上公示，并给出了公众意见表链接。报告初稿完成后在环评互联网进行了第二次网上公示，第二次网上公示给出了环评报告链接，并在项目所在</w:t>
      </w:r>
      <w:r>
        <w:rPr>
          <w:rFonts w:hint="eastAsia" w:ascii="Times New Roman" w:hAnsi="Times New Roman" w:eastAsia="宋体"/>
          <w:color w:val="auto"/>
          <w:highlight w:val="none"/>
          <w:lang w:eastAsia="zh-CN"/>
        </w:rPr>
        <w:t>玛纳斯县</w:t>
      </w:r>
      <w:r>
        <w:rPr>
          <w:rFonts w:hint="eastAsia" w:ascii="Times New Roman" w:hAnsi="Times New Roman" w:eastAsia="宋体"/>
          <w:color w:val="auto"/>
          <w:highlight w:val="none"/>
        </w:rPr>
        <w:t>园户村镇公示栏内进行了公示张贴，同时在当地报纸上进行了两次公示。建设方拟报批前，在环评互联网进行了第三次信息公示。本项目在公示期间未收到公众通过网络、电话及书信等方式提出的意见。</w:t>
      </w:r>
    </w:p>
    <w:p w14:paraId="62082F36">
      <w:pPr>
        <w:pStyle w:val="4"/>
        <w:rPr>
          <w:rFonts w:ascii="Times New Roman" w:hAnsi="Times New Roman" w:eastAsia="宋体"/>
          <w:color w:val="auto"/>
          <w:highlight w:val="none"/>
        </w:rPr>
      </w:pPr>
      <w:bookmarkStart w:id="370" w:name="_Toc106663577"/>
      <w:bookmarkStart w:id="371" w:name="_Toc89619368"/>
      <w:r>
        <w:rPr>
          <w:rFonts w:hint="eastAsia" w:ascii="Times New Roman" w:hAnsi="Times New Roman" w:eastAsia="宋体"/>
          <w:color w:val="auto"/>
          <w:highlight w:val="none"/>
        </w:rPr>
        <w:t>9.7环境经济损益分析结论</w:t>
      </w:r>
      <w:bookmarkEnd w:id="370"/>
      <w:bookmarkEnd w:id="371"/>
    </w:p>
    <w:p w14:paraId="65C6BC90">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的建设可提高养殖生产水平，提高经济效益，同时增加了就业机会，促进农村社会稳定。本项目建设达产后，经济效益较显著，环保投资合理，获得的环境效益显著。因此本项目的建设从环境经济损益的角度分析是可行的。</w:t>
      </w:r>
    </w:p>
    <w:p w14:paraId="79270724">
      <w:pPr>
        <w:pStyle w:val="4"/>
        <w:rPr>
          <w:rFonts w:ascii="Times New Roman" w:hAnsi="Times New Roman" w:eastAsia="宋体"/>
          <w:color w:val="auto"/>
          <w:highlight w:val="none"/>
        </w:rPr>
      </w:pPr>
      <w:bookmarkStart w:id="372" w:name="_Toc89619369"/>
      <w:bookmarkStart w:id="373" w:name="_Toc106663578"/>
      <w:r>
        <w:rPr>
          <w:rFonts w:hint="eastAsia" w:ascii="Times New Roman" w:hAnsi="Times New Roman" w:eastAsia="宋体"/>
          <w:color w:val="auto"/>
          <w:highlight w:val="none"/>
        </w:rPr>
        <w:t>9.8环境管理与监测结论</w:t>
      </w:r>
      <w:bookmarkEnd w:id="372"/>
      <w:bookmarkEnd w:id="373"/>
    </w:p>
    <w:p w14:paraId="228B7926">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运行期通过加强建设和试运行期间的环境管理与监控，建立健全安全生产管理制度，制订科学严谨的操作规程，通过职工操作技能培训，提高危险识辨、防护和保护能力，落实责任到人。同时加强厂内各类设备包括污染治理设施的日常运行管理和维护，对生产设备进行定期检测，对关键设备进行不定期测试。增强岗位职责和环保、安全意识，保证生产设施和环保治理设施运行的可靠性、稳定性。</w:t>
      </w:r>
    </w:p>
    <w:p w14:paraId="57A494A7">
      <w:pPr>
        <w:pStyle w:val="4"/>
        <w:rPr>
          <w:rFonts w:ascii="Times New Roman" w:hAnsi="Times New Roman" w:eastAsia="宋体"/>
          <w:color w:val="auto"/>
          <w:highlight w:val="none"/>
        </w:rPr>
      </w:pPr>
      <w:bookmarkStart w:id="374" w:name="_Toc89619370"/>
      <w:bookmarkStart w:id="375" w:name="_Toc106663579"/>
      <w:r>
        <w:rPr>
          <w:rFonts w:hint="eastAsia" w:ascii="Times New Roman" w:hAnsi="Times New Roman" w:eastAsia="宋体"/>
          <w:color w:val="auto"/>
          <w:highlight w:val="none"/>
        </w:rPr>
        <w:t>9.9总量控制</w:t>
      </w:r>
      <w:bookmarkEnd w:id="374"/>
      <w:bookmarkEnd w:id="375"/>
    </w:p>
    <w:p w14:paraId="2659F922">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本项目无需申请总量控制指标。</w:t>
      </w:r>
    </w:p>
    <w:p w14:paraId="3870C98E">
      <w:pPr>
        <w:pStyle w:val="4"/>
        <w:rPr>
          <w:rFonts w:ascii="Times New Roman" w:hAnsi="Times New Roman" w:eastAsia="宋体"/>
          <w:color w:val="auto"/>
          <w:highlight w:val="none"/>
        </w:rPr>
      </w:pPr>
      <w:bookmarkStart w:id="376" w:name="_Toc89619371"/>
      <w:bookmarkStart w:id="377" w:name="_Toc106663580"/>
      <w:r>
        <w:rPr>
          <w:rFonts w:hint="eastAsia" w:ascii="Times New Roman" w:hAnsi="Times New Roman" w:eastAsia="宋体"/>
          <w:color w:val="auto"/>
          <w:highlight w:val="none"/>
        </w:rPr>
        <w:t>9.10综合结论</w:t>
      </w:r>
      <w:bookmarkEnd w:id="376"/>
      <w:bookmarkEnd w:id="377"/>
    </w:p>
    <w:p w14:paraId="7A5DFF17">
      <w:pPr>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符合国家产业政策和相关规划，选址合理，在认真贯彻执行国家环保法律、法规，严格落实环评规定的各项环保措施，加强环境管理情况下，污染物的排放可以满足达标排放的要求。本项目具有良好的经济效益、社会效益和环境效益。公众参与调查工作中，未收到公众对该项目的相关意见。本项目符合环保部发布《关于以改善环境质量为核心加强环评管理的通知》关于</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的要求以及新疆和昌吉州的</w:t>
      </w:r>
      <w:r>
        <w:rPr>
          <w:rFonts w:hint="eastAsia"/>
          <w:color w:val="auto"/>
          <w:highlight w:val="none"/>
          <w:lang w:eastAsia="zh-CN"/>
        </w:rPr>
        <w:t>”</w:t>
      </w:r>
      <w:r>
        <w:rPr>
          <w:rFonts w:hint="eastAsia" w:ascii="Times New Roman" w:hAnsi="Times New Roman" w:eastAsia="宋体"/>
          <w:color w:val="auto"/>
          <w:highlight w:val="none"/>
        </w:rPr>
        <w:t>三线一单</w:t>
      </w:r>
      <w:r>
        <w:rPr>
          <w:rFonts w:hint="eastAsia"/>
          <w:color w:val="auto"/>
          <w:highlight w:val="none"/>
          <w:lang w:eastAsia="zh-CN"/>
        </w:rPr>
        <w:t>”</w:t>
      </w:r>
      <w:r>
        <w:rPr>
          <w:rFonts w:hint="eastAsia" w:ascii="Times New Roman" w:hAnsi="Times New Roman" w:eastAsia="宋体"/>
          <w:color w:val="auto"/>
          <w:highlight w:val="none"/>
        </w:rPr>
        <w:t>管控要求。</w:t>
      </w:r>
    </w:p>
    <w:p w14:paraId="6065F796">
      <w:pPr>
        <w:ind w:firstLine="480"/>
        <w:rPr>
          <w:rFonts w:ascii="Times New Roman" w:hAnsi="Times New Roman" w:eastAsia="宋体"/>
          <w:color w:val="auto"/>
          <w:highlight w:val="none"/>
        </w:rPr>
      </w:pPr>
      <w:r>
        <w:rPr>
          <w:rFonts w:hint="eastAsia" w:ascii="Times New Roman" w:hAnsi="Times New Roman" w:eastAsia="宋体"/>
          <w:color w:val="auto"/>
          <w:highlight w:val="none"/>
        </w:rPr>
        <w:t>因此，从环保角度考虑，本项目的建设是可行的。</w:t>
      </w:r>
    </w:p>
    <w:p w14:paraId="63629A62">
      <w:pPr>
        <w:pStyle w:val="4"/>
        <w:rPr>
          <w:rFonts w:ascii="Times New Roman" w:hAnsi="Times New Roman" w:eastAsia="宋体"/>
          <w:color w:val="auto"/>
          <w:highlight w:val="none"/>
        </w:rPr>
      </w:pPr>
      <w:bookmarkStart w:id="378" w:name="_Toc89619372"/>
      <w:bookmarkStart w:id="379" w:name="_Toc106663581"/>
      <w:r>
        <w:rPr>
          <w:rFonts w:hint="eastAsia" w:ascii="Times New Roman" w:hAnsi="Times New Roman" w:eastAsia="宋体"/>
          <w:color w:val="auto"/>
          <w:highlight w:val="none"/>
        </w:rPr>
        <w:t>9.11要求</w:t>
      </w:r>
      <w:bookmarkEnd w:id="378"/>
      <w:bookmarkEnd w:id="379"/>
    </w:p>
    <w:p w14:paraId="2B66A0E4">
      <w:pPr>
        <w:ind w:firstLine="480"/>
        <w:rPr>
          <w:rFonts w:ascii="Times New Roman" w:hAnsi="Times New Roman" w:eastAsia="宋体"/>
          <w:color w:val="auto"/>
          <w:highlight w:val="none"/>
        </w:rPr>
      </w:pPr>
      <w:r>
        <w:rPr>
          <w:rFonts w:hint="eastAsia" w:ascii="Times New Roman" w:hAnsi="Times New Roman" w:eastAsia="宋体"/>
          <w:color w:val="auto"/>
          <w:highlight w:val="none"/>
        </w:rPr>
        <w:t>（1）建设单位在本项目实施过程中，应认真落实本项目提到的各项治理措施，加强对环保设施的运行管理，制定有效的管理规章制度，建立环保管理机制，防止出现事故性和非正常污染排放。</w:t>
      </w:r>
    </w:p>
    <w:p w14:paraId="069C6862">
      <w:pPr>
        <w:ind w:firstLine="480"/>
        <w:rPr>
          <w:rFonts w:ascii="Times New Roman" w:hAnsi="Times New Roman" w:eastAsia="宋体"/>
          <w:color w:val="auto"/>
          <w:highlight w:val="none"/>
        </w:rPr>
      </w:pPr>
      <w:r>
        <w:rPr>
          <w:rFonts w:hint="eastAsia" w:ascii="Times New Roman" w:hAnsi="Times New Roman" w:eastAsia="宋体"/>
          <w:color w:val="auto"/>
          <w:highlight w:val="none"/>
        </w:rPr>
        <w:t>（2）建设单位在项目实施过程中应严格执行原国家环保总局颁布的《畜禽养殖业污染防治技术规范》（HJ/T81-2001）。</w:t>
      </w:r>
    </w:p>
    <w:p w14:paraId="662DD166">
      <w:pPr>
        <w:ind w:firstLine="480"/>
        <w:rPr>
          <w:rFonts w:ascii="Times New Roman" w:hAnsi="Times New Roman" w:eastAsia="宋体"/>
          <w:color w:val="auto"/>
          <w:highlight w:val="none"/>
        </w:rPr>
      </w:pPr>
      <w:r>
        <w:rPr>
          <w:rFonts w:hint="eastAsia" w:ascii="Times New Roman" w:hAnsi="Times New Roman" w:eastAsia="宋体"/>
          <w:color w:val="auto"/>
          <w:highlight w:val="none"/>
        </w:rPr>
        <w:t>（3）严格执行</w:t>
      </w:r>
      <w:r>
        <w:rPr>
          <w:rFonts w:hint="eastAsia"/>
          <w:color w:val="auto"/>
          <w:highlight w:val="none"/>
          <w:lang w:eastAsia="zh-CN"/>
        </w:rPr>
        <w:t>”</w:t>
      </w:r>
      <w:r>
        <w:rPr>
          <w:rFonts w:hint="eastAsia" w:ascii="Times New Roman" w:hAnsi="Times New Roman" w:eastAsia="宋体"/>
          <w:color w:val="auto"/>
          <w:highlight w:val="none"/>
        </w:rPr>
        <w:t>三同时</w:t>
      </w:r>
      <w:r>
        <w:rPr>
          <w:rFonts w:hint="eastAsia"/>
          <w:color w:val="auto"/>
          <w:highlight w:val="none"/>
          <w:lang w:eastAsia="zh-CN"/>
        </w:rPr>
        <w:t>”</w:t>
      </w:r>
      <w:r>
        <w:rPr>
          <w:rFonts w:hint="eastAsia" w:ascii="Times New Roman" w:hAnsi="Times New Roman" w:eastAsia="宋体"/>
          <w:color w:val="auto"/>
          <w:highlight w:val="none"/>
        </w:rPr>
        <w:t>制度，落实各项环保措施，平时注意各项环保设施的维护，及时发现处理设备的隐患，确保处理系统正常运行；开、停、检修要有预案，有严密周全的计划，确保不发生非正常排放。</w:t>
      </w:r>
    </w:p>
    <w:p w14:paraId="2CC8A7AC">
      <w:pPr>
        <w:ind w:firstLine="480"/>
        <w:rPr>
          <w:rFonts w:ascii="Times New Roman" w:hAnsi="Times New Roman" w:eastAsia="宋体"/>
          <w:color w:val="auto"/>
          <w:highlight w:val="none"/>
        </w:rPr>
      </w:pPr>
      <w:r>
        <w:rPr>
          <w:rFonts w:hint="eastAsia" w:ascii="Times New Roman" w:hAnsi="Times New Roman" w:eastAsia="宋体"/>
          <w:color w:val="auto"/>
          <w:highlight w:val="none"/>
        </w:rPr>
        <w:t>（4）饲养人员每年应至少进行一次身体检查，如发现患有危害人、畜禽的传染病者，应及时调离，以防传染。</w:t>
      </w:r>
    </w:p>
    <w:p w14:paraId="6B284AE4">
      <w:pPr>
        <w:ind w:firstLine="480"/>
        <w:rPr>
          <w:rFonts w:ascii="Times New Roman" w:hAnsi="Times New Roman" w:eastAsia="宋体"/>
          <w:color w:val="auto"/>
          <w:highlight w:val="none"/>
        </w:rPr>
      </w:pPr>
      <w:r>
        <w:rPr>
          <w:rFonts w:hint="eastAsia" w:ascii="Times New Roman" w:hAnsi="Times New Roman" w:eastAsia="宋体"/>
          <w:color w:val="auto"/>
          <w:highlight w:val="none"/>
        </w:rPr>
        <w:t>（5）落实环境监测计划。</w:t>
      </w:r>
    </w:p>
    <w:p w14:paraId="08DC3551">
      <w:pPr>
        <w:ind w:firstLine="480"/>
        <w:rPr>
          <w:rFonts w:ascii="Times New Roman" w:hAnsi="Times New Roman" w:eastAsia="宋体"/>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Chicago">
    <w:altName w:val="Arial"/>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auto"/>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auto"/>
    <w:pitch w:val="default"/>
    <w:sig w:usb0="800001E3" w:usb1="1200FFEF" w:usb2="00040000" w:usb3="04000000" w:csb0="00000001" w:csb1="4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8737F">
    <w:pPr>
      <w:pStyle w:val="21"/>
      <w:ind w:firstLine="420"/>
      <w:jc w:val="right"/>
      <w:rPr>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posOffset>2223135</wp:posOffset>
              </wp:positionH>
              <wp:positionV relativeFrom="paragraph">
                <wp:posOffset>191770</wp:posOffset>
              </wp:positionV>
              <wp:extent cx="415925" cy="1828800"/>
              <wp:effectExtent l="0" t="0" r="3810" b="10160"/>
              <wp:wrapNone/>
              <wp:docPr id="106" name="文本框 106"/>
              <wp:cNvGraphicFramePr/>
              <a:graphic xmlns:a="http://schemas.openxmlformats.org/drawingml/2006/main">
                <a:graphicData uri="http://schemas.microsoft.com/office/word/2010/wordprocessingShape">
                  <wps:wsp>
                    <wps:cNvSpPr txBox="1"/>
                    <wps:spPr>
                      <a:xfrm>
                        <a:off x="0" y="0"/>
                        <a:ext cx="41563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11878568"/>
                          </w:sdtPr>
                          <w:sdtEndPr>
                            <w:rPr>
                              <w:sz w:val="21"/>
                              <w:szCs w:val="21"/>
                            </w:rPr>
                          </w:sdtEndPr>
                          <w:sdtContent>
                            <w:p w14:paraId="3DA59325">
                              <w:pPr>
                                <w:pStyle w:val="21"/>
                                <w:ind w:firstLine="360"/>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37</w:t>
                              </w:r>
                              <w:r>
                                <w:rPr>
                                  <w:sz w:val="21"/>
                                  <w:szCs w:val="21"/>
                                </w:rPr>
                                <w:fldChar w:fldCharType="end"/>
                              </w:r>
                            </w:p>
                          </w:sdtContent>
                        </w:sdt>
                        <w:p w14:paraId="52FE95C3">
                          <w:pPr>
                            <w:ind w:firstLine="420"/>
                            <w:rPr>
                              <w:sz w:val="21"/>
                              <w:szCs w:val="21"/>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5.05pt;margin-top:15.1pt;height:144pt;width:32.75pt;mso-position-horizontal-relative:margin;z-index:251696128;mso-width-relative:page;mso-height-relative:page;" filled="f" stroked="f" coordsize="21600,21600" o:gfxdata="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74HyZ2AAAAAoBAAAPAAAAAAAAAAEAIAAAACIAAABkcnMvZG93bnJldi54&#10;bWxQSwECFAAUAAAACACHTuJAcFNWLDMCAABaBAAADgAAAAAAAAABACAAAAAnAQAAZHJzL2Uyb0Rv&#10;Yy54bWxQSwUGAAAAAAYABgBZAQAAzAUAAAAA&#10;">
              <v:fill on="f" focussize="0,0"/>
              <v:stroke on="f" weight="0.5pt"/>
              <v:imagedata o:title=""/>
              <o:lock v:ext="edit" aspectratio="f"/>
              <v:textbox inset="0mm,0mm,0mm,0mm" style="mso-fit-shape-to-text:t;">
                <w:txbxContent>
                  <w:sdt>
                    <w:sdtPr>
                      <w:id w:val="511878568"/>
                    </w:sdtPr>
                    <w:sdtEndPr>
                      <w:rPr>
                        <w:sz w:val="21"/>
                        <w:szCs w:val="21"/>
                      </w:rPr>
                    </w:sdtEndPr>
                    <w:sdtContent>
                      <w:p w14:paraId="3DA59325">
                        <w:pPr>
                          <w:pStyle w:val="21"/>
                          <w:ind w:firstLine="360"/>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37</w:t>
                        </w:r>
                        <w:r>
                          <w:rPr>
                            <w:sz w:val="21"/>
                            <w:szCs w:val="21"/>
                          </w:rPr>
                          <w:fldChar w:fldCharType="end"/>
                        </w:r>
                      </w:p>
                    </w:sdtContent>
                  </w:sdt>
                  <w:p w14:paraId="52FE95C3">
                    <w:pPr>
                      <w:ind w:firstLine="420"/>
                      <w:rPr>
                        <w:sz w:val="21"/>
                        <w:szCs w:val="21"/>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4EE30">
    <w:pPr>
      <w:spacing w:line="224" w:lineRule="auto"/>
      <w:ind w:left="4856"/>
      <w:rPr>
        <w:rFonts w:hint="eastAsia" w:ascii="等线" w:hAnsi="等线" w:eastAsia="宋体" w:cs="等线"/>
        <w:sz w:val="18"/>
        <w:szCs w:val="18"/>
        <w:lang w:eastAsia="zh-CN"/>
      </w:rPr>
    </w:pPr>
    <w:r>
      <w:rPr>
        <w:rFonts w:ascii="Times New Roman" w:hAnsi="Times New Roman" w:eastAsia="Times New Roman" w:cs="Times New Roman"/>
        <w:spacing w:val="-1"/>
        <w:sz w:val="18"/>
        <w:szCs w:val="18"/>
      </w:rPr>
      <w:t>92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95868">
    <w:pPr>
      <w:pStyle w:val="21"/>
      <w:ind w:firstLine="360"/>
      <w:jc w:val="center"/>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B607A4">
                          <w:pPr>
                            <w:pStyle w:val="21"/>
                            <w:ind w:firstLine="360"/>
                            <w:jc w:val="center"/>
                          </w:pPr>
                          <w:r>
                            <w:fldChar w:fldCharType="begin"/>
                          </w:r>
                          <w:r>
                            <w:instrText xml:space="preserve">PAGE   \* MERGEFORMAT</w:instrText>
                          </w:r>
                          <w:r>
                            <w:fldChar w:fldCharType="separate"/>
                          </w:r>
                          <w:r>
                            <w:rPr>
                              <w:lang w:val="zh-CN"/>
                            </w:rPr>
                            <w:t>225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14:paraId="2CB607A4">
                    <w:pPr>
                      <w:pStyle w:val="21"/>
                      <w:ind w:firstLine="360"/>
                      <w:jc w:val="center"/>
                    </w:pPr>
                    <w:r>
                      <w:fldChar w:fldCharType="begin"/>
                    </w:r>
                    <w:r>
                      <w:instrText xml:space="preserve">PAGE   \* MERGEFORMAT</w:instrText>
                    </w:r>
                    <w:r>
                      <w:fldChar w:fldCharType="separate"/>
                    </w:r>
                    <w:r>
                      <w:rPr>
                        <w:lang w:val="zh-CN"/>
                      </w:rPr>
                      <w:t>225</w:t>
                    </w:r>
                    <w:r>
                      <w:fldChar w:fldCharType="end"/>
                    </w:r>
                  </w:p>
                </w:txbxContent>
              </v:textbox>
            </v:shape>
          </w:pict>
        </mc:Fallback>
      </mc:AlternateContent>
    </w:r>
  </w:p>
  <w:p w14:paraId="4172F894">
    <w:pPr>
      <w:pStyle w:val="12"/>
      <w:kinsoku w:val="0"/>
      <w:overflowPunct w:val="0"/>
      <w:spacing w:line="14" w:lineRule="auto"/>
      <w:rPr>
        <w:rFonts w:eastAsia="等线"/>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AAE86">
    <w:pPr>
      <w:spacing w:line="1" w:lineRule="exact"/>
      <w:ind w:firstLine="480"/>
    </w:pPr>
    <w:r>
      <mc:AlternateContent>
        <mc:Choice Requires="wps">
          <w:drawing>
            <wp:anchor distT="0" distB="0" distL="0" distR="0" simplePos="0" relativeHeight="251700224" behindDoc="0" locked="0" layoutInCell="1" allowOverlap="1">
              <wp:simplePos x="0" y="0"/>
              <wp:positionH relativeFrom="margin">
                <wp:align>center</wp:align>
              </wp:positionH>
              <wp:positionV relativeFrom="paragraph">
                <wp:posOffset>0</wp:posOffset>
              </wp:positionV>
              <wp:extent cx="298450" cy="82550"/>
              <wp:effectExtent l="0" t="0" r="0" b="0"/>
              <wp:wrapNone/>
              <wp:docPr id="282" name="Shape 282"/>
              <wp:cNvGraphicFramePr/>
              <a:graphic xmlns:a="http://schemas.openxmlformats.org/drawingml/2006/main">
                <a:graphicData uri="http://schemas.microsoft.com/office/word/2010/wordprocessingShape">
                  <wps:wsp>
                    <wps:cNvSpPr txBox="1"/>
                    <wps:spPr>
                      <a:xfrm>
                        <a:off x="0" y="0"/>
                        <a:ext cx="298450" cy="82550"/>
                      </a:xfrm>
                      <a:prstGeom prst="rect">
                        <a:avLst/>
                      </a:prstGeom>
                      <a:noFill/>
                    </wps:spPr>
                    <wps:txbx>
                      <w:txbxContent>
                        <w:p w14:paraId="74AC38E8">
                          <w:pPr>
                            <w:pStyle w:val="170"/>
                          </w:pPr>
                          <w:r>
                            <w:rPr>
                              <w:rFonts w:ascii="Times New Roman" w:hAnsi="Times New Roman" w:eastAsia="Times New Roman" w:cs="Times New Roman"/>
                              <w:b/>
                              <w:bCs/>
                              <w:color w:val="000000"/>
                            </w:rPr>
                            <w:t>-</w:t>
                          </w:r>
                          <w:r>
                            <w:fldChar w:fldCharType="begin"/>
                          </w:r>
                          <w:r>
                            <w:instrText xml:space="preserve"> PAGE \* MERGEFORMAT </w:instrText>
                          </w:r>
                          <w:r>
                            <w:fldChar w:fldCharType="separate"/>
                          </w:r>
                          <w:r>
                            <w:rPr>
                              <w:rFonts w:ascii="Times New Roman" w:hAnsi="Times New Roman" w:eastAsia="Times New Roman" w:cs="Times New Roman"/>
                              <w:b/>
                              <w:bCs/>
                              <w:color w:val="000000"/>
                            </w:rPr>
                            <w:t>#</w:t>
                          </w:r>
                          <w:r>
                            <w:rPr>
                              <w:rFonts w:ascii="Times New Roman" w:hAnsi="Times New Roman" w:eastAsia="Times New Roman" w:cs="Times New Roman"/>
                              <w:b/>
                              <w:bCs/>
                            </w:rPr>
                            <w:fldChar w:fldCharType="end"/>
                          </w:r>
                          <w:r>
                            <w:rPr>
                              <w:rFonts w:ascii="Times New Roman" w:hAnsi="Times New Roman" w:eastAsia="Times New Roman" w:cs="Times New Roman"/>
                              <w:b/>
                              <w:bCs/>
                              <w:color w:val="000000"/>
                            </w:rPr>
                            <w:t>-</w:t>
                          </w:r>
                        </w:p>
                      </w:txbxContent>
                    </wps:txbx>
                    <wps:bodyPr wrap="none" lIns="0" tIns="0" rIns="0" bIns="0">
                      <a:spAutoFit/>
                    </wps:bodyPr>
                  </wps:wsp>
                </a:graphicData>
              </a:graphic>
            </wp:anchor>
          </w:drawing>
        </mc:Choice>
        <mc:Fallback>
          <w:pict>
            <v:shape id="Shape 282" o:spid="_x0000_s1026" o:spt="202" type="#_x0000_t202" style="position:absolute;left:0pt;margin-top:0pt;height:6.5pt;width:23.5pt;mso-position-horizontal:center;mso-position-horizontal-relative:margin;mso-wrap-style:none;z-index:251700224;mso-width-relative:page;mso-height-relative:page;" filled="f" stroked="f" coordsize="21600,21600" o:gfxdata="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4atITQAAAAAwEAAA8A&#10;AAAAAAAAAQAgAAAAIgAAAGRycy9kb3ducmV2LnhtbFBLAQIUABQAAAAIAIdO4kBlEnSrrQEAAHID&#10;AAAOAAAAAAAAAAEAIAAAAB8BAABkcnMvZTJvRG9jLnhtbFBLBQYAAAAABgAGAFkBAAA+BQAAAAA=&#10;">
              <v:fill on="f" focussize="0,0"/>
              <v:stroke on="f"/>
              <v:imagedata o:title=""/>
              <o:lock v:ext="edit" aspectratio="f"/>
              <v:textbox inset="0mm,0mm,0mm,0mm" style="mso-fit-shape-to-text:t;">
                <w:txbxContent>
                  <w:p w14:paraId="74AC38E8">
                    <w:pPr>
                      <w:pStyle w:val="170"/>
                    </w:pPr>
                    <w:r>
                      <w:rPr>
                        <w:rFonts w:ascii="Times New Roman" w:hAnsi="Times New Roman" w:eastAsia="Times New Roman" w:cs="Times New Roman"/>
                        <w:b/>
                        <w:bCs/>
                        <w:color w:val="000000"/>
                      </w:rPr>
                      <w:t>-</w:t>
                    </w:r>
                    <w:r>
                      <w:fldChar w:fldCharType="begin"/>
                    </w:r>
                    <w:r>
                      <w:instrText xml:space="preserve"> PAGE \* MERGEFORMAT </w:instrText>
                    </w:r>
                    <w:r>
                      <w:fldChar w:fldCharType="separate"/>
                    </w:r>
                    <w:r>
                      <w:rPr>
                        <w:rFonts w:ascii="Times New Roman" w:hAnsi="Times New Roman" w:eastAsia="Times New Roman" w:cs="Times New Roman"/>
                        <w:b/>
                        <w:bCs/>
                        <w:color w:val="000000"/>
                      </w:rPr>
                      <w:t>#</w:t>
                    </w:r>
                    <w:r>
                      <w:rPr>
                        <w:rFonts w:ascii="Times New Roman" w:hAnsi="Times New Roman" w:eastAsia="Times New Roman" w:cs="Times New Roman"/>
                        <w:b/>
                        <w:bCs/>
                      </w:rPr>
                      <w:fldChar w:fldCharType="end"/>
                    </w:r>
                    <w:r>
                      <w:rPr>
                        <w:rFonts w:ascii="Times New Roman" w:hAnsi="Times New Roman" w:eastAsia="Times New Roman" w:cs="Times New Roman"/>
                        <w:b/>
                        <w:bCs/>
                        <w:color w:val="000000"/>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83037">
    <w:pPr>
      <w:spacing w:line="1" w:lineRule="exact"/>
      <w:ind w:firstLine="480"/>
    </w:pPr>
    <w:r>
      <mc:AlternateContent>
        <mc:Choice Requires="wps">
          <w:drawing>
            <wp:anchor distT="0" distB="0" distL="0" distR="0" simplePos="0" relativeHeight="251702272" behindDoc="0" locked="0" layoutInCell="1" allowOverlap="1">
              <wp:simplePos x="0" y="0"/>
              <wp:positionH relativeFrom="margin">
                <wp:align>center</wp:align>
              </wp:positionH>
              <wp:positionV relativeFrom="paragraph">
                <wp:posOffset>0</wp:posOffset>
              </wp:positionV>
              <wp:extent cx="298450" cy="82550"/>
              <wp:effectExtent l="0" t="0" r="0" b="0"/>
              <wp:wrapNone/>
              <wp:docPr id="286" name="Shape 286"/>
              <wp:cNvGraphicFramePr/>
              <a:graphic xmlns:a="http://schemas.openxmlformats.org/drawingml/2006/main">
                <a:graphicData uri="http://schemas.microsoft.com/office/word/2010/wordprocessingShape">
                  <wps:wsp>
                    <wps:cNvSpPr txBox="1"/>
                    <wps:spPr>
                      <a:xfrm>
                        <a:off x="0" y="0"/>
                        <a:ext cx="298450" cy="82550"/>
                      </a:xfrm>
                      <a:prstGeom prst="rect">
                        <a:avLst/>
                      </a:prstGeom>
                      <a:noFill/>
                    </wps:spPr>
                    <wps:txbx>
                      <w:txbxContent>
                        <w:p w14:paraId="560D51AB">
                          <w:pPr>
                            <w:pStyle w:val="170"/>
                          </w:pPr>
                          <w:r>
                            <w:rPr>
                              <w:rFonts w:ascii="Times New Roman" w:hAnsi="Times New Roman" w:eastAsia="Times New Roman" w:cs="Times New Roman"/>
                              <w:b/>
                              <w:bCs/>
                              <w:color w:val="000000"/>
                            </w:rPr>
                            <w:t>-</w:t>
                          </w:r>
                          <w:r>
                            <w:fldChar w:fldCharType="begin"/>
                          </w:r>
                          <w:r>
                            <w:instrText xml:space="preserve"> PAGE \* MERGEFORMAT </w:instrText>
                          </w:r>
                          <w:r>
                            <w:fldChar w:fldCharType="separate"/>
                          </w:r>
                          <w:r>
                            <w:rPr>
                              <w:rFonts w:ascii="Times New Roman" w:hAnsi="Times New Roman" w:eastAsia="Times New Roman" w:cs="Times New Roman"/>
                              <w:b/>
                              <w:bCs/>
                              <w:color w:val="000000"/>
                            </w:rPr>
                            <w:t>#</w:t>
                          </w:r>
                          <w:r>
                            <w:rPr>
                              <w:rFonts w:ascii="Times New Roman" w:hAnsi="Times New Roman" w:eastAsia="Times New Roman" w:cs="Times New Roman"/>
                              <w:b/>
                              <w:bCs/>
                            </w:rPr>
                            <w:fldChar w:fldCharType="end"/>
                          </w:r>
                          <w:r>
                            <w:rPr>
                              <w:rFonts w:ascii="Times New Roman" w:hAnsi="Times New Roman" w:eastAsia="Times New Roman" w:cs="Times New Roman"/>
                              <w:b/>
                              <w:bCs/>
                              <w:color w:val="000000"/>
                            </w:rPr>
                            <w:t>-</w:t>
                          </w:r>
                        </w:p>
                      </w:txbxContent>
                    </wps:txbx>
                    <wps:bodyPr wrap="none" lIns="0" tIns="0" rIns="0" bIns="0">
                      <a:spAutoFit/>
                    </wps:bodyPr>
                  </wps:wsp>
                </a:graphicData>
              </a:graphic>
            </wp:anchor>
          </w:drawing>
        </mc:Choice>
        <mc:Fallback>
          <w:pict>
            <v:shape id="Shape 286" o:spid="_x0000_s1026" o:spt="202" type="#_x0000_t202" style="position:absolute;left:0pt;margin-top:0pt;height:6.5pt;width:23.5pt;mso-position-horizontal:center;mso-position-horizontal-relative:margin;mso-wrap-style:none;z-index:251702272;mso-width-relative:page;mso-height-relative:page;" filled="f" stroked="f" coordsize="21600,21600" o:gfxdata="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4atITQAAAAAwEAAA8A&#10;AAAAAAAAAQAgAAAAIgAAAGRycy9kb3ducmV2LnhtbFBLAQIUABQAAAAIAIdO4kAF4GDorQEAAHID&#10;AAAOAAAAAAAAAAEAIAAAAB8BAABkcnMvZTJvRG9jLnhtbFBLBQYAAAAABgAGAFkBAAA+BQAAAAA=&#10;">
              <v:fill on="f" focussize="0,0"/>
              <v:stroke on="f"/>
              <v:imagedata o:title=""/>
              <o:lock v:ext="edit" aspectratio="f"/>
              <v:textbox inset="0mm,0mm,0mm,0mm" style="mso-fit-shape-to-text:t;">
                <w:txbxContent>
                  <w:p w14:paraId="560D51AB">
                    <w:pPr>
                      <w:pStyle w:val="170"/>
                    </w:pPr>
                    <w:r>
                      <w:rPr>
                        <w:rFonts w:ascii="Times New Roman" w:hAnsi="Times New Roman" w:eastAsia="Times New Roman" w:cs="Times New Roman"/>
                        <w:b/>
                        <w:bCs/>
                        <w:color w:val="000000"/>
                      </w:rPr>
                      <w:t>-</w:t>
                    </w:r>
                    <w:r>
                      <w:fldChar w:fldCharType="begin"/>
                    </w:r>
                    <w:r>
                      <w:instrText xml:space="preserve"> PAGE \* MERGEFORMAT </w:instrText>
                    </w:r>
                    <w:r>
                      <w:fldChar w:fldCharType="separate"/>
                    </w:r>
                    <w:r>
                      <w:rPr>
                        <w:rFonts w:ascii="Times New Roman" w:hAnsi="Times New Roman" w:eastAsia="Times New Roman" w:cs="Times New Roman"/>
                        <w:b/>
                        <w:bCs/>
                        <w:color w:val="000000"/>
                      </w:rPr>
                      <w:t>#</w:t>
                    </w:r>
                    <w:r>
                      <w:rPr>
                        <w:rFonts w:ascii="Times New Roman" w:hAnsi="Times New Roman" w:eastAsia="Times New Roman" w:cs="Times New Roman"/>
                        <w:b/>
                        <w:bCs/>
                      </w:rPr>
                      <w:fldChar w:fldCharType="end"/>
                    </w:r>
                    <w:r>
                      <w:rPr>
                        <w:rFonts w:ascii="Times New Roman" w:hAnsi="Times New Roman" w:eastAsia="Times New Roman" w:cs="Times New Roman"/>
                        <w:b/>
                        <w:bCs/>
                        <w:color w:val="000000"/>
                      </w:rPr>
                      <w:t>-</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E41D3">
    <w:pPr>
      <w:spacing w:line="224" w:lineRule="auto"/>
      <w:ind w:left="4546"/>
      <w:rPr>
        <w:rFonts w:hint="eastAsia" w:ascii="等线" w:hAnsi="等线" w:eastAsia="宋体" w:cs="等线"/>
        <w:sz w:val="18"/>
        <w:szCs w:val="18"/>
        <w:lang w:eastAsia="zh-CN"/>
      </w:rPr>
    </w:pPr>
    <w:r>
      <w:rPr>
        <w:rFonts w:ascii="Times New Roman" w:hAnsi="Times New Roman" w:eastAsia="Times New Roman" w:cs="Times New Roman"/>
        <w:spacing w:val="-1"/>
        <w:sz w:val="18"/>
        <w:szCs w:val="18"/>
      </w:rPr>
      <w:t>134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8DDD9">
    <w:pPr>
      <w:pStyle w:val="21"/>
      <w:ind w:firstLine="420"/>
      <w:rPr>
        <w:sz w:val="21"/>
        <w:szCs w:val="21"/>
      </w:rPr>
    </w:pPr>
    <w:r>
      <w:rPr>
        <w:sz w:val="21"/>
      </w:rPr>
      <mc:AlternateContent>
        <mc:Choice Requires="wps">
          <w:drawing>
            <wp:anchor distT="0" distB="0" distL="114300" distR="114300" simplePos="0" relativeHeight="251749376" behindDoc="0" locked="0" layoutInCell="1" allowOverlap="1">
              <wp:simplePos x="0" y="0"/>
              <wp:positionH relativeFrom="margin">
                <wp:posOffset>2442845</wp:posOffset>
              </wp:positionH>
              <wp:positionV relativeFrom="paragraph">
                <wp:posOffset>0</wp:posOffset>
              </wp:positionV>
              <wp:extent cx="861060" cy="374015"/>
              <wp:effectExtent l="0" t="0" r="0" b="0"/>
              <wp:wrapNone/>
              <wp:docPr id="4" name="文本框 4"/>
              <wp:cNvGraphicFramePr/>
              <a:graphic xmlns:a="http://schemas.openxmlformats.org/drawingml/2006/main">
                <a:graphicData uri="http://schemas.microsoft.com/office/word/2010/wordprocessingShape">
                  <wps:wsp>
                    <wps:cNvSpPr txBox="1"/>
                    <wps:spPr>
                      <a:xfrm>
                        <a:off x="0" y="0"/>
                        <a:ext cx="860961" cy="3740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13707872"/>
                          </w:sdtPr>
                          <w:sdtEndPr>
                            <w:rPr>
                              <w:sz w:val="21"/>
                              <w:szCs w:val="21"/>
                            </w:rPr>
                          </w:sdtEndPr>
                          <w:sdtContent>
                            <w:p w14:paraId="39514506">
                              <w:pPr>
                                <w:pStyle w:val="21"/>
                                <w:ind w:firstLine="360"/>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2.35pt;margin-top:0pt;height:29.45pt;width:67.8pt;mso-position-horizontal-relative:margin;z-index:251749376;mso-width-relative:page;mso-height-relative:page;" filled="f" stroked="f" coordsize="21600,21600" o:gfxdata="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Gjl0tcAAAAHAQAADwAAAAAAAAABACAAAAAiAAAAZHJzL2Rvd25yZXYueG1s&#10;UEsBAhQAFAAAAAgAh07iQIpT4kYyAgAAVQQAAA4AAAAAAAAAAQAgAAAAJgEAAGRycy9lMm9Eb2Mu&#10;eG1sUEsFBgAAAAAGAAYAWQEAAMoFAAAAAA==&#10;">
              <v:fill on="f" focussize="0,0"/>
              <v:stroke on="f" weight="0.5pt"/>
              <v:imagedata o:title=""/>
              <o:lock v:ext="edit" aspectratio="f"/>
              <v:textbox inset="0mm,0mm,0mm,0mm">
                <w:txbxContent>
                  <w:sdt>
                    <w:sdtPr>
                      <w:id w:val="1113707872"/>
                    </w:sdtPr>
                    <w:sdtEndPr>
                      <w:rPr>
                        <w:sz w:val="21"/>
                        <w:szCs w:val="21"/>
                      </w:rPr>
                    </w:sdtEndPr>
                    <w:sdtContent>
                      <w:p w14:paraId="39514506">
                        <w:pPr>
                          <w:pStyle w:val="21"/>
                          <w:ind w:firstLine="360"/>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sdtContent>
                  </w:sdt>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72B58">
    <w:pPr>
      <w:pStyle w:val="21"/>
      <w:ind w:firstLine="420"/>
      <w:jc w:val="center"/>
      <w:rPr>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99578713"/>
                          </w:sdtPr>
                          <w:sdtEndPr>
                            <w:rPr>
                              <w:sz w:val="21"/>
                              <w:szCs w:val="21"/>
                            </w:rPr>
                          </w:sdtEndPr>
                          <w:sdtContent>
                            <w:p w14:paraId="0488EA23">
                              <w:pPr>
                                <w:pStyle w:val="21"/>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w:t>
                              </w:r>
                              <w:r>
                                <w:rPr>
                                  <w:sz w:val="21"/>
                                  <w:szCs w:val="21"/>
                                </w:rPr>
                                <w:fldChar w:fldCharType="end"/>
                              </w:r>
                            </w:p>
                          </w:sdtContent>
                        </w:sdt>
                        <w:p w14:paraId="328310C4">
                          <w:pPr>
                            <w:ind w:firstLine="420"/>
                            <w:rPr>
                              <w:sz w:val="21"/>
                              <w:szCs w:val="21"/>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sdt>
                    <w:sdtPr>
                      <w:id w:val="-499578713"/>
                    </w:sdtPr>
                    <w:sdtEndPr>
                      <w:rPr>
                        <w:sz w:val="21"/>
                        <w:szCs w:val="21"/>
                      </w:rPr>
                    </w:sdtEndPr>
                    <w:sdtContent>
                      <w:p w14:paraId="0488EA23">
                        <w:pPr>
                          <w:pStyle w:val="21"/>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w:t>
                        </w:r>
                        <w:r>
                          <w:rPr>
                            <w:sz w:val="21"/>
                            <w:szCs w:val="21"/>
                          </w:rPr>
                          <w:fldChar w:fldCharType="end"/>
                        </w:r>
                      </w:p>
                    </w:sdtContent>
                  </w:sdt>
                  <w:p w14:paraId="328310C4">
                    <w:pPr>
                      <w:ind w:firstLine="420"/>
                      <w:rPr>
                        <w:sz w:val="21"/>
                        <w:szCs w:val="21"/>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E65CF">
    <w:pPr>
      <w:pStyle w:val="21"/>
      <w:ind w:firstLine="420"/>
      <w:jc w:val="right"/>
      <w:rPr>
        <w:sz w:val="21"/>
        <w:szCs w:val="21"/>
      </w:rPr>
    </w:pPr>
    <w:r>
      <w:rPr>
        <w:sz w:val="21"/>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415925"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1563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11878568"/>
                          </w:sdtPr>
                          <w:sdtEndPr>
                            <w:rPr>
                              <w:sz w:val="21"/>
                              <w:szCs w:val="21"/>
                            </w:rPr>
                          </w:sdtEndPr>
                          <w:sdtContent>
                            <w:p w14:paraId="7C6CF0B3">
                              <w:pPr>
                                <w:pStyle w:val="21"/>
                                <w:ind w:firstLine="360"/>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37</w:t>
                              </w:r>
                              <w:r>
                                <w:rPr>
                                  <w:sz w:val="21"/>
                                  <w:szCs w:val="21"/>
                                </w:rPr>
                                <w:fldChar w:fldCharType="end"/>
                              </w:r>
                            </w:p>
                          </w:sdtContent>
                        </w:sdt>
                        <w:p w14:paraId="4E102206">
                          <w:pPr>
                            <w:ind w:firstLine="420"/>
                            <w:rPr>
                              <w:sz w:val="21"/>
                              <w:szCs w:val="21"/>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2.75pt;mso-position-horizontal:center;mso-position-horizontal-relative:margin;z-index:251750400;mso-width-relative:page;mso-height-relative:page;" filled="f" stroked="f" coordsize="21600,21600" o:gfxdata="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f63E/UAAAABAEAAA8AAAAAAAAAAQAgAAAAIgAAAGRycy9kb3ducmV2LnhtbFBL&#10;AQIUABQAAAAIAIdO4kCtadK5MwIAAFgEAAAOAAAAAAAAAAEAIAAAACMBAABkcnMvZTJvRG9jLnht&#10;bFBLBQYAAAAABgAGAFkBAADIBQAAAAA=&#10;">
              <v:fill on="f" focussize="0,0"/>
              <v:stroke on="f" weight="0.5pt"/>
              <v:imagedata o:title=""/>
              <o:lock v:ext="edit" aspectratio="f"/>
              <v:textbox inset="0mm,0mm,0mm,0mm" style="mso-fit-shape-to-text:t;">
                <w:txbxContent>
                  <w:sdt>
                    <w:sdtPr>
                      <w:id w:val="511878568"/>
                    </w:sdtPr>
                    <w:sdtEndPr>
                      <w:rPr>
                        <w:sz w:val="21"/>
                        <w:szCs w:val="21"/>
                      </w:rPr>
                    </w:sdtEndPr>
                    <w:sdtContent>
                      <w:p w14:paraId="7C6CF0B3">
                        <w:pPr>
                          <w:pStyle w:val="21"/>
                          <w:ind w:firstLine="360"/>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37</w:t>
                        </w:r>
                        <w:r>
                          <w:rPr>
                            <w:sz w:val="21"/>
                            <w:szCs w:val="21"/>
                          </w:rPr>
                          <w:fldChar w:fldCharType="end"/>
                        </w:r>
                      </w:p>
                    </w:sdtContent>
                  </w:sdt>
                  <w:p w14:paraId="4E102206">
                    <w:pPr>
                      <w:ind w:firstLine="420"/>
                      <w:rPr>
                        <w:sz w:val="21"/>
                        <w:szCs w:val="21"/>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39748">
    <w:pPr>
      <w:pStyle w:val="21"/>
      <w:ind w:firstLine="420"/>
      <w:rPr>
        <w:sz w:val="21"/>
        <w:szCs w:val="21"/>
      </w:rPr>
    </w:pPr>
    <w:r>
      <w:rPr>
        <w:sz w:val="21"/>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861060" cy="37401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860961" cy="3740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13707872"/>
                          </w:sdtPr>
                          <w:sdtEndPr>
                            <w:rPr>
                              <w:sz w:val="21"/>
                              <w:szCs w:val="21"/>
                            </w:rPr>
                          </w:sdtEndPr>
                          <w:sdtContent>
                            <w:p w14:paraId="3A49246D">
                              <w:pPr>
                                <w:pStyle w:val="21"/>
                                <w:ind w:firstLine="360"/>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29.45pt;width:67.8pt;mso-position-horizontal:center;mso-position-horizontal-relative:margin;z-index:251751424;mso-width-relative:page;mso-height-relative:page;" filled="f" stroked="f" coordsize="21600,21600" o:gfxdata="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1MSeK1QAAAAQBAAAPAAAAAAAAAAEAIAAAACIAAABkcnMvZG93bnJldi54bWxQ&#10;SwECFAAUAAAACACHTuJAcQg4AzMCAABXBAAADgAAAAAAAAABACAAAAAkAQAAZHJzL2Uyb0RvYy54&#10;bWxQSwUGAAAAAAYABgBZAQAAyQUAAAAA&#10;">
              <v:fill on="f" focussize="0,0"/>
              <v:stroke on="f" weight="0.5pt"/>
              <v:imagedata o:title=""/>
              <o:lock v:ext="edit" aspectratio="f"/>
              <v:textbox inset="0mm,0mm,0mm,0mm">
                <w:txbxContent>
                  <w:sdt>
                    <w:sdtPr>
                      <w:id w:val="1113707872"/>
                    </w:sdtPr>
                    <w:sdtEndPr>
                      <w:rPr>
                        <w:sz w:val="21"/>
                        <w:szCs w:val="21"/>
                      </w:rPr>
                    </w:sdtEndPr>
                    <w:sdtContent>
                      <w:p w14:paraId="3A49246D">
                        <w:pPr>
                          <w:pStyle w:val="21"/>
                          <w:ind w:firstLine="360"/>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II</w:t>
                        </w:r>
                        <w:r>
                          <w:rPr>
                            <w:sz w:val="21"/>
                            <w:szCs w:val="21"/>
                          </w:rPr>
                          <w:fldChar w:fldCharType="end"/>
                        </w:r>
                      </w:p>
                    </w:sdtContent>
                  </w:sdt>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018B9">
    <w:pPr>
      <w:pStyle w:val="21"/>
      <w:ind w:firstLine="360"/>
      <w:jc w:val="cente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39819403"/>
                            <w:docPartObj>
                              <w:docPartGallery w:val="autotext"/>
                            </w:docPartObj>
                          </w:sdtPr>
                          <w:sdtContent>
                            <w:p w14:paraId="1888C4D0">
                              <w:pPr>
                                <w:pStyle w:val="21"/>
                                <w:ind w:firstLine="360"/>
                                <w:jc w:val="center"/>
                              </w:pPr>
                              <w:r>
                                <w:fldChar w:fldCharType="begin"/>
                              </w:r>
                              <w:r>
                                <w:instrText xml:space="preserve">PAGE   \* MERGEFORMAT</w:instrText>
                              </w:r>
                              <w:r>
                                <w:fldChar w:fldCharType="separate"/>
                              </w:r>
                              <w:r>
                                <w:rPr>
                                  <w:lang w:val="zh-CN"/>
                                </w:rPr>
                                <w:t>2</w:t>
                              </w:r>
                              <w:r>
                                <w:fldChar w:fldCharType="end"/>
                              </w:r>
                            </w:p>
                          </w:sdtContent>
                        </w:sdt>
                        <w:p w14:paraId="31545066">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sdt>
                    <w:sdtPr>
                      <w:id w:val="839819403"/>
                      <w:docPartObj>
                        <w:docPartGallery w:val="autotext"/>
                      </w:docPartObj>
                    </w:sdtPr>
                    <w:sdtContent>
                      <w:p w14:paraId="1888C4D0">
                        <w:pPr>
                          <w:pStyle w:val="21"/>
                          <w:ind w:firstLine="360"/>
                          <w:jc w:val="center"/>
                        </w:pPr>
                        <w:r>
                          <w:fldChar w:fldCharType="begin"/>
                        </w:r>
                        <w:r>
                          <w:instrText xml:space="preserve">PAGE   \* MERGEFORMAT</w:instrText>
                        </w:r>
                        <w:r>
                          <w:fldChar w:fldCharType="separate"/>
                        </w:r>
                        <w:r>
                          <w:rPr>
                            <w:lang w:val="zh-CN"/>
                          </w:rPr>
                          <w:t>2</w:t>
                        </w:r>
                        <w:r>
                          <w:fldChar w:fldCharType="end"/>
                        </w:r>
                      </w:p>
                    </w:sdtContent>
                  </w:sdt>
                  <w:p w14:paraId="31545066">
                    <w:pPr>
                      <w:pStyle w:val="2"/>
                    </w:pPr>
                  </w:p>
                </w:txbxContent>
              </v:textbox>
            </v:shape>
          </w:pict>
        </mc:Fallback>
      </mc:AlternateContent>
    </w:r>
  </w:p>
  <w:p w14:paraId="44AE352D">
    <w:pPr>
      <w:pStyle w:val="21"/>
      <w:ind w:firstLine="420"/>
      <w:jc w:val="right"/>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80FFD">
    <w:pPr>
      <w:spacing w:line="224" w:lineRule="auto"/>
      <w:ind w:right="361"/>
      <w:jc w:val="center"/>
      <w:rPr>
        <w:rFonts w:ascii="等线" w:hAnsi="等线" w:eastAsia="等线" w:cs="等线"/>
        <w:sz w:val="18"/>
        <w:szCs w:val="18"/>
      </w:rPr>
    </w:pPr>
    <w:r>
      <w:rPr>
        <w:rFonts w:ascii="Times New Roman" w:hAnsi="Times New Roman" w:eastAsia="Times New Roman" w:cs="Times New Roman"/>
        <w:spacing w:val="-1"/>
        <w:sz w:val="18"/>
        <w:szCs w:val="18"/>
      </w:rPr>
      <w:t>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A157B">
    <w:pPr>
      <w:keepNext w:val="0"/>
      <w:keepLines w:val="0"/>
      <w:pageBreakBefore w:val="0"/>
      <w:widowControl w:val="0"/>
      <w:kinsoku/>
      <w:wordWrap/>
      <w:overflowPunct/>
      <w:topLinePunct w:val="0"/>
      <w:autoSpaceDE/>
      <w:autoSpaceDN/>
      <w:bidi w:val="0"/>
      <w:adjustRightInd/>
      <w:snapToGrid/>
      <w:spacing w:line="224" w:lineRule="auto"/>
      <w:ind w:right="0" w:firstLine="0" w:firstLineChars="0"/>
      <w:jc w:val="center"/>
      <w:textAlignment w:val="auto"/>
      <w:rPr>
        <w:rFonts w:ascii="等线" w:hAnsi="等线" w:eastAsia="等线" w:cs="等线"/>
        <w:sz w:val="18"/>
        <w:szCs w:val="18"/>
      </w:rPr>
    </w:pPr>
    <w:r>
      <w:rPr>
        <w:rFonts w:ascii="Times New Roman" w:hAnsi="Times New Roman" w:eastAsia="Times New Roman" w:cs="Times New Roman"/>
        <w:spacing w:val="-1"/>
        <w:sz w:val="18"/>
        <w:szCs w:val="18"/>
      </w:rPr>
      <w:t>30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201F4">
    <w:pPr>
      <w:spacing w:line="224" w:lineRule="auto"/>
      <w:ind w:left="4281"/>
      <w:rPr>
        <w:rFonts w:ascii="等线" w:hAnsi="等线" w:eastAsia="等线" w:cs="等线"/>
        <w:sz w:val="18"/>
        <w:szCs w:val="18"/>
      </w:rPr>
    </w:pPr>
    <w:r>
      <w:rPr>
        <w:rFonts w:ascii="Times New Roman" w:hAnsi="Times New Roman" w:eastAsia="Times New Roman" w:cs="Times New Roman"/>
        <w:spacing w:val="-1"/>
        <w:sz w:val="18"/>
        <w:szCs w:val="18"/>
      </w:rPr>
      <w:t>63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BDF46">
    <w:pPr>
      <w:pStyle w:val="2"/>
      <w:pBdr>
        <w:bottom w:val="thinThickSmallGap" w:color="auto" w:sz="24" w:space="1"/>
      </w:pBdr>
      <w:ind w:firstLine="360"/>
    </w:pPr>
    <w:r>
      <w:rPr>
        <w:rFonts w:hint="eastAsia"/>
        <w:lang w:eastAsia="zh-CN"/>
      </w:rPr>
      <w:t>玛纳斯县蛋鸡育成鸡圈舍建设及设备采购项目</w:t>
    </w:r>
    <w:r>
      <w:rPr>
        <w:rFonts w:hint="eastAsia"/>
      </w:rPr>
      <w:t>环境影响报告书</w:t>
    </w:r>
  </w:p>
  <w:p w14:paraId="7E22634F">
    <w:pPr>
      <w:pStyle w:val="2"/>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4DB37">
    <w:pPr>
      <w:spacing w:line="218" w:lineRule="auto"/>
      <w:ind w:left="2698"/>
      <w:rPr>
        <w:rFonts w:hint="eastAsia" w:ascii="宋体" w:hAnsi="宋体" w:eastAsia="宋体" w:cs="宋体"/>
        <w:sz w:val="18"/>
        <w:szCs w:val="18"/>
        <w:lang w:eastAsia="zh-CN"/>
      </w:rPr>
    </w:pPr>
    <w:r>
      <mc:AlternateContent>
        <mc:Choice Requires="wps">
          <w:drawing>
            <wp:anchor distT="0" distB="0" distL="114300" distR="114300" simplePos="0" relativeHeight="251748352" behindDoc="0" locked="0" layoutInCell="0" allowOverlap="1">
              <wp:simplePos x="0" y="0"/>
              <wp:positionH relativeFrom="page">
                <wp:posOffset>988695</wp:posOffset>
              </wp:positionH>
              <wp:positionV relativeFrom="page">
                <wp:posOffset>701675</wp:posOffset>
              </wp:positionV>
              <wp:extent cx="5690870" cy="9525"/>
              <wp:effectExtent l="0" t="0" r="0" b="0"/>
              <wp:wrapNone/>
              <wp:docPr id="107" name="任意多边形 107"/>
              <wp:cNvGraphicFramePr/>
              <a:graphic xmlns:a="http://schemas.openxmlformats.org/drawingml/2006/main">
                <a:graphicData uri="http://schemas.microsoft.com/office/word/2010/wordprocessingShape">
                  <wps:wsp>
                    <wps:cNvSpPr/>
                    <wps:spPr>
                      <a:xfrm>
                        <a:off x="0" y="0"/>
                        <a:ext cx="5690870" cy="9525"/>
                      </a:xfrm>
                      <a:custGeom>
                        <a:avLst/>
                        <a:gdLst/>
                        <a:ahLst/>
                        <a:cxnLst/>
                        <a:pathLst>
                          <a:path w="8962" h="15">
                            <a:moveTo>
                              <a:pt x="0" y="14"/>
                            </a:moveTo>
                            <a:lnTo>
                              <a:pt x="8961" y="14"/>
                            </a:lnTo>
                            <a:lnTo>
                              <a:pt x="8961"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7.85pt;margin-top:55.25pt;height:0.75pt;width:448.1pt;mso-position-horizontal-relative:page;mso-position-vertical-relative:page;z-index:251748352;mso-width-relative:page;mso-height-relative:page;" fillcolor="#000000" filled="t" stroked="f" coordsize="8962,15" o:allowincell="f" o:gfxdata="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Xl/x2QAAAAwBAAAP&#10;AAAAAAAAAAEAIAAAACIAAABkcnMvZG93bnJldi54bWxQSwECFAAUAAAACACHTuJAX4W9jBcCAACA&#10;BAAADgAAAAAAAAABACAAAAAoAQAAZHJzL2Uyb0RvYy54bWxQSwUGAAAAAAYABgBZAQAAsQUAAAAA&#10;" path="m0,14l8961,14,8961,0,0,0,0,14xe">
              <v:fill on="t" focussize="0,0"/>
              <v:stroke on="f"/>
              <v:imagedata o:title=""/>
              <o:lock v:ext="edit" aspectratio="f"/>
            </v:shape>
          </w:pict>
        </mc:Fallback>
      </mc:AlternateContent>
    </w:r>
    <w:r>
      <w:rPr>
        <w:rFonts w:hint="eastAsia" w:ascii="宋体" w:hAnsi="宋体" w:cs="宋体"/>
        <w:spacing w:val="-1"/>
        <w:sz w:val="18"/>
        <w:szCs w:val="18"/>
        <w:lang w:eastAsia="zh-CN"/>
      </w:rPr>
      <w:t>玛纳斯县蛋鸡育成鸡圈舍建设及设备采购项目环境影响报告书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23CFD">
    <w:pPr>
      <w:pStyle w:val="2"/>
      <w:pBdr>
        <w:bottom w:val="thinThickSmallGap" w:color="auto" w:sz="24" w:space="1"/>
      </w:pBdr>
      <w:ind w:firstLine="0" w:firstLineChars="0"/>
    </w:pPr>
  </w:p>
  <w:p w14:paraId="5DBDDECE">
    <w:pPr>
      <w:pStyle w:val="2"/>
      <w:pBdr>
        <w:bottom w:val="thinThickSmallGap" w:color="auto" w:sz="24" w:space="1"/>
      </w:pBdr>
      <w:ind w:firstLine="0" w:firstLineChars="0"/>
    </w:pPr>
    <w:r>
      <w:rPr>
        <w:rFonts w:hint="eastAsia"/>
        <w:lang w:eastAsia="zh-CN"/>
      </w:rPr>
      <w:t>玛纳斯县蛋鸡育成鸡圈舍建设及设备采购项目</w:t>
    </w:r>
    <w:r>
      <w:rPr>
        <w:rFonts w:hint="eastAsia"/>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8D6B1">
    <w:pPr>
      <w:pStyle w:val="2"/>
      <w:pBdr>
        <w:bottom w:val="thinThickSmallGap" w:color="auto" w:sz="24" w:space="1"/>
      </w:pBdr>
      <w:ind w:firstLine="360"/>
    </w:pPr>
    <w:r>
      <w:rPr>
        <w:rFonts w:hint="eastAsia"/>
        <w:lang w:eastAsia="zh-CN"/>
      </w:rPr>
      <w:t>玛纳斯县蛋鸡育成鸡圈舍建设及设备采购项目</w:t>
    </w:r>
    <w:r>
      <w:rPr>
        <w:rFonts w:hint="eastAsia"/>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07A65">
    <w:pPr>
      <w:pStyle w:val="2"/>
      <w:pBdr>
        <w:bottom w:val="thinThickSmallGap" w:color="auto" w:sz="24" w:space="1"/>
      </w:pBdr>
      <w:ind w:firstLine="360"/>
    </w:pPr>
    <w:r>
      <w:rPr>
        <w:rFonts w:hint="eastAsia"/>
        <w:lang w:eastAsia="zh-CN"/>
      </w:rPr>
      <w:t>玛纳斯县蛋鸡育成鸡圈舍建设及设备采购项目</w:t>
    </w:r>
    <w:r>
      <w:rPr>
        <w:rFonts w:hint="eastAsia"/>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2A1DC">
    <w:pPr>
      <w:pStyle w:val="2"/>
      <w:pBdr>
        <w:bottom w:val="double" w:color="auto" w:sz="8" w:space="1"/>
      </w:pBdr>
      <w:ind w:firstLine="0" w:firstLineChars="0"/>
    </w:pPr>
    <w:r>
      <w:rPr>
        <w:rFonts w:hint="eastAsia"/>
        <w:lang w:eastAsia="zh-CN"/>
      </w:rPr>
      <w:t>玛纳斯县蛋鸡育成鸡圈舍建设及设备采购项目</w:t>
    </w:r>
    <w:r>
      <w:rPr>
        <w:rFonts w:hint="eastAsia"/>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75409">
    <w:pPr>
      <w:pStyle w:val="2"/>
      <w:pBdr>
        <w:bottom w:val="thinThickSmallGap" w:color="auto" w:sz="24" w:space="1"/>
      </w:pBdr>
      <w:ind w:firstLine="0" w:firstLineChars="0"/>
    </w:pPr>
    <w:r>
      <w:rPr>
        <w:rFonts w:hint="eastAsia"/>
        <w:lang w:eastAsia="zh-CN"/>
      </w:rPr>
      <w:t>玛纳斯县蛋鸡育成鸡圈舍建设及设备采购项目</w:t>
    </w:r>
    <w:r>
      <w:rPr>
        <w:rFonts w:hint="eastAsia"/>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0B517">
    <w:pPr>
      <w:pStyle w:val="2"/>
      <w:pBdr>
        <w:bottom w:val="thinThickSmallGap" w:color="auto" w:sz="24" w:space="1"/>
      </w:pBdr>
      <w:ind w:firstLine="360"/>
    </w:pPr>
    <w:r>
      <w:rPr>
        <w:rFonts w:hint="eastAsia"/>
        <w:lang w:eastAsia="zh-CN"/>
      </w:rPr>
      <w:t>玛纳斯县蛋鸡育成鸡圈舍建设及设备采购项目</w:t>
    </w:r>
    <w:r>
      <w:rPr>
        <w:rFonts w:hint="eastAsia"/>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685CC">
    <w:pPr>
      <w:spacing w:line="225" w:lineRule="auto"/>
      <w:ind w:left="2123"/>
      <w:rPr>
        <w:rFonts w:ascii="等线" w:hAnsi="等线" w:eastAsia="等线" w:cs="等线"/>
        <w:sz w:val="18"/>
        <w:szCs w:val="18"/>
      </w:rPr>
    </w:pPr>
    <w:r>
      <mc:AlternateContent>
        <mc:Choice Requires="wps">
          <w:drawing>
            <wp:anchor distT="0" distB="0" distL="114300" distR="114300" simplePos="0" relativeHeight="251745280" behindDoc="0" locked="0" layoutInCell="0" allowOverlap="1">
              <wp:simplePos x="0" y="0"/>
              <wp:positionH relativeFrom="page">
                <wp:posOffset>1122045</wp:posOffset>
              </wp:positionH>
              <wp:positionV relativeFrom="page">
                <wp:posOffset>708660</wp:posOffset>
              </wp:positionV>
              <wp:extent cx="5317490" cy="9525"/>
              <wp:effectExtent l="0" t="0" r="0" b="0"/>
              <wp:wrapNone/>
              <wp:docPr id="40" name="任意多边形 40"/>
              <wp:cNvGraphicFramePr/>
              <a:graphic xmlns:a="http://schemas.openxmlformats.org/drawingml/2006/main">
                <a:graphicData uri="http://schemas.microsoft.com/office/word/2010/wordprocessingShape">
                  <wps:wsp>
                    <wps:cNvSpPr/>
                    <wps:spPr>
                      <a:xfrm>
                        <a:off x="0" y="0"/>
                        <a:ext cx="5317490" cy="9525"/>
                      </a:xfrm>
                      <a:custGeom>
                        <a:avLst/>
                        <a:gdLst/>
                        <a:ahLst/>
                        <a:cxnLst/>
                        <a:pathLst>
                          <a:path w="8374" h="15">
                            <a:moveTo>
                              <a:pt x="0" y="14"/>
                            </a:moveTo>
                            <a:lnTo>
                              <a:pt x="8373" y="14"/>
                            </a:lnTo>
                            <a:lnTo>
                              <a:pt x="8373"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35pt;margin-top:55.8pt;height:0.75pt;width:418.7pt;mso-position-horizontal-relative:page;mso-position-vertical-relative:page;z-index:251745280;mso-width-relative:page;mso-height-relative:page;" fillcolor="#000000" filled="t" stroked="f" coordsize="8374,15" o:allowincell="f" o:gfxdata="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H5k3WAAAADAEAAA8AAAAA&#10;AAAAAQAgAAAAIgAAAGRycy9kb3ducmV2LnhtbFBLAQIUABQAAAAIAIdO4kAPebfxFgIAAH4EAAAO&#10;AAAAAAAAAAEAIAAAACUBAABkcnMvZTJvRG9jLnhtbFBLBQYAAAAABgAGAFkBAACtBQAAAAA=&#10;" path="m0,14l8373,14,8373,0,0,0,0,14xe">
              <v:fill on="t" focussize="0,0"/>
              <v:stroke on="f"/>
              <v:imagedata o:title=""/>
              <o:lock v:ext="edit" aspectratio="f"/>
            </v:shape>
          </w:pict>
        </mc:Fallback>
      </mc:AlternateContent>
    </w:r>
    <w:r>
      <w:rPr>
        <w:rFonts w:hint="eastAsia" w:ascii="等线" w:hAnsi="等线" w:eastAsia="等线" w:cs="等线"/>
        <w:spacing w:val="-1"/>
        <w:sz w:val="18"/>
        <w:szCs w:val="18"/>
        <w:lang w:eastAsia="zh-CN"/>
      </w:rPr>
      <w:t>玛纳斯县蛋鸡育成鸡圈舍建设及设备采购项目</w:t>
    </w:r>
    <w:r>
      <w:rPr>
        <w:rFonts w:ascii="等线" w:hAnsi="等线" w:eastAsia="等线" w:cs="等线"/>
        <w:sz w:val="18"/>
        <w:szCs w:val="18"/>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D1F8E">
    <w:pPr>
      <w:keepNext w:val="0"/>
      <w:keepLines w:val="0"/>
      <w:pageBreakBefore w:val="0"/>
      <w:widowControl w:val="0"/>
      <w:kinsoku/>
      <w:wordWrap/>
      <w:overflowPunct/>
      <w:topLinePunct w:val="0"/>
      <w:autoSpaceDE/>
      <w:autoSpaceDN/>
      <w:bidi w:val="0"/>
      <w:adjustRightInd/>
      <w:snapToGrid/>
      <w:spacing w:line="226" w:lineRule="auto"/>
      <w:ind w:firstLine="0" w:firstLineChars="0"/>
      <w:jc w:val="center"/>
      <w:textAlignment w:val="auto"/>
      <w:rPr>
        <w:rFonts w:ascii="等线" w:hAnsi="等线" w:eastAsia="等线" w:cs="等线"/>
        <w:sz w:val="18"/>
        <w:szCs w:val="18"/>
      </w:rPr>
    </w:pPr>
    <w:r>
      <mc:AlternateContent>
        <mc:Choice Requires="wps">
          <w:drawing>
            <wp:anchor distT="0" distB="0" distL="114300" distR="114300" simplePos="0" relativeHeight="251746304" behindDoc="0" locked="0" layoutInCell="0" allowOverlap="1">
              <wp:simplePos x="0" y="0"/>
              <wp:positionH relativeFrom="page">
                <wp:posOffset>1123950</wp:posOffset>
              </wp:positionH>
              <wp:positionV relativeFrom="page">
                <wp:posOffset>708660</wp:posOffset>
              </wp:positionV>
              <wp:extent cx="5313680" cy="9525"/>
              <wp:effectExtent l="0" t="0" r="0" b="0"/>
              <wp:wrapNone/>
              <wp:docPr id="43" name="任意多边形 43"/>
              <wp:cNvGraphicFramePr/>
              <a:graphic xmlns:a="http://schemas.openxmlformats.org/drawingml/2006/main">
                <a:graphicData uri="http://schemas.microsoft.com/office/word/2010/wordprocessingShape">
                  <wps:wsp>
                    <wps:cNvSpPr/>
                    <wps:spPr>
                      <a:xfrm>
                        <a:off x="0" y="0"/>
                        <a:ext cx="5313680" cy="9525"/>
                      </a:xfrm>
                      <a:custGeom>
                        <a:avLst/>
                        <a:gdLst/>
                        <a:ahLst/>
                        <a:cxnLst/>
                        <a:pathLst>
                          <a:path w="8367" h="15">
                            <a:moveTo>
                              <a:pt x="0" y="14"/>
                            </a:moveTo>
                            <a:lnTo>
                              <a:pt x="8367" y="14"/>
                            </a:lnTo>
                            <a:lnTo>
                              <a:pt x="8367"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5pt;margin-top:55.8pt;height:0.75pt;width:418.4pt;mso-position-horizontal-relative:page;mso-position-vertical-relative:page;z-index:251746304;mso-width-relative:page;mso-height-relative:page;" fillcolor="#000000" filled="t" stroked="f" coordsize="8367,15" o:allowincell="f" o:gfxdata="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YXn82AAAAAwBAAAPAAAA&#10;AAAAAAEAIAAAACIAAABkcnMvZG93bnJldi54bWxQSwECFAAUAAAACACHTuJAEHBlVhUCAAB+BAAA&#10;DgAAAAAAAAABACAAAAAnAQAAZHJzL2Uyb0RvYy54bWxQSwUGAAAAAAYABgBZAQAArgUAAAAA&#10;" path="m0,14l8367,14,8367,0,0,0,0,14xe">
              <v:fill on="t" focussize="0,0"/>
              <v:stroke on="f"/>
              <v:imagedata o:title=""/>
              <o:lock v:ext="edit" aspectratio="f"/>
            </v:shape>
          </w:pict>
        </mc:Fallback>
      </mc:AlternateContent>
    </w:r>
    <w:r>
      <w:rPr>
        <w:rFonts w:hint="eastAsia" w:ascii="等线" w:hAnsi="等线" w:eastAsia="等线" w:cs="等线"/>
        <w:spacing w:val="-1"/>
        <w:sz w:val="18"/>
        <w:szCs w:val="18"/>
        <w:lang w:eastAsia="zh-CN"/>
      </w:rPr>
      <w:t>玛纳斯县蛋鸡育成鸡圈舍建设及设备采购项目</w:t>
    </w:r>
    <w:r>
      <w:rPr>
        <w:rFonts w:ascii="等线" w:hAnsi="等线" w:eastAsia="等线" w:cs="等线"/>
        <w:sz w:val="18"/>
        <w:szCs w:val="18"/>
      </w:rPr>
      <w:t>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0AF4C">
    <w:pPr>
      <w:keepNext w:val="0"/>
      <w:keepLines w:val="0"/>
      <w:pageBreakBefore w:val="0"/>
      <w:widowControl w:val="0"/>
      <w:kinsoku/>
      <w:wordWrap/>
      <w:overflowPunct/>
      <w:topLinePunct w:val="0"/>
      <w:autoSpaceDE/>
      <w:autoSpaceDN/>
      <w:bidi w:val="0"/>
      <w:adjustRightInd/>
      <w:snapToGrid/>
      <w:spacing w:line="226" w:lineRule="auto"/>
      <w:ind w:firstLine="0" w:firstLineChars="0"/>
      <w:jc w:val="center"/>
      <w:textAlignment w:val="auto"/>
      <w:rPr>
        <w:rFonts w:hint="eastAsia" w:ascii="等线" w:hAnsi="等线" w:eastAsia="宋体" w:cs="等线"/>
        <w:sz w:val="18"/>
        <w:szCs w:val="18"/>
        <w:lang w:eastAsia="zh-CN"/>
      </w:rPr>
    </w:pPr>
    <w:r>
      <mc:AlternateContent>
        <mc:Choice Requires="wps">
          <w:drawing>
            <wp:anchor distT="0" distB="0" distL="114300" distR="114300" simplePos="0" relativeHeight="251747328" behindDoc="0" locked="0" layoutInCell="0" allowOverlap="1">
              <wp:simplePos x="0" y="0"/>
              <wp:positionH relativeFrom="page">
                <wp:posOffset>1123950</wp:posOffset>
              </wp:positionH>
              <wp:positionV relativeFrom="page">
                <wp:posOffset>708660</wp:posOffset>
              </wp:positionV>
              <wp:extent cx="5313680" cy="9525"/>
              <wp:effectExtent l="0" t="0" r="0" b="0"/>
              <wp:wrapNone/>
              <wp:docPr id="45" name="任意多边形 45"/>
              <wp:cNvGraphicFramePr/>
              <a:graphic xmlns:a="http://schemas.openxmlformats.org/drawingml/2006/main">
                <a:graphicData uri="http://schemas.microsoft.com/office/word/2010/wordprocessingShape">
                  <wps:wsp>
                    <wps:cNvSpPr/>
                    <wps:spPr>
                      <a:xfrm>
                        <a:off x="0" y="0"/>
                        <a:ext cx="5313680" cy="9525"/>
                      </a:xfrm>
                      <a:custGeom>
                        <a:avLst/>
                        <a:gdLst/>
                        <a:ahLst/>
                        <a:cxnLst/>
                        <a:pathLst>
                          <a:path w="8367" h="15">
                            <a:moveTo>
                              <a:pt x="0" y="14"/>
                            </a:moveTo>
                            <a:lnTo>
                              <a:pt x="8367" y="14"/>
                            </a:lnTo>
                            <a:lnTo>
                              <a:pt x="8367"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5pt;margin-top:55.8pt;height:0.75pt;width:418.4pt;mso-position-horizontal-relative:page;mso-position-vertical-relative:page;z-index:251747328;mso-width-relative:page;mso-height-relative:page;" fillcolor="#000000" filled="t" stroked="f" coordsize="8367,15" o:allowincell="f" o:gfxdata="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mF5/NgAAAAMAQAADwAA&#10;AAAAAAABACAAAAAiAAAAZHJzL2Rvd25yZXYueG1sUEsBAhQAFAAAAAgAh07iQNRXPqQWAgAAfgQA&#10;AA4AAAAAAAAAAQAgAAAAJwEAAGRycy9lMm9Eb2MueG1sUEsFBgAAAAAGAAYAWQEAAK8FAAAAAA==&#10;" path="m0,14l8367,14,8367,0,0,0,0,14xe">
              <v:fill on="t" focussize="0,0"/>
              <v:stroke on="f"/>
              <v:imagedata o:title=""/>
              <o:lock v:ext="edit" aspectratio="f"/>
            </v:shape>
          </w:pict>
        </mc:Fallback>
      </mc:AlternateContent>
    </w:r>
    <w:r>
      <w:rPr>
        <w:rFonts w:hint="eastAsia" w:ascii="等线" w:hAnsi="等线" w:eastAsia="等线" w:cs="等线"/>
        <w:spacing w:val="-1"/>
        <w:sz w:val="18"/>
        <w:szCs w:val="18"/>
        <w:lang w:eastAsia="zh-CN"/>
      </w:rPr>
      <w:t>玛纳斯县蛋鸡育成鸡圈舍建设及设备采购项目环境影响报告书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2064D"/>
    <w:multiLevelType w:val="multilevel"/>
    <w:tmpl w:val="00A2064D"/>
    <w:lvl w:ilvl="0" w:tentative="0">
      <w:start w:val="1"/>
      <w:numFmt w:val="decimal"/>
      <w:suff w:val="space"/>
      <w:lvlText w:val="%1"/>
      <w:lvlJc w:val="left"/>
      <w:pPr>
        <w:ind w:left="0" w:firstLine="0"/>
      </w:pPr>
      <w:rPr>
        <w:rFonts w:hint="eastAsia" w:ascii="黑体" w:eastAsia="黑体"/>
        <w:b/>
        <w:i w:val="0"/>
        <w:sz w:val="36"/>
        <w:szCs w:val="36"/>
      </w:rPr>
    </w:lvl>
    <w:lvl w:ilvl="1" w:tentative="0">
      <w:start w:val="1"/>
      <w:numFmt w:val="decimal"/>
      <w:suff w:val="space"/>
      <w:lvlText w:val="%1.%2"/>
      <w:lvlJc w:val="left"/>
      <w:pPr>
        <w:ind w:left="0" w:firstLine="0"/>
      </w:pPr>
      <w:rPr>
        <w:rFonts w:hint="default" w:ascii="Times New Roman" w:hAnsi="Times New Roman" w:eastAsia="黑体"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suff w:val="space"/>
      <w:lvlText w:val="%1.%2.%3"/>
      <w:lvlJc w:val="left"/>
      <w:pPr>
        <w:ind w:left="0"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pStyle w:val="120"/>
      <w:suff w:val="space"/>
      <w:lvlText w:val="%1.%2.%3.%4"/>
      <w:lvlJc w:val="left"/>
      <w:pPr>
        <w:ind w:left="0" w:firstLine="0"/>
      </w:pPr>
      <w:rPr>
        <w:rFonts w:hint="default" w:ascii="Times New Roman" w:hAnsi="Times New Roman" w:eastAsia="宋体" w:cs="Times New Roman"/>
        <w:b/>
        <w:i w:val="0"/>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42C5C27D"/>
    <w:multiLevelType w:val="singleLevel"/>
    <w:tmpl w:val="42C5C27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evenAndOddHeaders w:val="1"/>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mMjg3MDQ2MzExNDk0OWY5M2UwNzBmOWViMDBkMGMifQ=="/>
  </w:docVars>
  <w:rsids>
    <w:rsidRoot w:val="00332B32"/>
    <w:rsid w:val="0000036F"/>
    <w:rsid w:val="0000037F"/>
    <w:rsid w:val="00000BC6"/>
    <w:rsid w:val="00002AB7"/>
    <w:rsid w:val="00002DBA"/>
    <w:rsid w:val="00003628"/>
    <w:rsid w:val="000045A9"/>
    <w:rsid w:val="00004C6C"/>
    <w:rsid w:val="0000552F"/>
    <w:rsid w:val="0000567F"/>
    <w:rsid w:val="00005CE5"/>
    <w:rsid w:val="00005DD8"/>
    <w:rsid w:val="0000629E"/>
    <w:rsid w:val="00006DE7"/>
    <w:rsid w:val="000118E0"/>
    <w:rsid w:val="00012856"/>
    <w:rsid w:val="00012D55"/>
    <w:rsid w:val="000135F4"/>
    <w:rsid w:val="00014425"/>
    <w:rsid w:val="0001451E"/>
    <w:rsid w:val="00014686"/>
    <w:rsid w:val="000148DD"/>
    <w:rsid w:val="00015472"/>
    <w:rsid w:val="00015A3F"/>
    <w:rsid w:val="00015B32"/>
    <w:rsid w:val="00015CD7"/>
    <w:rsid w:val="000167E7"/>
    <w:rsid w:val="00016AF7"/>
    <w:rsid w:val="00020334"/>
    <w:rsid w:val="000205C1"/>
    <w:rsid w:val="00022429"/>
    <w:rsid w:val="0002263F"/>
    <w:rsid w:val="0002277B"/>
    <w:rsid w:val="000227D5"/>
    <w:rsid w:val="00022A97"/>
    <w:rsid w:val="00022C0C"/>
    <w:rsid w:val="00022EB1"/>
    <w:rsid w:val="00022F32"/>
    <w:rsid w:val="0002306F"/>
    <w:rsid w:val="0002373E"/>
    <w:rsid w:val="00024B3C"/>
    <w:rsid w:val="000262BF"/>
    <w:rsid w:val="00026728"/>
    <w:rsid w:val="000268F6"/>
    <w:rsid w:val="000269AD"/>
    <w:rsid w:val="00027773"/>
    <w:rsid w:val="00027CB9"/>
    <w:rsid w:val="000307AA"/>
    <w:rsid w:val="00031AEF"/>
    <w:rsid w:val="00031B94"/>
    <w:rsid w:val="0003204A"/>
    <w:rsid w:val="000323C5"/>
    <w:rsid w:val="00032AAC"/>
    <w:rsid w:val="00033215"/>
    <w:rsid w:val="00033D71"/>
    <w:rsid w:val="000345AD"/>
    <w:rsid w:val="00034814"/>
    <w:rsid w:val="000355D6"/>
    <w:rsid w:val="00035709"/>
    <w:rsid w:val="0003675A"/>
    <w:rsid w:val="00036AE2"/>
    <w:rsid w:val="00036B69"/>
    <w:rsid w:val="00036F82"/>
    <w:rsid w:val="000379D2"/>
    <w:rsid w:val="000406A3"/>
    <w:rsid w:val="0004157A"/>
    <w:rsid w:val="000415FF"/>
    <w:rsid w:val="00042376"/>
    <w:rsid w:val="00042615"/>
    <w:rsid w:val="00042FC1"/>
    <w:rsid w:val="0004532C"/>
    <w:rsid w:val="000457CE"/>
    <w:rsid w:val="000458F0"/>
    <w:rsid w:val="00046F68"/>
    <w:rsid w:val="00047895"/>
    <w:rsid w:val="00047C5F"/>
    <w:rsid w:val="00047C92"/>
    <w:rsid w:val="000503B1"/>
    <w:rsid w:val="00050431"/>
    <w:rsid w:val="00050B4A"/>
    <w:rsid w:val="00051656"/>
    <w:rsid w:val="00051B3B"/>
    <w:rsid w:val="00051C73"/>
    <w:rsid w:val="00052059"/>
    <w:rsid w:val="00052731"/>
    <w:rsid w:val="00053C50"/>
    <w:rsid w:val="000565A6"/>
    <w:rsid w:val="0005749F"/>
    <w:rsid w:val="00057516"/>
    <w:rsid w:val="0005784C"/>
    <w:rsid w:val="00057E0B"/>
    <w:rsid w:val="00057E4F"/>
    <w:rsid w:val="0006078A"/>
    <w:rsid w:val="00061177"/>
    <w:rsid w:val="00061966"/>
    <w:rsid w:val="000622D7"/>
    <w:rsid w:val="00063177"/>
    <w:rsid w:val="00063AFB"/>
    <w:rsid w:val="00064D12"/>
    <w:rsid w:val="00064DA7"/>
    <w:rsid w:val="00064F5C"/>
    <w:rsid w:val="00066278"/>
    <w:rsid w:val="000677AA"/>
    <w:rsid w:val="00070115"/>
    <w:rsid w:val="000701EF"/>
    <w:rsid w:val="000702AA"/>
    <w:rsid w:val="0007034D"/>
    <w:rsid w:val="000705E5"/>
    <w:rsid w:val="00071002"/>
    <w:rsid w:val="0007161B"/>
    <w:rsid w:val="00071657"/>
    <w:rsid w:val="000721D4"/>
    <w:rsid w:val="00072AB7"/>
    <w:rsid w:val="00072BF2"/>
    <w:rsid w:val="00072EEB"/>
    <w:rsid w:val="00073342"/>
    <w:rsid w:val="00073A7D"/>
    <w:rsid w:val="00073B3D"/>
    <w:rsid w:val="000740CD"/>
    <w:rsid w:val="00074FE8"/>
    <w:rsid w:val="000754FE"/>
    <w:rsid w:val="0007766A"/>
    <w:rsid w:val="0008086A"/>
    <w:rsid w:val="00080ADA"/>
    <w:rsid w:val="00081127"/>
    <w:rsid w:val="0008154E"/>
    <w:rsid w:val="00081CE9"/>
    <w:rsid w:val="00082C42"/>
    <w:rsid w:val="00083122"/>
    <w:rsid w:val="0008387B"/>
    <w:rsid w:val="00083B4F"/>
    <w:rsid w:val="00083C4B"/>
    <w:rsid w:val="0008494F"/>
    <w:rsid w:val="00085732"/>
    <w:rsid w:val="00085A2E"/>
    <w:rsid w:val="00086550"/>
    <w:rsid w:val="000867C3"/>
    <w:rsid w:val="000868C8"/>
    <w:rsid w:val="00086E17"/>
    <w:rsid w:val="00086E55"/>
    <w:rsid w:val="00091719"/>
    <w:rsid w:val="000924ED"/>
    <w:rsid w:val="000927BC"/>
    <w:rsid w:val="00092D94"/>
    <w:rsid w:val="000938DC"/>
    <w:rsid w:val="00094119"/>
    <w:rsid w:val="00094A1C"/>
    <w:rsid w:val="00095D49"/>
    <w:rsid w:val="00096093"/>
    <w:rsid w:val="0009676A"/>
    <w:rsid w:val="00097356"/>
    <w:rsid w:val="000A14EF"/>
    <w:rsid w:val="000A1E30"/>
    <w:rsid w:val="000A2064"/>
    <w:rsid w:val="000A2133"/>
    <w:rsid w:val="000A2E76"/>
    <w:rsid w:val="000A38DD"/>
    <w:rsid w:val="000A4D52"/>
    <w:rsid w:val="000A7786"/>
    <w:rsid w:val="000B05CA"/>
    <w:rsid w:val="000B1C7E"/>
    <w:rsid w:val="000B1EC6"/>
    <w:rsid w:val="000B285C"/>
    <w:rsid w:val="000B2EAD"/>
    <w:rsid w:val="000B3B39"/>
    <w:rsid w:val="000B3F5A"/>
    <w:rsid w:val="000B44E9"/>
    <w:rsid w:val="000B4A2E"/>
    <w:rsid w:val="000B4A8D"/>
    <w:rsid w:val="000B5AB1"/>
    <w:rsid w:val="000B61F3"/>
    <w:rsid w:val="000C098F"/>
    <w:rsid w:val="000C09AE"/>
    <w:rsid w:val="000C16E5"/>
    <w:rsid w:val="000C1AC2"/>
    <w:rsid w:val="000C1AFB"/>
    <w:rsid w:val="000C26AA"/>
    <w:rsid w:val="000C26F3"/>
    <w:rsid w:val="000C298B"/>
    <w:rsid w:val="000C3641"/>
    <w:rsid w:val="000C3B28"/>
    <w:rsid w:val="000C3E87"/>
    <w:rsid w:val="000C5BD4"/>
    <w:rsid w:val="000C5D64"/>
    <w:rsid w:val="000C68B8"/>
    <w:rsid w:val="000C77F9"/>
    <w:rsid w:val="000D0166"/>
    <w:rsid w:val="000D1667"/>
    <w:rsid w:val="000D25E4"/>
    <w:rsid w:val="000D290A"/>
    <w:rsid w:val="000D3B84"/>
    <w:rsid w:val="000D47EF"/>
    <w:rsid w:val="000D498B"/>
    <w:rsid w:val="000D4A00"/>
    <w:rsid w:val="000D4C7D"/>
    <w:rsid w:val="000D6018"/>
    <w:rsid w:val="000D6298"/>
    <w:rsid w:val="000D6C73"/>
    <w:rsid w:val="000D7552"/>
    <w:rsid w:val="000E02AE"/>
    <w:rsid w:val="000E04CD"/>
    <w:rsid w:val="000E1E74"/>
    <w:rsid w:val="000E20D0"/>
    <w:rsid w:val="000E65F0"/>
    <w:rsid w:val="000E67AE"/>
    <w:rsid w:val="000E6CE4"/>
    <w:rsid w:val="000E7179"/>
    <w:rsid w:val="000E78F5"/>
    <w:rsid w:val="000E7EE1"/>
    <w:rsid w:val="000F0C55"/>
    <w:rsid w:val="000F1B9E"/>
    <w:rsid w:val="000F20A1"/>
    <w:rsid w:val="000F2796"/>
    <w:rsid w:val="000F2AC4"/>
    <w:rsid w:val="000F3528"/>
    <w:rsid w:val="000F35A4"/>
    <w:rsid w:val="000F380F"/>
    <w:rsid w:val="000F3B17"/>
    <w:rsid w:val="000F415E"/>
    <w:rsid w:val="00101698"/>
    <w:rsid w:val="00101B19"/>
    <w:rsid w:val="00101F9C"/>
    <w:rsid w:val="00102374"/>
    <w:rsid w:val="00102397"/>
    <w:rsid w:val="00103E56"/>
    <w:rsid w:val="00104382"/>
    <w:rsid w:val="00104865"/>
    <w:rsid w:val="00104B3D"/>
    <w:rsid w:val="0010508F"/>
    <w:rsid w:val="001054C9"/>
    <w:rsid w:val="001059F0"/>
    <w:rsid w:val="00105EE8"/>
    <w:rsid w:val="00106311"/>
    <w:rsid w:val="00106572"/>
    <w:rsid w:val="00106B47"/>
    <w:rsid w:val="00107468"/>
    <w:rsid w:val="00110052"/>
    <w:rsid w:val="00110E17"/>
    <w:rsid w:val="00111E6C"/>
    <w:rsid w:val="00112157"/>
    <w:rsid w:val="00112D67"/>
    <w:rsid w:val="0011375F"/>
    <w:rsid w:val="00113DF4"/>
    <w:rsid w:val="00114342"/>
    <w:rsid w:val="00114A7B"/>
    <w:rsid w:val="00114B94"/>
    <w:rsid w:val="00114BA5"/>
    <w:rsid w:val="00114F91"/>
    <w:rsid w:val="00115AB4"/>
    <w:rsid w:val="001160DF"/>
    <w:rsid w:val="001163D9"/>
    <w:rsid w:val="00116B61"/>
    <w:rsid w:val="00116D4A"/>
    <w:rsid w:val="001174A4"/>
    <w:rsid w:val="001175D8"/>
    <w:rsid w:val="001178D7"/>
    <w:rsid w:val="00117D9C"/>
    <w:rsid w:val="001202FF"/>
    <w:rsid w:val="00120CC6"/>
    <w:rsid w:val="0012104C"/>
    <w:rsid w:val="00122666"/>
    <w:rsid w:val="00122BF7"/>
    <w:rsid w:val="0012314A"/>
    <w:rsid w:val="001236CF"/>
    <w:rsid w:val="001236DE"/>
    <w:rsid w:val="0012392F"/>
    <w:rsid w:val="00123B07"/>
    <w:rsid w:val="00124621"/>
    <w:rsid w:val="00125617"/>
    <w:rsid w:val="00125736"/>
    <w:rsid w:val="0012576E"/>
    <w:rsid w:val="001261F6"/>
    <w:rsid w:val="0012678C"/>
    <w:rsid w:val="00126DB8"/>
    <w:rsid w:val="0012719E"/>
    <w:rsid w:val="0012743C"/>
    <w:rsid w:val="00127646"/>
    <w:rsid w:val="00127B6E"/>
    <w:rsid w:val="00127E24"/>
    <w:rsid w:val="001307DB"/>
    <w:rsid w:val="00131D37"/>
    <w:rsid w:val="00132921"/>
    <w:rsid w:val="00132B62"/>
    <w:rsid w:val="00132D61"/>
    <w:rsid w:val="00134AB5"/>
    <w:rsid w:val="001352DA"/>
    <w:rsid w:val="00135551"/>
    <w:rsid w:val="0013671C"/>
    <w:rsid w:val="00136C01"/>
    <w:rsid w:val="00136C97"/>
    <w:rsid w:val="00137894"/>
    <w:rsid w:val="00137D24"/>
    <w:rsid w:val="00140B69"/>
    <w:rsid w:val="00141759"/>
    <w:rsid w:val="00141B99"/>
    <w:rsid w:val="0014203D"/>
    <w:rsid w:val="0014247C"/>
    <w:rsid w:val="0014280F"/>
    <w:rsid w:val="001428C9"/>
    <w:rsid w:val="00142973"/>
    <w:rsid w:val="00143B5A"/>
    <w:rsid w:val="00144AF7"/>
    <w:rsid w:val="0014552C"/>
    <w:rsid w:val="00145836"/>
    <w:rsid w:val="00145BA7"/>
    <w:rsid w:val="001467F4"/>
    <w:rsid w:val="00146B15"/>
    <w:rsid w:val="00150EC4"/>
    <w:rsid w:val="0015125B"/>
    <w:rsid w:val="001515E2"/>
    <w:rsid w:val="001518F4"/>
    <w:rsid w:val="00151EEB"/>
    <w:rsid w:val="00153344"/>
    <w:rsid w:val="0015441F"/>
    <w:rsid w:val="001549B9"/>
    <w:rsid w:val="00155DE2"/>
    <w:rsid w:val="0015660C"/>
    <w:rsid w:val="00156B5B"/>
    <w:rsid w:val="0015706B"/>
    <w:rsid w:val="00160068"/>
    <w:rsid w:val="00160D6E"/>
    <w:rsid w:val="00162604"/>
    <w:rsid w:val="00162FDC"/>
    <w:rsid w:val="00163718"/>
    <w:rsid w:val="00163B22"/>
    <w:rsid w:val="00163C8F"/>
    <w:rsid w:val="001642C1"/>
    <w:rsid w:val="00164772"/>
    <w:rsid w:val="00164789"/>
    <w:rsid w:val="00164B19"/>
    <w:rsid w:val="00166A76"/>
    <w:rsid w:val="00166C28"/>
    <w:rsid w:val="00167FB0"/>
    <w:rsid w:val="00171481"/>
    <w:rsid w:val="00173329"/>
    <w:rsid w:val="00174234"/>
    <w:rsid w:val="00174BC9"/>
    <w:rsid w:val="0017558D"/>
    <w:rsid w:val="001760BC"/>
    <w:rsid w:val="0017615A"/>
    <w:rsid w:val="001766FF"/>
    <w:rsid w:val="00177506"/>
    <w:rsid w:val="001777A4"/>
    <w:rsid w:val="001800EE"/>
    <w:rsid w:val="00180610"/>
    <w:rsid w:val="00180B85"/>
    <w:rsid w:val="001810EF"/>
    <w:rsid w:val="001812ED"/>
    <w:rsid w:val="00181ED3"/>
    <w:rsid w:val="001821C9"/>
    <w:rsid w:val="001826C0"/>
    <w:rsid w:val="00183CCC"/>
    <w:rsid w:val="00183E14"/>
    <w:rsid w:val="00184887"/>
    <w:rsid w:val="00184A1F"/>
    <w:rsid w:val="00184C13"/>
    <w:rsid w:val="00184E7C"/>
    <w:rsid w:val="00185195"/>
    <w:rsid w:val="00186AF7"/>
    <w:rsid w:val="00186E14"/>
    <w:rsid w:val="00187F78"/>
    <w:rsid w:val="00190C61"/>
    <w:rsid w:val="00190FFD"/>
    <w:rsid w:val="0019360C"/>
    <w:rsid w:val="00193E87"/>
    <w:rsid w:val="00194041"/>
    <w:rsid w:val="00194197"/>
    <w:rsid w:val="00194555"/>
    <w:rsid w:val="001947B4"/>
    <w:rsid w:val="001957C1"/>
    <w:rsid w:val="0019623E"/>
    <w:rsid w:val="001964AF"/>
    <w:rsid w:val="00196A36"/>
    <w:rsid w:val="00196B23"/>
    <w:rsid w:val="001A00BE"/>
    <w:rsid w:val="001A218A"/>
    <w:rsid w:val="001A2F37"/>
    <w:rsid w:val="001A39F3"/>
    <w:rsid w:val="001A605B"/>
    <w:rsid w:val="001A669A"/>
    <w:rsid w:val="001B04E1"/>
    <w:rsid w:val="001B058A"/>
    <w:rsid w:val="001B16AD"/>
    <w:rsid w:val="001B1BBB"/>
    <w:rsid w:val="001B1C74"/>
    <w:rsid w:val="001B248A"/>
    <w:rsid w:val="001B2AD7"/>
    <w:rsid w:val="001B2EDC"/>
    <w:rsid w:val="001B36B7"/>
    <w:rsid w:val="001B389E"/>
    <w:rsid w:val="001B54A7"/>
    <w:rsid w:val="001B622B"/>
    <w:rsid w:val="001B639C"/>
    <w:rsid w:val="001B65AC"/>
    <w:rsid w:val="001B6BF7"/>
    <w:rsid w:val="001B7837"/>
    <w:rsid w:val="001B7F4D"/>
    <w:rsid w:val="001C1AB4"/>
    <w:rsid w:val="001C31E9"/>
    <w:rsid w:val="001C3FC2"/>
    <w:rsid w:val="001C4584"/>
    <w:rsid w:val="001C4E99"/>
    <w:rsid w:val="001C5B98"/>
    <w:rsid w:val="001C6608"/>
    <w:rsid w:val="001C69A3"/>
    <w:rsid w:val="001C708F"/>
    <w:rsid w:val="001C71BD"/>
    <w:rsid w:val="001D0ECF"/>
    <w:rsid w:val="001D107F"/>
    <w:rsid w:val="001D3AF7"/>
    <w:rsid w:val="001D486F"/>
    <w:rsid w:val="001D4E23"/>
    <w:rsid w:val="001D5C78"/>
    <w:rsid w:val="001D5DA3"/>
    <w:rsid w:val="001D5E94"/>
    <w:rsid w:val="001D6E88"/>
    <w:rsid w:val="001D7125"/>
    <w:rsid w:val="001D75DF"/>
    <w:rsid w:val="001D76B5"/>
    <w:rsid w:val="001E17C0"/>
    <w:rsid w:val="001E279D"/>
    <w:rsid w:val="001E2823"/>
    <w:rsid w:val="001E2BBB"/>
    <w:rsid w:val="001E2C92"/>
    <w:rsid w:val="001E2D7B"/>
    <w:rsid w:val="001E33F4"/>
    <w:rsid w:val="001E39A9"/>
    <w:rsid w:val="001E4959"/>
    <w:rsid w:val="001E4F3D"/>
    <w:rsid w:val="001E6CF4"/>
    <w:rsid w:val="001E6FF2"/>
    <w:rsid w:val="001E7EA8"/>
    <w:rsid w:val="001F0DAF"/>
    <w:rsid w:val="001F0FCD"/>
    <w:rsid w:val="001F11B3"/>
    <w:rsid w:val="001F4534"/>
    <w:rsid w:val="001F60F0"/>
    <w:rsid w:val="001F7BB9"/>
    <w:rsid w:val="001F7F33"/>
    <w:rsid w:val="002008C5"/>
    <w:rsid w:val="002010FA"/>
    <w:rsid w:val="00201E5B"/>
    <w:rsid w:val="00202362"/>
    <w:rsid w:val="0020257C"/>
    <w:rsid w:val="0020323D"/>
    <w:rsid w:val="002032D1"/>
    <w:rsid w:val="00203795"/>
    <w:rsid w:val="00203F09"/>
    <w:rsid w:val="0020438E"/>
    <w:rsid w:val="00204BD5"/>
    <w:rsid w:val="00204D48"/>
    <w:rsid w:val="00204E1F"/>
    <w:rsid w:val="00205509"/>
    <w:rsid w:val="0020597C"/>
    <w:rsid w:val="002068E8"/>
    <w:rsid w:val="00206F28"/>
    <w:rsid w:val="002072D8"/>
    <w:rsid w:val="00207776"/>
    <w:rsid w:val="0021102E"/>
    <w:rsid w:val="00211160"/>
    <w:rsid w:val="00211549"/>
    <w:rsid w:val="002125F0"/>
    <w:rsid w:val="00212F2A"/>
    <w:rsid w:val="002144C9"/>
    <w:rsid w:val="00214C38"/>
    <w:rsid w:val="00215FC8"/>
    <w:rsid w:val="00216565"/>
    <w:rsid w:val="0021686A"/>
    <w:rsid w:val="002206C2"/>
    <w:rsid w:val="0022157B"/>
    <w:rsid w:val="00222CC4"/>
    <w:rsid w:val="00223210"/>
    <w:rsid w:val="00223ECE"/>
    <w:rsid w:val="00223EDD"/>
    <w:rsid w:val="00224032"/>
    <w:rsid w:val="00224437"/>
    <w:rsid w:val="00225149"/>
    <w:rsid w:val="00225165"/>
    <w:rsid w:val="00225C30"/>
    <w:rsid w:val="00226957"/>
    <w:rsid w:val="00227BB2"/>
    <w:rsid w:val="00227EC8"/>
    <w:rsid w:val="002302E5"/>
    <w:rsid w:val="00230E23"/>
    <w:rsid w:val="00231F92"/>
    <w:rsid w:val="00232811"/>
    <w:rsid w:val="00232E65"/>
    <w:rsid w:val="0023324D"/>
    <w:rsid w:val="0023393F"/>
    <w:rsid w:val="00233D6D"/>
    <w:rsid w:val="00235A8C"/>
    <w:rsid w:val="00235C9C"/>
    <w:rsid w:val="00235F42"/>
    <w:rsid w:val="00236CB3"/>
    <w:rsid w:val="00237437"/>
    <w:rsid w:val="00237871"/>
    <w:rsid w:val="00237C8D"/>
    <w:rsid w:val="0024021D"/>
    <w:rsid w:val="00240416"/>
    <w:rsid w:val="002416CA"/>
    <w:rsid w:val="00242BFD"/>
    <w:rsid w:val="0024416E"/>
    <w:rsid w:val="00244351"/>
    <w:rsid w:val="00244DB6"/>
    <w:rsid w:val="002458DD"/>
    <w:rsid w:val="00245BAD"/>
    <w:rsid w:val="002469E3"/>
    <w:rsid w:val="00246B79"/>
    <w:rsid w:val="00246F13"/>
    <w:rsid w:val="00247C96"/>
    <w:rsid w:val="00250116"/>
    <w:rsid w:val="002513A5"/>
    <w:rsid w:val="00251CF4"/>
    <w:rsid w:val="00251F58"/>
    <w:rsid w:val="00252E78"/>
    <w:rsid w:val="00252E9E"/>
    <w:rsid w:val="00253A2D"/>
    <w:rsid w:val="00253ACB"/>
    <w:rsid w:val="002542A2"/>
    <w:rsid w:val="00254449"/>
    <w:rsid w:val="00254A8A"/>
    <w:rsid w:val="0025502A"/>
    <w:rsid w:val="0025505D"/>
    <w:rsid w:val="00255794"/>
    <w:rsid w:val="00256F1F"/>
    <w:rsid w:val="0025749E"/>
    <w:rsid w:val="00257D5F"/>
    <w:rsid w:val="00260D21"/>
    <w:rsid w:val="00260F06"/>
    <w:rsid w:val="0026102C"/>
    <w:rsid w:val="00261E6C"/>
    <w:rsid w:val="00262510"/>
    <w:rsid w:val="0026456E"/>
    <w:rsid w:val="0026524D"/>
    <w:rsid w:val="00265EB7"/>
    <w:rsid w:val="00266E95"/>
    <w:rsid w:val="0026704A"/>
    <w:rsid w:val="0026738C"/>
    <w:rsid w:val="00267837"/>
    <w:rsid w:val="0026785B"/>
    <w:rsid w:val="00267DC0"/>
    <w:rsid w:val="0027141D"/>
    <w:rsid w:val="00271C1B"/>
    <w:rsid w:val="0027231C"/>
    <w:rsid w:val="00272B20"/>
    <w:rsid w:val="00273AF8"/>
    <w:rsid w:val="002741A6"/>
    <w:rsid w:val="00274C66"/>
    <w:rsid w:val="00275225"/>
    <w:rsid w:val="00276317"/>
    <w:rsid w:val="002770F1"/>
    <w:rsid w:val="002779EE"/>
    <w:rsid w:val="00280554"/>
    <w:rsid w:val="00280C0A"/>
    <w:rsid w:val="00280DE0"/>
    <w:rsid w:val="00281685"/>
    <w:rsid w:val="00281DEB"/>
    <w:rsid w:val="002835EB"/>
    <w:rsid w:val="00283D8A"/>
    <w:rsid w:val="00283ED2"/>
    <w:rsid w:val="00283F21"/>
    <w:rsid w:val="002846C1"/>
    <w:rsid w:val="00285B12"/>
    <w:rsid w:val="00286323"/>
    <w:rsid w:val="002864A6"/>
    <w:rsid w:val="00286628"/>
    <w:rsid w:val="00286BED"/>
    <w:rsid w:val="0029077E"/>
    <w:rsid w:val="0029125B"/>
    <w:rsid w:val="002921C8"/>
    <w:rsid w:val="00292E8C"/>
    <w:rsid w:val="00293FC3"/>
    <w:rsid w:val="00294D50"/>
    <w:rsid w:val="00295838"/>
    <w:rsid w:val="00295912"/>
    <w:rsid w:val="00295A4A"/>
    <w:rsid w:val="00295CC2"/>
    <w:rsid w:val="00296D73"/>
    <w:rsid w:val="00297128"/>
    <w:rsid w:val="00297BC4"/>
    <w:rsid w:val="002A017E"/>
    <w:rsid w:val="002A0415"/>
    <w:rsid w:val="002A0C5C"/>
    <w:rsid w:val="002A17B7"/>
    <w:rsid w:val="002A3A62"/>
    <w:rsid w:val="002A425A"/>
    <w:rsid w:val="002A5398"/>
    <w:rsid w:val="002A54C7"/>
    <w:rsid w:val="002A5C3E"/>
    <w:rsid w:val="002A5C4E"/>
    <w:rsid w:val="002A7347"/>
    <w:rsid w:val="002A74A7"/>
    <w:rsid w:val="002A79F3"/>
    <w:rsid w:val="002B0449"/>
    <w:rsid w:val="002B0851"/>
    <w:rsid w:val="002B0B61"/>
    <w:rsid w:val="002B0DF6"/>
    <w:rsid w:val="002B0E33"/>
    <w:rsid w:val="002B2A0D"/>
    <w:rsid w:val="002B43A0"/>
    <w:rsid w:val="002B524D"/>
    <w:rsid w:val="002B5628"/>
    <w:rsid w:val="002B6296"/>
    <w:rsid w:val="002B64E1"/>
    <w:rsid w:val="002B6542"/>
    <w:rsid w:val="002B6954"/>
    <w:rsid w:val="002B6A57"/>
    <w:rsid w:val="002B7AD0"/>
    <w:rsid w:val="002C052A"/>
    <w:rsid w:val="002C087A"/>
    <w:rsid w:val="002C0F13"/>
    <w:rsid w:val="002C17AC"/>
    <w:rsid w:val="002C1C13"/>
    <w:rsid w:val="002C254A"/>
    <w:rsid w:val="002C266C"/>
    <w:rsid w:val="002C3198"/>
    <w:rsid w:val="002C4AD4"/>
    <w:rsid w:val="002C534F"/>
    <w:rsid w:val="002C5C01"/>
    <w:rsid w:val="002C6701"/>
    <w:rsid w:val="002C6EA4"/>
    <w:rsid w:val="002C72AE"/>
    <w:rsid w:val="002C7770"/>
    <w:rsid w:val="002C7F45"/>
    <w:rsid w:val="002D220E"/>
    <w:rsid w:val="002D2D51"/>
    <w:rsid w:val="002D3CB1"/>
    <w:rsid w:val="002D4AE3"/>
    <w:rsid w:val="002D5873"/>
    <w:rsid w:val="002E093D"/>
    <w:rsid w:val="002E094B"/>
    <w:rsid w:val="002E0A00"/>
    <w:rsid w:val="002E0E45"/>
    <w:rsid w:val="002E0F5C"/>
    <w:rsid w:val="002E1084"/>
    <w:rsid w:val="002E10EC"/>
    <w:rsid w:val="002E1246"/>
    <w:rsid w:val="002E1481"/>
    <w:rsid w:val="002E1D18"/>
    <w:rsid w:val="002E2264"/>
    <w:rsid w:val="002E3981"/>
    <w:rsid w:val="002E3B4E"/>
    <w:rsid w:val="002E4363"/>
    <w:rsid w:val="002E58EB"/>
    <w:rsid w:val="002E5948"/>
    <w:rsid w:val="002E6700"/>
    <w:rsid w:val="002E6975"/>
    <w:rsid w:val="002E71FF"/>
    <w:rsid w:val="002F10EE"/>
    <w:rsid w:val="002F2529"/>
    <w:rsid w:val="002F28D9"/>
    <w:rsid w:val="002F3C5E"/>
    <w:rsid w:val="002F5544"/>
    <w:rsid w:val="002F647F"/>
    <w:rsid w:val="002F6771"/>
    <w:rsid w:val="002F682E"/>
    <w:rsid w:val="002F6994"/>
    <w:rsid w:val="002F6C4B"/>
    <w:rsid w:val="002F6ECE"/>
    <w:rsid w:val="002F7155"/>
    <w:rsid w:val="002F71A1"/>
    <w:rsid w:val="00301246"/>
    <w:rsid w:val="00302812"/>
    <w:rsid w:val="00302D9C"/>
    <w:rsid w:val="00302E2B"/>
    <w:rsid w:val="003036AA"/>
    <w:rsid w:val="003039FC"/>
    <w:rsid w:val="00303FC0"/>
    <w:rsid w:val="003041C0"/>
    <w:rsid w:val="00304AFE"/>
    <w:rsid w:val="00304C2D"/>
    <w:rsid w:val="00304F03"/>
    <w:rsid w:val="003065CB"/>
    <w:rsid w:val="00311A79"/>
    <w:rsid w:val="0031343F"/>
    <w:rsid w:val="0031364C"/>
    <w:rsid w:val="003148BF"/>
    <w:rsid w:val="00314B65"/>
    <w:rsid w:val="00316612"/>
    <w:rsid w:val="0031669D"/>
    <w:rsid w:val="0031781A"/>
    <w:rsid w:val="0032064A"/>
    <w:rsid w:val="0032123F"/>
    <w:rsid w:val="00321436"/>
    <w:rsid w:val="003214A7"/>
    <w:rsid w:val="00322967"/>
    <w:rsid w:val="00322A1E"/>
    <w:rsid w:val="00322EBD"/>
    <w:rsid w:val="003230DD"/>
    <w:rsid w:val="003237C5"/>
    <w:rsid w:val="0032386A"/>
    <w:rsid w:val="00323914"/>
    <w:rsid w:val="00323E37"/>
    <w:rsid w:val="003246A1"/>
    <w:rsid w:val="0032536B"/>
    <w:rsid w:val="003262E5"/>
    <w:rsid w:val="00327A16"/>
    <w:rsid w:val="00330377"/>
    <w:rsid w:val="00331224"/>
    <w:rsid w:val="00331F39"/>
    <w:rsid w:val="003321D9"/>
    <w:rsid w:val="00332B32"/>
    <w:rsid w:val="00332F3A"/>
    <w:rsid w:val="00333AF9"/>
    <w:rsid w:val="00335363"/>
    <w:rsid w:val="00335D0D"/>
    <w:rsid w:val="00335D30"/>
    <w:rsid w:val="00336C74"/>
    <w:rsid w:val="00336DEC"/>
    <w:rsid w:val="003370A3"/>
    <w:rsid w:val="00337774"/>
    <w:rsid w:val="00337EB3"/>
    <w:rsid w:val="0034018B"/>
    <w:rsid w:val="00341E87"/>
    <w:rsid w:val="00341E89"/>
    <w:rsid w:val="0034288E"/>
    <w:rsid w:val="0034348B"/>
    <w:rsid w:val="0034489E"/>
    <w:rsid w:val="00345A44"/>
    <w:rsid w:val="003466E4"/>
    <w:rsid w:val="003470E0"/>
    <w:rsid w:val="003470E4"/>
    <w:rsid w:val="003474BB"/>
    <w:rsid w:val="00350FED"/>
    <w:rsid w:val="00351720"/>
    <w:rsid w:val="00351C89"/>
    <w:rsid w:val="00351F1D"/>
    <w:rsid w:val="00351F93"/>
    <w:rsid w:val="0035201F"/>
    <w:rsid w:val="003528BC"/>
    <w:rsid w:val="003532B6"/>
    <w:rsid w:val="00353B4A"/>
    <w:rsid w:val="0035424F"/>
    <w:rsid w:val="00354D31"/>
    <w:rsid w:val="00355550"/>
    <w:rsid w:val="00355874"/>
    <w:rsid w:val="0035603C"/>
    <w:rsid w:val="00356295"/>
    <w:rsid w:val="003567E9"/>
    <w:rsid w:val="0035686C"/>
    <w:rsid w:val="00360FB8"/>
    <w:rsid w:val="003614CB"/>
    <w:rsid w:val="00361E25"/>
    <w:rsid w:val="00362725"/>
    <w:rsid w:val="003629A1"/>
    <w:rsid w:val="0036576A"/>
    <w:rsid w:val="003664D0"/>
    <w:rsid w:val="00366B76"/>
    <w:rsid w:val="00366F1C"/>
    <w:rsid w:val="003678BC"/>
    <w:rsid w:val="00370A6B"/>
    <w:rsid w:val="00370F15"/>
    <w:rsid w:val="003723D9"/>
    <w:rsid w:val="00373209"/>
    <w:rsid w:val="003736D0"/>
    <w:rsid w:val="00374BE8"/>
    <w:rsid w:val="00375181"/>
    <w:rsid w:val="0037547A"/>
    <w:rsid w:val="00376890"/>
    <w:rsid w:val="0038175E"/>
    <w:rsid w:val="00385373"/>
    <w:rsid w:val="003866B5"/>
    <w:rsid w:val="00387418"/>
    <w:rsid w:val="00387FA9"/>
    <w:rsid w:val="00390AE9"/>
    <w:rsid w:val="003917D4"/>
    <w:rsid w:val="003921C7"/>
    <w:rsid w:val="0039267B"/>
    <w:rsid w:val="0039410E"/>
    <w:rsid w:val="00394588"/>
    <w:rsid w:val="0039482B"/>
    <w:rsid w:val="00394D2B"/>
    <w:rsid w:val="003950EE"/>
    <w:rsid w:val="00396B9D"/>
    <w:rsid w:val="00397310"/>
    <w:rsid w:val="00397606"/>
    <w:rsid w:val="003979A6"/>
    <w:rsid w:val="00397AB1"/>
    <w:rsid w:val="00397D15"/>
    <w:rsid w:val="003A06FB"/>
    <w:rsid w:val="003A0A07"/>
    <w:rsid w:val="003A1A19"/>
    <w:rsid w:val="003A298B"/>
    <w:rsid w:val="003A397E"/>
    <w:rsid w:val="003A4A52"/>
    <w:rsid w:val="003A532D"/>
    <w:rsid w:val="003A53B2"/>
    <w:rsid w:val="003A5DF8"/>
    <w:rsid w:val="003A6785"/>
    <w:rsid w:val="003A6D33"/>
    <w:rsid w:val="003A6FB3"/>
    <w:rsid w:val="003A7868"/>
    <w:rsid w:val="003A78E5"/>
    <w:rsid w:val="003A7948"/>
    <w:rsid w:val="003B17CA"/>
    <w:rsid w:val="003B1D0A"/>
    <w:rsid w:val="003B254E"/>
    <w:rsid w:val="003B2BE1"/>
    <w:rsid w:val="003B3A55"/>
    <w:rsid w:val="003B4009"/>
    <w:rsid w:val="003B40A1"/>
    <w:rsid w:val="003B4201"/>
    <w:rsid w:val="003B4AB1"/>
    <w:rsid w:val="003B4EB0"/>
    <w:rsid w:val="003B6683"/>
    <w:rsid w:val="003B7B46"/>
    <w:rsid w:val="003B7B8C"/>
    <w:rsid w:val="003C07AB"/>
    <w:rsid w:val="003C17B0"/>
    <w:rsid w:val="003C1EDA"/>
    <w:rsid w:val="003C22A4"/>
    <w:rsid w:val="003C465C"/>
    <w:rsid w:val="003C4CAE"/>
    <w:rsid w:val="003C4F1B"/>
    <w:rsid w:val="003C5537"/>
    <w:rsid w:val="003C5972"/>
    <w:rsid w:val="003C6167"/>
    <w:rsid w:val="003C6C48"/>
    <w:rsid w:val="003C70F4"/>
    <w:rsid w:val="003C7868"/>
    <w:rsid w:val="003D0140"/>
    <w:rsid w:val="003D0539"/>
    <w:rsid w:val="003D0E97"/>
    <w:rsid w:val="003D0EBB"/>
    <w:rsid w:val="003D2083"/>
    <w:rsid w:val="003D20E2"/>
    <w:rsid w:val="003D33CB"/>
    <w:rsid w:val="003D39C2"/>
    <w:rsid w:val="003D39D0"/>
    <w:rsid w:val="003D4D8F"/>
    <w:rsid w:val="003D4FF0"/>
    <w:rsid w:val="003D57D9"/>
    <w:rsid w:val="003D69FB"/>
    <w:rsid w:val="003D6B1C"/>
    <w:rsid w:val="003D73FF"/>
    <w:rsid w:val="003D79B8"/>
    <w:rsid w:val="003D7C12"/>
    <w:rsid w:val="003D7D9F"/>
    <w:rsid w:val="003E0771"/>
    <w:rsid w:val="003E13CF"/>
    <w:rsid w:val="003E23A9"/>
    <w:rsid w:val="003E29E4"/>
    <w:rsid w:val="003E2BC8"/>
    <w:rsid w:val="003E31E0"/>
    <w:rsid w:val="003E3F63"/>
    <w:rsid w:val="003E507B"/>
    <w:rsid w:val="003E5E9F"/>
    <w:rsid w:val="003E71BA"/>
    <w:rsid w:val="003E72EC"/>
    <w:rsid w:val="003E7D44"/>
    <w:rsid w:val="003E7E17"/>
    <w:rsid w:val="003F039C"/>
    <w:rsid w:val="003F0938"/>
    <w:rsid w:val="003F0D05"/>
    <w:rsid w:val="003F127B"/>
    <w:rsid w:val="003F1421"/>
    <w:rsid w:val="003F1502"/>
    <w:rsid w:val="003F15AA"/>
    <w:rsid w:val="003F2C8F"/>
    <w:rsid w:val="003F2CBC"/>
    <w:rsid w:val="003F369D"/>
    <w:rsid w:val="003F38C2"/>
    <w:rsid w:val="003F39ED"/>
    <w:rsid w:val="003F4E20"/>
    <w:rsid w:val="003F5D87"/>
    <w:rsid w:val="003F78EB"/>
    <w:rsid w:val="00400119"/>
    <w:rsid w:val="0040026B"/>
    <w:rsid w:val="0040125F"/>
    <w:rsid w:val="00401813"/>
    <w:rsid w:val="00401979"/>
    <w:rsid w:val="0040236E"/>
    <w:rsid w:val="00402854"/>
    <w:rsid w:val="00402B63"/>
    <w:rsid w:val="00402CB8"/>
    <w:rsid w:val="00403951"/>
    <w:rsid w:val="004039F3"/>
    <w:rsid w:val="00405499"/>
    <w:rsid w:val="004055A8"/>
    <w:rsid w:val="00405907"/>
    <w:rsid w:val="00406EF1"/>
    <w:rsid w:val="00406F45"/>
    <w:rsid w:val="00407031"/>
    <w:rsid w:val="00410527"/>
    <w:rsid w:val="00412B06"/>
    <w:rsid w:val="00413DE9"/>
    <w:rsid w:val="004143F4"/>
    <w:rsid w:val="00414D7D"/>
    <w:rsid w:val="00415637"/>
    <w:rsid w:val="004157BA"/>
    <w:rsid w:val="00415936"/>
    <w:rsid w:val="00415AA9"/>
    <w:rsid w:val="00416530"/>
    <w:rsid w:val="00416720"/>
    <w:rsid w:val="00416C79"/>
    <w:rsid w:val="004170F3"/>
    <w:rsid w:val="00417362"/>
    <w:rsid w:val="00417626"/>
    <w:rsid w:val="00417B4C"/>
    <w:rsid w:val="00420718"/>
    <w:rsid w:val="00421F21"/>
    <w:rsid w:val="0042339A"/>
    <w:rsid w:val="00423D91"/>
    <w:rsid w:val="00424E05"/>
    <w:rsid w:val="004263BA"/>
    <w:rsid w:val="00427026"/>
    <w:rsid w:val="0042726D"/>
    <w:rsid w:val="004274A8"/>
    <w:rsid w:val="004305AB"/>
    <w:rsid w:val="004305B3"/>
    <w:rsid w:val="0043064D"/>
    <w:rsid w:val="004311B9"/>
    <w:rsid w:val="00431549"/>
    <w:rsid w:val="00431DBA"/>
    <w:rsid w:val="004322EF"/>
    <w:rsid w:val="004324AA"/>
    <w:rsid w:val="004329D9"/>
    <w:rsid w:val="0043392C"/>
    <w:rsid w:val="004341B0"/>
    <w:rsid w:val="00434422"/>
    <w:rsid w:val="00434C47"/>
    <w:rsid w:val="00434F89"/>
    <w:rsid w:val="004429B8"/>
    <w:rsid w:val="0044379B"/>
    <w:rsid w:val="00444834"/>
    <w:rsid w:val="00444DED"/>
    <w:rsid w:val="00445175"/>
    <w:rsid w:val="00445BA5"/>
    <w:rsid w:val="00445BF1"/>
    <w:rsid w:val="00446193"/>
    <w:rsid w:val="00446298"/>
    <w:rsid w:val="00446B82"/>
    <w:rsid w:val="00450B1C"/>
    <w:rsid w:val="00452884"/>
    <w:rsid w:val="00452965"/>
    <w:rsid w:val="00452E69"/>
    <w:rsid w:val="0045300A"/>
    <w:rsid w:val="0045340F"/>
    <w:rsid w:val="0045389F"/>
    <w:rsid w:val="00454F74"/>
    <w:rsid w:val="00455D64"/>
    <w:rsid w:val="0045779D"/>
    <w:rsid w:val="004601DD"/>
    <w:rsid w:val="00460407"/>
    <w:rsid w:val="004610B1"/>
    <w:rsid w:val="00462884"/>
    <w:rsid w:val="004643AD"/>
    <w:rsid w:val="00464718"/>
    <w:rsid w:val="00464BE0"/>
    <w:rsid w:val="004651F9"/>
    <w:rsid w:val="00465ACD"/>
    <w:rsid w:val="00466A29"/>
    <w:rsid w:val="00466D47"/>
    <w:rsid w:val="004676E7"/>
    <w:rsid w:val="004677B3"/>
    <w:rsid w:val="00467DC5"/>
    <w:rsid w:val="004703E3"/>
    <w:rsid w:val="00470534"/>
    <w:rsid w:val="00470BA7"/>
    <w:rsid w:val="004711E1"/>
    <w:rsid w:val="004746F0"/>
    <w:rsid w:val="004757E1"/>
    <w:rsid w:val="00475DAE"/>
    <w:rsid w:val="00476A97"/>
    <w:rsid w:val="004772CE"/>
    <w:rsid w:val="00477513"/>
    <w:rsid w:val="0047794D"/>
    <w:rsid w:val="00477FD2"/>
    <w:rsid w:val="004801D6"/>
    <w:rsid w:val="0048022E"/>
    <w:rsid w:val="0048202B"/>
    <w:rsid w:val="00482192"/>
    <w:rsid w:val="004822DE"/>
    <w:rsid w:val="004823C3"/>
    <w:rsid w:val="004828E3"/>
    <w:rsid w:val="00482D8F"/>
    <w:rsid w:val="004831D3"/>
    <w:rsid w:val="00483502"/>
    <w:rsid w:val="00484A0B"/>
    <w:rsid w:val="00485905"/>
    <w:rsid w:val="004861B3"/>
    <w:rsid w:val="004901FF"/>
    <w:rsid w:val="0049051D"/>
    <w:rsid w:val="00491366"/>
    <w:rsid w:val="00491D7D"/>
    <w:rsid w:val="004922ED"/>
    <w:rsid w:val="004925A5"/>
    <w:rsid w:val="00492CBF"/>
    <w:rsid w:val="00493A6E"/>
    <w:rsid w:val="00493D15"/>
    <w:rsid w:val="004948DF"/>
    <w:rsid w:val="00495789"/>
    <w:rsid w:val="00496F8D"/>
    <w:rsid w:val="0049757F"/>
    <w:rsid w:val="004A02EB"/>
    <w:rsid w:val="004A0754"/>
    <w:rsid w:val="004A1940"/>
    <w:rsid w:val="004A1B09"/>
    <w:rsid w:val="004A1DAE"/>
    <w:rsid w:val="004A1FC7"/>
    <w:rsid w:val="004A2D44"/>
    <w:rsid w:val="004A3287"/>
    <w:rsid w:val="004A4F71"/>
    <w:rsid w:val="004A524F"/>
    <w:rsid w:val="004A53CE"/>
    <w:rsid w:val="004A54E6"/>
    <w:rsid w:val="004A56CE"/>
    <w:rsid w:val="004A5745"/>
    <w:rsid w:val="004A5C0B"/>
    <w:rsid w:val="004A6D96"/>
    <w:rsid w:val="004A75DA"/>
    <w:rsid w:val="004B1001"/>
    <w:rsid w:val="004B11A6"/>
    <w:rsid w:val="004B1233"/>
    <w:rsid w:val="004B12E4"/>
    <w:rsid w:val="004B17D1"/>
    <w:rsid w:val="004B351F"/>
    <w:rsid w:val="004B3B23"/>
    <w:rsid w:val="004B520E"/>
    <w:rsid w:val="004B53B2"/>
    <w:rsid w:val="004B6765"/>
    <w:rsid w:val="004B74E1"/>
    <w:rsid w:val="004B7B45"/>
    <w:rsid w:val="004B7C85"/>
    <w:rsid w:val="004C10C5"/>
    <w:rsid w:val="004C17EE"/>
    <w:rsid w:val="004C251D"/>
    <w:rsid w:val="004C2599"/>
    <w:rsid w:val="004C3953"/>
    <w:rsid w:val="004C39F8"/>
    <w:rsid w:val="004C3C86"/>
    <w:rsid w:val="004C4560"/>
    <w:rsid w:val="004C56BB"/>
    <w:rsid w:val="004C5786"/>
    <w:rsid w:val="004C7C63"/>
    <w:rsid w:val="004D0297"/>
    <w:rsid w:val="004D18B1"/>
    <w:rsid w:val="004D2E64"/>
    <w:rsid w:val="004D415A"/>
    <w:rsid w:val="004D43BE"/>
    <w:rsid w:val="004D44EC"/>
    <w:rsid w:val="004D5E5D"/>
    <w:rsid w:val="004D7921"/>
    <w:rsid w:val="004D7B7B"/>
    <w:rsid w:val="004E13F3"/>
    <w:rsid w:val="004E1C97"/>
    <w:rsid w:val="004E1CC8"/>
    <w:rsid w:val="004E1FDB"/>
    <w:rsid w:val="004E2718"/>
    <w:rsid w:val="004E2D68"/>
    <w:rsid w:val="004E2E14"/>
    <w:rsid w:val="004E38AC"/>
    <w:rsid w:val="004E42DA"/>
    <w:rsid w:val="004E5259"/>
    <w:rsid w:val="004E5EA9"/>
    <w:rsid w:val="004E6731"/>
    <w:rsid w:val="004F09DF"/>
    <w:rsid w:val="004F291C"/>
    <w:rsid w:val="004F450A"/>
    <w:rsid w:val="004F476C"/>
    <w:rsid w:val="004F4C20"/>
    <w:rsid w:val="004F4C26"/>
    <w:rsid w:val="004F4DFE"/>
    <w:rsid w:val="004F5323"/>
    <w:rsid w:val="004F5D3A"/>
    <w:rsid w:val="004F648E"/>
    <w:rsid w:val="004F6EC9"/>
    <w:rsid w:val="004F7D7D"/>
    <w:rsid w:val="0050104E"/>
    <w:rsid w:val="00504044"/>
    <w:rsid w:val="005041CB"/>
    <w:rsid w:val="00505381"/>
    <w:rsid w:val="00505824"/>
    <w:rsid w:val="00505A00"/>
    <w:rsid w:val="00505CA2"/>
    <w:rsid w:val="00506B0C"/>
    <w:rsid w:val="00506EB7"/>
    <w:rsid w:val="0050765B"/>
    <w:rsid w:val="00510552"/>
    <w:rsid w:val="005117D7"/>
    <w:rsid w:val="00511E90"/>
    <w:rsid w:val="0051397F"/>
    <w:rsid w:val="00513B74"/>
    <w:rsid w:val="0051601B"/>
    <w:rsid w:val="00516B7B"/>
    <w:rsid w:val="0051709D"/>
    <w:rsid w:val="0051738A"/>
    <w:rsid w:val="00517F32"/>
    <w:rsid w:val="0052084E"/>
    <w:rsid w:val="005218CB"/>
    <w:rsid w:val="0052281A"/>
    <w:rsid w:val="00522FB4"/>
    <w:rsid w:val="00523194"/>
    <w:rsid w:val="00524144"/>
    <w:rsid w:val="005251F6"/>
    <w:rsid w:val="005252FE"/>
    <w:rsid w:val="00525DD5"/>
    <w:rsid w:val="00525EB8"/>
    <w:rsid w:val="0052735A"/>
    <w:rsid w:val="00527585"/>
    <w:rsid w:val="00527850"/>
    <w:rsid w:val="005300F2"/>
    <w:rsid w:val="00530500"/>
    <w:rsid w:val="00530A30"/>
    <w:rsid w:val="005317E3"/>
    <w:rsid w:val="0053196C"/>
    <w:rsid w:val="00532514"/>
    <w:rsid w:val="00533309"/>
    <w:rsid w:val="00533B4E"/>
    <w:rsid w:val="00534128"/>
    <w:rsid w:val="00535525"/>
    <w:rsid w:val="00535FA2"/>
    <w:rsid w:val="005366E1"/>
    <w:rsid w:val="00536D1A"/>
    <w:rsid w:val="00540BBD"/>
    <w:rsid w:val="00541C24"/>
    <w:rsid w:val="00542D4C"/>
    <w:rsid w:val="0054487E"/>
    <w:rsid w:val="00544F56"/>
    <w:rsid w:val="00545954"/>
    <w:rsid w:val="00545C0A"/>
    <w:rsid w:val="00546B9C"/>
    <w:rsid w:val="00547101"/>
    <w:rsid w:val="00547C9C"/>
    <w:rsid w:val="00550D77"/>
    <w:rsid w:val="0055220C"/>
    <w:rsid w:val="0055273D"/>
    <w:rsid w:val="00553556"/>
    <w:rsid w:val="00553B4C"/>
    <w:rsid w:val="00554B03"/>
    <w:rsid w:val="0055546E"/>
    <w:rsid w:val="0055599B"/>
    <w:rsid w:val="00555D91"/>
    <w:rsid w:val="00555E0B"/>
    <w:rsid w:val="005568A8"/>
    <w:rsid w:val="00556D50"/>
    <w:rsid w:val="00557003"/>
    <w:rsid w:val="005571AB"/>
    <w:rsid w:val="00557262"/>
    <w:rsid w:val="00557842"/>
    <w:rsid w:val="005600AF"/>
    <w:rsid w:val="00561F5A"/>
    <w:rsid w:val="0056229E"/>
    <w:rsid w:val="005629FC"/>
    <w:rsid w:val="00562B3F"/>
    <w:rsid w:val="00562C6E"/>
    <w:rsid w:val="00563286"/>
    <w:rsid w:val="0056330D"/>
    <w:rsid w:val="005633AD"/>
    <w:rsid w:val="005645BC"/>
    <w:rsid w:val="00564B21"/>
    <w:rsid w:val="0056514C"/>
    <w:rsid w:val="0056564E"/>
    <w:rsid w:val="005658CE"/>
    <w:rsid w:val="005672A9"/>
    <w:rsid w:val="0056757D"/>
    <w:rsid w:val="00567B0E"/>
    <w:rsid w:val="00567DB8"/>
    <w:rsid w:val="00570D79"/>
    <w:rsid w:val="005713BA"/>
    <w:rsid w:val="00572DA4"/>
    <w:rsid w:val="00572E4D"/>
    <w:rsid w:val="00575E9D"/>
    <w:rsid w:val="005760A6"/>
    <w:rsid w:val="005764CC"/>
    <w:rsid w:val="00576DC0"/>
    <w:rsid w:val="00576FD8"/>
    <w:rsid w:val="00577A8F"/>
    <w:rsid w:val="00577C7B"/>
    <w:rsid w:val="00577EC4"/>
    <w:rsid w:val="00580193"/>
    <w:rsid w:val="0058075C"/>
    <w:rsid w:val="005816D8"/>
    <w:rsid w:val="005819BF"/>
    <w:rsid w:val="00581A94"/>
    <w:rsid w:val="00582C5E"/>
    <w:rsid w:val="005831F5"/>
    <w:rsid w:val="00583245"/>
    <w:rsid w:val="005832A6"/>
    <w:rsid w:val="00583965"/>
    <w:rsid w:val="00583D98"/>
    <w:rsid w:val="005842DB"/>
    <w:rsid w:val="00584CB5"/>
    <w:rsid w:val="005858DE"/>
    <w:rsid w:val="0058590F"/>
    <w:rsid w:val="005859BA"/>
    <w:rsid w:val="00586577"/>
    <w:rsid w:val="005866C1"/>
    <w:rsid w:val="005868DA"/>
    <w:rsid w:val="0058767A"/>
    <w:rsid w:val="00587BCC"/>
    <w:rsid w:val="005902AA"/>
    <w:rsid w:val="00591868"/>
    <w:rsid w:val="00591AC6"/>
    <w:rsid w:val="00592FA4"/>
    <w:rsid w:val="005933EF"/>
    <w:rsid w:val="00593ED2"/>
    <w:rsid w:val="0059469C"/>
    <w:rsid w:val="0059608F"/>
    <w:rsid w:val="005963D4"/>
    <w:rsid w:val="00596D67"/>
    <w:rsid w:val="0059714F"/>
    <w:rsid w:val="00597C2B"/>
    <w:rsid w:val="00597C71"/>
    <w:rsid w:val="00597E32"/>
    <w:rsid w:val="005A08EA"/>
    <w:rsid w:val="005A0E65"/>
    <w:rsid w:val="005A167E"/>
    <w:rsid w:val="005A233B"/>
    <w:rsid w:val="005A278D"/>
    <w:rsid w:val="005A2E8C"/>
    <w:rsid w:val="005A3D29"/>
    <w:rsid w:val="005A3FB0"/>
    <w:rsid w:val="005A4325"/>
    <w:rsid w:val="005A5608"/>
    <w:rsid w:val="005A65D6"/>
    <w:rsid w:val="005A68A5"/>
    <w:rsid w:val="005A69F1"/>
    <w:rsid w:val="005A6E80"/>
    <w:rsid w:val="005A727D"/>
    <w:rsid w:val="005A745C"/>
    <w:rsid w:val="005A7D7E"/>
    <w:rsid w:val="005B155B"/>
    <w:rsid w:val="005B1B71"/>
    <w:rsid w:val="005B1E08"/>
    <w:rsid w:val="005B31A9"/>
    <w:rsid w:val="005B34FB"/>
    <w:rsid w:val="005B3F70"/>
    <w:rsid w:val="005B3FF8"/>
    <w:rsid w:val="005B4825"/>
    <w:rsid w:val="005B4982"/>
    <w:rsid w:val="005B5166"/>
    <w:rsid w:val="005B53CD"/>
    <w:rsid w:val="005B5DF7"/>
    <w:rsid w:val="005B6A0F"/>
    <w:rsid w:val="005B6A83"/>
    <w:rsid w:val="005B6EE9"/>
    <w:rsid w:val="005B7EF0"/>
    <w:rsid w:val="005C0049"/>
    <w:rsid w:val="005C3752"/>
    <w:rsid w:val="005C4722"/>
    <w:rsid w:val="005C4FB5"/>
    <w:rsid w:val="005C553F"/>
    <w:rsid w:val="005C5706"/>
    <w:rsid w:val="005C7922"/>
    <w:rsid w:val="005C7EA1"/>
    <w:rsid w:val="005D3630"/>
    <w:rsid w:val="005D50C9"/>
    <w:rsid w:val="005D5594"/>
    <w:rsid w:val="005D5A14"/>
    <w:rsid w:val="005D5B7B"/>
    <w:rsid w:val="005D6110"/>
    <w:rsid w:val="005D6428"/>
    <w:rsid w:val="005D66D1"/>
    <w:rsid w:val="005D72C5"/>
    <w:rsid w:val="005D7AA6"/>
    <w:rsid w:val="005E03A9"/>
    <w:rsid w:val="005E0962"/>
    <w:rsid w:val="005E1209"/>
    <w:rsid w:val="005E18ED"/>
    <w:rsid w:val="005E2268"/>
    <w:rsid w:val="005E22E3"/>
    <w:rsid w:val="005E2660"/>
    <w:rsid w:val="005E27FB"/>
    <w:rsid w:val="005E32D3"/>
    <w:rsid w:val="005E3796"/>
    <w:rsid w:val="005E5008"/>
    <w:rsid w:val="005E5720"/>
    <w:rsid w:val="005E6896"/>
    <w:rsid w:val="005E6897"/>
    <w:rsid w:val="005E6DCE"/>
    <w:rsid w:val="005E71F2"/>
    <w:rsid w:val="005F074F"/>
    <w:rsid w:val="005F1291"/>
    <w:rsid w:val="005F13F8"/>
    <w:rsid w:val="005F229B"/>
    <w:rsid w:val="005F2D1F"/>
    <w:rsid w:val="005F4069"/>
    <w:rsid w:val="005F4281"/>
    <w:rsid w:val="005F42D1"/>
    <w:rsid w:val="005F4404"/>
    <w:rsid w:val="005F46A7"/>
    <w:rsid w:val="005F484E"/>
    <w:rsid w:val="005F4A38"/>
    <w:rsid w:val="005F5030"/>
    <w:rsid w:val="005F5AE5"/>
    <w:rsid w:val="005F6063"/>
    <w:rsid w:val="005F6B24"/>
    <w:rsid w:val="005F7063"/>
    <w:rsid w:val="005F7137"/>
    <w:rsid w:val="005F796B"/>
    <w:rsid w:val="006002E1"/>
    <w:rsid w:val="0060052E"/>
    <w:rsid w:val="00601116"/>
    <w:rsid w:val="0060132F"/>
    <w:rsid w:val="00601EB2"/>
    <w:rsid w:val="006020F3"/>
    <w:rsid w:val="00603F8B"/>
    <w:rsid w:val="00604488"/>
    <w:rsid w:val="006049A9"/>
    <w:rsid w:val="0060560D"/>
    <w:rsid w:val="00605941"/>
    <w:rsid w:val="00606759"/>
    <w:rsid w:val="00606AB9"/>
    <w:rsid w:val="00607104"/>
    <w:rsid w:val="0060715C"/>
    <w:rsid w:val="00610639"/>
    <w:rsid w:val="006106A4"/>
    <w:rsid w:val="006108D3"/>
    <w:rsid w:val="00610D43"/>
    <w:rsid w:val="0061141E"/>
    <w:rsid w:val="00611B39"/>
    <w:rsid w:val="00612A21"/>
    <w:rsid w:val="006140DA"/>
    <w:rsid w:val="00614AC7"/>
    <w:rsid w:val="00614E15"/>
    <w:rsid w:val="006158CE"/>
    <w:rsid w:val="006159BA"/>
    <w:rsid w:val="00616236"/>
    <w:rsid w:val="0061660C"/>
    <w:rsid w:val="00616623"/>
    <w:rsid w:val="00616774"/>
    <w:rsid w:val="006210D6"/>
    <w:rsid w:val="00621BC9"/>
    <w:rsid w:val="00621F1E"/>
    <w:rsid w:val="0062203D"/>
    <w:rsid w:val="00622BE9"/>
    <w:rsid w:val="0062302B"/>
    <w:rsid w:val="00623B6A"/>
    <w:rsid w:val="00623BB6"/>
    <w:rsid w:val="00624A44"/>
    <w:rsid w:val="00624ADF"/>
    <w:rsid w:val="006266DA"/>
    <w:rsid w:val="00627EC0"/>
    <w:rsid w:val="00630556"/>
    <w:rsid w:val="00630D06"/>
    <w:rsid w:val="006311AB"/>
    <w:rsid w:val="00631284"/>
    <w:rsid w:val="00631355"/>
    <w:rsid w:val="0063174C"/>
    <w:rsid w:val="00631868"/>
    <w:rsid w:val="00632072"/>
    <w:rsid w:val="00633429"/>
    <w:rsid w:val="00633546"/>
    <w:rsid w:val="00634157"/>
    <w:rsid w:val="0063557A"/>
    <w:rsid w:val="00636F19"/>
    <w:rsid w:val="006374B3"/>
    <w:rsid w:val="00637ED7"/>
    <w:rsid w:val="006409AD"/>
    <w:rsid w:val="006419FF"/>
    <w:rsid w:val="00641BAB"/>
    <w:rsid w:val="006420D6"/>
    <w:rsid w:val="00642350"/>
    <w:rsid w:val="006426BA"/>
    <w:rsid w:val="00644FB9"/>
    <w:rsid w:val="006450F9"/>
    <w:rsid w:val="00646CA6"/>
    <w:rsid w:val="00647382"/>
    <w:rsid w:val="00650244"/>
    <w:rsid w:val="00650444"/>
    <w:rsid w:val="00650B31"/>
    <w:rsid w:val="00650D82"/>
    <w:rsid w:val="00652A29"/>
    <w:rsid w:val="00653E54"/>
    <w:rsid w:val="00653FB5"/>
    <w:rsid w:val="006565DF"/>
    <w:rsid w:val="00657C25"/>
    <w:rsid w:val="006605E3"/>
    <w:rsid w:val="0066060B"/>
    <w:rsid w:val="0066103B"/>
    <w:rsid w:val="0066196E"/>
    <w:rsid w:val="006620BF"/>
    <w:rsid w:val="00662328"/>
    <w:rsid w:val="006633E6"/>
    <w:rsid w:val="00663CF0"/>
    <w:rsid w:val="00663D29"/>
    <w:rsid w:val="00664263"/>
    <w:rsid w:val="006645D0"/>
    <w:rsid w:val="0066466F"/>
    <w:rsid w:val="00664722"/>
    <w:rsid w:val="0066512B"/>
    <w:rsid w:val="00665D7F"/>
    <w:rsid w:val="0066603E"/>
    <w:rsid w:val="00666B86"/>
    <w:rsid w:val="00666C38"/>
    <w:rsid w:val="00666D61"/>
    <w:rsid w:val="00667DB6"/>
    <w:rsid w:val="006702CE"/>
    <w:rsid w:val="00670689"/>
    <w:rsid w:val="006706BC"/>
    <w:rsid w:val="00672EC9"/>
    <w:rsid w:val="00672FCB"/>
    <w:rsid w:val="006732E3"/>
    <w:rsid w:val="00673A87"/>
    <w:rsid w:val="006748A3"/>
    <w:rsid w:val="006762EB"/>
    <w:rsid w:val="006765A0"/>
    <w:rsid w:val="00677889"/>
    <w:rsid w:val="00677DC3"/>
    <w:rsid w:val="006801D7"/>
    <w:rsid w:val="00680569"/>
    <w:rsid w:val="00680860"/>
    <w:rsid w:val="00680B31"/>
    <w:rsid w:val="0068143C"/>
    <w:rsid w:val="0068243C"/>
    <w:rsid w:val="0068302D"/>
    <w:rsid w:val="006830A3"/>
    <w:rsid w:val="00683E9B"/>
    <w:rsid w:val="006845FD"/>
    <w:rsid w:val="006851B9"/>
    <w:rsid w:val="00685547"/>
    <w:rsid w:val="00686B39"/>
    <w:rsid w:val="0068734E"/>
    <w:rsid w:val="00690FD0"/>
    <w:rsid w:val="0069221C"/>
    <w:rsid w:val="00692FE9"/>
    <w:rsid w:val="006938B4"/>
    <w:rsid w:val="0069411D"/>
    <w:rsid w:val="006945F0"/>
    <w:rsid w:val="00696A99"/>
    <w:rsid w:val="00697BF0"/>
    <w:rsid w:val="006A059A"/>
    <w:rsid w:val="006A1398"/>
    <w:rsid w:val="006A14F5"/>
    <w:rsid w:val="006A1675"/>
    <w:rsid w:val="006A283E"/>
    <w:rsid w:val="006A3B1D"/>
    <w:rsid w:val="006A3DAC"/>
    <w:rsid w:val="006A47E0"/>
    <w:rsid w:val="006A5B05"/>
    <w:rsid w:val="006A5DDE"/>
    <w:rsid w:val="006A6993"/>
    <w:rsid w:val="006B0B38"/>
    <w:rsid w:val="006B1206"/>
    <w:rsid w:val="006B1816"/>
    <w:rsid w:val="006B1CAF"/>
    <w:rsid w:val="006B1FB9"/>
    <w:rsid w:val="006B41BD"/>
    <w:rsid w:val="006B4755"/>
    <w:rsid w:val="006B4974"/>
    <w:rsid w:val="006B4DD8"/>
    <w:rsid w:val="006B67FA"/>
    <w:rsid w:val="006B6820"/>
    <w:rsid w:val="006B6C69"/>
    <w:rsid w:val="006C015E"/>
    <w:rsid w:val="006C0923"/>
    <w:rsid w:val="006C1062"/>
    <w:rsid w:val="006C1538"/>
    <w:rsid w:val="006C24AC"/>
    <w:rsid w:val="006C2F5E"/>
    <w:rsid w:val="006C4AC6"/>
    <w:rsid w:val="006C5020"/>
    <w:rsid w:val="006C5B54"/>
    <w:rsid w:val="006C5D8B"/>
    <w:rsid w:val="006C5F94"/>
    <w:rsid w:val="006C61F4"/>
    <w:rsid w:val="006C6EC3"/>
    <w:rsid w:val="006C7407"/>
    <w:rsid w:val="006C7874"/>
    <w:rsid w:val="006C7D99"/>
    <w:rsid w:val="006C7FE6"/>
    <w:rsid w:val="006D02AC"/>
    <w:rsid w:val="006D0EAE"/>
    <w:rsid w:val="006D1221"/>
    <w:rsid w:val="006D1303"/>
    <w:rsid w:val="006D1EE6"/>
    <w:rsid w:val="006D26AC"/>
    <w:rsid w:val="006D4B86"/>
    <w:rsid w:val="006D548D"/>
    <w:rsid w:val="006D6D6A"/>
    <w:rsid w:val="006D777D"/>
    <w:rsid w:val="006E04EB"/>
    <w:rsid w:val="006E1A9B"/>
    <w:rsid w:val="006E38D1"/>
    <w:rsid w:val="006E4595"/>
    <w:rsid w:val="006E6020"/>
    <w:rsid w:val="006E78F5"/>
    <w:rsid w:val="006E7C09"/>
    <w:rsid w:val="006F061D"/>
    <w:rsid w:val="006F112B"/>
    <w:rsid w:val="006F13B7"/>
    <w:rsid w:val="006F216D"/>
    <w:rsid w:val="006F25D4"/>
    <w:rsid w:val="006F2F2B"/>
    <w:rsid w:val="006F371C"/>
    <w:rsid w:val="006F4051"/>
    <w:rsid w:val="006F4222"/>
    <w:rsid w:val="006F5551"/>
    <w:rsid w:val="006F5BB0"/>
    <w:rsid w:val="006F5C10"/>
    <w:rsid w:val="006F5DD6"/>
    <w:rsid w:val="006F5DF8"/>
    <w:rsid w:val="006F60E8"/>
    <w:rsid w:val="006F69A3"/>
    <w:rsid w:val="006F7755"/>
    <w:rsid w:val="006F7E52"/>
    <w:rsid w:val="00700707"/>
    <w:rsid w:val="007008C8"/>
    <w:rsid w:val="00700F3D"/>
    <w:rsid w:val="00701299"/>
    <w:rsid w:val="00701DCB"/>
    <w:rsid w:val="00703237"/>
    <w:rsid w:val="00703486"/>
    <w:rsid w:val="0070357F"/>
    <w:rsid w:val="00703824"/>
    <w:rsid w:val="00703955"/>
    <w:rsid w:val="00704402"/>
    <w:rsid w:val="00704538"/>
    <w:rsid w:val="00705468"/>
    <w:rsid w:val="00706B20"/>
    <w:rsid w:val="00706D1E"/>
    <w:rsid w:val="00707F24"/>
    <w:rsid w:val="00711ED9"/>
    <w:rsid w:val="007127E2"/>
    <w:rsid w:val="00712BC9"/>
    <w:rsid w:val="00713904"/>
    <w:rsid w:val="00713B67"/>
    <w:rsid w:val="007157E0"/>
    <w:rsid w:val="00715933"/>
    <w:rsid w:val="00715C9F"/>
    <w:rsid w:val="007161D7"/>
    <w:rsid w:val="007166BD"/>
    <w:rsid w:val="0071677A"/>
    <w:rsid w:val="00717A38"/>
    <w:rsid w:val="00717C8F"/>
    <w:rsid w:val="00717CEB"/>
    <w:rsid w:val="00720EE3"/>
    <w:rsid w:val="00721852"/>
    <w:rsid w:val="00721CFC"/>
    <w:rsid w:val="00721FBE"/>
    <w:rsid w:val="0072348E"/>
    <w:rsid w:val="007237E1"/>
    <w:rsid w:val="00723C35"/>
    <w:rsid w:val="00724532"/>
    <w:rsid w:val="0072529E"/>
    <w:rsid w:val="007258EC"/>
    <w:rsid w:val="00725AA1"/>
    <w:rsid w:val="007265BD"/>
    <w:rsid w:val="007266F8"/>
    <w:rsid w:val="00726BDF"/>
    <w:rsid w:val="00730773"/>
    <w:rsid w:val="00730A18"/>
    <w:rsid w:val="0073119F"/>
    <w:rsid w:val="0073128A"/>
    <w:rsid w:val="00731BBD"/>
    <w:rsid w:val="007327C5"/>
    <w:rsid w:val="00732A3F"/>
    <w:rsid w:val="007337F7"/>
    <w:rsid w:val="00733A6C"/>
    <w:rsid w:val="00733E00"/>
    <w:rsid w:val="007344B2"/>
    <w:rsid w:val="0073466E"/>
    <w:rsid w:val="00734AB8"/>
    <w:rsid w:val="00735033"/>
    <w:rsid w:val="00735600"/>
    <w:rsid w:val="00735715"/>
    <w:rsid w:val="00735A24"/>
    <w:rsid w:val="00735E1F"/>
    <w:rsid w:val="00736B5A"/>
    <w:rsid w:val="00736EDD"/>
    <w:rsid w:val="0073777B"/>
    <w:rsid w:val="00737FE5"/>
    <w:rsid w:val="00740190"/>
    <w:rsid w:val="0074052D"/>
    <w:rsid w:val="007405E9"/>
    <w:rsid w:val="0074077A"/>
    <w:rsid w:val="0074089C"/>
    <w:rsid w:val="00741718"/>
    <w:rsid w:val="007420D9"/>
    <w:rsid w:val="007433D2"/>
    <w:rsid w:val="007438F9"/>
    <w:rsid w:val="00743C21"/>
    <w:rsid w:val="00747650"/>
    <w:rsid w:val="00747B8D"/>
    <w:rsid w:val="00747F1D"/>
    <w:rsid w:val="00750541"/>
    <w:rsid w:val="00751007"/>
    <w:rsid w:val="00751698"/>
    <w:rsid w:val="007517C0"/>
    <w:rsid w:val="007519A8"/>
    <w:rsid w:val="007522FE"/>
    <w:rsid w:val="00752794"/>
    <w:rsid w:val="0075422C"/>
    <w:rsid w:val="00754553"/>
    <w:rsid w:val="0075614F"/>
    <w:rsid w:val="00756682"/>
    <w:rsid w:val="00757BBD"/>
    <w:rsid w:val="00757EFA"/>
    <w:rsid w:val="00760867"/>
    <w:rsid w:val="00760C65"/>
    <w:rsid w:val="00761484"/>
    <w:rsid w:val="0076197B"/>
    <w:rsid w:val="007625E4"/>
    <w:rsid w:val="007629AA"/>
    <w:rsid w:val="00762A0D"/>
    <w:rsid w:val="00763385"/>
    <w:rsid w:val="007633CF"/>
    <w:rsid w:val="007636AC"/>
    <w:rsid w:val="00763C1F"/>
    <w:rsid w:val="00764765"/>
    <w:rsid w:val="00764E24"/>
    <w:rsid w:val="007650A1"/>
    <w:rsid w:val="00765397"/>
    <w:rsid w:val="00765967"/>
    <w:rsid w:val="007663AD"/>
    <w:rsid w:val="007668FA"/>
    <w:rsid w:val="0076703E"/>
    <w:rsid w:val="007673AF"/>
    <w:rsid w:val="007674EE"/>
    <w:rsid w:val="007700DC"/>
    <w:rsid w:val="007713BE"/>
    <w:rsid w:val="0077331E"/>
    <w:rsid w:val="007737C6"/>
    <w:rsid w:val="00775E80"/>
    <w:rsid w:val="00776895"/>
    <w:rsid w:val="00776A4F"/>
    <w:rsid w:val="00777164"/>
    <w:rsid w:val="0078099A"/>
    <w:rsid w:val="00780F16"/>
    <w:rsid w:val="00781B5D"/>
    <w:rsid w:val="00781CD7"/>
    <w:rsid w:val="007827D0"/>
    <w:rsid w:val="0078336C"/>
    <w:rsid w:val="00783906"/>
    <w:rsid w:val="00783B23"/>
    <w:rsid w:val="00783B95"/>
    <w:rsid w:val="00784C69"/>
    <w:rsid w:val="0078513B"/>
    <w:rsid w:val="007856E2"/>
    <w:rsid w:val="00786152"/>
    <w:rsid w:val="0078622E"/>
    <w:rsid w:val="00787196"/>
    <w:rsid w:val="00787A20"/>
    <w:rsid w:val="00790700"/>
    <w:rsid w:val="0079173F"/>
    <w:rsid w:val="00791BB8"/>
    <w:rsid w:val="00791DC6"/>
    <w:rsid w:val="00791F2E"/>
    <w:rsid w:val="0079251C"/>
    <w:rsid w:val="007936D0"/>
    <w:rsid w:val="00793A5C"/>
    <w:rsid w:val="00793C51"/>
    <w:rsid w:val="00794D38"/>
    <w:rsid w:val="007958E5"/>
    <w:rsid w:val="007961F7"/>
    <w:rsid w:val="007965C4"/>
    <w:rsid w:val="00796F90"/>
    <w:rsid w:val="007A0DB2"/>
    <w:rsid w:val="007A0E6B"/>
    <w:rsid w:val="007A2382"/>
    <w:rsid w:val="007A27B0"/>
    <w:rsid w:val="007A2ED7"/>
    <w:rsid w:val="007A2FCB"/>
    <w:rsid w:val="007A30DC"/>
    <w:rsid w:val="007A31CE"/>
    <w:rsid w:val="007A3580"/>
    <w:rsid w:val="007A4A1C"/>
    <w:rsid w:val="007A5146"/>
    <w:rsid w:val="007A56CB"/>
    <w:rsid w:val="007A592B"/>
    <w:rsid w:val="007A5D11"/>
    <w:rsid w:val="007A5D3F"/>
    <w:rsid w:val="007A624D"/>
    <w:rsid w:val="007A6931"/>
    <w:rsid w:val="007B0808"/>
    <w:rsid w:val="007B0C8F"/>
    <w:rsid w:val="007B1643"/>
    <w:rsid w:val="007B1CB8"/>
    <w:rsid w:val="007B2975"/>
    <w:rsid w:val="007B2D20"/>
    <w:rsid w:val="007B3B9B"/>
    <w:rsid w:val="007B5121"/>
    <w:rsid w:val="007B549A"/>
    <w:rsid w:val="007B67A6"/>
    <w:rsid w:val="007B7B7D"/>
    <w:rsid w:val="007C1044"/>
    <w:rsid w:val="007C13E6"/>
    <w:rsid w:val="007C1BC0"/>
    <w:rsid w:val="007C5CEA"/>
    <w:rsid w:val="007C5F53"/>
    <w:rsid w:val="007C64A2"/>
    <w:rsid w:val="007C698B"/>
    <w:rsid w:val="007C72B6"/>
    <w:rsid w:val="007C7379"/>
    <w:rsid w:val="007C745E"/>
    <w:rsid w:val="007D0D9C"/>
    <w:rsid w:val="007D127A"/>
    <w:rsid w:val="007D1FA7"/>
    <w:rsid w:val="007D4701"/>
    <w:rsid w:val="007D55B4"/>
    <w:rsid w:val="007D5606"/>
    <w:rsid w:val="007D72B2"/>
    <w:rsid w:val="007D7C80"/>
    <w:rsid w:val="007E042F"/>
    <w:rsid w:val="007E0B79"/>
    <w:rsid w:val="007E1051"/>
    <w:rsid w:val="007E2231"/>
    <w:rsid w:val="007E23B9"/>
    <w:rsid w:val="007E2EF1"/>
    <w:rsid w:val="007E34A2"/>
    <w:rsid w:val="007E37F7"/>
    <w:rsid w:val="007E3A7E"/>
    <w:rsid w:val="007E3EB8"/>
    <w:rsid w:val="007E5595"/>
    <w:rsid w:val="007E62BF"/>
    <w:rsid w:val="007E684E"/>
    <w:rsid w:val="007E6D1B"/>
    <w:rsid w:val="007E76CC"/>
    <w:rsid w:val="007F104D"/>
    <w:rsid w:val="007F154F"/>
    <w:rsid w:val="007F265A"/>
    <w:rsid w:val="007F2C86"/>
    <w:rsid w:val="007F31CA"/>
    <w:rsid w:val="007F5102"/>
    <w:rsid w:val="007F5337"/>
    <w:rsid w:val="007F57CB"/>
    <w:rsid w:val="007F6A34"/>
    <w:rsid w:val="00800526"/>
    <w:rsid w:val="00800BF7"/>
    <w:rsid w:val="00800C3D"/>
    <w:rsid w:val="00800DCB"/>
    <w:rsid w:val="008021E8"/>
    <w:rsid w:val="00802386"/>
    <w:rsid w:val="00802E27"/>
    <w:rsid w:val="00803094"/>
    <w:rsid w:val="00803898"/>
    <w:rsid w:val="00803DD1"/>
    <w:rsid w:val="0080414E"/>
    <w:rsid w:val="00804565"/>
    <w:rsid w:val="008045CE"/>
    <w:rsid w:val="00804935"/>
    <w:rsid w:val="008056EC"/>
    <w:rsid w:val="00805BE2"/>
    <w:rsid w:val="00805E31"/>
    <w:rsid w:val="00805E70"/>
    <w:rsid w:val="00806338"/>
    <w:rsid w:val="008067DB"/>
    <w:rsid w:val="00810FE3"/>
    <w:rsid w:val="00811E08"/>
    <w:rsid w:val="00812DA5"/>
    <w:rsid w:val="008130A9"/>
    <w:rsid w:val="008148C2"/>
    <w:rsid w:val="00814EB8"/>
    <w:rsid w:val="00814F43"/>
    <w:rsid w:val="00814FA3"/>
    <w:rsid w:val="008151DA"/>
    <w:rsid w:val="00815397"/>
    <w:rsid w:val="00815CDB"/>
    <w:rsid w:val="008162D4"/>
    <w:rsid w:val="00816A7E"/>
    <w:rsid w:val="00816B94"/>
    <w:rsid w:val="00816D47"/>
    <w:rsid w:val="00817D4B"/>
    <w:rsid w:val="00820B86"/>
    <w:rsid w:val="00820E95"/>
    <w:rsid w:val="00821CB4"/>
    <w:rsid w:val="008224A6"/>
    <w:rsid w:val="00822559"/>
    <w:rsid w:val="00823D9F"/>
    <w:rsid w:val="0082627A"/>
    <w:rsid w:val="00826559"/>
    <w:rsid w:val="0082737C"/>
    <w:rsid w:val="008307C9"/>
    <w:rsid w:val="00831F40"/>
    <w:rsid w:val="008322EC"/>
    <w:rsid w:val="008327FF"/>
    <w:rsid w:val="00832F92"/>
    <w:rsid w:val="00834BF2"/>
    <w:rsid w:val="00834FAA"/>
    <w:rsid w:val="00835B10"/>
    <w:rsid w:val="00836346"/>
    <w:rsid w:val="00837AA0"/>
    <w:rsid w:val="00840098"/>
    <w:rsid w:val="00841B74"/>
    <w:rsid w:val="00842662"/>
    <w:rsid w:val="00843177"/>
    <w:rsid w:val="00844683"/>
    <w:rsid w:val="0084495F"/>
    <w:rsid w:val="00844B55"/>
    <w:rsid w:val="00846A59"/>
    <w:rsid w:val="00846AC3"/>
    <w:rsid w:val="00847EB6"/>
    <w:rsid w:val="00851445"/>
    <w:rsid w:val="00852026"/>
    <w:rsid w:val="00852395"/>
    <w:rsid w:val="008524B7"/>
    <w:rsid w:val="00852B85"/>
    <w:rsid w:val="0085312B"/>
    <w:rsid w:val="008533A9"/>
    <w:rsid w:val="00853794"/>
    <w:rsid w:val="00853D13"/>
    <w:rsid w:val="0085463B"/>
    <w:rsid w:val="00854A9C"/>
    <w:rsid w:val="00854B9E"/>
    <w:rsid w:val="008551F2"/>
    <w:rsid w:val="0085597F"/>
    <w:rsid w:val="00855FA8"/>
    <w:rsid w:val="00856A90"/>
    <w:rsid w:val="00856B05"/>
    <w:rsid w:val="00860402"/>
    <w:rsid w:val="0086074F"/>
    <w:rsid w:val="00861512"/>
    <w:rsid w:val="00863343"/>
    <w:rsid w:val="008636F2"/>
    <w:rsid w:val="0086396B"/>
    <w:rsid w:val="008653E3"/>
    <w:rsid w:val="008653EA"/>
    <w:rsid w:val="008668A6"/>
    <w:rsid w:val="00866F0F"/>
    <w:rsid w:val="00866F8D"/>
    <w:rsid w:val="00867B09"/>
    <w:rsid w:val="008702CE"/>
    <w:rsid w:val="00871A32"/>
    <w:rsid w:val="008720FA"/>
    <w:rsid w:val="00872AE3"/>
    <w:rsid w:val="00873498"/>
    <w:rsid w:val="00873583"/>
    <w:rsid w:val="0087404C"/>
    <w:rsid w:val="008742B3"/>
    <w:rsid w:val="00874A52"/>
    <w:rsid w:val="00874B31"/>
    <w:rsid w:val="0087586C"/>
    <w:rsid w:val="00876DE4"/>
    <w:rsid w:val="00877645"/>
    <w:rsid w:val="0087784F"/>
    <w:rsid w:val="00877CBA"/>
    <w:rsid w:val="00880CAA"/>
    <w:rsid w:val="00883200"/>
    <w:rsid w:val="00884761"/>
    <w:rsid w:val="00885B38"/>
    <w:rsid w:val="00886D67"/>
    <w:rsid w:val="008876CF"/>
    <w:rsid w:val="00887FA6"/>
    <w:rsid w:val="00890006"/>
    <w:rsid w:val="00890A56"/>
    <w:rsid w:val="00890C5E"/>
    <w:rsid w:val="00892395"/>
    <w:rsid w:val="008924EE"/>
    <w:rsid w:val="0089264C"/>
    <w:rsid w:val="00892850"/>
    <w:rsid w:val="008938CC"/>
    <w:rsid w:val="00894422"/>
    <w:rsid w:val="008947A6"/>
    <w:rsid w:val="0089605C"/>
    <w:rsid w:val="008967C7"/>
    <w:rsid w:val="00897436"/>
    <w:rsid w:val="00897586"/>
    <w:rsid w:val="00897BE1"/>
    <w:rsid w:val="008A01EB"/>
    <w:rsid w:val="008A0FE3"/>
    <w:rsid w:val="008A28C6"/>
    <w:rsid w:val="008A2C8F"/>
    <w:rsid w:val="008A3C62"/>
    <w:rsid w:val="008A3C77"/>
    <w:rsid w:val="008A423D"/>
    <w:rsid w:val="008A545E"/>
    <w:rsid w:val="008A5649"/>
    <w:rsid w:val="008A59A1"/>
    <w:rsid w:val="008A6096"/>
    <w:rsid w:val="008A6350"/>
    <w:rsid w:val="008A66E8"/>
    <w:rsid w:val="008A68C9"/>
    <w:rsid w:val="008A6F71"/>
    <w:rsid w:val="008B0921"/>
    <w:rsid w:val="008B09DF"/>
    <w:rsid w:val="008B0A69"/>
    <w:rsid w:val="008B0EE2"/>
    <w:rsid w:val="008B1302"/>
    <w:rsid w:val="008B1B35"/>
    <w:rsid w:val="008B1B39"/>
    <w:rsid w:val="008B1E7A"/>
    <w:rsid w:val="008B2AF0"/>
    <w:rsid w:val="008B482A"/>
    <w:rsid w:val="008B4DEB"/>
    <w:rsid w:val="008B5E77"/>
    <w:rsid w:val="008B7F16"/>
    <w:rsid w:val="008C12BC"/>
    <w:rsid w:val="008C1488"/>
    <w:rsid w:val="008C1514"/>
    <w:rsid w:val="008C1522"/>
    <w:rsid w:val="008C18FF"/>
    <w:rsid w:val="008C1C87"/>
    <w:rsid w:val="008C20B3"/>
    <w:rsid w:val="008C2779"/>
    <w:rsid w:val="008C38F5"/>
    <w:rsid w:val="008C39D0"/>
    <w:rsid w:val="008C3D55"/>
    <w:rsid w:val="008C442C"/>
    <w:rsid w:val="008C6A9D"/>
    <w:rsid w:val="008C7974"/>
    <w:rsid w:val="008D0D90"/>
    <w:rsid w:val="008D1C59"/>
    <w:rsid w:val="008D1EDB"/>
    <w:rsid w:val="008D2998"/>
    <w:rsid w:val="008D2C28"/>
    <w:rsid w:val="008D2D58"/>
    <w:rsid w:val="008D3260"/>
    <w:rsid w:val="008D38EB"/>
    <w:rsid w:val="008D3C06"/>
    <w:rsid w:val="008D42DB"/>
    <w:rsid w:val="008D4A54"/>
    <w:rsid w:val="008D5286"/>
    <w:rsid w:val="008D5402"/>
    <w:rsid w:val="008D5C78"/>
    <w:rsid w:val="008D6976"/>
    <w:rsid w:val="008D7060"/>
    <w:rsid w:val="008D7077"/>
    <w:rsid w:val="008D792F"/>
    <w:rsid w:val="008D7CD5"/>
    <w:rsid w:val="008D7F0A"/>
    <w:rsid w:val="008E125C"/>
    <w:rsid w:val="008E2CD3"/>
    <w:rsid w:val="008E2E50"/>
    <w:rsid w:val="008E313A"/>
    <w:rsid w:val="008E3596"/>
    <w:rsid w:val="008E39D8"/>
    <w:rsid w:val="008E48E4"/>
    <w:rsid w:val="008E4E30"/>
    <w:rsid w:val="008E4F30"/>
    <w:rsid w:val="008E5581"/>
    <w:rsid w:val="008E627E"/>
    <w:rsid w:val="008E6BE2"/>
    <w:rsid w:val="008E7243"/>
    <w:rsid w:val="008E7469"/>
    <w:rsid w:val="008F0C7A"/>
    <w:rsid w:val="008F12EF"/>
    <w:rsid w:val="008F21FC"/>
    <w:rsid w:val="008F2474"/>
    <w:rsid w:val="008F30BC"/>
    <w:rsid w:val="008F344D"/>
    <w:rsid w:val="008F4046"/>
    <w:rsid w:val="008F471C"/>
    <w:rsid w:val="008F4990"/>
    <w:rsid w:val="008F5B05"/>
    <w:rsid w:val="008F6C15"/>
    <w:rsid w:val="008F7451"/>
    <w:rsid w:val="008F7BE6"/>
    <w:rsid w:val="008F7C1A"/>
    <w:rsid w:val="0090014B"/>
    <w:rsid w:val="00900B62"/>
    <w:rsid w:val="00901627"/>
    <w:rsid w:val="00901F2F"/>
    <w:rsid w:val="00901FB1"/>
    <w:rsid w:val="009037FF"/>
    <w:rsid w:val="00904897"/>
    <w:rsid w:val="00904A4A"/>
    <w:rsid w:val="00905095"/>
    <w:rsid w:val="0090549C"/>
    <w:rsid w:val="00906165"/>
    <w:rsid w:val="00906D30"/>
    <w:rsid w:val="00910D27"/>
    <w:rsid w:val="00910D53"/>
    <w:rsid w:val="00910D7E"/>
    <w:rsid w:val="00911162"/>
    <w:rsid w:val="009123C1"/>
    <w:rsid w:val="00912A3C"/>
    <w:rsid w:val="00913286"/>
    <w:rsid w:val="00914339"/>
    <w:rsid w:val="00914755"/>
    <w:rsid w:val="00914A79"/>
    <w:rsid w:val="00914D68"/>
    <w:rsid w:val="009150B8"/>
    <w:rsid w:val="009154BC"/>
    <w:rsid w:val="009155BA"/>
    <w:rsid w:val="00916A5E"/>
    <w:rsid w:val="00916B13"/>
    <w:rsid w:val="00916ED5"/>
    <w:rsid w:val="00917495"/>
    <w:rsid w:val="009176E3"/>
    <w:rsid w:val="00920BF4"/>
    <w:rsid w:val="00922A13"/>
    <w:rsid w:val="00923909"/>
    <w:rsid w:val="00923921"/>
    <w:rsid w:val="00923A8A"/>
    <w:rsid w:val="00924AD4"/>
    <w:rsid w:val="00925234"/>
    <w:rsid w:val="00925C84"/>
    <w:rsid w:val="00926D3C"/>
    <w:rsid w:val="009275A6"/>
    <w:rsid w:val="00930B9D"/>
    <w:rsid w:val="00931467"/>
    <w:rsid w:val="00931B4A"/>
    <w:rsid w:val="00931E74"/>
    <w:rsid w:val="009325D7"/>
    <w:rsid w:val="009329F2"/>
    <w:rsid w:val="00932BAC"/>
    <w:rsid w:val="009334CD"/>
    <w:rsid w:val="009336F4"/>
    <w:rsid w:val="0093370A"/>
    <w:rsid w:val="009345C7"/>
    <w:rsid w:val="009347D3"/>
    <w:rsid w:val="00936908"/>
    <w:rsid w:val="00936DBB"/>
    <w:rsid w:val="00937351"/>
    <w:rsid w:val="00937CE9"/>
    <w:rsid w:val="009411EA"/>
    <w:rsid w:val="00941386"/>
    <w:rsid w:val="0094165A"/>
    <w:rsid w:val="00941E1B"/>
    <w:rsid w:val="00942B29"/>
    <w:rsid w:val="009434FE"/>
    <w:rsid w:val="0094351E"/>
    <w:rsid w:val="00943FA2"/>
    <w:rsid w:val="009440E1"/>
    <w:rsid w:val="009445AD"/>
    <w:rsid w:val="009445B3"/>
    <w:rsid w:val="00945831"/>
    <w:rsid w:val="00946407"/>
    <w:rsid w:val="00947230"/>
    <w:rsid w:val="00947652"/>
    <w:rsid w:val="00947974"/>
    <w:rsid w:val="00952961"/>
    <w:rsid w:val="009533A6"/>
    <w:rsid w:val="00953825"/>
    <w:rsid w:val="009541FE"/>
    <w:rsid w:val="009546FA"/>
    <w:rsid w:val="0095490E"/>
    <w:rsid w:val="00956F58"/>
    <w:rsid w:val="00960CE1"/>
    <w:rsid w:val="00960D31"/>
    <w:rsid w:val="00961C90"/>
    <w:rsid w:val="00961FCA"/>
    <w:rsid w:val="00962B85"/>
    <w:rsid w:val="00962E0B"/>
    <w:rsid w:val="00962E2E"/>
    <w:rsid w:val="009640A0"/>
    <w:rsid w:val="009642BE"/>
    <w:rsid w:val="0096502A"/>
    <w:rsid w:val="0096647B"/>
    <w:rsid w:val="00966A6E"/>
    <w:rsid w:val="00967382"/>
    <w:rsid w:val="00967AB6"/>
    <w:rsid w:val="0097015E"/>
    <w:rsid w:val="0097060F"/>
    <w:rsid w:val="0097062C"/>
    <w:rsid w:val="00970925"/>
    <w:rsid w:val="009714F2"/>
    <w:rsid w:val="009715B8"/>
    <w:rsid w:val="00972579"/>
    <w:rsid w:val="00972BD9"/>
    <w:rsid w:val="00973893"/>
    <w:rsid w:val="00973BBA"/>
    <w:rsid w:val="009747A1"/>
    <w:rsid w:val="0097618C"/>
    <w:rsid w:val="00976B7D"/>
    <w:rsid w:val="00977EF7"/>
    <w:rsid w:val="0098052E"/>
    <w:rsid w:val="009830D0"/>
    <w:rsid w:val="00983C7E"/>
    <w:rsid w:val="009843DB"/>
    <w:rsid w:val="0098580E"/>
    <w:rsid w:val="00986C55"/>
    <w:rsid w:val="00986F48"/>
    <w:rsid w:val="0098764B"/>
    <w:rsid w:val="00987E5E"/>
    <w:rsid w:val="00990155"/>
    <w:rsid w:val="00990EB0"/>
    <w:rsid w:val="009920D8"/>
    <w:rsid w:val="00992E1C"/>
    <w:rsid w:val="00994D8D"/>
    <w:rsid w:val="009953C9"/>
    <w:rsid w:val="00996A53"/>
    <w:rsid w:val="00996E55"/>
    <w:rsid w:val="00996FF8"/>
    <w:rsid w:val="00997D75"/>
    <w:rsid w:val="009A0036"/>
    <w:rsid w:val="009A019B"/>
    <w:rsid w:val="009A0D10"/>
    <w:rsid w:val="009A10A3"/>
    <w:rsid w:val="009A11AB"/>
    <w:rsid w:val="009A209C"/>
    <w:rsid w:val="009A21C3"/>
    <w:rsid w:val="009A2975"/>
    <w:rsid w:val="009A3ACA"/>
    <w:rsid w:val="009A4866"/>
    <w:rsid w:val="009A541A"/>
    <w:rsid w:val="009A5742"/>
    <w:rsid w:val="009A6E43"/>
    <w:rsid w:val="009A7B88"/>
    <w:rsid w:val="009B048C"/>
    <w:rsid w:val="009B1611"/>
    <w:rsid w:val="009B3DA0"/>
    <w:rsid w:val="009B45B7"/>
    <w:rsid w:val="009B63B9"/>
    <w:rsid w:val="009B6775"/>
    <w:rsid w:val="009B6E4D"/>
    <w:rsid w:val="009B6F70"/>
    <w:rsid w:val="009B7472"/>
    <w:rsid w:val="009B784B"/>
    <w:rsid w:val="009C0052"/>
    <w:rsid w:val="009C01D5"/>
    <w:rsid w:val="009C0200"/>
    <w:rsid w:val="009C0DFD"/>
    <w:rsid w:val="009C1AA4"/>
    <w:rsid w:val="009C1E0F"/>
    <w:rsid w:val="009C2CF2"/>
    <w:rsid w:val="009C301D"/>
    <w:rsid w:val="009C3257"/>
    <w:rsid w:val="009C3AA9"/>
    <w:rsid w:val="009C3C62"/>
    <w:rsid w:val="009C413F"/>
    <w:rsid w:val="009C42D1"/>
    <w:rsid w:val="009C7623"/>
    <w:rsid w:val="009D1D7F"/>
    <w:rsid w:val="009D38FA"/>
    <w:rsid w:val="009D3A86"/>
    <w:rsid w:val="009D3D72"/>
    <w:rsid w:val="009D4503"/>
    <w:rsid w:val="009D4D68"/>
    <w:rsid w:val="009D7186"/>
    <w:rsid w:val="009D7BE7"/>
    <w:rsid w:val="009E1317"/>
    <w:rsid w:val="009E1E79"/>
    <w:rsid w:val="009E244F"/>
    <w:rsid w:val="009E421D"/>
    <w:rsid w:val="009E4929"/>
    <w:rsid w:val="009E5178"/>
    <w:rsid w:val="009E59FB"/>
    <w:rsid w:val="009E5C9E"/>
    <w:rsid w:val="009E6BA6"/>
    <w:rsid w:val="009E7533"/>
    <w:rsid w:val="009F096D"/>
    <w:rsid w:val="009F0B4C"/>
    <w:rsid w:val="009F10E7"/>
    <w:rsid w:val="009F1396"/>
    <w:rsid w:val="009F1405"/>
    <w:rsid w:val="009F21F9"/>
    <w:rsid w:val="009F2977"/>
    <w:rsid w:val="009F2A0F"/>
    <w:rsid w:val="009F40C2"/>
    <w:rsid w:val="009F4311"/>
    <w:rsid w:val="009F4A89"/>
    <w:rsid w:val="009F556A"/>
    <w:rsid w:val="009F5E1C"/>
    <w:rsid w:val="00A0005C"/>
    <w:rsid w:val="00A00555"/>
    <w:rsid w:val="00A0097E"/>
    <w:rsid w:val="00A00E40"/>
    <w:rsid w:val="00A00F93"/>
    <w:rsid w:val="00A0128A"/>
    <w:rsid w:val="00A048B2"/>
    <w:rsid w:val="00A050B0"/>
    <w:rsid w:val="00A0528A"/>
    <w:rsid w:val="00A05B45"/>
    <w:rsid w:val="00A07425"/>
    <w:rsid w:val="00A07580"/>
    <w:rsid w:val="00A07B2E"/>
    <w:rsid w:val="00A07FA2"/>
    <w:rsid w:val="00A103ED"/>
    <w:rsid w:val="00A11095"/>
    <w:rsid w:val="00A118E0"/>
    <w:rsid w:val="00A11B03"/>
    <w:rsid w:val="00A12467"/>
    <w:rsid w:val="00A126E2"/>
    <w:rsid w:val="00A131FC"/>
    <w:rsid w:val="00A13732"/>
    <w:rsid w:val="00A1494D"/>
    <w:rsid w:val="00A15E71"/>
    <w:rsid w:val="00A175DF"/>
    <w:rsid w:val="00A179A9"/>
    <w:rsid w:val="00A17B37"/>
    <w:rsid w:val="00A17ED9"/>
    <w:rsid w:val="00A20E9B"/>
    <w:rsid w:val="00A21FF7"/>
    <w:rsid w:val="00A2396A"/>
    <w:rsid w:val="00A24323"/>
    <w:rsid w:val="00A248FC"/>
    <w:rsid w:val="00A25448"/>
    <w:rsid w:val="00A25595"/>
    <w:rsid w:val="00A266B3"/>
    <w:rsid w:val="00A269A7"/>
    <w:rsid w:val="00A3059A"/>
    <w:rsid w:val="00A31BD2"/>
    <w:rsid w:val="00A31D0C"/>
    <w:rsid w:val="00A321E5"/>
    <w:rsid w:val="00A322A6"/>
    <w:rsid w:val="00A326AE"/>
    <w:rsid w:val="00A3279E"/>
    <w:rsid w:val="00A32A91"/>
    <w:rsid w:val="00A33A3B"/>
    <w:rsid w:val="00A3409C"/>
    <w:rsid w:val="00A3510D"/>
    <w:rsid w:val="00A35288"/>
    <w:rsid w:val="00A352BC"/>
    <w:rsid w:val="00A36721"/>
    <w:rsid w:val="00A36A2B"/>
    <w:rsid w:val="00A37FAF"/>
    <w:rsid w:val="00A405EE"/>
    <w:rsid w:val="00A40FCE"/>
    <w:rsid w:val="00A414C5"/>
    <w:rsid w:val="00A41BA7"/>
    <w:rsid w:val="00A422E8"/>
    <w:rsid w:val="00A42B8A"/>
    <w:rsid w:val="00A4322B"/>
    <w:rsid w:val="00A43921"/>
    <w:rsid w:val="00A43BBC"/>
    <w:rsid w:val="00A44765"/>
    <w:rsid w:val="00A44C02"/>
    <w:rsid w:val="00A46782"/>
    <w:rsid w:val="00A468A3"/>
    <w:rsid w:val="00A47B71"/>
    <w:rsid w:val="00A5080D"/>
    <w:rsid w:val="00A51B0D"/>
    <w:rsid w:val="00A51C86"/>
    <w:rsid w:val="00A51EC8"/>
    <w:rsid w:val="00A54AD1"/>
    <w:rsid w:val="00A54F15"/>
    <w:rsid w:val="00A54F43"/>
    <w:rsid w:val="00A5517A"/>
    <w:rsid w:val="00A55646"/>
    <w:rsid w:val="00A55884"/>
    <w:rsid w:val="00A57BAE"/>
    <w:rsid w:val="00A604DA"/>
    <w:rsid w:val="00A60CD7"/>
    <w:rsid w:val="00A6153E"/>
    <w:rsid w:val="00A61A13"/>
    <w:rsid w:val="00A61E0C"/>
    <w:rsid w:val="00A61FF6"/>
    <w:rsid w:val="00A63B3E"/>
    <w:rsid w:val="00A64594"/>
    <w:rsid w:val="00A6538B"/>
    <w:rsid w:val="00A6559D"/>
    <w:rsid w:val="00A655B6"/>
    <w:rsid w:val="00A65997"/>
    <w:rsid w:val="00A65E79"/>
    <w:rsid w:val="00A675F0"/>
    <w:rsid w:val="00A70075"/>
    <w:rsid w:val="00A70B36"/>
    <w:rsid w:val="00A70C7F"/>
    <w:rsid w:val="00A70E97"/>
    <w:rsid w:val="00A710DD"/>
    <w:rsid w:val="00A7158B"/>
    <w:rsid w:val="00A71BF5"/>
    <w:rsid w:val="00A7279D"/>
    <w:rsid w:val="00A7360B"/>
    <w:rsid w:val="00A74791"/>
    <w:rsid w:val="00A75552"/>
    <w:rsid w:val="00A76608"/>
    <w:rsid w:val="00A77982"/>
    <w:rsid w:val="00A807B1"/>
    <w:rsid w:val="00A808F9"/>
    <w:rsid w:val="00A810B9"/>
    <w:rsid w:val="00A81670"/>
    <w:rsid w:val="00A820F6"/>
    <w:rsid w:val="00A8363C"/>
    <w:rsid w:val="00A8391B"/>
    <w:rsid w:val="00A847D0"/>
    <w:rsid w:val="00A847DE"/>
    <w:rsid w:val="00A84D3D"/>
    <w:rsid w:val="00A85A33"/>
    <w:rsid w:val="00A876E7"/>
    <w:rsid w:val="00A909D6"/>
    <w:rsid w:val="00A912EB"/>
    <w:rsid w:val="00A913C9"/>
    <w:rsid w:val="00A91AFA"/>
    <w:rsid w:val="00A92386"/>
    <w:rsid w:val="00A93E8C"/>
    <w:rsid w:val="00A94CC4"/>
    <w:rsid w:val="00A95C44"/>
    <w:rsid w:val="00A970BE"/>
    <w:rsid w:val="00AA02E1"/>
    <w:rsid w:val="00AA0709"/>
    <w:rsid w:val="00AA104E"/>
    <w:rsid w:val="00AA157B"/>
    <w:rsid w:val="00AA19A9"/>
    <w:rsid w:val="00AA2784"/>
    <w:rsid w:val="00AA2BB5"/>
    <w:rsid w:val="00AA3160"/>
    <w:rsid w:val="00AA3257"/>
    <w:rsid w:val="00AA4935"/>
    <w:rsid w:val="00AA4BD2"/>
    <w:rsid w:val="00AA4CC4"/>
    <w:rsid w:val="00AA5E7F"/>
    <w:rsid w:val="00AA626F"/>
    <w:rsid w:val="00AA6521"/>
    <w:rsid w:val="00AA686D"/>
    <w:rsid w:val="00AA6ECD"/>
    <w:rsid w:val="00AA7C3A"/>
    <w:rsid w:val="00AA7E07"/>
    <w:rsid w:val="00AB018C"/>
    <w:rsid w:val="00AB0EDE"/>
    <w:rsid w:val="00AB11BA"/>
    <w:rsid w:val="00AB13E9"/>
    <w:rsid w:val="00AB17E8"/>
    <w:rsid w:val="00AB2DB1"/>
    <w:rsid w:val="00AB30FE"/>
    <w:rsid w:val="00AB3461"/>
    <w:rsid w:val="00AB4543"/>
    <w:rsid w:val="00AB4950"/>
    <w:rsid w:val="00AB524A"/>
    <w:rsid w:val="00AB53B8"/>
    <w:rsid w:val="00AB56E8"/>
    <w:rsid w:val="00AB5EEA"/>
    <w:rsid w:val="00AB6063"/>
    <w:rsid w:val="00AB699E"/>
    <w:rsid w:val="00AB6F37"/>
    <w:rsid w:val="00AB7515"/>
    <w:rsid w:val="00AB78DD"/>
    <w:rsid w:val="00AC0263"/>
    <w:rsid w:val="00AC07E3"/>
    <w:rsid w:val="00AC13F2"/>
    <w:rsid w:val="00AC1486"/>
    <w:rsid w:val="00AC4269"/>
    <w:rsid w:val="00AC4EEB"/>
    <w:rsid w:val="00AC5F09"/>
    <w:rsid w:val="00AC6604"/>
    <w:rsid w:val="00AC6D61"/>
    <w:rsid w:val="00AC710E"/>
    <w:rsid w:val="00AD0398"/>
    <w:rsid w:val="00AD112A"/>
    <w:rsid w:val="00AD1A66"/>
    <w:rsid w:val="00AD3008"/>
    <w:rsid w:val="00AD30F9"/>
    <w:rsid w:val="00AD3303"/>
    <w:rsid w:val="00AD3839"/>
    <w:rsid w:val="00AD4597"/>
    <w:rsid w:val="00AD487E"/>
    <w:rsid w:val="00AD5CCA"/>
    <w:rsid w:val="00AD7590"/>
    <w:rsid w:val="00AE0715"/>
    <w:rsid w:val="00AE0C48"/>
    <w:rsid w:val="00AE176D"/>
    <w:rsid w:val="00AE1774"/>
    <w:rsid w:val="00AE2593"/>
    <w:rsid w:val="00AE3400"/>
    <w:rsid w:val="00AE3CCC"/>
    <w:rsid w:val="00AE4628"/>
    <w:rsid w:val="00AE6D0C"/>
    <w:rsid w:val="00AE7680"/>
    <w:rsid w:val="00AE7C1F"/>
    <w:rsid w:val="00AF035B"/>
    <w:rsid w:val="00AF0771"/>
    <w:rsid w:val="00AF1258"/>
    <w:rsid w:val="00AF27A3"/>
    <w:rsid w:val="00AF30D3"/>
    <w:rsid w:val="00AF3A3D"/>
    <w:rsid w:val="00AF4BCF"/>
    <w:rsid w:val="00AF66BD"/>
    <w:rsid w:val="00AF79EA"/>
    <w:rsid w:val="00B00483"/>
    <w:rsid w:val="00B0051D"/>
    <w:rsid w:val="00B0071F"/>
    <w:rsid w:val="00B00C57"/>
    <w:rsid w:val="00B00C8B"/>
    <w:rsid w:val="00B00C94"/>
    <w:rsid w:val="00B012E8"/>
    <w:rsid w:val="00B01811"/>
    <w:rsid w:val="00B01C50"/>
    <w:rsid w:val="00B02253"/>
    <w:rsid w:val="00B0261E"/>
    <w:rsid w:val="00B0277F"/>
    <w:rsid w:val="00B02A9B"/>
    <w:rsid w:val="00B03E52"/>
    <w:rsid w:val="00B04906"/>
    <w:rsid w:val="00B04A96"/>
    <w:rsid w:val="00B053B6"/>
    <w:rsid w:val="00B05890"/>
    <w:rsid w:val="00B06432"/>
    <w:rsid w:val="00B0693C"/>
    <w:rsid w:val="00B06A2C"/>
    <w:rsid w:val="00B07E6E"/>
    <w:rsid w:val="00B07EFE"/>
    <w:rsid w:val="00B10109"/>
    <w:rsid w:val="00B10354"/>
    <w:rsid w:val="00B1052F"/>
    <w:rsid w:val="00B11297"/>
    <w:rsid w:val="00B114F6"/>
    <w:rsid w:val="00B1154F"/>
    <w:rsid w:val="00B11D0D"/>
    <w:rsid w:val="00B11D7F"/>
    <w:rsid w:val="00B12626"/>
    <w:rsid w:val="00B128F4"/>
    <w:rsid w:val="00B1324A"/>
    <w:rsid w:val="00B13506"/>
    <w:rsid w:val="00B160FE"/>
    <w:rsid w:val="00B16813"/>
    <w:rsid w:val="00B16BB3"/>
    <w:rsid w:val="00B16F43"/>
    <w:rsid w:val="00B174AF"/>
    <w:rsid w:val="00B177EE"/>
    <w:rsid w:val="00B20A52"/>
    <w:rsid w:val="00B20C7B"/>
    <w:rsid w:val="00B217CC"/>
    <w:rsid w:val="00B21816"/>
    <w:rsid w:val="00B222F2"/>
    <w:rsid w:val="00B228F8"/>
    <w:rsid w:val="00B23A1D"/>
    <w:rsid w:val="00B242BE"/>
    <w:rsid w:val="00B24404"/>
    <w:rsid w:val="00B24C22"/>
    <w:rsid w:val="00B25546"/>
    <w:rsid w:val="00B2638A"/>
    <w:rsid w:val="00B27050"/>
    <w:rsid w:val="00B30804"/>
    <w:rsid w:val="00B30A7F"/>
    <w:rsid w:val="00B3105D"/>
    <w:rsid w:val="00B32959"/>
    <w:rsid w:val="00B342F1"/>
    <w:rsid w:val="00B35159"/>
    <w:rsid w:val="00B35428"/>
    <w:rsid w:val="00B37E06"/>
    <w:rsid w:val="00B401BB"/>
    <w:rsid w:val="00B40316"/>
    <w:rsid w:val="00B40962"/>
    <w:rsid w:val="00B40C9E"/>
    <w:rsid w:val="00B41B57"/>
    <w:rsid w:val="00B41CFC"/>
    <w:rsid w:val="00B4283B"/>
    <w:rsid w:val="00B43640"/>
    <w:rsid w:val="00B43FC5"/>
    <w:rsid w:val="00B4599C"/>
    <w:rsid w:val="00B45BFB"/>
    <w:rsid w:val="00B45C3B"/>
    <w:rsid w:val="00B4689E"/>
    <w:rsid w:val="00B46C88"/>
    <w:rsid w:val="00B47267"/>
    <w:rsid w:val="00B47732"/>
    <w:rsid w:val="00B47A05"/>
    <w:rsid w:val="00B503D5"/>
    <w:rsid w:val="00B504C0"/>
    <w:rsid w:val="00B50A6E"/>
    <w:rsid w:val="00B5123B"/>
    <w:rsid w:val="00B51441"/>
    <w:rsid w:val="00B52E5C"/>
    <w:rsid w:val="00B53DB3"/>
    <w:rsid w:val="00B5416E"/>
    <w:rsid w:val="00B543ED"/>
    <w:rsid w:val="00B5533C"/>
    <w:rsid w:val="00B567A5"/>
    <w:rsid w:val="00B57530"/>
    <w:rsid w:val="00B61391"/>
    <w:rsid w:val="00B61402"/>
    <w:rsid w:val="00B6169D"/>
    <w:rsid w:val="00B62A99"/>
    <w:rsid w:val="00B6328F"/>
    <w:rsid w:val="00B6354A"/>
    <w:rsid w:val="00B63D4B"/>
    <w:rsid w:val="00B63DD3"/>
    <w:rsid w:val="00B64A73"/>
    <w:rsid w:val="00B653B9"/>
    <w:rsid w:val="00B65862"/>
    <w:rsid w:val="00B65C65"/>
    <w:rsid w:val="00B661F0"/>
    <w:rsid w:val="00B67BFF"/>
    <w:rsid w:val="00B70A16"/>
    <w:rsid w:val="00B70D50"/>
    <w:rsid w:val="00B711CB"/>
    <w:rsid w:val="00B73842"/>
    <w:rsid w:val="00B73A76"/>
    <w:rsid w:val="00B7498F"/>
    <w:rsid w:val="00B7525F"/>
    <w:rsid w:val="00B7565B"/>
    <w:rsid w:val="00B7619B"/>
    <w:rsid w:val="00B766CC"/>
    <w:rsid w:val="00B76BD3"/>
    <w:rsid w:val="00B76BD9"/>
    <w:rsid w:val="00B76C48"/>
    <w:rsid w:val="00B770AF"/>
    <w:rsid w:val="00B805D8"/>
    <w:rsid w:val="00B81589"/>
    <w:rsid w:val="00B81B9E"/>
    <w:rsid w:val="00B823B2"/>
    <w:rsid w:val="00B8253A"/>
    <w:rsid w:val="00B83001"/>
    <w:rsid w:val="00B831AD"/>
    <w:rsid w:val="00B83223"/>
    <w:rsid w:val="00B84415"/>
    <w:rsid w:val="00B8471E"/>
    <w:rsid w:val="00B858BD"/>
    <w:rsid w:val="00B85A0E"/>
    <w:rsid w:val="00B86773"/>
    <w:rsid w:val="00B878EB"/>
    <w:rsid w:val="00B901F6"/>
    <w:rsid w:val="00B90328"/>
    <w:rsid w:val="00B90468"/>
    <w:rsid w:val="00B90546"/>
    <w:rsid w:val="00B91528"/>
    <w:rsid w:val="00B915DA"/>
    <w:rsid w:val="00B918C9"/>
    <w:rsid w:val="00B91F6F"/>
    <w:rsid w:val="00B926CE"/>
    <w:rsid w:val="00B93C7A"/>
    <w:rsid w:val="00B93DD1"/>
    <w:rsid w:val="00B9407E"/>
    <w:rsid w:val="00B94468"/>
    <w:rsid w:val="00B94EA4"/>
    <w:rsid w:val="00B94EF1"/>
    <w:rsid w:val="00B9563F"/>
    <w:rsid w:val="00B95D51"/>
    <w:rsid w:val="00BA017F"/>
    <w:rsid w:val="00BA0D8D"/>
    <w:rsid w:val="00BA16D7"/>
    <w:rsid w:val="00BA24FB"/>
    <w:rsid w:val="00BA29F4"/>
    <w:rsid w:val="00BA3BC7"/>
    <w:rsid w:val="00BA3EF7"/>
    <w:rsid w:val="00BA435A"/>
    <w:rsid w:val="00BA599F"/>
    <w:rsid w:val="00BA5A07"/>
    <w:rsid w:val="00BA5E18"/>
    <w:rsid w:val="00BA7503"/>
    <w:rsid w:val="00BA7522"/>
    <w:rsid w:val="00BA7EF9"/>
    <w:rsid w:val="00BB05D7"/>
    <w:rsid w:val="00BB0F34"/>
    <w:rsid w:val="00BB14A1"/>
    <w:rsid w:val="00BB3A5B"/>
    <w:rsid w:val="00BB3AC8"/>
    <w:rsid w:val="00BB4E36"/>
    <w:rsid w:val="00BB54F1"/>
    <w:rsid w:val="00BB5612"/>
    <w:rsid w:val="00BB6564"/>
    <w:rsid w:val="00BB69BA"/>
    <w:rsid w:val="00BB6F1D"/>
    <w:rsid w:val="00BB7B6C"/>
    <w:rsid w:val="00BB7BE1"/>
    <w:rsid w:val="00BB7DA9"/>
    <w:rsid w:val="00BC042D"/>
    <w:rsid w:val="00BC0A91"/>
    <w:rsid w:val="00BC0D22"/>
    <w:rsid w:val="00BC1206"/>
    <w:rsid w:val="00BC1787"/>
    <w:rsid w:val="00BC17FB"/>
    <w:rsid w:val="00BC2169"/>
    <w:rsid w:val="00BC2F82"/>
    <w:rsid w:val="00BC3162"/>
    <w:rsid w:val="00BC46F5"/>
    <w:rsid w:val="00BC48C1"/>
    <w:rsid w:val="00BC5713"/>
    <w:rsid w:val="00BC5EA8"/>
    <w:rsid w:val="00BC6A80"/>
    <w:rsid w:val="00BC7AA0"/>
    <w:rsid w:val="00BC7B0D"/>
    <w:rsid w:val="00BD05DF"/>
    <w:rsid w:val="00BD08C1"/>
    <w:rsid w:val="00BD0E3A"/>
    <w:rsid w:val="00BD0F24"/>
    <w:rsid w:val="00BD1275"/>
    <w:rsid w:val="00BD1E04"/>
    <w:rsid w:val="00BD365E"/>
    <w:rsid w:val="00BD3C3C"/>
    <w:rsid w:val="00BD492D"/>
    <w:rsid w:val="00BD5392"/>
    <w:rsid w:val="00BD591D"/>
    <w:rsid w:val="00BD5BCA"/>
    <w:rsid w:val="00BD6956"/>
    <w:rsid w:val="00BD76C5"/>
    <w:rsid w:val="00BD79E0"/>
    <w:rsid w:val="00BD7BA6"/>
    <w:rsid w:val="00BE13FE"/>
    <w:rsid w:val="00BE1464"/>
    <w:rsid w:val="00BE182A"/>
    <w:rsid w:val="00BE183D"/>
    <w:rsid w:val="00BE18BE"/>
    <w:rsid w:val="00BE360E"/>
    <w:rsid w:val="00BE3D02"/>
    <w:rsid w:val="00BE3D29"/>
    <w:rsid w:val="00BE433F"/>
    <w:rsid w:val="00BE4820"/>
    <w:rsid w:val="00BE4FA7"/>
    <w:rsid w:val="00BE50DD"/>
    <w:rsid w:val="00BE55D4"/>
    <w:rsid w:val="00BE5BEA"/>
    <w:rsid w:val="00BE5FDE"/>
    <w:rsid w:val="00BE7098"/>
    <w:rsid w:val="00BE775F"/>
    <w:rsid w:val="00BF01EB"/>
    <w:rsid w:val="00BF0218"/>
    <w:rsid w:val="00BF044E"/>
    <w:rsid w:val="00BF0BDE"/>
    <w:rsid w:val="00BF1618"/>
    <w:rsid w:val="00BF2040"/>
    <w:rsid w:val="00BF2F4D"/>
    <w:rsid w:val="00BF3DDD"/>
    <w:rsid w:val="00BF50C5"/>
    <w:rsid w:val="00BF5316"/>
    <w:rsid w:val="00BF615B"/>
    <w:rsid w:val="00BF7A06"/>
    <w:rsid w:val="00BF7F8D"/>
    <w:rsid w:val="00C00487"/>
    <w:rsid w:val="00C01A68"/>
    <w:rsid w:val="00C01AC6"/>
    <w:rsid w:val="00C020A2"/>
    <w:rsid w:val="00C03E7E"/>
    <w:rsid w:val="00C04BD4"/>
    <w:rsid w:val="00C05B01"/>
    <w:rsid w:val="00C06C9A"/>
    <w:rsid w:val="00C104BE"/>
    <w:rsid w:val="00C109FF"/>
    <w:rsid w:val="00C10F66"/>
    <w:rsid w:val="00C1172D"/>
    <w:rsid w:val="00C119A6"/>
    <w:rsid w:val="00C11A6B"/>
    <w:rsid w:val="00C12894"/>
    <w:rsid w:val="00C12961"/>
    <w:rsid w:val="00C12ACE"/>
    <w:rsid w:val="00C13291"/>
    <w:rsid w:val="00C139D3"/>
    <w:rsid w:val="00C15A14"/>
    <w:rsid w:val="00C16707"/>
    <w:rsid w:val="00C171FD"/>
    <w:rsid w:val="00C20A67"/>
    <w:rsid w:val="00C21F02"/>
    <w:rsid w:val="00C22747"/>
    <w:rsid w:val="00C238A0"/>
    <w:rsid w:val="00C23928"/>
    <w:rsid w:val="00C250A6"/>
    <w:rsid w:val="00C26598"/>
    <w:rsid w:val="00C2671D"/>
    <w:rsid w:val="00C26F32"/>
    <w:rsid w:val="00C277BB"/>
    <w:rsid w:val="00C30B90"/>
    <w:rsid w:val="00C30FEC"/>
    <w:rsid w:val="00C31C8F"/>
    <w:rsid w:val="00C337E2"/>
    <w:rsid w:val="00C3428E"/>
    <w:rsid w:val="00C342A5"/>
    <w:rsid w:val="00C345A2"/>
    <w:rsid w:val="00C34AD1"/>
    <w:rsid w:val="00C34C9C"/>
    <w:rsid w:val="00C35C7B"/>
    <w:rsid w:val="00C35D42"/>
    <w:rsid w:val="00C36306"/>
    <w:rsid w:val="00C367DC"/>
    <w:rsid w:val="00C36A62"/>
    <w:rsid w:val="00C37223"/>
    <w:rsid w:val="00C37344"/>
    <w:rsid w:val="00C40FAC"/>
    <w:rsid w:val="00C41707"/>
    <w:rsid w:val="00C41B25"/>
    <w:rsid w:val="00C42020"/>
    <w:rsid w:val="00C4232F"/>
    <w:rsid w:val="00C42F2B"/>
    <w:rsid w:val="00C43744"/>
    <w:rsid w:val="00C438FE"/>
    <w:rsid w:val="00C43C2F"/>
    <w:rsid w:val="00C44164"/>
    <w:rsid w:val="00C444E4"/>
    <w:rsid w:val="00C452F5"/>
    <w:rsid w:val="00C45EDF"/>
    <w:rsid w:val="00C47D29"/>
    <w:rsid w:val="00C502BE"/>
    <w:rsid w:val="00C51CC6"/>
    <w:rsid w:val="00C51D0A"/>
    <w:rsid w:val="00C53A12"/>
    <w:rsid w:val="00C53F70"/>
    <w:rsid w:val="00C558E1"/>
    <w:rsid w:val="00C55FCD"/>
    <w:rsid w:val="00C56507"/>
    <w:rsid w:val="00C56B3D"/>
    <w:rsid w:val="00C56E8F"/>
    <w:rsid w:val="00C574D2"/>
    <w:rsid w:val="00C601AE"/>
    <w:rsid w:val="00C61C51"/>
    <w:rsid w:val="00C62135"/>
    <w:rsid w:val="00C62232"/>
    <w:rsid w:val="00C627CE"/>
    <w:rsid w:val="00C631E1"/>
    <w:rsid w:val="00C632C7"/>
    <w:rsid w:val="00C634AE"/>
    <w:rsid w:val="00C63EFE"/>
    <w:rsid w:val="00C63FA7"/>
    <w:rsid w:val="00C642DD"/>
    <w:rsid w:val="00C64DFF"/>
    <w:rsid w:val="00C64F9C"/>
    <w:rsid w:val="00C652B7"/>
    <w:rsid w:val="00C652E2"/>
    <w:rsid w:val="00C66646"/>
    <w:rsid w:val="00C67AF8"/>
    <w:rsid w:val="00C70134"/>
    <w:rsid w:val="00C7021E"/>
    <w:rsid w:val="00C7103C"/>
    <w:rsid w:val="00C72037"/>
    <w:rsid w:val="00C726AB"/>
    <w:rsid w:val="00C732AF"/>
    <w:rsid w:val="00C7442D"/>
    <w:rsid w:val="00C747E0"/>
    <w:rsid w:val="00C74F97"/>
    <w:rsid w:val="00C75BD1"/>
    <w:rsid w:val="00C75E3E"/>
    <w:rsid w:val="00C7667C"/>
    <w:rsid w:val="00C76702"/>
    <w:rsid w:val="00C76711"/>
    <w:rsid w:val="00C76ABB"/>
    <w:rsid w:val="00C775E2"/>
    <w:rsid w:val="00C80B18"/>
    <w:rsid w:val="00C80B23"/>
    <w:rsid w:val="00C816FC"/>
    <w:rsid w:val="00C81BCF"/>
    <w:rsid w:val="00C81BF4"/>
    <w:rsid w:val="00C81E87"/>
    <w:rsid w:val="00C82E24"/>
    <w:rsid w:val="00C83AE3"/>
    <w:rsid w:val="00C83E16"/>
    <w:rsid w:val="00C84255"/>
    <w:rsid w:val="00C842C6"/>
    <w:rsid w:val="00C84AA7"/>
    <w:rsid w:val="00C8562D"/>
    <w:rsid w:val="00C85C24"/>
    <w:rsid w:val="00C86515"/>
    <w:rsid w:val="00C8705A"/>
    <w:rsid w:val="00C87733"/>
    <w:rsid w:val="00C87891"/>
    <w:rsid w:val="00C87EDF"/>
    <w:rsid w:val="00C905D0"/>
    <w:rsid w:val="00C907E0"/>
    <w:rsid w:val="00C9157A"/>
    <w:rsid w:val="00C9258F"/>
    <w:rsid w:val="00C92802"/>
    <w:rsid w:val="00C9294B"/>
    <w:rsid w:val="00C93658"/>
    <w:rsid w:val="00C93CC0"/>
    <w:rsid w:val="00C93E59"/>
    <w:rsid w:val="00C955B2"/>
    <w:rsid w:val="00C95F71"/>
    <w:rsid w:val="00C9619C"/>
    <w:rsid w:val="00C96751"/>
    <w:rsid w:val="00C97DEB"/>
    <w:rsid w:val="00CA06EF"/>
    <w:rsid w:val="00CA1047"/>
    <w:rsid w:val="00CA1247"/>
    <w:rsid w:val="00CA3056"/>
    <w:rsid w:val="00CA3D81"/>
    <w:rsid w:val="00CA4A1F"/>
    <w:rsid w:val="00CA5043"/>
    <w:rsid w:val="00CA5697"/>
    <w:rsid w:val="00CA56C1"/>
    <w:rsid w:val="00CA5BE3"/>
    <w:rsid w:val="00CA68FD"/>
    <w:rsid w:val="00CA7ECD"/>
    <w:rsid w:val="00CB01DA"/>
    <w:rsid w:val="00CB0690"/>
    <w:rsid w:val="00CB06F4"/>
    <w:rsid w:val="00CB1281"/>
    <w:rsid w:val="00CB13B4"/>
    <w:rsid w:val="00CB16A3"/>
    <w:rsid w:val="00CB2277"/>
    <w:rsid w:val="00CB22B3"/>
    <w:rsid w:val="00CB2832"/>
    <w:rsid w:val="00CB2891"/>
    <w:rsid w:val="00CB2A4F"/>
    <w:rsid w:val="00CB36EB"/>
    <w:rsid w:val="00CB38E7"/>
    <w:rsid w:val="00CB3CA2"/>
    <w:rsid w:val="00CB41FB"/>
    <w:rsid w:val="00CB4363"/>
    <w:rsid w:val="00CB462C"/>
    <w:rsid w:val="00CB4E51"/>
    <w:rsid w:val="00CB627F"/>
    <w:rsid w:val="00CB66A2"/>
    <w:rsid w:val="00CB6FBB"/>
    <w:rsid w:val="00CB7119"/>
    <w:rsid w:val="00CB7166"/>
    <w:rsid w:val="00CB7CD9"/>
    <w:rsid w:val="00CC01D6"/>
    <w:rsid w:val="00CC0B97"/>
    <w:rsid w:val="00CC175E"/>
    <w:rsid w:val="00CC1C95"/>
    <w:rsid w:val="00CC265C"/>
    <w:rsid w:val="00CC528E"/>
    <w:rsid w:val="00CC66C4"/>
    <w:rsid w:val="00CC6D6E"/>
    <w:rsid w:val="00CC7A1D"/>
    <w:rsid w:val="00CD0BDB"/>
    <w:rsid w:val="00CD12C6"/>
    <w:rsid w:val="00CD13AA"/>
    <w:rsid w:val="00CD156A"/>
    <w:rsid w:val="00CD2537"/>
    <w:rsid w:val="00CD3332"/>
    <w:rsid w:val="00CD33A2"/>
    <w:rsid w:val="00CD33FE"/>
    <w:rsid w:val="00CD3754"/>
    <w:rsid w:val="00CD3B01"/>
    <w:rsid w:val="00CD3B10"/>
    <w:rsid w:val="00CD4098"/>
    <w:rsid w:val="00CD4157"/>
    <w:rsid w:val="00CD4302"/>
    <w:rsid w:val="00CD4438"/>
    <w:rsid w:val="00CD57D1"/>
    <w:rsid w:val="00CD5875"/>
    <w:rsid w:val="00CD5F40"/>
    <w:rsid w:val="00CD654D"/>
    <w:rsid w:val="00CD708E"/>
    <w:rsid w:val="00CD73A2"/>
    <w:rsid w:val="00CD73EB"/>
    <w:rsid w:val="00CD769C"/>
    <w:rsid w:val="00CD793D"/>
    <w:rsid w:val="00CE07AE"/>
    <w:rsid w:val="00CE116E"/>
    <w:rsid w:val="00CE15F4"/>
    <w:rsid w:val="00CE16B1"/>
    <w:rsid w:val="00CE20DD"/>
    <w:rsid w:val="00CE2569"/>
    <w:rsid w:val="00CE2C10"/>
    <w:rsid w:val="00CE3401"/>
    <w:rsid w:val="00CE3566"/>
    <w:rsid w:val="00CE391C"/>
    <w:rsid w:val="00CE427F"/>
    <w:rsid w:val="00CE4DA4"/>
    <w:rsid w:val="00CE5293"/>
    <w:rsid w:val="00CE5303"/>
    <w:rsid w:val="00CE6C76"/>
    <w:rsid w:val="00CE716F"/>
    <w:rsid w:val="00CE7B6A"/>
    <w:rsid w:val="00CF029E"/>
    <w:rsid w:val="00CF093F"/>
    <w:rsid w:val="00CF0D54"/>
    <w:rsid w:val="00CF0F12"/>
    <w:rsid w:val="00CF3345"/>
    <w:rsid w:val="00CF3518"/>
    <w:rsid w:val="00CF353E"/>
    <w:rsid w:val="00CF39CB"/>
    <w:rsid w:val="00CF40C9"/>
    <w:rsid w:val="00CF4728"/>
    <w:rsid w:val="00CF4A5D"/>
    <w:rsid w:val="00CF540F"/>
    <w:rsid w:val="00CF61D4"/>
    <w:rsid w:val="00CF715A"/>
    <w:rsid w:val="00D00565"/>
    <w:rsid w:val="00D01235"/>
    <w:rsid w:val="00D01412"/>
    <w:rsid w:val="00D018AF"/>
    <w:rsid w:val="00D019DE"/>
    <w:rsid w:val="00D03B5C"/>
    <w:rsid w:val="00D04153"/>
    <w:rsid w:val="00D04691"/>
    <w:rsid w:val="00D04F4B"/>
    <w:rsid w:val="00D050E4"/>
    <w:rsid w:val="00D071ED"/>
    <w:rsid w:val="00D07CC9"/>
    <w:rsid w:val="00D07D7A"/>
    <w:rsid w:val="00D1258C"/>
    <w:rsid w:val="00D12A1A"/>
    <w:rsid w:val="00D1303F"/>
    <w:rsid w:val="00D130A0"/>
    <w:rsid w:val="00D13DFD"/>
    <w:rsid w:val="00D144C7"/>
    <w:rsid w:val="00D145EA"/>
    <w:rsid w:val="00D150A4"/>
    <w:rsid w:val="00D1547E"/>
    <w:rsid w:val="00D15514"/>
    <w:rsid w:val="00D15F21"/>
    <w:rsid w:val="00D162B6"/>
    <w:rsid w:val="00D164C1"/>
    <w:rsid w:val="00D16585"/>
    <w:rsid w:val="00D16856"/>
    <w:rsid w:val="00D16DF7"/>
    <w:rsid w:val="00D172F6"/>
    <w:rsid w:val="00D20CD0"/>
    <w:rsid w:val="00D22FD4"/>
    <w:rsid w:val="00D23609"/>
    <w:rsid w:val="00D24622"/>
    <w:rsid w:val="00D3011B"/>
    <w:rsid w:val="00D30206"/>
    <w:rsid w:val="00D3047E"/>
    <w:rsid w:val="00D30D61"/>
    <w:rsid w:val="00D30D8D"/>
    <w:rsid w:val="00D32347"/>
    <w:rsid w:val="00D32629"/>
    <w:rsid w:val="00D32D7C"/>
    <w:rsid w:val="00D352CB"/>
    <w:rsid w:val="00D35BD6"/>
    <w:rsid w:val="00D363D6"/>
    <w:rsid w:val="00D40C25"/>
    <w:rsid w:val="00D41D12"/>
    <w:rsid w:val="00D43F77"/>
    <w:rsid w:val="00D4412A"/>
    <w:rsid w:val="00D45240"/>
    <w:rsid w:val="00D459DF"/>
    <w:rsid w:val="00D466D7"/>
    <w:rsid w:val="00D47106"/>
    <w:rsid w:val="00D4783F"/>
    <w:rsid w:val="00D502D8"/>
    <w:rsid w:val="00D529EE"/>
    <w:rsid w:val="00D53696"/>
    <w:rsid w:val="00D53C0D"/>
    <w:rsid w:val="00D54877"/>
    <w:rsid w:val="00D55E04"/>
    <w:rsid w:val="00D57356"/>
    <w:rsid w:val="00D57D4E"/>
    <w:rsid w:val="00D60806"/>
    <w:rsid w:val="00D610A0"/>
    <w:rsid w:val="00D610CC"/>
    <w:rsid w:val="00D6141D"/>
    <w:rsid w:val="00D61606"/>
    <w:rsid w:val="00D618DA"/>
    <w:rsid w:val="00D61F64"/>
    <w:rsid w:val="00D62F27"/>
    <w:rsid w:val="00D637A7"/>
    <w:rsid w:val="00D63D49"/>
    <w:rsid w:val="00D63F4E"/>
    <w:rsid w:val="00D66551"/>
    <w:rsid w:val="00D669DE"/>
    <w:rsid w:val="00D67518"/>
    <w:rsid w:val="00D676B7"/>
    <w:rsid w:val="00D731B0"/>
    <w:rsid w:val="00D7329C"/>
    <w:rsid w:val="00D73A1F"/>
    <w:rsid w:val="00D743FD"/>
    <w:rsid w:val="00D74509"/>
    <w:rsid w:val="00D74CF1"/>
    <w:rsid w:val="00D75136"/>
    <w:rsid w:val="00D75E87"/>
    <w:rsid w:val="00D760FE"/>
    <w:rsid w:val="00D761F6"/>
    <w:rsid w:val="00D76695"/>
    <w:rsid w:val="00D76AFB"/>
    <w:rsid w:val="00D77F35"/>
    <w:rsid w:val="00D81640"/>
    <w:rsid w:val="00D830B3"/>
    <w:rsid w:val="00D83EFF"/>
    <w:rsid w:val="00D85831"/>
    <w:rsid w:val="00D85975"/>
    <w:rsid w:val="00D864A3"/>
    <w:rsid w:val="00D86CC3"/>
    <w:rsid w:val="00D86D4B"/>
    <w:rsid w:val="00D86F98"/>
    <w:rsid w:val="00D87022"/>
    <w:rsid w:val="00D8747D"/>
    <w:rsid w:val="00D87646"/>
    <w:rsid w:val="00D87833"/>
    <w:rsid w:val="00D90192"/>
    <w:rsid w:val="00D90418"/>
    <w:rsid w:val="00D90491"/>
    <w:rsid w:val="00D91591"/>
    <w:rsid w:val="00D91C44"/>
    <w:rsid w:val="00D92364"/>
    <w:rsid w:val="00D92F40"/>
    <w:rsid w:val="00D932CC"/>
    <w:rsid w:val="00D94951"/>
    <w:rsid w:val="00D9506D"/>
    <w:rsid w:val="00D95B31"/>
    <w:rsid w:val="00D96513"/>
    <w:rsid w:val="00D96764"/>
    <w:rsid w:val="00D97B03"/>
    <w:rsid w:val="00DA069D"/>
    <w:rsid w:val="00DA2AD9"/>
    <w:rsid w:val="00DA2C48"/>
    <w:rsid w:val="00DA2DE8"/>
    <w:rsid w:val="00DA2F2A"/>
    <w:rsid w:val="00DA3474"/>
    <w:rsid w:val="00DA4918"/>
    <w:rsid w:val="00DA54CE"/>
    <w:rsid w:val="00DA5868"/>
    <w:rsid w:val="00DA5D2A"/>
    <w:rsid w:val="00DA6D71"/>
    <w:rsid w:val="00DA6FC1"/>
    <w:rsid w:val="00DA772C"/>
    <w:rsid w:val="00DA7DE9"/>
    <w:rsid w:val="00DB013B"/>
    <w:rsid w:val="00DB023C"/>
    <w:rsid w:val="00DB1552"/>
    <w:rsid w:val="00DB1FF0"/>
    <w:rsid w:val="00DB274D"/>
    <w:rsid w:val="00DB3597"/>
    <w:rsid w:val="00DB3C67"/>
    <w:rsid w:val="00DB5108"/>
    <w:rsid w:val="00DB5F49"/>
    <w:rsid w:val="00DB677B"/>
    <w:rsid w:val="00DC0C12"/>
    <w:rsid w:val="00DC1F17"/>
    <w:rsid w:val="00DC448D"/>
    <w:rsid w:val="00DC5084"/>
    <w:rsid w:val="00DC5465"/>
    <w:rsid w:val="00DC614C"/>
    <w:rsid w:val="00DC6D92"/>
    <w:rsid w:val="00DC71A5"/>
    <w:rsid w:val="00DD0800"/>
    <w:rsid w:val="00DD0EE3"/>
    <w:rsid w:val="00DD1542"/>
    <w:rsid w:val="00DD1C69"/>
    <w:rsid w:val="00DD2ABA"/>
    <w:rsid w:val="00DD3209"/>
    <w:rsid w:val="00DD3526"/>
    <w:rsid w:val="00DD4AED"/>
    <w:rsid w:val="00DD5740"/>
    <w:rsid w:val="00DD68C9"/>
    <w:rsid w:val="00DD6D8B"/>
    <w:rsid w:val="00DD7388"/>
    <w:rsid w:val="00DD7CB9"/>
    <w:rsid w:val="00DE03FE"/>
    <w:rsid w:val="00DE0ED7"/>
    <w:rsid w:val="00DE1FAA"/>
    <w:rsid w:val="00DE2072"/>
    <w:rsid w:val="00DE3436"/>
    <w:rsid w:val="00DE48B0"/>
    <w:rsid w:val="00DE4C53"/>
    <w:rsid w:val="00DE4DF4"/>
    <w:rsid w:val="00DE4E26"/>
    <w:rsid w:val="00DE6C48"/>
    <w:rsid w:val="00DE794A"/>
    <w:rsid w:val="00DF097B"/>
    <w:rsid w:val="00DF1DCB"/>
    <w:rsid w:val="00DF1E0E"/>
    <w:rsid w:val="00DF27C5"/>
    <w:rsid w:val="00DF32BE"/>
    <w:rsid w:val="00DF4E44"/>
    <w:rsid w:val="00DF64AB"/>
    <w:rsid w:val="00E01D44"/>
    <w:rsid w:val="00E041F8"/>
    <w:rsid w:val="00E04AA0"/>
    <w:rsid w:val="00E055A6"/>
    <w:rsid w:val="00E05B81"/>
    <w:rsid w:val="00E0657D"/>
    <w:rsid w:val="00E06DC1"/>
    <w:rsid w:val="00E06FD5"/>
    <w:rsid w:val="00E079B1"/>
    <w:rsid w:val="00E07E20"/>
    <w:rsid w:val="00E07E97"/>
    <w:rsid w:val="00E1140A"/>
    <w:rsid w:val="00E114D7"/>
    <w:rsid w:val="00E11FF1"/>
    <w:rsid w:val="00E12CDB"/>
    <w:rsid w:val="00E138E1"/>
    <w:rsid w:val="00E13D80"/>
    <w:rsid w:val="00E1420A"/>
    <w:rsid w:val="00E15345"/>
    <w:rsid w:val="00E159C6"/>
    <w:rsid w:val="00E15A67"/>
    <w:rsid w:val="00E169AA"/>
    <w:rsid w:val="00E172C3"/>
    <w:rsid w:val="00E17AA4"/>
    <w:rsid w:val="00E17BB8"/>
    <w:rsid w:val="00E22BED"/>
    <w:rsid w:val="00E22D40"/>
    <w:rsid w:val="00E23C6F"/>
    <w:rsid w:val="00E24766"/>
    <w:rsid w:val="00E24E4A"/>
    <w:rsid w:val="00E25327"/>
    <w:rsid w:val="00E25917"/>
    <w:rsid w:val="00E26596"/>
    <w:rsid w:val="00E266A5"/>
    <w:rsid w:val="00E279C0"/>
    <w:rsid w:val="00E27FD3"/>
    <w:rsid w:val="00E31715"/>
    <w:rsid w:val="00E3340D"/>
    <w:rsid w:val="00E33999"/>
    <w:rsid w:val="00E33B39"/>
    <w:rsid w:val="00E340DB"/>
    <w:rsid w:val="00E343A6"/>
    <w:rsid w:val="00E35514"/>
    <w:rsid w:val="00E359F1"/>
    <w:rsid w:val="00E35CD0"/>
    <w:rsid w:val="00E3658D"/>
    <w:rsid w:val="00E3664C"/>
    <w:rsid w:val="00E3695F"/>
    <w:rsid w:val="00E407D1"/>
    <w:rsid w:val="00E409C9"/>
    <w:rsid w:val="00E40CC7"/>
    <w:rsid w:val="00E42F0A"/>
    <w:rsid w:val="00E43507"/>
    <w:rsid w:val="00E4414E"/>
    <w:rsid w:val="00E44B11"/>
    <w:rsid w:val="00E44B81"/>
    <w:rsid w:val="00E458B4"/>
    <w:rsid w:val="00E46FFA"/>
    <w:rsid w:val="00E47F0F"/>
    <w:rsid w:val="00E5024A"/>
    <w:rsid w:val="00E50AC0"/>
    <w:rsid w:val="00E51846"/>
    <w:rsid w:val="00E51F5A"/>
    <w:rsid w:val="00E52609"/>
    <w:rsid w:val="00E53427"/>
    <w:rsid w:val="00E53F26"/>
    <w:rsid w:val="00E54AB8"/>
    <w:rsid w:val="00E55B0A"/>
    <w:rsid w:val="00E55CA5"/>
    <w:rsid w:val="00E56D04"/>
    <w:rsid w:val="00E5709D"/>
    <w:rsid w:val="00E5789A"/>
    <w:rsid w:val="00E6016F"/>
    <w:rsid w:val="00E6022E"/>
    <w:rsid w:val="00E6043A"/>
    <w:rsid w:val="00E62021"/>
    <w:rsid w:val="00E628AA"/>
    <w:rsid w:val="00E629D4"/>
    <w:rsid w:val="00E62B2C"/>
    <w:rsid w:val="00E63909"/>
    <w:rsid w:val="00E63A2C"/>
    <w:rsid w:val="00E64B03"/>
    <w:rsid w:val="00E64BAE"/>
    <w:rsid w:val="00E65375"/>
    <w:rsid w:val="00E6602B"/>
    <w:rsid w:val="00E660DE"/>
    <w:rsid w:val="00E66404"/>
    <w:rsid w:val="00E669F1"/>
    <w:rsid w:val="00E66D49"/>
    <w:rsid w:val="00E675E7"/>
    <w:rsid w:val="00E67AB2"/>
    <w:rsid w:val="00E67C43"/>
    <w:rsid w:val="00E700DA"/>
    <w:rsid w:val="00E700F4"/>
    <w:rsid w:val="00E7158A"/>
    <w:rsid w:val="00E72ABF"/>
    <w:rsid w:val="00E7357D"/>
    <w:rsid w:val="00E736C5"/>
    <w:rsid w:val="00E74E9B"/>
    <w:rsid w:val="00E756AB"/>
    <w:rsid w:val="00E756ED"/>
    <w:rsid w:val="00E760D9"/>
    <w:rsid w:val="00E76A06"/>
    <w:rsid w:val="00E76F09"/>
    <w:rsid w:val="00E77332"/>
    <w:rsid w:val="00E81373"/>
    <w:rsid w:val="00E81525"/>
    <w:rsid w:val="00E81FCF"/>
    <w:rsid w:val="00E82338"/>
    <w:rsid w:val="00E828E2"/>
    <w:rsid w:val="00E83016"/>
    <w:rsid w:val="00E830FA"/>
    <w:rsid w:val="00E837AC"/>
    <w:rsid w:val="00E83D2A"/>
    <w:rsid w:val="00E847A5"/>
    <w:rsid w:val="00E849CB"/>
    <w:rsid w:val="00E84CA6"/>
    <w:rsid w:val="00E85AAF"/>
    <w:rsid w:val="00E86212"/>
    <w:rsid w:val="00E8632B"/>
    <w:rsid w:val="00E91DFA"/>
    <w:rsid w:val="00E91FB0"/>
    <w:rsid w:val="00E92CDF"/>
    <w:rsid w:val="00E930F6"/>
    <w:rsid w:val="00E94524"/>
    <w:rsid w:val="00E94AB8"/>
    <w:rsid w:val="00E94D09"/>
    <w:rsid w:val="00E94F25"/>
    <w:rsid w:val="00E95425"/>
    <w:rsid w:val="00E9672F"/>
    <w:rsid w:val="00E96FCB"/>
    <w:rsid w:val="00E9739A"/>
    <w:rsid w:val="00E973AB"/>
    <w:rsid w:val="00E97D50"/>
    <w:rsid w:val="00E97EA8"/>
    <w:rsid w:val="00EA2DA9"/>
    <w:rsid w:val="00EA2DFC"/>
    <w:rsid w:val="00EA2E14"/>
    <w:rsid w:val="00EA2F5D"/>
    <w:rsid w:val="00EA2FF0"/>
    <w:rsid w:val="00EA3919"/>
    <w:rsid w:val="00EA3F14"/>
    <w:rsid w:val="00EA3FEA"/>
    <w:rsid w:val="00EA4373"/>
    <w:rsid w:val="00EA4A6C"/>
    <w:rsid w:val="00EA56DA"/>
    <w:rsid w:val="00EA5A8E"/>
    <w:rsid w:val="00EA680C"/>
    <w:rsid w:val="00EA727E"/>
    <w:rsid w:val="00EA78DC"/>
    <w:rsid w:val="00EB0C96"/>
    <w:rsid w:val="00EB197F"/>
    <w:rsid w:val="00EB21C5"/>
    <w:rsid w:val="00EB2725"/>
    <w:rsid w:val="00EB2927"/>
    <w:rsid w:val="00EB2B8B"/>
    <w:rsid w:val="00EB2E3B"/>
    <w:rsid w:val="00EB2F6C"/>
    <w:rsid w:val="00EB3890"/>
    <w:rsid w:val="00EB4965"/>
    <w:rsid w:val="00EB5545"/>
    <w:rsid w:val="00EB5A76"/>
    <w:rsid w:val="00EB5C8A"/>
    <w:rsid w:val="00EB646E"/>
    <w:rsid w:val="00EB6A7F"/>
    <w:rsid w:val="00EB6C23"/>
    <w:rsid w:val="00EB6CF6"/>
    <w:rsid w:val="00EB6E46"/>
    <w:rsid w:val="00EC09C1"/>
    <w:rsid w:val="00EC1E23"/>
    <w:rsid w:val="00EC222F"/>
    <w:rsid w:val="00EC2A39"/>
    <w:rsid w:val="00EC2C92"/>
    <w:rsid w:val="00EC3F0D"/>
    <w:rsid w:val="00EC435F"/>
    <w:rsid w:val="00EC4DE1"/>
    <w:rsid w:val="00EC59DD"/>
    <w:rsid w:val="00EC6136"/>
    <w:rsid w:val="00EC6698"/>
    <w:rsid w:val="00EC66E5"/>
    <w:rsid w:val="00EC687E"/>
    <w:rsid w:val="00EC6A98"/>
    <w:rsid w:val="00EC6AE3"/>
    <w:rsid w:val="00EC7EEF"/>
    <w:rsid w:val="00ED0ABC"/>
    <w:rsid w:val="00ED1733"/>
    <w:rsid w:val="00ED24D4"/>
    <w:rsid w:val="00ED2DA7"/>
    <w:rsid w:val="00ED2F83"/>
    <w:rsid w:val="00ED3AE4"/>
    <w:rsid w:val="00ED4052"/>
    <w:rsid w:val="00ED4087"/>
    <w:rsid w:val="00ED508F"/>
    <w:rsid w:val="00ED63D5"/>
    <w:rsid w:val="00ED6885"/>
    <w:rsid w:val="00ED70A4"/>
    <w:rsid w:val="00ED70DE"/>
    <w:rsid w:val="00ED7C4B"/>
    <w:rsid w:val="00EE02B4"/>
    <w:rsid w:val="00EE042F"/>
    <w:rsid w:val="00EE0453"/>
    <w:rsid w:val="00EE0E13"/>
    <w:rsid w:val="00EE1014"/>
    <w:rsid w:val="00EE10A1"/>
    <w:rsid w:val="00EE139D"/>
    <w:rsid w:val="00EE1F59"/>
    <w:rsid w:val="00EE2716"/>
    <w:rsid w:val="00EE359B"/>
    <w:rsid w:val="00EE3694"/>
    <w:rsid w:val="00EE38C0"/>
    <w:rsid w:val="00EE3CBF"/>
    <w:rsid w:val="00EE414C"/>
    <w:rsid w:val="00EE4965"/>
    <w:rsid w:val="00EE4A65"/>
    <w:rsid w:val="00EE4D80"/>
    <w:rsid w:val="00EE5625"/>
    <w:rsid w:val="00EE5D73"/>
    <w:rsid w:val="00EE6D0B"/>
    <w:rsid w:val="00EE6F35"/>
    <w:rsid w:val="00EE72A4"/>
    <w:rsid w:val="00EE7422"/>
    <w:rsid w:val="00EE75BD"/>
    <w:rsid w:val="00EE77B8"/>
    <w:rsid w:val="00EE7948"/>
    <w:rsid w:val="00EE7B69"/>
    <w:rsid w:val="00EE7E46"/>
    <w:rsid w:val="00EF0A56"/>
    <w:rsid w:val="00EF0A6A"/>
    <w:rsid w:val="00EF0ECD"/>
    <w:rsid w:val="00EF1F14"/>
    <w:rsid w:val="00EF2FD7"/>
    <w:rsid w:val="00EF33E5"/>
    <w:rsid w:val="00EF37E8"/>
    <w:rsid w:val="00EF3837"/>
    <w:rsid w:val="00EF5090"/>
    <w:rsid w:val="00EF5B9D"/>
    <w:rsid w:val="00EF5D46"/>
    <w:rsid w:val="00EF62FD"/>
    <w:rsid w:val="00EF6430"/>
    <w:rsid w:val="00EF68E6"/>
    <w:rsid w:val="00EF7045"/>
    <w:rsid w:val="00EF7086"/>
    <w:rsid w:val="00EF798F"/>
    <w:rsid w:val="00F00FD5"/>
    <w:rsid w:val="00F023F5"/>
    <w:rsid w:val="00F026DA"/>
    <w:rsid w:val="00F02C4A"/>
    <w:rsid w:val="00F04DDE"/>
    <w:rsid w:val="00F04F2D"/>
    <w:rsid w:val="00F0526E"/>
    <w:rsid w:val="00F064E6"/>
    <w:rsid w:val="00F077E4"/>
    <w:rsid w:val="00F07D54"/>
    <w:rsid w:val="00F1130B"/>
    <w:rsid w:val="00F130AC"/>
    <w:rsid w:val="00F1350C"/>
    <w:rsid w:val="00F13663"/>
    <w:rsid w:val="00F13CCE"/>
    <w:rsid w:val="00F13EE6"/>
    <w:rsid w:val="00F14453"/>
    <w:rsid w:val="00F14914"/>
    <w:rsid w:val="00F14E26"/>
    <w:rsid w:val="00F14E68"/>
    <w:rsid w:val="00F15809"/>
    <w:rsid w:val="00F15AA5"/>
    <w:rsid w:val="00F16044"/>
    <w:rsid w:val="00F16E51"/>
    <w:rsid w:val="00F201E2"/>
    <w:rsid w:val="00F202EF"/>
    <w:rsid w:val="00F20323"/>
    <w:rsid w:val="00F217A9"/>
    <w:rsid w:val="00F224A2"/>
    <w:rsid w:val="00F23B10"/>
    <w:rsid w:val="00F23BE5"/>
    <w:rsid w:val="00F23C71"/>
    <w:rsid w:val="00F23D8E"/>
    <w:rsid w:val="00F2402A"/>
    <w:rsid w:val="00F24AFE"/>
    <w:rsid w:val="00F24D4D"/>
    <w:rsid w:val="00F25986"/>
    <w:rsid w:val="00F2691E"/>
    <w:rsid w:val="00F26BDE"/>
    <w:rsid w:val="00F277DC"/>
    <w:rsid w:val="00F27BE1"/>
    <w:rsid w:val="00F301A2"/>
    <w:rsid w:val="00F31527"/>
    <w:rsid w:val="00F31D54"/>
    <w:rsid w:val="00F31EED"/>
    <w:rsid w:val="00F32688"/>
    <w:rsid w:val="00F32E01"/>
    <w:rsid w:val="00F33091"/>
    <w:rsid w:val="00F352C9"/>
    <w:rsid w:val="00F35EB0"/>
    <w:rsid w:val="00F35F75"/>
    <w:rsid w:val="00F36585"/>
    <w:rsid w:val="00F366D2"/>
    <w:rsid w:val="00F367AE"/>
    <w:rsid w:val="00F36B87"/>
    <w:rsid w:val="00F404E8"/>
    <w:rsid w:val="00F4052B"/>
    <w:rsid w:val="00F4069E"/>
    <w:rsid w:val="00F40A53"/>
    <w:rsid w:val="00F41762"/>
    <w:rsid w:val="00F418F3"/>
    <w:rsid w:val="00F4192B"/>
    <w:rsid w:val="00F41AF4"/>
    <w:rsid w:val="00F42B3F"/>
    <w:rsid w:val="00F42E1D"/>
    <w:rsid w:val="00F4303F"/>
    <w:rsid w:val="00F44EB3"/>
    <w:rsid w:val="00F44FDC"/>
    <w:rsid w:val="00F45EC1"/>
    <w:rsid w:val="00F460B0"/>
    <w:rsid w:val="00F460D6"/>
    <w:rsid w:val="00F46182"/>
    <w:rsid w:val="00F500CE"/>
    <w:rsid w:val="00F50CE5"/>
    <w:rsid w:val="00F50F4E"/>
    <w:rsid w:val="00F52029"/>
    <w:rsid w:val="00F52E48"/>
    <w:rsid w:val="00F53691"/>
    <w:rsid w:val="00F536E0"/>
    <w:rsid w:val="00F545DA"/>
    <w:rsid w:val="00F54A7D"/>
    <w:rsid w:val="00F54E6B"/>
    <w:rsid w:val="00F54ECF"/>
    <w:rsid w:val="00F5624C"/>
    <w:rsid w:val="00F568FA"/>
    <w:rsid w:val="00F57F61"/>
    <w:rsid w:val="00F60653"/>
    <w:rsid w:val="00F60A7E"/>
    <w:rsid w:val="00F60DB8"/>
    <w:rsid w:val="00F61751"/>
    <w:rsid w:val="00F62AC1"/>
    <w:rsid w:val="00F63930"/>
    <w:rsid w:val="00F63C38"/>
    <w:rsid w:val="00F63F43"/>
    <w:rsid w:val="00F64BEC"/>
    <w:rsid w:val="00F64E02"/>
    <w:rsid w:val="00F65206"/>
    <w:rsid w:val="00F65F33"/>
    <w:rsid w:val="00F662BA"/>
    <w:rsid w:val="00F6645C"/>
    <w:rsid w:val="00F67195"/>
    <w:rsid w:val="00F70012"/>
    <w:rsid w:val="00F70155"/>
    <w:rsid w:val="00F711AD"/>
    <w:rsid w:val="00F71740"/>
    <w:rsid w:val="00F735E2"/>
    <w:rsid w:val="00F74563"/>
    <w:rsid w:val="00F7484D"/>
    <w:rsid w:val="00F75427"/>
    <w:rsid w:val="00F757DB"/>
    <w:rsid w:val="00F75D5D"/>
    <w:rsid w:val="00F75F79"/>
    <w:rsid w:val="00F76ADC"/>
    <w:rsid w:val="00F77021"/>
    <w:rsid w:val="00F77212"/>
    <w:rsid w:val="00F77AB8"/>
    <w:rsid w:val="00F8045F"/>
    <w:rsid w:val="00F804D4"/>
    <w:rsid w:val="00F809A4"/>
    <w:rsid w:val="00F80EB0"/>
    <w:rsid w:val="00F814A5"/>
    <w:rsid w:val="00F82645"/>
    <w:rsid w:val="00F82853"/>
    <w:rsid w:val="00F8289C"/>
    <w:rsid w:val="00F82E00"/>
    <w:rsid w:val="00F836DC"/>
    <w:rsid w:val="00F843D8"/>
    <w:rsid w:val="00F845EC"/>
    <w:rsid w:val="00F858B2"/>
    <w:rsid w:val="00F871A5"/>
    <w:rsid w:val="00F875CB"/>
    <w:rsid w:val="00F876A3"/>
    <w:rsid w:val="00F877DC"/>
    <w:rsid w:val="00F905BB"/>
    <w:rsid w:val="00F9171A"/>
    <w:rsid w:val="00F91A1E"/>
    <w:rsid w:val="00F91B64"/>
    <w:rsid w:val="00F92690"/>
    <w:rsid w:val="00F927C0"/>
    <w:rsid w:val="00F93EDB"/>
    <w:rsid w:val="00F94DC0"/>
    <w:rsid w:val="00F96063"/>
    <w:rsid w:val="00F9737D"/>
    <w:rsid w:val="00F97A08"/>
    <w:rsid w:val="00F97F89"/>
    <w:rsid w:val="00FA01B1"/>
    <w:rsid w:val="00FA2F5A"/>
    <w:rsid w:val="00FA2F9B"/>
    <w:rsid w:val="00FA3000"/>
    <w:rsid w:val="00FA3692"/>
    <w:rsid w:val="00FA4435"/>
    <w:rsid w:val="00FA63CD"/>
    <w:rsid w:val="00FA66BF"/>
    <w:rsid w:val="00FA6A23"/>
    <w:rsid w:val="00FA6F45"/>
    <w:rsid w:val="00FA72FC"/>
    <w:rsid w:val="00FB074B"/>
    <w:rsid w:val="00FB0FB0"/>
    <w:rsid w:val="00FB1B66"/>
    <w:rsid w:val="00FB1EE2"/>
    <w:rsid w:val="00FB24EA"/>
    <w:rsid w:val="00FB3F53"/>
    <w:rsid w:val="00FB4144"/>
    <w:rsid w:val="00FB432D"/>
    <w:rsid w:val="00FB4423"/>
    <w:rsid w:val="00FB4447"/>
    <w:rsid w:val="00FB57BE"/>
    <w:rsid w:val="00FB705D"/>
    <w:rsid w:val="00FB76FF"/>
    <w:rsid w:val="00FB7FF2"/>
    <w:rsid w:val="00FC0FE3"/>
    <w:rsid w:val="00FC1466"/>
    <w:rsid w:val="00FC265B"/>
    <w:rsid w:val="00FC2CDC"/>
    <w:rsid w:val="00FC2DED"/>
    <w:rsid w:val="00FC3028"/>
    <w:rsid w:val="00FC318B"/>
    <w:rsid w:val="00FC321D"/>
    <w:rsid w:val="00FC3826"/>
    <w:rsid w:val="00FC3A4D"/>
    <w:rsid w:val="00FC4752"/>
    <w:rsid w:val="00FC48C7"/>
    <w:rsid w:val="00FC5A2B"/>
    <w:rsid w:val="00FC5A51"/>
    <w:rsid w:val="00FC5D67"/>
    <w:rsid w:val="00FC6086"/>
    <w:rsid w:val="00FC6469"/>
    <w:rsid w:val="00FC7467"/>
    <w:rsid w:val="00FC76E5"/>
    <w:rsid w:val="00FC7E86"/>
    <w:rsid w:val="00FD1F26"/>
    <w:rsid w:val="00FD1FBB"/>
    <w:rsid w:val="00FD2117"/>
    <w:rsid w:val="00FD25BA"/>
    <w:rsid w:val="00FD2F19"/>
    <w:rsid w:val="00FD3042"/>
    <w:rsid w:val="00FD315C"/>
    <w:rsid w:val="00FD44D6"/>
    <w:rsid w:val="00FD45A7"/>
    <w:rsid w:val="00FD4C85"/>
    <w:rsid w:val="00FD5931"/>
    <w:rsid w:val="00FD5D0B"/>
    <w:rsid w:val="00FD5E6A"/>
    <w:rsid w:val="00FD5FB3"/>
    <w:rsid w:val="00FD6B05"/>
    <w:rsid w:val="00FD7A63"/>
    <w:rsid w:val="00FE0310"/>
    <w:rsid w:val="00FE0313"/>
    <w:rsid w:val="00FE0480"/>
    <w:rsid w:val="00FE099E"/>
    <w:rsid w:val="00FE2545"/>
    <w:rsid w:val="00FE255C"/>
    <w:rsid w:val="00FE2628"/>
    <w:rsid w:val="00FE2873"/>
    <w:rsid w:val="00FE2AE6"/>
    <w:rsid w:val="00FE2CC5"/>
    <w:rsid w:val="00FE367E"/>
    <w:rsid w:val="00FE3E05"/>
    <w:rsid w:val="00FE442F"/>
    <w:rsid w:val="00FE4669"/>
    <w:rsid w:val="00FE48AD"/>
    <w:rsid w:val="00FE48B5"/>
    <w:rsid w:val="00FE4945"/>
    <w:rsid w:val="00FE4B59"/>
    <w:rsid w:val="00FE4CCD"/>
    <w:rsid w:val="00FE5548"/>
    <w:rsid w:val="00FE5967"/>
    <w:rsid w:val="00FF18D8"/>
    <w:rsid w:val="00FF18FC"/>
    <w:rsid w:val="00FF251A"/>
    <w:rsid w:val="00FF277B"/>
    <w:rsid w:val="00FF306B"/>
    <w:rsid w:val="00FF345F"/>
    <w:rsid w:val="00FF366F"/>
    <w:rsid w:val="00FF5FA1"/>
    <w:rsid w:val="00FF602C"/>
    <w:rsid w:val="00FF604A"/>
    <w:rsid w:val="00FF6DA3"/>
    <w:rsid w:val="00FF73FD"/>
    <w:rsid w:val="00FF7515"/>
    <w:rsid w:val="00FF7585"/>
    <w:rsid w:val="00FF7C58"/>
    <w:rsid w:val="00FF7F46"/>
    <w:rsid w:val="0759798C"/>
    <w:rsid w:val="08703B1D"/>
    <w:rsid w:val="10171C53"/>
    <w:rsid w:val="16AE6412"/>
    <w:rsid w:val="1AFF547D"/>
    <w:rsid w:val="242E3B34"/>
    <w:rsid w:val="27CD5619"/>
    <w:rsid w:val="2C0252FF"/>
    <w:rsid w:val="2D724C29"/>
    <w:rsid w:val="31647E94"/>
    <w:rsid w:val="31BC6543"/>
    <w:rsid w:val="3A7F1A7E"/>
    <w:rsid w:val="3C4E4BE5"/>
    <w:rsid w:val="451E1594"/>
    <w:rsid w:val="46150282"/>
    <w:rsid w:val="46D12463"/>
    <w:rsid w:val="51FD221E"/>
    <w:rsid w:val="52D70926"/>
    <w:rsid w:val="61EF28C6"/>
    <w:rsid w:val="62CE3110"/>
    <w:rsid w:val="69CD0EEA"/>
    <w:rsid w:val="781B17CE"/>
    <w:rsid w:val="7D873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styleId="3">
    <w:name w:val="heading 1"/>
    <w:basedOn w:val="1"/>
    <w:next w:val="1"/>
    <w:link w:val="42"/>
    <w:qFormat/>
    <w:uiPriority w:val="0"/>
    <w:pPr>
      <w:keepNext/>
      <w:keepLines/>
      <w:spacing w:before="120" w:after="120"/>
      <w:ind w:firstLine="0" w:firstLineChars="0"/>
      <w:jc w:val="left"/>
      <w:outlineLvl w:val="0"/>
    </w:pPr>
    <w:rPr>
      <w:b/>
      <w:bCs/>
      <w:kern w:val="44"/>
      <w:sz w:val="32"/>
      <w:szCs w:val="44"/>
    </w:rPr>
  </w:style>
  <w:style w:type="paragraph" w:styleId="4">
    <w:name w:val="heading 2"/>
    <w:basedOn w:val="1"/>
    <w:next w:val="1"/>
    <w:link w:val="43"/>
    <w:unhideWhenUsed/>
    <w:qFormat/>
    <w:uiPriority w:val="0"/>
    <w:pPr>
      <w:keepNext/>
      <w:keepLines/>
      <w:spacing w:before="120" w:after="120"/>
      <w:ind w:firstLine="0" w:firstLineChars="0"/>
      <w:jc w:val="left"/>
      <w:outlineLvl w:val="1"/>
    </w:pPr>
    <w:rPr>
      <w:rFonts w:cstheme="majorBidi"/>
      <w:b/>
      <w:bCs/>
      <w:sz w:val="30"/>
      <w:szCs w:val="32"/>
    </w:rPr>
  </w:style>
  <w:style w:type="paragraph" w:styleId="5">
    <w:name w:val="heading 3"/>
    <w:basedOn w:val="1"/>
    <w:next w:val="1"/>
    <w:link w:val="44"/>
    <w:unhideWhenUsed/>
    <w:qFormat/>
    <w:uiPriority w:val="0"/>
    <w:pPr>
      <w:keepNext/>
      <w:keepLines/>
      <w:spacing w:before="120" w:after="120"/>
      <w:ind w:firstLine="0" w:firstLineChars="0"/>
      <w:outlineLvl w:val="2"/>
    </w:pPr>
    <w:rPr>
      <w:b/>
      <w:bCs/>
      <w:sz w:val="28"/>
      <w:szCs w:val="32"/>
    </w:rPr>
  </w:style>
  <w:style w:type="paragraph" w:styleId="6">
    <w:name w:val="heading 4"/>
    <w:basedOn w:val="1"/>
    <w:next w:val="1"/>
    <w:link w:val="47"/>
    <w:unhideWhenUsed/>
    <w:qFormat/>
    <w:uiPriority w:val="0"/>
    <w:pPr>
      <w:keepNext/>
      <w:keepLines/>
      <w:spacing w:before="120" w:after="120"/>
      <w:outlineLvl w:val="3"/>
    </w:pPr>
    <w:rPr>
      <w:rFonts w:cstheme="majorBidi"/>
      <w:b/>
      <w:bCs/>
      <w:szCs w:val="28"/>
    </w:rPr>
  </w:style>
  <w:style w:type="paragraph" w:styleId="7">
    <w:name w:val="heading 5"/>
    <w:basedOn w:val="1"/>
    <w:next w:val="1"/>
    <w:link w:val="48"/>
    <w:unhideWhenUsed/>
    <w:qFormat/>
    <w:uiPriority w:val="9"/>
    <w:pPr>
      <w:keepNext/>
      <w:keepLines/>
      <w:spacing w:before="280" w:after="290" w:line="376" w:lineRule="auto"/>
      <w:outlineLvl w:val="4"/>
    </w:pPr>
    <w:rPr>
      <w:b/>
      <w:bCs/>
      <w:sz w:val="28"/>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kern w:val="2"/>
      <w:sz w:val="21"/>
      <w:szCs w:val="22"/>
    </w:rPr>
  </w:style>
  <w:style w:type="paragraph" w:styleId="9">
    <w:name w:val="Normal Indent"/>
    <w:basedOn w:val="1"/>
    <w:next w:val="1"/>
    <w:qFormat/>
    <w:uiPriority w:val="0"/>
    <w:pPr>
      <w:adjustRightInd w:val="0"/>
      <w:snapToGrid w:val="0"/>
      <w:spacing w:line="300" w:lineRule="auto"/>
      <w:ind w:firstLine="420" w:firstLineChars="0"/>
    </w:pPr>
    <w:rPr>
      <w:rFonts w:ascii="宋体" w:hAnsi="PMingLiU"/>
      <w:kern w:val="2"/>
      <w:sz w:val="21"/>
      <w:szCs w:val="24"/>
    </w:rPr>
  </w:style>
  <w:style w:type="paragraph" w:styleId="10">
    <w:name w:val="caption"/>
    <w:basedOn w:val="1"/>
    <w:next w:val="1"/>
    <w:link w:val="156"/>
    <w:qFormat/>
    <w:uiPriority w:val="35"/>
    <w:pPr>
      <w:spacing w:before="120" w:after="120"/>
      <w:ind w:firstLine="0" w:firstLineChars="0"/>
      <w:jc w:val="center"/>
    </w:pPr>
    <w:rPr>
      <w:rFonts w:cstheme="majorBidi"/>
      <w:b/>
      <w:sz w:val="21"/>
    </w:rPr>
  </w:style>
  <w:style w:type="paragraph" w:styleId="11">
    <w:name w:val="annotation text"/>
    <w:basedOn w:val="1"/>
    <w:link w:val="84"/>
    <w:qFormat/>
    <w:uiPriority w:val="0"/>
    <w:pPr>
      <w:spacing w:line="320" w:lineRule="exact"/>
      <w:ind w:firstLine="0" w:firstLineChars="0"/>
      <w:jc w:val="left"/>
    </w:pPr>
    <w:rPr>
      <w:kern w:val="2"/>
      <w:sz w:val="21"/>
      <w:szCs w:val="22"/>
    </w:rPr>
  </w:style>
  <w:style w:type="paragraph" w:styleId="12">
    <w:name w:val="Body Text"/>
    <w:basedOn w:val="1"/>
    <w:next w:val="1"/>
    <w:link w:val="82"/>
    <w:qFormat/>
    <w:uiPriority w:val="0"/>
    <w:pPr>
      <w:widowControl/>
      <w:spacing w:after="200" w:line="240" w:lineRule="auto"/>
      <w:ind w:firstLine="0" w:firstLineChars="0"/>
      <w:jc w:val="center"/>
    </w:pPr>
    <w:rPr>
      <w:sz w:val="21"/>
      <w:szCs w:val="22"/>
      <w:lang w:eastAsia="en-US" w:bidi="en-US"/>
    </w:rPr>
  </w:style>
  <w:style w:type="paragraph" w:styleId="13">
    <w:name w:val="Body Text Indent"/>
    <w:basedOn w:val="1"/>
    <w:next w:val="1"/>
    <w:link w:val="85"/>
    <w:qFormat/>
    <w:uiPriority w:val="0"/>
    <w:pPr>
      <w:spacing w:line="480" w:lineRule="auto"/>
      <w:ind w:firstLine="480"/>
    </w:pPr>
    <w:rPr>
      <w:rFonts w:ascii="宋体"/>
      <w:kern w:val="2"/>
      <w:szCs w:val="22"/>
    </w:rPr>
  </w:style>
  <w:style w:type="paragraph" w:styleId="14">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kern w:val="2"/>
      <w:sz w:val="21"/>
      <w:szCs w:val="22"/>
    </w:rPr>
  </w:style>
  <w:style w:type="paragraph" w:styleId="15">
    <w:name w:val="toc 3"/>
    <w:basedOn w:val="1"/>
    <w:next w:val="1"/>
    <w:unhideWhenUsed/>
    <w:qFormat/>
    <w:uiPriority w:val="39"/>
    <w:pPr>
      <w:ind w:left="840" w:leftChars="400"/>
    </w:pPr>
  </w:style>
  <w:style w:type="paragraph" w:styleId="16">
    <w:name w:val="Plain Text"/>
    <w:basedOn w:val="1"/>
    <w:next w:val="17"/>
    <w:link w:val="86"/>
    <w:qFormat/>
    <w:uiPriority w:val="0"/>
    <w:pPr>
      <w:widowControl/>
      <w:spacing w:after="200" w:line="240" w:lineRule="auto"/>
      <w:ind w:firstLine="0" w:firstLineChars="0"/>
      <w:jc w:val="left"/>
    </w:pPr>
    <w:rPr>
      <w:rFonts w:ascii="宋体" w:hAnsi="Courier New"/>
      <w:sz w:val="28"/>
      <w:lang w:eastAsia="en-US" w:bidi="en-US"/>
    </w:rPr>
  </w:style>
  <w:style w:type="paragraph" w:customStyle="1" w:styleId="17">
    <w:name w:val="表内文字"/>
    <w:basedOn w:val="1"/>
    <w:qFormat/>
    <w:uiPriority w:val="0"/>
    <w:pPr>
      <w:spacing w:line="360" w:lineRule="atLeast"/>
      <w:ind w:firstLine="0" w:firstLineChars="0"/>
      <w:jc w:val="center"/>
    </w:pPr>
    <w:rPr>
      <w:kern w:val="2"/>
      <w:sz w:val="21"/>
      <w:szCs w:val="22"/>
    </w:rPr>
  </w:style>
  <w:style w:type="paragraph" w:styleId="18">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kern w:val="2"/>
      <w:sz w:val="21"/>
      <w:szCs w:val="22"/>
    </w:rPr>
  </w:style>
  <w:style w:type="paragraph" w:styleId="19">
    <w:name w:val="Body Text Indent 2"/>
    <w:basedOn w:val="1"/>
    <w:link w:val="87"/>
    <w:qFormat/>
    <w:uiPriority w:val="0"/>
    <w:pPr>
      <w:spacing w:line="540" w:lineRule="exact"/>
      <w:ind w:firstLine="480"/>
    </w:pPr>
    <w:rPr>
      <w:kern w:val="2"/>
      <w:sz w:val="21"/>
      <w:szCs w:val="22"/>
    </w:rPr>
  </w:style>
  <w:style w:type="paragraph" w:styleId="20">
    <w:name w:val="Balloon Text"/>
    <w:basedOn w:val="1"/>
    <w:link w:val="46"/>
    <w:semiHidden/>
    <w:unhideWhenUsed/>
    <w:qFormat/>
    <w:uiPriority w:val="0"/>
    <w:pPr>
      <w:spacing w:line="240" w:lineRule="auto"/>
    </w:pPr>
    <w:rPr>
      <w:sz w:val="18"/>
      <w:szCs w:val="18"/>
    </w:rPr>
  </w:style>
  <w:style w:type="paragraph" w:styleId="21">
    <w:name w:val="footer"/>
    <w:basedOn w:val="1"/>
    <w:link w:val="41"/>
    <w:unhideWhenUsed/>
    <w:qFormat/>
    <w:uiPriority w:val="99"/>
    <w:pPr>
      <w:tabs>
        <w:tab w:val="center" w:pos="4153"/>
        <w:tab w:val="right" w:pos="8306"/>
      </w:tabs>
      <w:snapToGrid w:val="0"/>
      <w:jc w:val="left"/>
    </w:pPr>
    <w:rPr>
      <w:sz w:val="18"/>
      <w:szCs w:val="18"/>
    </w:rPr>
  </w:style>
  <w:style w:type="paragraph" w:styleId="22">
    <w:name w:val="toc 1"/>
    <w:basedOn w:val="3"/>
    <w:next w:val="1"/>
    <w:unhideWhenUsed/>
    <w:qFormat/>
    <w:uiPriority w:val="39"/>
    <w:pPr>
      <w:tabs>
        <w:tab w:val="right" w:leader="dot" w:pos="8296"/>
      </w:tabs>
      <w:adjustRightInd w:val="0"/>
      <w:spacing w:before="0" w:after="0"/>
      <w:ind w:firstLine="480"/>
      <w:jc w:val="center"/>
    </w:pPr>
    <w:rPr>
      <w:b w:val="0"/>
      <w:sz w:val="28"/>
    </w:rPr>
  </w:style>
  <w:style w:type="paragraph" w:styleId="23">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kern w:val="2"/>
      <w:sz w:val="21"/>
      <w:szCs w:val="22"/>
    </w:rPr>
  </w:style>
  <w:style w:type="paragraph" w:styleId="24">
    <w:name w:val="List"/>
    <w:basedOn w:val="1"/>
    <w:qFormat/>
    <w:uiPriority w:val="0"/>
    <w:pPr>
      <w:spacing w:line="320" w:lineRule="exact"/>
      <w:ind w:left="200" w:hanging="200" w:hangingChars="200"/>
    </w:pPr>
    <w:rPr>
      <w:kern w:val="2"/>
      <w:sz w:val="21"/>
      <w:szCs w:val="24"/>
    </w:rPr>
  </w:style>
  <w:style w:type="paragraph" w:styleId="25">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kern w:val="2"/>
      <w:sz w:val="21"/>
      <w:szCs w:val="22"/>
    </w:rPr>
  </w:style>
  <w:style w:type="paragraph" w:styleId="26">
    <w:name w:val="Body Text Indent 3"/>
    <w:basedOn w:val="1"/>
    <w:link w:val="88"/>
    <w:qFormat/>
    <w:uiPriority w:val="99"/>
    <w:pPr>
      <w:widowControl/>
      <w:spacing w:after="120" w:line="240" w:lineRule="auto"/>
      <w:ind w:left="420" w:leftChars="200" w:firstLine="0" w:firstLineChars="0"/>
      <w:jc w:val="left"/>
    </w:pPr>
    <w:rPr>
      <w:sz w:val="16"/>
      <w:szCs w:val="16"/>
      <w:lang w:eastAsia="en-US" w:bidi="en-US"/>
    </w:rPr>
  </w:style>
  <w:style w:type="paragraph" w:styleId="27">
    <w:name w:val="toc 2"/>
    <w:basedOn w:val="4"/>
    <w:next w:val="1"/>
    <w:unhideWhenUsed/>
    <w:qFormat/>
    <w:uiPriority w:val="39"/>
    <w:pPr>
      <w:spacing w:before="0" w:after="0"/>
      <w:ind w:firstLine="200" w:firstLineChars="200"/>
      <w:jc w:val="both"/>
    </w:pPr>
    <w:rPr>
      <w:b w:val="0"/>
      <w:sz w:val="24"/>
    </w:rPr>
  </w:style>
  <w:style w:type="paragraph" w:styleId="28">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kern w:val="2"/>
      <w:sz w:val="21"/>
      <w:szCs w:val="22"/>
    </w:rPr>
  </w:style>
  <w:style w:type="paragraph" w:styleId="29">
    <w:name w:val="Body Text 2"/>
    <w:basedOn w:val="1"/>
    <w:link w:val="83"/>
    <w:unhideWhenUsed/>
    <w:qFormat/>
    <w:uiPriority w:val="99"/>
    <w:pPr>
      <w:spacing w:after="120" w:line="480" w:lineRule="auto"/>
      <w:ind w:firstLine="0" w:firstLineChars="0"/>
    </w:pPr>
    <w:rPr>
      <w:kern w:val="2"/>
      <w:sz w:val="21"/>
      <w:szCs w:val="22"/>
    </w:rPr>
  </w:style>
  <w:style w:type="paragraph" w:styleId="30">
    <w:name w:val="HTML Preformatted"/>
    <w:basedOn w:val="1"/>
    <w:link w:val="15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szCs w:val="24"/>
    </w:rPr>
  </w:style>
  <w:style w:type="paragraph" w:styleId="31">
    <w:name w:val="Normal (Web)"/>
    <w:basedOn w:val="1"/>
    <w:qFormat/>
    <w:uiPriority w:val="0"/>
    <w:pPr>
      <w:widowControl/>
      <w:spacing w:before="100" w:beforeAutospacing="1" w:after="100" w:afterAutospacing="1" w:line="240" w:lineRule="auto"/>
      <w:ind w:firstLine="480" w:firstLineChars="0"/>
      <w:jc w:val="left"/>
    </w:pPr>
    <w:rPr>
      <w:rFonts w:ascii="宋体" w:hAnsi="宋体" w:cs="宋体"/>
      <w:sz w:val="22"/>
      <w:szCs w:val="22"/>
      <w:lang w:eastAsia="en-US" w:bidi="en-US"/>
    </w:rPr>
  </w:style>
  <w:style w:type="paragraph" w:styleId="32">
    <w:name w:val="Body Text First Indent"/>
    <w:basedOn w:val="12"/>
    <w:link w:val="89"/>
    <w:qFormat/>
    <w:uiPriority w:val="0"/>
    <w:pPr>
      <w:widowControl w:val="0"/>
      <w:spacing w:after="120"/>
      <w:ind w:firstLine="420" w:firstLineChars="100"/>
      <w:jc w:val="both"/>
    </w:pPr>
    <w:rPr>
      <w:kern w:val="2"/>
      <w:szCs w:val="24"/>
      <w:lang w:eastAsia="zh-CN" w:bidi="ar-SA"/>
    </w:rPr>
  </w:style>
  <w:style w:type="paragraph" w:styleId="33">
    <w:name w:val="Body Text First Indent 2"/>
    <w:basedOn w:val="1"/>
    <w:link w:val="90"/>
    <w:qFormat/>
    <w:uiPriority w:val="0"/>
    <w:pPr>
      <w:spacing w:after="120" w:line="240" w:lineRule="auto"/>
      <w:ind w:left="420" w:leftChars="200" w:firstLine="420" w:firstLineChars="0"/>
    </w:pPr>
    <w:rPr>
      <w:kern w:val="2"/>
      <w:sz w:val="21"/>
      <w:szCs w:val="24"/>
    </w:rPr>
  </w:style>
  <w:style w:type="table" w:styleId="35">
    <w:name w:val="Table Grid"/>
    <w:basedOn w:val="3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page number"/>
    <w:qFormat/>
    <w:uiPriority w:val="0"/>
  </w:style>
  <w:style w:type="character" w:styleId="38">
    <w:name w:val="Hyperlink"/>
    <w:basedOn w:val="36"/>
    <w:unhideWhenUsed/>
    <w:qFormat/>
    <w:uiPriority w:val="99"/>
    <w:rPr>
      <w:color w:val="0000FF" w:themeColor="hyperlink"/>
      <w:u w:val="single"/>
      <w14:textFill>
        <w14:solidFill>
          <w14:schemeClr w14:val="hlink"/>
        </w14:solidFill>
      </w14:textFill>
    </w:rPr>
  </w:style>
  <w:style w:type="character" w:styleId="39">
    <w:name w:val="annotation reference"/>
    <w:qFormat/>
    <w:uiPriority w:val="0"/>
    <w:rPr>
      <w:sz w:val="21"/>
      <w:szCs w:val="21"/>
    </w:rPr>
  </w:style>
  <w:style w:type="character" w:customStyle="1" w:styleId="40">
    <w:name w:val="页眉 字符"/>
    <w:basedOn w:val="36"/>
    <w:link w:val="2"/>
    <w:qFormat/>
    <w:uiPriority w:val="99"/>
    <w:rPr>
      <w:kern w:val="0"/>
      <w:sz w:val="18"/>
      <w:szCs w:val="18"/>
    </w:rPr>
  </w:style>
  <w:style w:type="character" w:customStyle="1" w:styleId="41">
    <w:name w:val="页脚 字符"/>
    <w:basedOn w:val="36"/>
    <w:link w:val="21"/>
    <w:qFormat/>
    <w:uiPriority w:val="99"/>
    <w:rPr>
      <w:kern w:val="0"/>
      <w:sz w:val="18"/>
      <w:szCs w:val="18"/>
    </w:rPr>
  </w:style>
  <w:style w:type="character" w:customStyle="1" w:styleId="42">
    <w:name w:val="标题 1 字符"/>
    <w:basedOn w:val="36"/>
    <w:link w:val="3"/>
    <w:qFormat/>
    <w:uiPriority w:val="9"/>
    <w:rPr>
      <w:b/>
      <w:bCs/>
      <w:kern w:val="44"/>
      <w:sz w:val="32"/>
      <w:szCs w:val="44"/>
    </w:rPr>
  </w:style>
  <w:style w:type="character" w:customStyle="1" w:styleId="43">
    <w:name w:val="标题 2 字符"/>
    <w:basedOn w:val="36"/>
    <w:link w:val="4"/>
    <w:qFormat/>
    <w:uiPriority w:val="9"/>
    <w:rPr>
      <w:rFonts w:cstheme="majorBidi"/>
      <w:b/>
      <w:bCs/>
      <w:kern w:val="0"/>
      <w:sz w:val="30"/>
      <w:szCs w:val="32"/>
    </w:rPr>
  </w:style>
  <w:style w:type="character" w:customStyle="1" w:styleId="44">
    <w:name w:val="标题 3 字符"/>
    <w:basedOn w:val="36"/>
    <w:link w:val="5"/>
    <w:qFormat/>
    <w:uiPriority w:val="9"/>
    <w:rPr>
      <w:b/>
      <w:bCs/>
      <w:kern w:val="0"/>
      <w:sz w:val="28"/>
      <w:szCs w:val="32"/>
    </w:rPr>
  </w:style>
  <w:style w:type="paragraph" w:customStyle="1" w:styleId="45">
    <w:name w:val="TOC 标题1"/>
    <w:basedOn w:val="3"/>
    <w:next w:val="1"/>
    <w:semiHidden/>
    <w:unhideWhenUsed/>
    <w:qFormat/>
    <w:uiPriority w:val="39"/>
    <w:pPr>
      <w:widowControl/>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character" w:customStyle="1" w:styleId="46">
    <w:name w:val="批注框文本 字符"/>
    <w:basedOn w:val="36"/>
    <w:link w:val="20"/>
    <w:semiHidden/>
    <w:qFormat/>
    <w:uiPriority w:val="99"/>
    <w:rPr>
      <w:kern w:val="0"/>
      <w:sz w:val="18"/>
      <w:szCs w:val="18"/>
    </w:rPr>
  </w:style>
  <w:style w:type="character" w:customStyle="1" w:styleId="47">
    <w:name w:val="标题 4 字符"/>
    <w:basedOn w:val="36"/>
    <w:link w:val="6"/>
    <w:qFormat/>
    <w:uiPriority w:val="9"/>
    <w:rPr>
      <w:rFonts w:cstheme="majorBidi"/>
      <w:b/>
      <w:bCs/>
      <w:kern w:val="0"/>
      <w:sz w:val="24"/>
      <w:szCs w:val="28"/>
    </w:rPr>
  </w:style>
  <w:style w:type="character" w:customStyle="1" w:styleId="48">
    <w:name w:val="标题 5 字符"/>
    <w:basedOn w:val="36"/>
    <w:link w:val="7"/>
    <w:qFormat/>
    <w:uiPriority w:val="9"/>
    <w:rPr>
      <w:b/>
      <w:bCs/>
      <w:kern w:val="0"/>
      <w:sz w:val="28"/>
      <w:szCs w:val="28"/>
    </w:rPr>
  </w:style>
  <w:style w:type="paragraph" w:customStyle="1" w:styleId="49">
    <w:name w:val="正文A"/>
    <w:basedOn w:val="1"/>
    <w:link w:val="172"/>
    <w:qFormat/>
    <w:uiPriority w:val="0"/>
    <w:pPr>
      <w:spacing w:line="500" w:lineRule="exact"/>
      <w:ind w:firstLine="480"/>
    </w:pPr>
    <w:rPr>
      <w:rFonts w:ascii="华文仿宋" w:hAnsi="华文仿宋" w:eastAsia="华文仿宋" w:cs="华文仿宋"/>
      <w:kern w:val="2"/>
      <w:szCs w:val="24"/>
    </w:rPr>
  </w:style>
  <w:style w:type="table" w:customStyle="1" w:styleId="50">
    <w:name w:val="三线1"/>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
    <w:name w:val="Char"/>
    <w:basedOn w:val="1"/>
    <w:qFormat/>
    <w:uiPriority w:val="0"/>
    <w:pPr>
      <w:spacing w:line="320" w:lineRule="exact"/>
      <w:ind w:firstLine="0" w:firstLineChars="0"/>
    </w:pPr>
    <w:rPr>
      <w:kern w:val="2"/>
      <w:sz w:val="21"/>
      <w:szCs w:val="22"/>
    </w:rPr>
  </w:style>
  <w:style w:type="table" w:customStyle="1" w:styleId="52">
    <w:name w:val="网格型1"/>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3">
    <w:name w:val="网格型2"/>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4">
    <w:name w:val="网格型3"/>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5">
    <w:name w:val="网格型4"/>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6">
    <w:name w:val="网格型5"/>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7">
    <w:name w:val="网格型6"/>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8">
    <w:name w:val="网格型7"/>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9">
    <w:name w:val="网格型8"/>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0">
    <w:name w:val="网格型9"/>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1">
    <w:name w:val="网格型10"/>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2">
    <w:name w:val="网格型11"/>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3">
    <w:name w:val="网格型12"/>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4">
    <w:name w:val="网格型13"/>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5">
    <w:name w:val="网格型14"/>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6">
    <w:name w:val="网格型15"/>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7">
    <w:name w:val="网格型16"/>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8">
    <w:name w:val="网格型17"/>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9">
    <w:name w:val="网格型18"/>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0">
    <w:name w:val="网格型19"/>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0"/>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2">
    <w:name w:val="Char1"/>
    <w:basedOn w:val="1"/>
    <w:qFormat/>
    <w:uiPriority w:val="0"/>
    <w:pPr>
      <w:spacing w:line="320" w:lineRule="exact"/>
      <w:ind w:firstLine="0" w:firstLineChars="0"/>
    </w:pPr>
    <w:rPr>
      <w:kern w:val="2"/>
      <w:sz w:val="21"/>
      <w:szCs w:val="22"/>
    </w:rPr>
  </w:style>
  <w:style w:type="table" w:customStyle="1" w:styleId="73">
    <w:name w:val="网格型21"/>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4">
    <w:name w:val="网格型22"/>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5">
    <w:name w:val="网格型23"/>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6">
    <w:name w:val="网格型24"/>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7">
    <w:name w:val="网格型25"/>
    <w:basedOn w:val="34"/>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8">
    <w:name w:val="网格型26"/>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
    <w:name w:val="三线2"/>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0">
    <w:name w:val="Char2"/>
    <w:basedOn w:val="1"/>
    <w:qFormat/>
    <w:uiPriority w:val="0"/>
    <w:pPr>
      <w:spacing w:line="320" w:lineRule="exact"/>
      <w:ind w:firstLine="0" w:firstLineChars="0"/>
    </w:pPr>
    <w:rPr>
      <w:kern w:val="2"/>
      <w:sz w:val="21"/>
      <w:szCs w:val="22"/>
    </w:rPr>
  </w:style>
  <w:style w:type="paragraph" w:customStyle="1" w:styleId="81">
    <w:name w:val="Char3"/>
    <w:basedOn w:val="1"/>
    <w:qFormat/>
    <w:uiPriority w:val="0"/>
    <w:pPr>
      <w:spacing w:line="320" w:lineRule="exact"/>
      <w:ind w:firstLine="0" w:firstLineChars="0"/>
    </w:pPr>
    <w:rPr>
      <w:kern w:val="2"/>
      <w:sz w:val="21"/>
      <w:szCs w:val="22"/>
    </w:rPr>
  </w:style>
  <w:style w:type="character" w:customStyle="1" w:styleId="82">
    <w:name w:val="正文文本 字符"/>
    <w:basedOn w:val="36"/>
    <w:link w:val="12"/>
    <w:qFormat/>
    <w:uiPriority w:val="0"/>
    <w:rPr>
      <w:kern w:val="0"/>
      <w:szCs w:val="22"/>
      <w:lang w:eastAsia="en-US" w:bidi="en-US"/>
    </w:rPr>
  </w:style>
  <w:style w:type="character" w:customStyle="1" w:styleId="83">
    <w:name w:val="正文文本 2 字符"/>
    <w:basedOn w:val="36"/>
    <w:link w:val="29"/>
    <w:qFormat/>
    <w:uiPriority w:val="99"/>
    <w:rPr>
      <w:szCs w:val="22"/>
    </w:rPr>
  </w:style>
  <w:style w:type="character" w:customStyle="1" w:styleId="84">
    <w:name w:val="批注文字 字符"/>
    <w:basedOn w:val="36"/>
    <w:link w:val="11"/>
    <w:qFormat/>
    <w:uiPriority w:val="0"/>
    <w:rPr>
      <w:szCs w:val="22"/>
    </w:rPr>
  </w:style>
  <w:style w:type="character" w:customStyle="1" w:styleId="85">
    <w:name w:val="正文文本缩进 字符"/>
    <w:basedOn w:val="36"/>
    <w:link w:val="13"/>
    <w:qFormat/>
    <w:uiPriority w:val="0"/>
    <w:rPr>
      <w:rFonts w:ascii="宋体"/>
      <w:sz w:val="24"/>
      <w:szCs w:val="22"/>
    </w:rPr>
  </w:style>
  <w:style w:type="character" w:customStyle="1" w:styleId="86">
    <w:name w:val="纯文本 字符"/>
    <w:basedOn w:val="36"/>
    <w:link w:val="16"/>
    <w:qFormat/>
    <w:uiPriority w:val="0"/>
    <w:rPr>
      <w:rFonts w:ascii="宋体" w:hAnsi="Courier New"/>
      <w:kern w:val="0"/>
      <w:sz w:val="28"/>
      <w:szCs w:val="20"/>
      <w:lang w:eastAsia="en-US" w:bidi="en-US"/>
    </w:rPr>
  </w:style>
  <w:style w:type="character" w:customStyle="1" w:styleId="87">
    <w:name w:val="正文文本缩进 2 字符"/>
    <w:basedOn w:val="36"/>
    <w:link w:val="19"/>
    <w:qFormat/>
    <w:uiPriority w:val="0"/>
    <w:rPr>
      <w:szCs w:val="22"/>
    </w:rPr>
  </w:style>
  <w:style w:type="character" w:customStyle="1" w:styleId="88">
    <w:name w:val="正文文本缩进 3 字符"/>
    <w:basedOn w:val="36"/>
    <w:link w:val="26"/>
    <w:qFormat/>
    <w:uiPriority w:val="99"/>
    <w:rPr>
      <w:kern w:val="0"/>
      <w:sz w:val="16"/>
      <w:szCs w:val="16"/>
      <w:lang w:eastAsia="en-US" w:bidi="en-US"/>
    </w:rPr>
  </w:style>
  <w:style w:type="character" w:customStyle="1" w:styleId="89">
    <w:name w:val="正文文本首行缩进 字符"/>
    <w:basedOn w:val="82"/>
    <w:link w:val="32"/>
    <w:qFormat/>
    <w:uiPriority w:val="0"/>
    <w:rPr>
      <w:kern w:val="0"/>
      <w:szCs w:val="24"/>
      <w:lang w:eastAsia="en-US" w:bidi="en-US"/>
    </w:rPr>
  </w:style>
  <w:style w:type="character" w:customStyle="1" w:styleId="90">
    <w:name w:val="正文文本首行缩进 2 字符"/>
    <w:basedOn w:val="85"/>
    <w:link w:val="33"/>
    <w:qFormat/>
    <w:uiPriority w:val="0"/>
    <w:rPr>
      <w:rFonts w:ascii="宋体"/>
      <w:sz w:val="24"/>
      <w:szCs w:val="24"/>
    </w:rPr>
  </w:style>
  <w:style w:type="paragraph" w:customStyle="1" w:styleId="91">
    <w:name w:val="Default"/>
    <w:basedOn w:val="92"/>
    <w:next w:val="1"/>
    <w:qFormat/>
    <w:uiPriority w:val="0"/>
    <w:pPr>
      <w:autoSpaceDE w:val="0"/>
      <w:autoSpaceDN w:val="0"/>
    </w:pPr>
    <w:rPr>
      <w:rFonts w:ascii="黑体" w:eastAsia="黑体" w:cs="黑体"/>
      <w:sz w:val="24"/>
      <w:szCs w:val="24"/>
    </w:rPr>
  </w:style>
  <w:style w:type="paragraph" w:customStyle="1" w:styleId="92">
    <w:name w:val="1 表头"/>
    <w:basedOn w:val="1"/>
    <w:qFormat/>
    <w:uiPriority w:val="0"/>
    <w:pPr>
      <w:adjustRightInd w:val="0"/>
      <w:snapToGrid w:val="0"/>
      <w:spacing w:line="240" w:lineRule="auto"/>
      <w:ind w:firstLine="0" w:firstLineChars="0"/>
      <w:jc w:val="center"/>
    </w:pPr>
    <w:rPr>
      <w:b/>
      <w:color w:val="000000"/>
      <w:kern w:val="2"/>
      <w:sz w:val="21"/>
      <w:szCs w:val="21"/>
    </w:rPr>
  </w:style>
  <w:style w:type="paragraph" w:customStyle="1" w:styleId="93">
    <w:name w:val="表格内"/>
    <w:basedOn w:val="1"/>
    <w:qFormat/>
    <w:uiPriority w:val="0"/>
    <w:pPr>
      <w:adjustRightInd w:val="0"/>
      <w:spacing w:line="240" w:lineRule="atLeast"/>
      <w:ind w:firstLine="0" w:firstLineChars="0"/>
      <w:jc w:val="center"/>
      <w:textAlignment w:val="baseline"/>
    </w:pPr>
    <w:rPr>
      <w:rFonts w:ascii="宋体"/>
      <w:sz w:val="28"/>
    </w:rPr>
  </w:style>
  <w:style w:type="character" w:customStyle="1" w:styleId="94">
    <w:name w:val="Body text + Spacing 0 pt"/>
    <w:qFormat/>
    <w:uiPriority w:val="0"/>
    <w:rPr>
      <w:rFonts w:ascii="MingLiU" w:hAnsi="MingLiU" w:eastAsia="MingLiU" w:cs="MingLiU"/>
      <w:color w:val="000000"/>
      <w:spacing w:val="-10"/>
      <w:w w:val="100"/>
      <w:position w:val="0"/>
      <w:sz w:val="22"/>
      <w:szCs w:val="22"/>
      <w:u w:val="none"/>
      <w:lang w:val="en-US"/>
    </w:rPr>
  </w:style>
  <w:style w:type="paragraph" w:customStyle="1" w:styleId="95">
    <w:name w:val="正文格式"/>
    <w:basedOn w:val="32"/>
    <w:qFormat/>
    <w:uiPriority w:val="0"/>
    <w:pPr>
      <w:spacing w:after="0" w:line="360" w:lineRule="auto"/>
      <w:ind w:firstLine="200" w:firstLineChars="200"/>
    </w:pPr>
    <w:rPr>
      <w:rFonts w:ascii="宋体"/>
      <w:sz w:val="24"/>
    </w:rPr>
  </w:style>
  <w:style w:type="paragraph" w:customStyle="1" w:styleId="96">
    <w:name w:val="报告正文"/>
    <w:basedOn w:val="97"/>
    <w:qFormat/>
    <w:uiPriority w:val="0"/>
    <w:pPr>
      <w:widowControl w:val="0"/>
      <w:snapToGrid w:val="0"/>
      <w:spacing w:line="360" w:lineRule="auto"/>
      <w:ind w:firstLine="200" w:firstLineChars="200"/>
    </w:pPr>
    <w:rPr>
      <w:rFonts w:ascii="Times New Roman" w:hAnsi="Times New Roman" w:cs="Times New Roman"/>
      <w:snapToGrid w:val="0"/>
      <w:sz w:val="24"/>
      <w:szCs w:val="28"/>
    </w:rPr>
  </w:style>
  <w:style w:type="paragraph" w:customStyle="1" w:styleId="97">
    <w:name w:val="p17"/>
    <w:basedOn w:val="1"/>
    <w:qFormat/>
    <w:uiPriority w:val="0"/>
    <w:pPr>
      <w:widowControl/>
      <w:spacing w:line="320" w:lineRule="exact"/>
      <w:ind w:firstLine="0" w:firstLineChars="0"/>
    </w:pPr>
    <w:rPr>
      <w:rFonts w:ascii="宋体" w:hAnsi="宋体" w:cs="宋体"/>
      <w:sz w:val="21"/>
      <w:szCs w:val="21"/>
    </w:rPr>
  </w:style>
  <w:style w:type="paragraph" w:customStyle="1" w:styleId="98">
    <w:name w:val="标题三A"/>
    <w:basedOn w:val="5"/>
    <w:qFormat/>
    <w:uiPriority w:val="0"/>
    <w:pPr>
      <w:keepNext w:val="0"/>
      <w:keepLines w:val="0"/>
      <w:spacing w:before="0" w:after="0" w:line="500" w:lineRule="exact"/>
    </w:pPr>
    <w:rPr>
      <w:kern w:val="2"/>
      <w:szCs w:val="28"/>
    </w:rPr>
  </w:style>
  <w:style w:type="paragraph" w:customStyle="1" w:styleId="99">
    <w:name w:val="正文!!!!!!!!!!!"/>
    <w:basedOn w:val="100"/>
    <w:qFormat/>
    <w:uiPriority w:val="0"/>
    <w:pPr>
      <w:ind w:firstLine="480"/>
    </w:pPr>
    <w:rPr>
      <w:rFonts w:ascii="华文仿宋" w:hAnsi="华文仿宋" w:eastAsia="华文仿宋" w:cs="华文仿宋"/>
    </w:rPr>
  </w:style>
  <w:style w:type="paragraph" w:customStyle="1" w:styleId="100">
    <w:name w:val="正文 楷体"/>
    <w:basedOn w:val="1"/>
    <w:qFormat/>
    <w:uiPriority w:val="0"/>
    <w:pPr>
      <w:spacing w:line="500" w:lineRule="exact"/>
    </w:pPr>
    <w:rPr>
      <w:rFonts w:ascii="楷体_GB2312" w:hAnsi="楷体_GB2312" w:eastAsia="楷体_GB2312" w:cs="宋体"/>
      <w:kern w:val="2"/>
      <w:szCs w:val="24"/>
    </w:rPr>
  </w:style>
  <w:style w:type="paragraph" w:customStyle="1" w:styleId="101">
    <w:name w:val="表中文字"/>
    <w:qFormat/>
    <w:uiPriority w:val="0"/>
    <w:pPr>
      <w:widowControl w:val="0"/>
      <w:adjustRightInd w:val="0"/>
      <w:spacing w:line="280" w:lineRule="exact"/>
      <w:jc w:val="center"/>
      <w:textAlignment w:val="center"/>
    </w:pPr>
    <w:rPr>
      <w:rFonts w:ascii="Times New Roman" w:hAnsi="Times New Roman" w:eastAsia="宋体" w:cs="Times New Roman"/>
      <w:sz w:val="21"/>
      <w:szCs w:val="15"/>
      <w:lang w:val="de-DE" w:eastAsia="zh-CN" w:bidi="ar-SA"/>
    </w:rPr>
  </w:style>
  <w:style w:type="paragraph" w:customStyle="1" w:styleId="102">
    <w:name w:val="三级标题"/>
    <w:basedOn w:val="16"/>
    <w:next w:val="96"/>
    <w:qFormat/>
    <w:uiPriority w:val="0"/>
    <w:pPr>
      <w:spacing w:line="360" w:lineRule="auto"/>
      <w:outlineLvl w:val="2"/>
    </w:pPr>
    <w:rPr>
      <w:b/>
      <w:snapToGrid w:val="0"/>
      <w:sz w:val="24"/>
      <w:szCs w:val="28"/>
    </w:rPr>
  </w:style>
  <w:style w:type="paragraph" w:customStyle="1" w:styleId="103">
    <w:name w:val="Body text|1"/>
    <w:basedOn w:val="1"/>
    <w:qFormat/>
    <w:uiPriority w:val="0"/>
    <w:pPr>
      <w:spacing w:line="408" w:lineRule="auto"/>
      <w:ind w:firstLine="400" w:firstLineChars="0"/>
    </w:pPr>
    <w:rPr>
      <w:rFonts w:ascii="MingLiU" w:hAnsi="MingLiU" w:eastAsia="MingLiU" w:cs="MingLiU"/>
      <w:kern w:val="2"/>
      <w:sz w:val="19"/>
      <w:szCs w:val="19"/>
      <w:lang w:val="zh-TW" w:eastAsia="zh-TW" w:bidi="zh-TW"/>
    </w:rPr>
  </w:style>
  <w:style w:type="paragraph" w:customStyle="1" w:styleId="104">
    <w:name w:val="Table Paragraph"/>
    <w:basedOn w:val="1"/>
    <w:qFormat/>
    <w:uiPriority w:val="1"/>
    <w:pPr>
      <w:autoSpaceDE w:val="0"/>
      <w:autoSpaceDN w:val="0"/>
      <w:spacing w:line="240" w:lineRule="auto"/>
      <w:ind w:firstLine="0" w:firstLineChars="0"/>
      <w:jc w:val="center"/>
    </w:pPr>
    <w:rPr>
      <w:rFonts w:ascii="宋体" w:hAnsi="宋体" w:cs="宋体"/>
      <w:sz w:val="22"/>
      <w:szCs w:val="22"/>
      <w:lang w:val="zh-CN" w:bidi="zh-CN"/>
    </w:rPr>
  </w:style>
  <w:style w:type="paragraph" w:customStyle="1" w:styleId="105">
    <w:name w:val="表格表题"/>
    <w:basedOn w:val="1"/>
    <w:qFormat/>
    <w:uiPriority w:val="0"/>
    <w:pPr>
      <w:autoSpaceDE w:val="0"/>
      <w:autoSpaceDN w:val="0"/>
      <w:adjustRightInd w:val="0"/>
      <w:spacing w:line="480" w:lineRule="atLeast"/>
      <w:ind w:firstLine="0" w:firstLineChars="0"/>
      <w:jc w:val="center"/>
      <w:textAlignment w:val="baseline"/>
    </w:pPr>
    <w:rPr>
      <w:rFonts w:ascii="黑体" w:eastAsia="黑体"/>
      <w:kern w:val="16"/>
      <w:sz w:val="21"/>
      <w:szCs w:val="22"/>
    </w:rPr>
  </w:style>
  <w:style w:type="paragraph" w:customStyle="1" w:styleId="106">
    <w:name w:val="标题四A"/>
    <w:basedOn w:val="1"/>
    <w:qFormat/>
    <w:uiPriority w:val="0"/>
    <w:pPr>
      <w:spacing w:line="500" w:lineRule="exact"/>
      <w:ind w:firstLine="0" w:firstLineChars="0"/>
      <w:outlineLvl w:val="3"/>
    </w:pPr>
    <w:rPr>
      <w:b/>
      <w:szCs w:val="24"/>
    </w:rPr>
  </w:style>
  <w:style w:type="paragraph" w:customStyle="1" w:styleId="107">
    <w:name w:val="标题二A"/>
    <w:basedOn w:val="1"/>
    <w:qFormat/>
    <w:uiPriority w:val="0"/>
    <w:pPr>
      <w:spacing w:before="120" w:after="120" w:line="500" w:lineRule="exact"/>
      <w:ind w:firstLine="0" w:firstLineChars="0"/>
      <w:outlineLvl w:val="1"/>
    </w:pPr>
    <w:rPr>
      <w:rFonts w:cs="楷体_GB2312"/>
      <w:b/>
      <w:bCs/>
      <w:kern w:val="2"/>
      <w:sz w:val="30"/>
      <w:szCs w:val="30"/>
    </w:rPr>
  </w:style>
  <w:style w:type="paragraph" w:customStyle="1" w:styleId="108">
    <w:name w:val="表格"/>
    <w:basedOn w:val="24"/>
    <w:next w:val="1"/>
    <w:link w:val="171"/>
    <w:qFormat/>
    <w:uiPriority w:val="0"/>
    <w:pPr>
      <w:spacing w:beforeLines="50" w:afterLines="50" w:line="360" w:lineRule="auto"/>
      <w:ind w:firstLine="480" w:firstLineChars="200"/>
      <w:jc w:val="center"/>
    </w:pPr>
    <w:rPr>
      <w:rFonts w:ascii="Arial" w:hAnsi="Arial" w:cs="Arial"/>
      <w:szCs w:val="21"/>
    </w:rPr>
  </w:style>
  <w:style w:type="paragraph" w:customStyle="1" w:styleId="109">
    <w:name w:val="表格标题"/>
    <w:basedOn w:val="1"/>
    <w:next w:val="12"/>
    <w:link w:val="173"/>
    <w:qFormat/>
    <w:uiPriority w:val="0"/>
    <w:pPr>
      <w:autoSpaceDE w:val="0"/>
      <w:autoSpaceDN w:val="0"/>
      <w:adjustRightInd w:val="0"/>
      <w:snapToGrid w:val="0"/>
      <w:spacing w:line="320" w:lineRule="exact"/>
      <w:ind w:firstLine="0" w:firstLineChars="0"/>
      <w:jc w:val="center"/>
      <w:textAlignment w:val="baseline"/>
    </w:pPr>
    <w:rPr>
      <w:sz w:val="21"/>
      <w:szCs w:val="22"/>
    </w:rPr>
  </w:style>
  <w:style w:type="paragraph" w:customStyle="1" w:styleId="110">
    <w:name w:val="表后空格"/>
    <w:basedOn w:val="100"/>
    <w:qFormat/>
    <w:uiPriority w:val="0"/>
    <w:pPr>
      <w:spacing w:line="240" w:lineRule="exact"/>
      <w:ind w:firstLine="480"/>
    </w:pPr>
  </w:style>
  <w:style w:type="paragraph" w:customStyle="1" w:styleId="111">
    <w:name w:val="！正文"/>
    <w:basedOn w:val="1"/>
    <w:qFormat/>
    <w:uiPriority w:val="0"/>
    <w:pPr>
      <w:spacing w:line="500" w:lineRule="exact"/>
      <w:ind w:firstLine="0" w:firstLineChars="0"/>
    </w:pPr>
    <w:rPr>
      <w:rFonts w:eastAsia="Times New Roman"/>
      <w:kern w:val="2"/>
      <w:sz w:val="21"/>
      <w:szCs w:val="24"/>
    </w:rPr>
  </w:style>
  <w:style w:type="paragraph" w:customStyle="1" w:styleId="112">
    <w:name w:val="表头"/>
    <w:basedOn w:val="9"/>
    <w:next w:val="1"/>
    <w:qFormat/>
    <w:uiPriority w:val="0"/>
    <w:pPr>
      <w:spacing w:line="500" w:lineRule="exact"/>
      <w:jc w:val="center"/>
    </w:pPr>
    <w:rPr>
      <w:rFonts w:ascii="楷体_GB2312" w:hAnsi="楷体_GB2312" w:eastAsia="楷体_GB2312" w:cs="楷体_GB2312"/>
      <w:b/>
      <w:sz w:val="24"/>
    </w:rPr>
  </w:style>
  <w:style w:type="paragraph" w:customStyle="1" w:styleId="113">
    <w:name w:val="兴化美联正文样式"/>
    <w:basedOn w:val="1"/>
    <w:qFormat/>
    <w:uiPriority w:val="0"/>
    <w:pPr>
      <w:widowControl/>
      <w:spacing w:line="560" w:lineRule="exact"/>
      <w:ind w:firstLine="480"/>
      <w:jc w:val="left"/>
    </w:pPr>
    <w:rPr>
      <w:rFonts w:ascii="宋体" w:hAnsi="宋体" w:cs="宋体"/>
      <w:color w:val="000000"/>
      <w:szCs w:val="24"/>
    </w:rPr>
  </w:style>
  <w:style w:type="paragraph" w:customStyle="1" w:styleId="114">
    <w:name w:val="表格文字样式14"/>
    <w:basedOn w:val="109"/>
    <w:qFormat/>
    <w:uiPriority w:val="0"/>
    <w:pPr>
      <w:overflowPunct w:val="0"/>
      <w:autoSpaceDE/>
      <w:autoSpaceDN/>
      <w:spacing w:line="240" w:lineRule="auto"/>
      <w:textAlignment w:val="auto"/>
    </w:pPr>
    <w:rPr>
      <w:rFonts w:ascii="宋体" w:hAnsi="宋体"/>
      <w:bCs/>
      <w:snapToGrid w:val="0"/>
      <w:szCs w:val="21"/>
    </w:rPr>
  </w:style>
  <w:style w:type="paragraph" w:customStyle="1" w:styleId="115">
    <w:name w:val="正文1"/>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116">
    <w:name w:val="正文-ls"/>
    <w:basedOn w:val="1"/>
    <w:qFormat/>
    <w:uiPriority w:val="0"/>
    <w:rPr>
      <w:rFonts w:hAnsi="宋体" w:cs="宋体"/>
      <w:kern w:val="2"/>
    </w:rPr>
  </w:style>
  <w:style w:type="paragraph" w:customStyle="1" w:styleId="117">
    <w:name w:val="缩进"/>
    <w:basedOn w:val="1"/>
    <w:qFormat/>
    <w:uiPriority w:val="0"/>
    <w:rPr>
      <w:kern w:val="2"/>
      <w:szCs w:val="24"/>
    </w:rPr>
  </w:style>
  <w:style w:type="paragraph" w:customStyle="1" w:styleId="118">
    <w:name w:val="表内字"/>
    <w:basedOn w:val="1"/>
    <w:qFormat/>
    <w:uiPriority w:val="0"/>
    <w:pPr>
      <w:spacing w:line="320" w:lineRule="exact"/>
      <w:ind w:firstLine="0" w:firstLineChars="0"/>
      <w:jc w:val="center"/>
    </w:pPr>
    <w:rPr>
      <w:sz w:val="21"/>
      <w:szCs w:val="24"/>
    </w:rPr>
  </w:style>
  <w:style w:type="paragraph" w:customStyle="1" w:styleId="119">
    <w:name w:val="Body text|2"/>
    <w:basedOn w:val="1"/>
    <w:qFormat/>
    <w:uiPriority w:val="0"/>
    <w:pPr>
      <w:spacing w:after="80" w:line="394" w:lineRule="exact"/>
      <w:ind w:firstLine="480" w:firstLineChars="0"/>
    </w:pPr>
    <w:rPr>
      <w:rFonts w:eastAsia="Times New Roman"/>
      <w:b/>
      <w:bCs/>
      <w:color w:val="000000"/>
      <w:kern w:val="2"/>
      <w:sz w:val="19"/>
      <w:szCs w:val="19"/>
    </w:rPr>
  </w:style>
  <w:style w:type="paragraph" w:customStyle="1" w:styleId="120">
    <w:name w:val="标题四"/>
    <w:next w:val="111"/>
    <w:qFormat/>
    <w:uiPriority w:val="0"/>
    <w:pPr>
      <w:numPr>
        <w:ilvl w:val="3"/>
        <w:numId w:val="1"/>
      </w:numPr>
      <w:spacing w:line="360" w:lineRule="auto"/>
      <w:jc w:val="both"/>
      <w:outlineLvl w:val="3"/>
    </w:pPr>
    <w:rPr>
      <w:rFonts w:ascii="宋体" w:hAnsi="Calibri" w:eastAsia="宋体" w:cs="宋体"/>
      <w:b/>
      <w:kern w:val="2"/>
      <w:sz w:val="24"/>
      <w:szCs w:val="24"/>
      <w:lang w:val="en-US" w:eastAsia="zh-CN" w:bidi="ar-SA"/>
    </w:rPr>
  </w:style>
  <w:style w:type="paragraph" w:customStyle="1" w:styleId="121">
    <w:name w:val="样式 正文首行缩进 + 首行缩进:  2 字符1"/>
    <w:basedOn w:val="32"/>
    <w:qFormat/>
    <w:uiPriority w:val="0"/>
    <w:pPr>
      <w:spacing w:after="0" w:line="360" w:lineRule="auto"/>
      <w:ind w:firstLine="480" w:firstLineChars="200"/>
    </w:pPr>
    <w:rPr>
      <w:sz w:val="24"/>
    </w:rPr>
  </w:style>
  <w:style w:type="paragraph" w:customStyle="1" w:styleId="122">
    <w:name w:val="农贸市场表格表头"/>
    <w:basedOn w:val="1"/>
    <w:qFormat/>
    <w:uiPriority w:val="0"/>
    <w:pPr>
      <w:spacing w:line="240" w:lineRule="auto"/>
      <w:ind w:firstLine="0" w:firstLineChars="0"/>
      <w:jc w:val="center"/>
    </w:pPr>
    <w:rPr>
      <w:rFonts w:ascii="宋体" w:hAnsi="宋体" w:cs="仿宋_GB2312"/>
      <w:b/>
      <w:sz w:val="21"/>
      <w:szCs w:val="21"/>
    </w:rPr>
  </w:style>
  <w:style w:type="paragraph" w:customStyle="1" w:styleId="123">
    <w:name w:val="表格文字"/>
    <w:basedOn w:val="12"/>
    <w:next w:val="1"/>
    <w:qFormat/>
    <w:uiPriority w:val="0"/>
    <w:pPr>
      <w:widowControl w:val="0"/>
      <w:tabs>
        <w:tab w:val="left" w:pos="1119"/>
      </w:tabs>
      <w:spacing w:after="0"/>
      <w:ind w:left="-90" w:leftChars="-43"/>
    </w:pPr>
    <w:rPr>
      <w:snapToGrid w:val="0"/>
      <w:color w:val="000000"/>
      <w:sz w:val="18"/>
      <w:szCs w:val="18"/>
      <w:lang w:eastAsia="zh-CN" w:bidi="ar-SA"/>
    </w:rPr>
  </w:style>
  <w:style w:type="paragraph" w:customStyle="1" w:styleId="124">
    <w:name w:val="表头标题格式"/>
    <w:basedOn w:val="1"/>
    <w:qFormat/>
    <w:uiPriority w:val="0"/>
    <w:pPr>
      <w:tabs>
        <w:tab w:val="left" w:pos="360"/>
        <w:tab w:val="left" w:pos="1620"/>
      </w:tabs>
      <w:ind w:firstLine="0" w:firstLineChars="0"/>
      <w:jc w:val="center"/>
    </w:pPr>
    <w:rPr>
      <w:rFonts w:ascii="黑体" w:hAnsi="宋体" w:eastAsia="黑体" w:cs="宋体"/>
      <w:b/>
      <w:bCs/>
      <w:kern w:val="2"/>
    </w:rPr>
  </w:style>
  <w:style w:type="paragraph" w:customStyle="1" w:styleId="125">
    <w:name w:val="样式 表格标题 + 段前: 0.5 行2"/>
    <w:basedOn w:val="1"/>
    <w:qFormat/>
    <w:uiPriority w:val="0"/>
    <w:pPr>
      <w:autoSpaceDE w:val="0"/>
      <w:autoSpaceDN w:val="0"/>
      <w:adjustRightInd w:val="0"/>
      <w:spacing w:beforeLines="50" w:line="400" w:lineRule="exact"/>
      <w:ind w:firstLine="0" w:firstLineChars="0"/>
      <w:jc w:val="center"/>
    </w:pPr>
    <w:rPr>
      <w:rFonts w:ascii="宋体" w:eastAsia="黑体" w:cs="宋体"/>
      <w:kern w:val="2"/>
      <w:lang w:val="zh-CN"/>
    </w:rPr>
  </w:style>
  <w:style w:type="paragraph" w:customStyle="1" w:styleId="126">
    <w:name w:val="样式 正文缩进正文缩进2正文缩进 Char Char正文缩进 Char Char Char Char正文缩进 Char ..."/>
    <w:basedOn w:val="9"/>
    <w:qFormat/>
    <w:uiPriority w:val="0"/>
    <w:pPr>
      <w:spacing w:line="360" w:lineRule="auto"/>
      <w:ind w:firstLine="200"/>
    </w:pPr>
    <w:rPr>
      <w:rFonts w:cs="宋体"/>
      <w:sz w:val="24"/>
    </w:rPr>
  </w:style>
  <w:style w:type="paragraph" w:styleId="127">
    <w:name w:val="List Paragraph"/>
    <w:basedOn w:val="1"/>
    <w:next w:val="16"/>
    <w:qFormat/>
    <w:uiPriority w:val="99"/>
    <w:pPr>
      <w:spacing w:line="320" w:lineRule="exact"/>
      <w:ind w:firstLine="0" w:firstLineChars="0"/>
    </w:pPr>
    <w:rPr>
      <w:kern w:val="2"/>
      <w:sz w:val="21"/>
    </w:rPr>
  </w:style>
  <w:style w:type="paragraph" w:customStyle="1" w:styleId="128">
    <w:name w:val="表文字"/>
    <w:basedOn w:val="1"/>
    <w:qFormat/>
    <w:uiPriority w:val="0"/>
    <w:pPr>
      <w:overflowPunct w:val="0"/>
      <w:autoSpaceDE w:val="0"/>
      <w:autoSpaceDN w:val="0"/>
      <w:adjustRightInd w:val="0"/>
      <w:spacing w:line="240" w:lineRule="atLeast"/>
      <w:ind w:firstLine="0" w:firstLineChars="0"/>
      <w:jc w:val="center"/>
      <w:textAlignment w:val="baseline"/>
    </w:pPr>
    <w:rPr>
      <w:szCs w:val="22"/>
    </w:rPr>
  </w:style>
  <w:style w:type="paragraph" w:customStyle="1" w:styleId="129">
    <w:name w:val="正文部分"/>
    <w:semiHidden/>
    <w:qFormat/>
    <w:uiPriority w:val="0"/>
    <w:pPr>
      <w:widowControl w:val="0"/>
      <w:ind w:firstLine="200" w:firstLineChars="200"/>
      <w:jc w:val="both"/>
    </w:pPr>
    <w:rPr>
      <w:rFonts w:ascii="宋体" w:hAnsi="宋体" w:eastAsia="宋体" w:cs="Times New Roman"/>
      <w:sz w:val="24"/>
      <w:szCs w:val="24"/>
      <w:lang w:val="en-US" w:eastAsia="zh-CN" w:bidi="ar-SA"/>
    </w:rPr>
  </w:style>
  <w:style w:type="paragraph" w:customStyle="1" w:styleId="130">
    <w:name w:val="标题一A"/>
    <w:basedOn w:val="1"/>
    <w:qFormat/>
    <w:uiPriority w:val="0"/>
    <w:pPr>
      <w:widowControl/>
      <w:spacing w:line="480" w:lineRule="auto"/>
      <w:ind w:firstLine="0" w:firstLineChars="0"/>
      <w:jc w:val="center"/>
      <w:outlineLvl w:val="0"/>
    </w:pPr>
    <w:rPr>
      <w:b/>
      <w:kern w:val="2"/>
      <w:sz w:val="32"/>
      <w:szCs w:val="32"/>
    </w:rPr>
  </w:style>
  <w:style w:type="paragraph" w:customStyle="1" w:styleId="131">
    <w:name w:val="表头A"/>
    <w:basedOn w:val="112"/>
    <w:qFormat/>
    <w:uiPriority w:val="0"/>
    <w:pPr>
      <w:spacing w:line="400" w:lineRule="exact"/>
    </w:pPr>
    <w:rPr>
      <w:rFonts w:ascii="Times New Roman" w:hAnsi="Times New Roman" w:eastAsia="宋体" w:cs="Times New Roman"/>
    </w:rPr>
  </w:style>
  <w:style w:type="paragraph" w:customStyle="1" w:styleId="132">
    <w:name w:val="二级标题"/>
    <w:basedOn w:val="16"/>
    <w:qFormat/>
    <w:uiPriority w:val="0"/>
    <w:pPr>
      <w:spacing w:before="100" w:beforeAutospacing="1" w:after="100" w:afterAutospacing="1"/>
      <w:outlineLvl w:val="1"/>
    </w:pPr>
    <w:rPr>
      <w:b/>
      <w:snapToGrid w:val="0"/>
      <w:szCs w:val="28"/>
    </w:rPr>
  </w:style>
  <w:style w:type="paragraph" w:customStyle="1" w:styleId="133">
    <w:name w:val="6-表中文字"/>
    <w:basedOn w:val="1"/>
    <w:qFormat/>
    <w:uiPriority w:val="0"/>
    <w:pPr>
      <w:adjustRightInd w:val="0"/>
      <w:snapToGrid w:val="0"/>
      <w:spacing w:line="240" w:lineRule="auto"/>
      <w:ind w:firstLine="0" w:firstLineChars="0"/>
      <w:jc w:val="center"/>
      <w:textAlignment w:val="center"/>
    </w:pPr>
    <w:rPr>
      <w:rFonts w:eastAsia="华文中宋"/>
      <w:sz w:val="21"/>
      <w:szCs w:val="21"/>
    </w:rPr>
  </w:style>
  <w:style w:type="paragraph" w:customStyle="1" w:styleId="134">
    <w:name w:val="表格标题 五号"/>
    <w:basedOn w:val="125"/>
    <w:qFormat/>
    <w:uiPriority w:val="0"/>
    <w:pPr>
      <w:spacing w:beforeLines="0" w:after="120"/>
    </w:pPr>
    <w:rPr>
      <w:rFonts w:eastAsia="宋体"/>
      <w:b/>
      <w:snapToGrid w:val="0"/>
      <w:sz w:val="21"/>
    </w:rPr>
  </w:style>
  <w:style w:type="paragraph" w:customStyle="1" w:styleId="135">
    <w:name w:val="Body text|221"/>
    <w:basedOn w:val="1"/>
    <w:qFormat/>
    <w:uiPriority w:val="0"/>
    <w:pPr>
      <w:shd w:val="clear" w:color="auto" w:fill="FFFFFF"/>
      <w:spacing w:before="240" w:line="451" w:lineRule="exact"/>
      <w:ind w:hanging="620" w:firstLineChars="0"/>
      <w:jc w:val="distribute"/>
    </w:pPr>
    <w:rPr>
      <w:rFonts w:ascii="PMingLiU" w:hAnsi="PMingLiU" w:eastAsia="PMingLiU" w:cs="PMingLiU"/>
      <w:spacing w:val="10"/>
      <w:kern w:val="2"/>
      <w:sz w:val="22"/>
      <w:szCs w:val="22"/>
    </w:rPr>
  </w:style>
  <w:style w:type="paragraph" w:customStyle="1" w:styleId="136">
    <w:name w:val="正文邓"/>
    <w:basedOn w:val="137"/>
    <w:qFormat/>
    <w:uiPriority w:val="0"/>
    <w:pPr>
      <w:adjustRightInd w:val="0"/>
      <w:ind w:firstLine="600" w:firstLineChars="250"/>
    </w:pPr>
    <w:rPr>
      <w:rFonts w:ascii="仿宋" w:hAnsi="仿宋" w:eastAsia="仿宋"/>
      <w:bCs/>
      <w:kern w:val="0"/>
    </w:rPr>
  </w:style>
  <w:style w:type="paragraph" w:customStyle="1" w:styleId="137">
    <w:name w:val="邓正文"/>
    <w:basedOn w:val="1"/>
    <w:qFormat/>
    <w:uiPriority w:val="0"/>
    <w:pPr>
      <w:snapToGrid w:val="0"/>
      <w:ind w:firstLine="360" w:firstLineChars="150"/>
      <w:jc w:val="left"/>
    </w:pPr>
    <w:rPr>
      <w:rFonts w:ascii="宋体" w:hAnsi="宋体" w:eastAsia="仿宋_GB2312"/>
      <w:color w:val="000000"/>
      <w:kern w:val="2"/>
      <w:szCs w:val="24"/>
    </w:rPr>
  </w:style>
  <w:style w:type="paragraph" w:customStyle="1" w:styleId="138">
    <w:name w:val="邓表格文字"/>
    <w:basedOn w:val="139"/>
    <w:qFormat/>
    <w:uiPriority w:val="0"/>
    <w:pPr>
      <w:spacing w:line="220" w:lineRule="exact"/>
    </w:pPr>
    <w:rPr>
      <w:rFonts w:eastAsia="宋体"/>
      <w:kern w:val="0"/>
      <w:sz w:val="15"/>
      <w:szCs w:val="15"/>
    </w:rPr>
  </w:style>
  <w:style w:type="paragraph" w:customStyle="1" w:styleId="139">
    <w:name w:val="表格文字邓"/>
    <w:basedOn w:val="1"/>
    <w:qFormat/>
    <w:uiPriority w:val="0"/>
    <w:pPr>
      <w:widowControl/>
      <w:snapToGrid w:val="0"/>
      <w:spacing w:line="200" w:lineRule="exact"/>
      <w:ind w:firstLine="0" w:firstLineChars="0"/>
      <w:jc w:val="center"/>
    </w:pPr>
    <w:rPr>
      <w:rFonts w:ascii="宋体" w:hAnsi="宋体" w:eastAsia="华文中宋"/>
      <w:color w:val="000000"/>
      <w:kern w:val="2"/>
      <w:sz w:val="18"/>
      <w:szCs w:val="18"/>
    </w:rPr>
  </w:style>
  <w:style w:type="paragraph" w:customStyle="1" w:styleId="140">
    <w:name w:val="付正文"/>
    <w:basedOn w:val="1"/>
    <w:semiHidden/>
    <w:qFormat/>
    <w:uiPriority w:val="0"/>
    <w:rPr>
      <w:rFonts w:ascii="宋体"/>
      <w:color w:val="000000"/>
      <w:kern w:val="2"/>
      <w:szCs w:val="21"/>
    </w:rPr>
  </w:style>
  <w:style w:type="paragraph" w:customStyle="1" w:styleId="141">
    <w:name w:val="我"/>
    <w:basedOn w:val="1"/>
    <w:qFormat/>
    <w:uiPriority w:val="0"/>
    <w:pPr>
      <w:spacing w:line="320" w:lineRule="exact"/>
      <w:ind w:firstLine="640" w:firstLineChars="0"/>
    </w:pPr>
    <w:rPr>
      <w:sz w:val="21"/>
    </w:rPr>
  </w:style>
  <w:style w:type="paragraph" w:customStyle="1" w:styleId="142">
    <w:name w:val="正文小四首缩1.3行距"/>
    <w:basedOn w:val="1"/>
    <w:qFormat/>
    <w:uiPriority w:val="0"/>
    <w:rPr>
      <w:rFonts w:ascii="宋体" w:hAnsi="宋体" w:cs="宋体"/>
      <w:kern w:val="2"/>
      <w:szCs w:val="22"/>
    </w:rPr>
  </w:style>
  <w:style w:type="paragraph" w:customStyle="1" w:styleId="143">
    <w:name w:val="表格内容"/>
    <w:basedOn w:val="9"/>
    <w:qFormat/>
    <w:uiPriority w:val="0"/>
    <w:pPr>
      <w:ind w:firstLine="0"/>
      <w:jc w:val="center"/>
    </w:pPr>
    <w:rPr>
      <w:sz w:val="18"/>
      <w:szCs w:val="20"/>
    </w:rPr>
  </w:style>
  <w:style w:type="paragraph" w:customStyle="1" w:styleId="144">
    <w:name w:val="样式 样式 报告正文 + 宋体 五号 黑色 + 五号"/>
    <w:basedOn w:val="1"/>
    <w:link w:val="149"/>
    <w:qFormat/>
    <w:uiPriority w:val="0"/>
    <w:pPr>
      <w:adjustRightInd w:val="0"/>
      <w:snapToGrid w:val="0"/>
      <w:spacing w:line="500" w:lineRule="exact"/>
    </w:pPr>
    <w:rPr>
      <w:b/>
      <w:bCs/>
      <w:color w:val="000000"/>
      <w:kern w:val="2"/>
      <w:sz w:val="21"/>
      <w:szCs w:val="22"/>
    </w:rPr>
  </w:style>
  <w:style w:type="paragraph" w:customStyle="1" w:styleId="145">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lang w:val="en-US" w:eastAsia="zh-CN" w:bidi="ar-SA"/>
    </w:rPr>
  </w:style>
  <w:style w:type="character" w:customStyle="1" w:styleId="146">
    <w:name w:val="纯文本 字符1"/>
    <w:qFormat/>
    <w:uiPriority w:val="0"/>
    <w:rPr>
      <w:rFonts w:hint="eastAsia" w:ascii="宋体" w:hAnsi="Courier New" w:eastAsia="宋体" w:cs="宋体"/>
      <w:sz w:val="28"/>
    </w:rPr>
  </w:style>
  <w:style w:type="paragraph" w:customStyle="1" w:styleId="147">
    <w:name w:val="样式 标题 1标题 1 Char标1 + 段前: 0.5 行 段后: 0.5 行1"/>
    <w:basedOn w:val="3"/>
    <w:semiHidden/>
    <w:qFormat/>
    <w:uiPriority w:val="0"/>
    <w:pPr>
      <w:keepLines w:val="0"/>
      <w:autoSpaceDE w:val="0"/>
      <w:autoSpaceDN w:val="0"/>
      <w:adjustRightInd w:val="0"/>
      <w:spacing w:beforeLines="50" w:afterLines="50" w:line="240" w:lineRule="auto"/>
      <w:ind w:left="153" w:leftChars="153" w:firstLine="50" w:firstLineChars="50"/>
      <w:textAlignment w:val="bottom"/>
    </w:pPr>
    <w:rPr>
      <w:rFonts w:ascii="黑体" w:hAnsi="Arial" w:eastAsia="黑体" w:cs="宋体"/>
      <w:b w:val="0"/>
      <w:bCs w:val="0"/>
      <w:kern w:val="0"/>
      <w:sz w:val="28"/>
      <w:szCs w:val="20"/>
      <w:lang w:val="zh-CN"/>
    </w:rPr>
  </w:style>
  <w:style w:type="paragraph" w:customStyle="1" w:styleId="148">
    <w:name w:val="xl63"/>
    <w:basedOn w:val="1"/>
    <w:qFormat/>
    <w:uiPriority w:val="0"/>
    <w:pPr>
      <w:widowControl/>
      <w:pBdr>
        <w:top w:val="single" w:color="auto" w:sz="8" w:space="0"/>
      </w:pBdr>
      <w:spacing w:before="100" w:after="100" w:line="240" w:lineRule="auto"/>
      <w:ind w:firstLine="0" w:firstLineChars="0"/>
      <w:jc w:val="center"/>
      <w:textAlignment w:val="top"/>
    </w:pPr>
    <w:rPr>
      <w:rFonts w:ascii="宋体"/>
    </w:rPr>
  </w:style>
  <w:style w:type="character" w:customStyle="1" w:styleId="149">
    <w:name w:val="样式 样式 报告正文 + 宋体 五号 黑色 + 五号 Char"/>
    <w:link w:val="144"/>
    <w:qFormat/>
    <w:uiPriority w:val="0"/>
    <w:rPr>
      <w:b/>
      <w:bCs/>
      <w:color w:val="000000"/>
      <w:szCs w:val="22"/>
    </w:rPr>
  </w:style>
  <w:style w:type="paragraph" w:customStyle="1" w:styleId="150">
    <w:name w:val="样式 (西文) Times New Roman (中文) 黑体 居中 行距: 1.5 倍行距"/>
    <w:basedOn w:val="1"/>
    <w:qFormat/>
    <w:uiPriority w:val="0"/>
    <w:pPr>
      <w:ind w:firstLine="0" w:firstLineChars="0"/>
      <w:jc w:val="center"/>
    </w:pPr>
    <w:rPr>
      <w:rFonts w:eastAsia="黑体" w:cs="宋体"/>
    </w:rPr>
  </w:style>
  <w:style w:type="paragraph" w:customStyle="1" w:styleId="151">
    <w:name w:val="样式 标题 3 + 黑体 小四 行距: 多倍行距 3 字行"/>
    <w:basedOn w:val="5"/>
    <w:qFormat/>
    <w:uiPriority w:val="0"/>
    <w:pPr>
      <w:keepLines w:val="0"/>
      <w:tabs>
        <w:tab w:val="left" w:pos="3600"/>
      </w:tabs>
      <w:spacing w:before="0" w:after="0" w:line="720" w:lineRule="auto"/>
      <w:textAlignment w:val="center"/>
    </w:pPr>
    <w:rPr>
      <w:rFonts w:ascii="黑体" w:hAnsi="宋体" w:eastAsia="黑体" w:cs="宋体"/>
      <w:b w:val="0"/>
      <w:bCs w:val="0"/>
      <w:sz w:val="24"/>
      <w:szCs w:val="20"/>
    </w:rPr>
  </w:style>
  <w:style w:type="paragraph" w:customStyle="1" w:styleId="152">
    <w:name w:val="样式 标题 4 + (西文) Times New Roman 行距: 固定值 25 磅"/>
    <w:basedOn w:val="6"/>
    <w:qFormat/>
    <w:uiPriority w:val="0"/>
    <w:pPr>
      <w:keepNext w:val="0"/>
      <w:tabs>
        <w:tab w:val="left" w:pos="851"/>
      </w:tabs>
      <w:spacing w:before="0" w:after="0"/>
      <w:ind w:left="851" w:hanging="851" w:firstLineChars="0"/>
    </w:pPr>
    <w:rPr>
      <w:rFonts w:eastAsia="黑体" w:cs="宋体"/>
      <w:b w:val="0"/>
      <w:bCs w:val="0"/>
      <w:snapToGrid w:val="0"/>
      <w:szCs w:val="24"/>
    </w:rPr>
  </w:style>
  <w:style w:type="paragraph" w:customStyle="1" w:styleId="153">
    <w:name w:val="列出段落1"/>
    <w:basedOn w:val="1"/>
    <w:qFormat/>
    <w:uiPriority w:val="99"/>
    <w:pPr>
      <w:spacing w:line="240" w:lineRule="auto"/>
      <w:ind w:firstLine="420"/>
    </w:pPr>
    <w:rPr>
      <w:rFonts w:ascii="Calibri" w:hAnsi="Calibri"/>
      <w:sz w:val="28"/>
      <w:szCs w:val="22"/>
    </w:rPr>
  </w:style>
  <w:style w:type="character" w:customStyle="1" w:styleId="154">
    <w:name w:val="0-正文 Char"/>
    <w:link w:val="155"/>
    <w:qFormat/>
    <w:uiPriority w:val="0"/>
    <w:rPr>
      <w:sz w:val="24"/>
    </w:rPr>
  </w:style>
  <w:style w:type="paragraph" w:customStyle="1" w:styleId="155">
    <w:name w:val="0-正文"/>
    <w:link w:val="154"/>
    <w:qFormat/>
    <w:uiPriority w:val="0"/>
    <w:pPr>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character" w:customStyle="1" w:styleId="156">
    <w:name w:val="题注 字符"/>
    <w:link w:val="10"/>
    <w:qFormat/>
    <w:uiPriority w:val="35"/>
    <w:rPr>
      <w:rFonts w:cstheme="majorBidi"/>
      <w:b/>
      <w:sz w:val="21"/>
    </w:rPr>
  </w:style>
  <w:style w:type="character" w:customStyle="1" w:styleId="157">
    <w:name w:val="HTML 预设格式 字符1"/>
    <w:link w:val="30"/>
    <w:qFormat/>
    <w:uiPriority w:val="0"/>
    <w:rPr>
      <w:rFonts w:ascii="Arial" w:hAnsi="Arial" w:cs="Arial"/>
      <w:sz w:val="24"/>
      <w:szCs w:val="24"/>
    </w:rPr>
  </w:style>
  <w:style w:type="character" w:customStyle="1" w:styleId="158">
    <w:name w:val="HTML 预设格式 字符"/>
    <w:basedOn w:val="36"/>
    <w:semiHidden/>
    <w:qFormat/>
    <w:uiPriority w:val="99"/>
    <w:rPr>
      <w:rFonts w:ascii="Courier New" w:hAnsi="Courier New" w:cs="Courier New"/>
    </w:rPr>
  </w:style>
  <w:style w:type="character" w:customStyle="1" w:styleId="159">
    <w:name w:val="正文1 Char1"/>
    <w:link w:val="160"/>
    <w:qFormat/>
    <w:uiPriority w:val="0"/>
    <w:rPr>
      <w:rFonts w:ascii="宋体" w:eastAsia="Times New Roman"/>
      <w:sz w:val="24"/>
    </w:rPr>
  </w:style>
  <w:style w:type="paragraph" w:customStyle="1" w:styleId="160">
    <w:name w:val="正文11"/>
    <w:link w:val="159"/>
    <w:qFormat/>
    <w:uiPriority w:val="0"/>
    <w:pPr>
      <w:widowControl w:val="0"/>
      <w:tabs>
        <w:tab w:val="left" w:pos="567"/>
      </w:tabs>
      <w:adjustRightInd w:val="0"/>
      <w:spacing w:line="360" w:lineRule="atLeast"/>
      <w:ind w:left="567" w:hanging="567"/>
      <w:textAlignment w:val="baseline"/>
    </w:pPr>
    <w:rPr>
      <w:rFonts w:ascii="宋体" w:hAnsi="Times New Roman" w:eastAsia="Times New Roman" w:cs="Times New Roman"/>
      <w:sz w:val="24"/>
      <w:lang w:val="en-US" w:eastAsia="zh-CN" w:bidi="ar-SA"/>
    </w:rPr>
  </w:style>
  <w:style w:type="character" w:customStyle="1" w:styleId="161">
    <w:name w:val="⑤-图表标题 Char"/>
    <w:link w:val="162"/>
    <w:qFormat/>
    <w:uiPriority w:val="0"/>
    <w:rPr>
      <w:rFonts w:cs="Chicago"/>
      <w:b/>
      <w:sz w:val="24"/>
      <w:szCs w:val="21"/>
      <w:lang w:val="zh-CN"/>
    </w:rPr>
  </w:style>
  <w:style w:type="paragraph" w:customStyle="1" w:styleId="162">
    <w:name w:val="⑤-图表标题"/>
    <w:basedOn w:val="1"/>
    <w:link w:val="161"/>
    <w:qFormat/>
    <w:uiPriority w:val="0"/>
    <w:pPr>
      <w:widowControl/>
      <w:tabs>
        <w:tab w:val="left" w:pos="903"/>
      </w:tabs>
      <w:ind w:firstLine="0" w:firstLineChars="0"/>
      <w:jc w:val="center"/>
      <w:outlineLvl w:val="1"/>
    </w:pPr>
    <w:rPr>
      <w:rFonts w:cs="Chicago"/>
      <w:b/>
      <w:szCs w:val="21"/>
      <w:lang w:val="zh-CN"/>
    </w:rPr>
  </w:style>
  <w:style w:type="paragraph" w:customStyle="1" w:styleId="163">
    <w:name w:val="TOC Heading"/>
    <w:basedOn w:val="3"/>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376092" w:themeColor="accent1" w:themeShade="BF"/>
      <w:kern w:val="0"/>
      <w:szCs w:val="32"/>
    </w:rPr>
  </w:style>
  <w:style w:type="character" w:customStyle="1" w:styleId="164">
    <w:name w:val="Unresolved Mention"/>
    <w:basedOn w:val="36"/>
    <w:semiHidden/>
    <w:unhideWhenUsed/>
    <w:qFormat/>
    <w:uiPriority w:val="99"/>
    <w:rPr>
      <w:color w:val="605E5C"/>
      <w:shd w:val="clear" w:color="auto" w:fill="E1DFDD"/>
    </w:rPr>
  </w:style>
  <w:style w:type="paragraph" w:customStyle="1" w:styleId="165">
    <w:name w:val="⑥-表文"/>
    <w:basedOn w:val="1"/>
    <w:link w:val="166"/>
    <w:qFormat/>
    <w:uiPriority w:val="0"/>
    <w:pPr>
      <w:spacing w:line="240" w:lineRule="auto"/>
      <w:ind w:firstLine="0" w:firstLineChars="0"/>
      <w:jc w:val="center"/>
    </w:pPr>
    <w:rPr>
      <w:kern w:val="2"/>
      <w:sz w:val="21"/>
      <w:lang w:val="zh-CN"/>
    </w:rPr>
  </w:style>
  <w:style w:type="character" w:customStyle="1" w:styleId="166">
    <w:name w:val="⑥-表文 Char"/>
    <w:link w:val="165"/>
    <w:qFormat/>
    <w:uiPriority w:val="0"/>
    <w:rPr>
      <w:kern w:val="2"/>
      <w:sz w:val="21"/>
      <w:lang w:val="zh-CN"/>
    </w:rPr>
  </w:style>
  <w:style w:type="character" w:customStyle="1" w:styleId="167">
    <w:name w:val="正文文本_"/>
    <w:basedOn w:val="36"/>
    <w:link w:val="168"/>
    <w:qFormat/>
    <w:uiPriority w:val="0"/>
    <w:rPr>
      <w:rFonts w:ascii="宋体" w:hAnsi="宋体" w:cs="宋体"/>
      <w:sz w:val="22"/>
      <w:szCs w:val="22"/>
    </w:rPr>
  </w:style>
  <w:style w:type="paragraph" w:customStyle="1" w:styleId="168">
    <w:name w:val="正文文本1"/>
    <w:basedOn w:val="1"/>
    <w:link w:val="167"/>
    <w:qFormat/>
    <w:uiPriority w:val="0"/>
    <w:pPr>
      <w:spacing w:line="427" w:lineRule="auto"/>
      <w:ind w:firstLine="400" w:firstLineChars="0"/>
      <w:jc w:val="left"/>
    </w:pPr>
    <w:rPr>
      <w:rFonts w:ascii="宋体" w:hAnsi="宋体" w:cs="宋体"/>
      <w:sz w:val="22"/>
      <w:szCs w:val="22"/>
    </w:rPr>
  </w:style>
  <w:style w:type="character" w:customStyle="1" w:styleId="169">
    <w:name w:val="页眉或页脚_"/>
    <w:basedOn w:val="36"/>
    <w:link w:val="170"/>
    <w:qFormat/>
    <w:uiPriority w:val="0"/>
    <w:rPr>
      <w:rFonts w:ascii="宋体" w:hAnsi="宋体" w:cs="宋体"/>
      <w:sz w:val="18"/>
      <w:szCs w:val="18"/>
    </w:rPr>
  </w:style>
  <w:style w:type="paragraph" w:customStyle="1" w:styleId="170">
    <w:name w:val="页眉或页脚"/>
    <w:basedOn w:val="1"/>
    <w:link w:val="169"/>
    <w:qFormat/>
    <w:uiPriority w:val="0"/>
    <w:pPr>
      <w:spacing w:line="240" w:lineRule="auto"/>
      <w:ind w:firstLine="0" w:firstLineChars="0"/>
      <w:jc w:val="left"/>
    </w:pPr>
    <w:rPr>
      <w:rFonts w:ascii="宋体" w:hAnsi="宋体" w:cs="宋体"/>
      <w:sz w:val="18"/>
      <w:szCs w:val="18"/>
    </w:rPr>
  </w:style>
  <w:style w:type="character" w:customStyle="1" w:styleId="171">
    <w:name w:val="表格 Char"/>
    <w:link w:val="108"/>
    <w:qFormat/>
    <w:uiPriority w:val="0"/>
    <w:rPr>
      <w:rFonts w:ascii="Arial" w:hAnsi="Arial" w:cs="Arial"/>
      <w:kern w:val="2"/>
      <w:sz w:val="21"/>
      <w:szCs w:val="21"/>
    </w:rPr>
  </w:style>
  <w:style w:type="character" w:customStyle="1" w:styleId="172">
    <w:name w:val="正文A Char"/>
    <w:link w:val="49"/>
    <w:qFormat/>
    <w:uiPriority w:val="0"/>
    <w:rPr>
      <w:rFonts w:ascii="华文仿宋" w:hAnsi="华文仿宋" w:eastAsia="华文仿宋" w:cs="华文仿宋"/>
      <w:kern w:val="2"/>
      <w:sz w:val="24"/>
      <w:szCs w:val="24"/>
    </w:rPr>
  </w:style>
  <w:style w:type="character" w:customStyle="1" w:styleId="173">
    <w:name w:val="表格标题_"/>
    <w:basedOn w:val="36"/>
    <w:link w:val="109"/>
    <w:qFormat/>
    <w:uiPriority w:val="0"/>
    <w:rPr>
      <w:sz w:val="21"/>
      <w:szCs w:val="22"/>
    </w:rPr>
  </w:style>
  <w:style w:type="character" w:customStyle="1" w:styleId="174">
    <w:name w:val="其他_"/>
    <w:basedOn w:val="36"/>
    <w:link w:val="175"/>
    <w:qFormat/>
    <w:uiPriority w:val="0"/>
    <w:rPr>
      <w:rFonts w:ascii="宋体" w:hAnsi="宋体" w:cs="宋体"/>
    </w:rPr>
  </w:style>
  <w:style w:type="paragraph" w:customStyle="1" w:styleId="175">
    <w:name w:val="其他"/>
    <w:basedOn w:val="1"/>
    <w:link w:val="174"/>
    <w:qFormat/>
    <w:uiPriority w:val="0"/>
    <w:pPr>
      <w:spacing w:line="269" w:lineRule="exact"/>
      <w:ind w:firstLine="0" w:firstLineChars="0"/>
      <w:jc w:val="left"/>
    </w:pPr>
    <w:rPr>
      <w:rFonts w:ascii="宋体" w:hAnsi="宋体" w:cs="宋体"/>
      <w:sz w:val="20"/>
    </w:rPr>
  </w:style>
  <w:style w:type="table" w:customStyle="1" w:styleId="17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2.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footer" Target="footer2.xml"/><Relationship Id="rId89" Type="http://schemas.openxmlformats.org/officeDocument/2006/relationships/image" Target="media/image44.png"/><Relationship Id="rId88" Type="http://schemas.openxmlformats.org/officeDocument/2006/relationships/image" Target="media/image43.png"/><Relationship Id="rId87" Type="http://schemas.openxmlformats.org/officeDocument/2006/relationships/image" Target="media/image42.wmf"/><Relationship Id="rId86" Type="http://schemas.openxmlformats.org/officeDocument/2006/relationships/oleObject" Target="embeddings/oleObject15.bin"/><Relationship Id="rId85" Type="http://schemas.openxmlformats.org/officeDocument/2006/relationships/image" Target="media/image41.png"/><Relationship Id="rId84" Type="http://schemas.openxmlformats.org/officeDocument/2006/relationships/image" Target="media/image40.jpeg"/><Relationship Id="rId83" Type="http://schemas.openxmlformats.org/officeDocument/2006/relationships/image" Target="media/image39.png"/><Relationship Id="rId82" Type="http://schemas.openxmlformats.org/officeDocument/2006/relationships/image" Target="media/image38.wmf"/><Relationship Id="rId81" Type="http://schemas.openxmlformats.org/officeDocument/2006/relationships/image" Target="media/image37.wmf"/><Relationship Id="rId80" Type="http://schemas.openxmlformats.org/officeDocument/2006/relationships/oleObject" Target="embeddings/oleObject14.bin"/><Relationship Id="rId8" Type="http://schemas.openxmlformats.org/officeDocument/2006/relationships/footer" Target="footer1.xml"/><Relationship Id="rId79" Type="http://schemas.openxmlformats.org/officeDocument/2006/relationships/image" Target="media/image36.wmf"/><Relationship Id="rId78" Type="http://schemas.openxmlformats.org/officeDocument/2006/relationships/image" Target="media/image35.wmf"/><Relationship Id="rId77" Type="http://schemas.openxmlformats.org/officeDocument/2006/relationships/image" Target="media/image34.wmf"/><Relationship Id="rId76" Type="http://schemas.openxmlformats.org/officeDocument/2006/relationships/image" Target="media/image33.wmf"/><Relationship Id="rId75" Type="http://schemas.openxmlformats.org/officeDocument/2006/relationships/image" Target="media/image32.wmf"/><Relationship Id="rId74" Type="http://schemas.openxmlformats.org/officeDocument/2006/relationships/image" Target="media/image31.wmf"/><Relationship Id="rId73" Type="http://schemas.openxmlformats.org/officeDocument/2006/relationships/image" Target="media/image30.wmf"/><Relationship Id="rId72" Type="http://schemas.openxmlformats.org/officeDocument/2006/relationships/image" Target="media/image29.wmf"/><Relationship Id="rId71" Type="http://schemas.openxmlformats.org/officeDocument/2006/relationships/image" Target="media/image28.wmf"/><Relationship Id="rId70" Type="http://schemas.openxmlformats.org/officeDocument/2006/relationships/image" Target="media/image27.wmf"/><Relationship Id="rId7" Type="http://schemas.openxmlformats.org/officeDocument/2006/relationships/header" Target="header3.xml"/><Relationship Id="rId69" Type="http://schemas.openxmlformats.org/officeDocument/2006/relationships/image" Target="media/image26.wmf"/><Relationship Id="rId68" Type="http://schemas.openxmlformats.org/officeDocument/2006/relationships/image" Target="media/image25.wmf"/><Relationship Id="rId67" Type="http://schemas.openxmlformats.org/officeDocument/2006/relationships/oleObject" Target="embeddings/oleObject13.bin"/><Relationship Id="rId66" Type="http://schemas.openxmlformats.org/officeDocument/2006/relationships/image" Target="media/image24.wmf"/><Relationship Id="rId65" Type="http://schemas.openxmlformats.org/officeDocument/2006/relationships/oleObject" Target="embeddings/oleObject12.bin"/><Relationship Id="rId64" Type="http://schemas.openxmlformats.org/officeDocument/2006/relationships/image" Target="media/image23.wmf"/><Relationship Id="rId63" Type="http://schemas.openxmlformats.org/officeDocument/2006/relationships/oleObject" Target="embeddings/oleObject11.bin"/><Relationship Id="rId62" Type="http://schemas.openxmlformats.org/officeDocument/2006/relationships/image" Target="media/image22.wmf"/><Relationship Id="rId61" Type="http://schemas.openxmlformats.org/officeDocument/2006/relationships/oleObject" Target="embeddings/oleObject10.bin"/><Relationship Id="rId60" Type="http://schemas.openxmlformats.org/officeDocument/2006/relationships/image" Target="media/image21.wmf"/><Relationship Id="rId6" Type="http://schemas.openxmlformats.org/officeDocument/2006/relationships/header" Target="header2.xml"/><Relationship Id="rId59" Type="http://schemas.openxmlformats.org/officeDocument/2006/relationships/oleObject" Target="embeddings/oleObject9.bin"/><Relationship Id="rId58" Type="http://schemas.openxmlformats.org/officeDocument/2006/relationships/image" Target="media/image20.wmf"/><Relationship Id="rId57" Type="http://schemas.openxmlformats.org/officeDocument/2006/relationships/image" Target="media/image19.png"/><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wmf"/><Relationship Id="rId46" Type="http://schemas.openxmlformats.org/officeDocument/2006/relationships/oleObject" Target="embeddings/oleObject8.bin"/><Relationship Id="rId45" Type="http://schemas.openxmlformats.org/officeDocument/2006/relationships/image" Target="media/image8.wmf"/><Relationship Id="rId44" Type="http://schemas.openxmlformats.org/officeDocument/2006/relationships/oleObject" Target="embeddings/oleObject7.bin"/><Relationship Id="rId43" Type="http://schemas.openxmlformats.org/officeDocument/2006/relationships/image" Target="media/image7.wmf"/><Relationship Id="rId42" Type="http://schemas.openxmlformats.org/officeDocument/2006/relationships/oleObject" Target="embeddings/oleObject6.bin"/><Relationship Id="rId41" Type="http://schemas.openxmlformats.org/officeDocument/2006/relationships/image" Target="media/image6.wmf"/><Relationship Id="rId40" Type="http://schemas.openxmlformats.org/officeDocument/2006/relationships/oleObject" Target="embeddings/oleObject5.bin"/><Relationship Id="rId4" Type="http://schemas.openxmlformats.org/officeDocument/2006/relationships/endnotes" Target="endnotes.xml"/><Relationship Id="rId39" Type="http://schemas.openxmlformats.org/officeDocument/2006/relationships/image" Target="media/image5.wmf"/><Relationship Id="rId38" Type="http://schemas.openxmlformats.org/officeDocument/2006/relationships/oleObject" Target="embeddings/oleObject4.bin"/><Relationship Id="rId37" Type="http://schemas.openxmlformats.org/officeDocument/2006/relationships/oleObject" Target="embeddings/oleObject3.bin"/><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wmf"/><Relationship Id="rId33" Type="http://schemas.openxmlformats.org/officeDocument/2006/relationships/oleObject" Target="embeddings/oleObject2.bin"/><Relationship Id="rId32" Type="http://schemas.openxmlformats.org/officeDocument/2006/relationships/image" Target="media/image1.emf"/><Relationship Id="rId31" Type="http://schemas.openxmlformats.org/officeDocument/2006/relationships/oleObject" Target="embeddings/oleObject1.bin"/><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2079"/>
    <customShpInfo spid="_x0000_s2081"/>
    <customShpInfo spid="_x0000_s2080"/>
    <customShpInfo spid="_x0000_s2074"/>
  </customShpExts>
  <extobjs>
    <extobj name="ECB019B1-382A-4266-B25C-5B523AA43C14-1">
      <extobjdata type="ECB019B1-382A-4266-B25C-5B523AA43C14" data="ewoJIkZpbGVJZCIgOiAiMjQ1NzY1MDg3MDI3IiwKCSJHcm91cElkIiA6ICI2ODAxOTg5ODkiLAoJIkltYWdlIiA6ICJpVkJPUncwS0dnb0FBQUFOU1VoRVVnQUFBd0FBQUFLdUNBWUFBQUFXNEh1a0FBQUFDWEJJV1hNQUFBc1RBQUFMRXdFQW1wd1lBQUFnQUVsRVFWUjRuT3pkZVhoVTVmMy8vOWM5U1VBaVJCWVhQbHFvVUJRa0Fwa1RGcWxSd3Fyc0NxNEZGUzJDb3VKR1ZmaGdCZnlLdUFBU2tJcm1wMzVFYXJXS2JDMGlpNmk0UVRNVEVzUkdFS2tzRWtDV2tBUVRNblAvL3NCTUU1TkFBcE5Na25rK3JpdlhsVG4zUGVlOFQ1STV1ZC9uWG80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"/>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0D45CB-1165-4CE0-A347-8264E62585E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186</Pages>
  <Words>107435</Words>
  <Characters>120766</Characters>
  <Lines>1335</Lines>
  <Paragraphs>376</Paragraphs>
  <TotalTime>24</TotalTime>
  <ScaleCrop>false</ScaleCrop>
  <LinksUpToDate>false</LinksUpToDate>
  <CharactersWithSpaces>120936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2022-07-14T15:01:00Z</dcterms:created>
  <dc:creator>Zhengjun Guo</dc:creator>
  <cp:lastModifiedBy>小麦啾</cp:lastModifiedBy>
  <cp:lastPrinted>2022-07-14T08:45:00Z</cp:lastPrinted>
  <dcterms:modified xsi:type="dcterms:W3CDTF">2024-08-22T09:48:26Z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y fmtid="{D5CDD505-2E9C-101B-9397-08002B2CF9AE}" pid="3" name="KSOProductBuildVer">
    <vt:lpwstr>2052-12.1.0.17147</vt:lpwstr>
  </property>
  <property fmtid="{D5CDD505-2E9C-101B-9397-08002B2CF9AE}" pid="4" name="ICV">
    <vt:lpwstr>92F3B347C6BA411691FF8EDB5078FBE8</vt:lpwstr>
  </property>
</Properties>
</file>