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0739A">
      <w:pPr>
        <w:jc w:val="center"/>
        <w:rPr>
          <w:rFonts w:hint="eastAsia"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1"/>
        <w:tblpPr w:leftFromText="180" w:rightFromText="180" w:vertAnchor="text" w:horzAnchor="page" w:tblpX="1528" w:tblpY="525"/>
        <w:tblOverlap w:val="never"/>
        <w:tblW w:w="88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43"/>
        <w:gridCol w:w="690"/>
        <w:gridCol w:w="2209"/>
        <w:gridCol w:w="1946"/>
        <w:gridCol w:w="3082"/>
      </w:tblGrid>
      <w:tr w14:paraId="091FA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A608A2D">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rPr>
            </w:pPr>
            <w:r>
              <w:rPr>
                <w:rFonts w:hint="eastAsia" w:ascii="宋体" w:hAnsi="宋体" w:cs="宋体"/>
                <w:b/>
                <w:bCs/>
                <w:color w:val="auto"/>
                <w:sz w:val="21"/>
                <w:szCs w:val="21"/>
              </w:rPr>
              <w:t>建设项目名称</w:t>
            </w:r>
          </w:p>
        </w:tc>
        <w:tc>
          <w:tcPr>
            <w:tcW w:w="7237" w:type="dxa"/>
            <w:gridSpan w:val="3"/>
            <w:vAlign w:val="center"/>
          </w:tcPr>
          <w:p w14:paraId="5E681BD8">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新疆盛世腾达建材有限公司年产30万</w:t>
            </w:r>
          </w:p>
          <w:p w14:paraId="1E446011">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 w:val="24"/>
                <w:szCs w:val="24"/>
                <w:lang w:val="en-US" w:eastAsia="zh-CN" w:bidi="ar"/>
              </w:rPr>
              <w:t>平方米节能型复合保温免拆一体板生产建设项目</w:t>
            </w:r>
          </w:p>
        </w:tc>
      </w:tr>
      <w:tr w14:paraId="2C20E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4C51B1E5">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rPr>
            </w:pPr>
            <w:r>
              <w:rPr>
                <w:rFonts w:hint="eastAsia" w:ascii="宋体" w:hAnsi="宋体" w:cs="宋体"/>
                <w:b/>
                <w:bCs/>
                <w:color w:val="auto"/>
                <w:sz w:val="21"/>
                <w:szCs w:val="21"/>
              </w:rPr>
              <w:t>项目代码</w:t>
            </w:r>
          </w:p>
        </w:tc>
        <w:tc>
          <w:tcPr>
            <w:tcW w:w="7237" w:type="dxa"/>
            <w:gridSpan w:val="3"/>
            <w:vAlign w:val="center"/>
          </w:tcPr>
          <w:p w14:paraId="07C3BF13">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2405-652302-04-01-712432</w:t>
            </w:r>
          </w:p>
        </w:tc>
      </w:tr>
      <w:tr w14:paraId="1E380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8E6624A">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rPr>
              <w:t>建设单位联系人</w:t>
            </w:r>
          </w:p>
        </w:tc>
        <w:tc>
          <w:tcPr>
            <w:tcW w:w="2209" w:type="dxa"/>
            <w:vAlign w:val="center"/>
          </w:tcPr>
          <w:p w14:paraId="74EA5231">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eastAsia" w:cs="Times New Roman"/>
                <w:color w:val="auto"/>
                <w:kern w:val="0"/>
                <w:sz w:val="24"/>
                <w:szCs w:val="24"/>
                <w:lang w:val="en-US" w:eastAsia="zh-CN" w:bidi="ar"/>
              </w:rPr>
              <w:t>李成</w:t>
            </w:r>
          </w:p>
        </w:tc>
        <w:tc>
          <w:tcPr>
            <w:tcW w:w="1946" w:type="dxa"/>
            <w:vAlign w:val="center"/>
          </w:tcPr>
          <w:p w14:paraId="59B50FAF">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3082" w:type="dxa"/>
            <w:vAlign w:val="center"/>
          </w:tcPr>
          <w:p w14:paraId="7B7019AF">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18699151159</w:t>
            </w:r>
          </w:p>
        </w:tc>
      </w:tr>
      <w:tr w14:paraId="71558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6D936A29">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rPr>
            </w:pPr>
            <w:r>
              <w:rPr>
                <w:rFonts w:hint="eastAsia" w:ascii="宋体" w:hAnsi="宋体" w:cs="宋体"/>
                <w:b/>
                <w:bCs/>
                <w:color w:val="auto"/>
                <w:sz w:val="21"/>
                <w:szCs w:val="21"/>
              </w:rPr>
              <w:t>建设地点</w:t>
            </w:r>
          </w:p>
        </w:tc>
        <w:tc>
          <w:tcPr>
            <w:tcW w:w="7237" w:type="dxa"/>
            <w:gridSpan w:val="3"/>
            <w:vAlign w:val="center"/>
          </w:tcPr>
          <w:p w14:paraId="233449F3">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2"/>
                <w:sz w:val="24"/>
                <w:szCs w:val="24"/>
                <w:lang w:val="en-US" w:eastAsia="zh-CN" w:bidi="zh-CN"/>
              </w:rPr>
              <w:t>新疆昌吉回族自治州阜康市苏通小微创业园包装创业园新疆禄鼎锋包装有限公司院内1号厂房</w:t>
            </w:r>
          </w:p>
        </w:tc>
      </w:tr>
      <w:tr w14:paraId="723CE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1F9331F2">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rPr>
            </w:pPr>
            <w:r>
              <w:rPr>
                <w:rFonts w:hint="eastAsia" w:ascii="宋体" w:hAnsi="宋体" w:cs="宋体"/>
                <w:b/>
                <w:bCs/>
                <w:color w:val="auto"/>
                <w:sz w:val="21"/>
                <w:szCs w:val="21"/>
              </w:rPr>
              <w:t>地理坐标</w:t>
            </w:r>
          </w:p>
        </w:tc>
        <w:tc>
          <w:tcPr>
            <w:tcW w:w="7237" w:type="dxa"/>
            <w:gridSpan w:val="3"/>
            <w:vAlign w:val="center"/>
          </w:tcPr>
          <w:p w14:paraId="5B707AB9">
            <w:pPr>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东经</w:t>
            </w:r>
            <w:r>
              <w:rPr>
                <w:rFonts w:hint="eastAsia" w:cs="Times New Roman"/>
                <w:color w:val="auto"/>
                <w:sz w:val="24"/>
                <w:szCs w:val="24"/>
                <w:u w:val="single"/>
                <w:lang w:val="en-US" w:eastAsia="zh-CN"/>
              </w:rPr>
              <w:t>87</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49</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30.216</w:t>
            </w:r>
            <w:r>
              <w:rPr>
                <w:rFonts w:hint="default" w:ascii="Times New Roman" w:hAnsi="Times New Roman" w:eastAsia="宋体" w:cs="Times New Roman"/>
                <w:color w:val="auto"/>
                <w:sz w:val="24"/>
                <w:szCs w:val="24"/>
              </w:rPr>
              <w:t>秒，</w:t>
            </w:r>
            <w:r>
              <w:rPr>
                <w:rFonts w:hint="eastAsia" w:cs="Times New Roman"/>
                <w:color w:val="auto"/>
                <w:sz w:val="24"/>
                <w:szCs w:val="24"/>
                <w:lang w:val="en-US" w:eastAsia="zh-CN"/>
              </w:rPr>
              <w:t>北纬</w:t>
            </w:r>
            <w:r>
              <w:rPr>
                <w:rFonts w:hint="eastAsia" w:cs="Times New Roman"/>
                <w:color w:val="auto"/>
                <w:sz w:val="24"/>
                <w:szCs w:val="24"/>
                <w:u w:val="single"/>
                <w:lang w:val="en-US" w:eastAsia="zh-CN"/>
              </w:rPr>
              <w:t>44</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9</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20.631</w:t>
            </w:r>
            <w:r>
              <w:rPr>
                <w:rFonts w:hint="default" w:ascii="Times New Roman" w:hAnsi="Times New Roman" w:eastAsia="宋体" w:cs="Times New Roman"/>
                <w:color w:val="auto"/>
                <w:sz w:val="24"/>
                <w:szCs w:val="24"/>
              </w:rPr>
              <w:t>秒）</w:t>
            </w:r>
          </w:p>
        </w:tc>
      </w:tr>
      <w:tr w14:paraId="7A578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633" w:type="dxa"/>
            <w:gridSpan w:val="2"/>
            <w:tcMar>
              <w:top w:w="16" w:type="dxa"/>
              <w:left w:w="16" w:type="dxa"/>
              <w:right w:w="16" w:type="dxa"/>
            </w:tcMar>
            <w:vAlign w:val="center"/>
          </w:tcPr>
          <w:p w14:paraId="49ED08BC">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rPr>
            </w:pPr>
            <w:r>
              <w:rPr>
                <w:rFonts w:hint="eastAsia" w:ascii="宋体" w:hAnsi="宋体" w:cs="宋体"/>
                <w:b/>
                <w:bCs/>
                <w:color w:val="auto"/>
                <w:sz w:val="21"/>
                <w:szCs w:val="21"/>
              </w:rPr>
              <w:t>国民经济行业类别</w:t>
            </w:r>
          </w:p>
        </w:tc>
        <w:tc>
          <w:tcPr>
            <w:tcW w:w="2209" w:type="dxa"/>
            <w:vAlign w:val="center"/>
          </w:tcPr>
          <w:p w14:paraId="2662F4C1">
            <w:pPr>
              <w:pStyle w:val="30"/>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C3034隔热和隔音材料制造</w:t>
            </w:r>
          </w:p>
        </w:tc>
        <w:tc>
          <w:tcPr>
            <w:tcW w:w="1946" w:type="dxa"/>
            <w:vAlign w:val="center"/>
          </w:tcPr>
          <w:p w14:paraId="166795D2">
            <w:pPr>
              <w:pStyle w:val="30"/>
              <w:pageBreakBefore w:val="0"/>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建设项目行业类别</w:t>
            </w:r>
          </w:p>
        </w:tc>
        <w:tc>
          <w:tcPr>
            <w:tcW w:w="3082" w:type="dxa"/>
            <w:vAlign w:val="top"/>
          </w:tcPr>
          <w:p w14:paraId="317BEAA8">
            <w:pPr>
              <w:pStyle w:val="30"/>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二十七、非金属矿物制品业56砖瓦、石材等建筑材料制造</w:t>
            </w:r>
            <w:r>
              <w:rPr>
                <w:rFonts w:hint="eastAsia" w:ascii="Times New Roman" w:hAnsi="Times New Roman" w:cs="Times New Roman"/>
                <w:color w:val="auto"/>
                <w:sz w:val="24"/>
                <w:szCs w:val="24"/>
                <w:lang w:val="en-US" w:eastAsia="zh-CN"/>
              </w:rPr>
              <w:t>303</w:t>
            </w:r>
          </w:p>
        </w:tc>
      </w:tr>
      <w:tr w14:paraId="09361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633" w:type="dxa"/>
            <w:gridSpan w:val="2"/>
            <w:tcMar>
              <w:top w:w="16" w:type="dxa"/>
              <w:left w:w="16" w:type="dxa"/>
              <w:right w:w="16" w:type="dxa"/>
            </w:tcMar>
            <w:vAlign w:val="center"/>
          </w:tcPr>
          <w:p w14:paraId="51EABC86">
            <w:pPr>
              <w:pStyle w:val="30"/>
              <w:pageBreakBefore w:val="0"/>
              <w:kinsoku/>
              <w:wordWrap/>
              <w:overflowPunct/>
              <w:topLinePunct w:val="0"/>
              <w:bidi w:val="0"/>
              <w:spacing w:line="240" w:lineRule="auto"/>
              <w:ind w:left="0" w:leftChars="0" w:right="0" w:firstLine="0" w:firstLineChars="0"/>
              <w:jc w:val="center"/>
              <w:textAlignment w:val="auto"/>
              <w:rPr>
                <w:rFonts w:ascii="宋体" w:hAnsi="宋体" w:cs="宋体"/>
                <w:b/>
                <w:bCs/>
                <w:color w:val="auto"/>
                <w:sz w:val="21"/>
                <w:szCs w:val="21"/>
              </w:rPr>
            </w:pPr>
            <w:r>
              <w:rPr>
                <w:b/>
                <w:bCs/>
                <w:color w:val="auto"/>
                <w:sz w:val="21"/>
                <w:szCs w:val="21"/>
              </w:rPr>
              <w:t>建设性质</w:t>
            </w:r>
          </w:p>
        </w:tc>
        <w:tc>
          <w:tcPr>
            <w:tcW w:w="2209" w:type="dxa"/>
            <w:vAlign w:val="center"/>
          </w:tcPr>
          <w:p w14:paraId="372ACFB7">
            <w:pPr>
              <w:pStyle w:val="30"/>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新建（迁建）</w:t>
            </w:r>
          </w:p>
          <w:p w14:paraId="2FD9C5F5">
            <w:pPr>
              <w:pStyle w:val="30"/>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14:paraId="015CF799">
            <w:pPr>
              <w:pStyle w:val="30"/>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扩建</w:t>
            </w:r>
          </w:p>
          <w:p w14:paraId="1B056882">
            <w:pPr>
              <w:pStyle w:val="30"/>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1946" w:type="dxa"/>
            <w:vAlign w:val="center"/>
          </w:tcPr>
          <w:p w14:paraId="1162D16C">
            <w:pPr>
              <w:pStyle w:val="30"/>
              <w:pageBreakBefore w:val="0"/>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建设项目申报情形</w:t>
            </w:r>
          </w:p>
        </w:tc>
        <w:tc>
          <w:tcPr>
            <w:tcW w:w="3082" w:type="dxa"/>
            <w:vAlign w:val="top"/>
          </w:tcPr>
          <w:p w14:paraId="58A55414">
            <w:pPr>
              <w:pStyle w:val="30"/>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首次申报项目</w:t>
            </w:r>
          </w:p>
          <w:p w14:paraId="68F0255C">
            <w:pPr>
              <w:pStyle w:val="30"/>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14:paraId="68240353">
            <w:pPr>
              <w:pStyle w:val="30"/>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超五年重新审核项目</w:t>
            </w:r>
          </w:p>
          <w:p w14:paraId="7749BF5B">
            <w:pPr>
              <w:pStyle w:val="30"/>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14:paraId="20A0F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633" w:type="dxa"/>
            <w:gridSpan w:val="2"/>
            <w:tcMar>
              <w:top w:w="16" w:type="dxa"/>
              <w:left w:w="16" w:type="dxa"/>
              <w:right w:w="16" w:type="dxa"/>
            </w:tcMar>
            <w:vAlign w:val="center"/>
          </w:tcPr>
          <w:p w14:paraId="7A455B3A">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项目审批（核准</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备案）部门（选填）</w:t>
            </w:r>
          </w:p>
        </w:tc>
        <w:tc>
          <w:tcPr>
            <w:tcW w:w="2209" w:type="dxa"/>
            <w:vAlign w:val="center"/>
          </w:tcPr>
          <w:p w14:paraId="585AD69A">
            <w:pPr>
              <w:pageBreakBefore w:val="0"/>
              <w:kinsoku/>
              <w:wordWrap/>
              <w:overflowPunct/>
              <w:topLinePunct w:val="0"/>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阜康市发展和改革委员会</w:t>
            </w:r>
          </w:p>
        </w:tc>
        <w:tc>
          <w:tcPr>
            <w:tcW w:w="1946" w:type="dxa"/>
            <w:vAlign w:val="center"/>
          </w:tcPr>
          <w:p w14:paraId="56BA7DF5">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项目审批（核准/备案）文号（选填）</w:t>
            </w:r>
          </w:p>
        </w:tc>
        <w:tc>
          <w:tcPr>
            <w:tcW w:w="3082" w:type="dxa"/>
            <w:vAlign w:val="center"/>
          </w:tcPr>
          <w:p w14:paraId="0CD8FD96">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2405211324652300000210</w:t>
            </w:r>
          </w:p>
        </w:tc>
      </w:tr>
      <w:tr w14:paraId="1D201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3BB55E0">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总投资（万元）</w:t>
            </w:r>
          </w:p>
        </w:tc>
        <w:tc>
          <w:tcPr>
            <w:tcW w:w="2209" w:type="dxa"/>
            <w:vAlign w:val="center"/>
          </w:tcPr>
          <w:p w14:paraId="0A710664">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.00</w:t>
            </w:r>
          </w:p>
        </w:tc>
        <w:tc>
          <w:tcPr>
            <w:tcW w:w="1946" w:type="dxa"/>
            <w:tcMar>
              <w:top w:w="16" w:type="dxa"/>
              <w:left w:w="16" w:type="dxa"/>
              <w:right w:w="16" w:type="dxa"/>
            </w:tcMar>
            <w:vAlign w:val="center"/>
          </w:tcPr>
          <w:p w14:paraId="6D3038B6">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环保投资（万元）</w:t>
            </w:r>
          </w:p>
        </w:tc>
        <w:tc>
          <w:tcPr>
            <w:tcW w:w="3082" w:type="dxa"/>
            <w:vAlign w:val="center"/>
          </w:tcPr>
          <w:p w14:paraId="1DFB410B">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31</w:t>
            </w:r>
          </w:p>
        </w:tc>
      </w:tr>
      <w:tr w14:paraId="11B73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30930D3C">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环保投资占比（</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w:t>
            </w:r>
          </w:p>
        </w:tc>
        <w:tc>
          <w:tcPr>
            <w:tcW w:w="2209" w:type="dxa"/>
            <w:vAlign w:val="center"/>
          </w:tcPr>
          <w:p w14:paraId="00591B1C">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6.2%</w:t>
            </w:r>
          </w:p>
        </w:tc>
        <w:tc>
          <w:tcPr>
            <w:tcW w:w="1946" w:type="dxa"/>
            <w:tcMar>
              <w:top w:w="16" w:type="dxa"/>
              <w:left w:w="16" w:type="dxa"/>
              <w:right w:w="16" w:type="dxa"/>
            </w:tcMar>
            <w:vAlign w:val="center"/>
          </w:tcPr>
          <w:p w14:paraId="38E58B50">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施工工期</w:t>
            </w:r>
          </w:p>
        </w:tc>
        <w:tc>
          <w:tcPr>
            <w:tcW w:w="3082" w:type="dxa"/>
            <w:vAlign w:val="center"/>
          </w:tcPr>
          <w:p w14:paraId="43644B3C">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1个月</w:t>
            </w:r>
          </w:p>
        </w:tc>
      </w:tr>
      <w:tr w14:paraId="27FC3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4C4D4E24">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是否开工建设</w:t>
            </w:r>
          </w:p>
        </w:tc>
        <w:tc>
          <w:tcPr>
            <w:tcW w:w="2209" w:type="dxa"/>
            <w:vAlign w:val="center"/>
          </w:tcPr>
          <w:p w14:paraId="04CC3704">
            <w:pPr>
              <w:pageBreakBefore w:val="0"/>
              <w:kinsoku/>
              <w:wordWrap/>
              <w:overflowPunct/>
              <w:topLinePunct w:val="0"/>
              <w:bidi w:val="0"/>
              <w:adjustRightInd w:val="0"/>
              <w:snapToGrid w:val="0"/>
              <w:spacing w:line="240" w:lineRule="auto"/>
              <w:ind w:right="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否</w:t>
            </w:r>
          </w:p>
          <w:p w14:paraId="34B6D084">
            <w:pPr>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口</w:t>
            </w:r>
            <w:r>
              <w:rPr>
                <w:rFonts w:hint="default" w:ascii="Times New Roman" w:hAnsi="Times New Roman" w:eastAsia="宋体" w:cs="Times New Roman"/>
                <w:color w:val="auto"/>
                <w:sz w:val="24"/>
                <w:szCs w:val="24"/>
                <w:highlight w:val="none"/>
              </w:rPr>
              <w:t>是</w:t>
            </w:r>
          </w:p>
        </w:tc>
        <w:tc>
          <w:tcPr>
            <w:tcW w:w="1946" w:type="dxa"/>
            <w:tcMar>
              <w:top w:w="16" w:type="dxa"/>
              <w:left w:w="16" w:type="dxa"/>
              <w:right w:w="16" w:type="dxa"/>
            </w:tcMar>
            <w:vAlign w:val="center"/>
          </w:tcPr>
          <w:p w14:paraId="39256297">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pacing w:val="-6"/>
                <w:sz w:val="24"/>
                <w:szCs w:val="24"/>
                <w:highlight w:val="none"/>
              </w:rPr>
              <w:t>用地（用海）面积（m</w:t>
            </w:r>
            <w:r>
              <w:rPr>
                <w:rFonts w:hint="default" w:ascii="Times New Roman" w:hAnsi="Times New Roman" w:eastAsia="宋体" w:cs="Times New Roman"/>
                <w:b/>
                <w:bCs/>
                <w:color w:val="auto"/>
                <w:spacing w:val="-6"/>
                <w:sz w:val="24"/>
                <w:szCs w:val="24"/>
                <w:highlight w:val="none"/>
                <w:vertAlign w:val="superscript"/>
              </w:rPr>
              <w:t>2</w:t>
            </w:r>
            <w:r>
              <w:rPr>
                <w:rFonts w:hint="default" w:ascii="Times New Roman" w:hAnsi="Times New Roman" w:eastAsia="宋体" w:cs="Times New Roman"/>
                <w:b/>
                <w:bCs/>
                <w:color w:val="auto"/>
                <w:spacing w:val="-6"/>
                <w:sz w:val="24"/>
                <w:szCs w:val="24"/>
                <w:highlight w:val="none"/>
              </w:rPr>
              <w:t>）</w:t>
            </w:r>
          </w:p>
        </w:tc>
        <w:tc>
          <w:tcPr>
            <w:tcW w:w="3082" w:type="dxa"/>
            <w:vAlign w:val="center"/>
          </w:tcPr>
          <w:p w14:paraId="57389031">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superscript"/>
                <w:lang w:val="en-US" w:eastAsia="zh-CN"/>
              </w:rPr>
            </w:pPr>
            <w:r>
              <w:rPr>
                <w:rFonts w:hint="eastAsia" w:cs="Times New Roman"/>
                <w:color w:val="auto"/>
                <w:sz w:val="24"/>
                <w:szCs w:val="24"/>
                <w:highlight w:val="none"/>
                <w:lang w:val="en-US" w:eastAsia="zh-CN"/>
              </w:rPr>
              <w:t>1800m</w:t>
            </w:r>
            <w:r>
              <w:rPr>
                <w:rFonts w:hint="eastAsia" w:cs="Times New Roman"/>
                <w:color w:val="auto"/>
                <w:sz w:val="24"/>
                <w:szCs w:val="24"/>
                <w:highlight w:val="none"/>
                <w:vertAlign w:val="superscript"/>
                <w:lang w:val="en-US" w:eastAsia="zh-CN"/>
              </w:rPr>
              <w:t>2</w:t>
            </w:r>
          </w:p>
        </w:tc>
      </w:tr>
      <w:tr w14:paraId="01C8E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33" w:type="dxa"/>
            <w:gridSpan w:val="2"/>
            <w:vAlign w:val="center"/>
          </w:tcPr>
          <w:p w14:paraId="318569FB">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专项评价设置情况</w:t>
            </w:r>
          </w:p>
        </w:tc>
        <w:tc>
          <w:tcPr>
            <w:tcW w:w="7237" w:type="dxa"/>
            <w:gridSpan w:val="3"/>
            <w:vAlign w:val="center"/>
          </w:tcPr>
          <w:p w14:paraId="77DDBDC6">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无</w:t>
            </w:r>
          </w:p>
        </w:tc>
      </w:tr>
      <w:tr w14:paraId="5E64E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43" w:type="dxa"/>
            <w:vAlign w:val="center"/>
          </w:tcPr>
          <w:p w14:paraId="24F701E8">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rPr>
            </w:pPr>
            <w:r>
              <w:rPr>
                <w:rFonts w:hint="eastAsia" w:ascii="宋体" w:hAnsi="宋体" w:cs="宋体"/>
                <w:b w:val="0"/>
                <w:bCs w:val="0"/>
                <w:color w:val="auto"/>
                <w:szCs w:val="21"/>
              </w:rPr>
              <w:t>规划情况</w:t>
            </w:r>
          </w:p>
        </w:tc>
        <w:tc>
          <w:tcPr>
            <w:tcW w:w="7927" w:type="dxa"/>
            <w:gridSpan w:val="4"/>
            <w:vAlign w:val="center"/>
          </w:tcPr>
          <w:p w14:paraId="300895C4">
            <w:pPr>
              <w:pStyle w:val="18"/>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b/>
                <w:bCs w:val="0"/>
                <w:color w:val="auto"/>
                <w:kern w:val="0"/>
                <w:lang w:val="en-US" w:eastAsia="zh-CN"/>
              </w:rPr>
            </w:pPr>
            <w:r>
              <w:rPr>
                <w:rFonts w:hint="eastAsia"/>
                <w:b/>
                <w:bCs w:val="0"/>
                <w:color w:val="auto"/>
                <w:kern w:val="0"/>
                <w:lang w:val="en-US" w:eastAsia="zh-CN"/>
              </w:rPr>
              <w:t>规划文件：</w:t>
            </w:r>
            <w:r>
              <w:rPr>
                <w:rFonts w:hint="eastAsia"/>
                <w:b w:val="0"/>
                <w:bCs/>
                <w:color w:val="auto"/>
                <w:kern w:val="0"/>
                <w:lang w:val="en-US" w:eastAsia="zh-CN"/>
              </w:rPr>
              <w:t>《甘泉堡工业园总体规划（2016-2030年）（2016修订稿）》</w:t>
            </w:r>
          </w:p>
          <w:p w14:paraId="716C3CAF">
            <w:pPr>
              <w:pStyle w:val="18"/>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b w:val="0"/>
                <w:bCs/>
                <w:color w:val="auto"/>
                <w:kern w:val="0"/>
                <w:lang w:val="en-US" w:eastAsia="zh-CN"/>
              </w:rPr>
            </w:pPr>
            <w:r>
              <w:rPr>
                <w:rFonts w:hint="eastAsia"/>
                <w:b/>
                <w:bCs w:val="0"/>
                <w:color w:val="auto"/>
                <w:kern w:val="0"/>
                <w:lang w:val="en-US" w:eastAsia="zh-CN"/>
              </w:rPr>
              <w:t>审批机关：</w:t>
            </w:r>
            <w:r>
              <w:rPr>
                <w:rFonts w:hint="eastAsia"/>
                <w:b w:val="0"/>
                <w:bCs/>
                <w:color w:val="auto"/>
                <w:kern w:val="0"/>
                <w:lang w:val="en-US" w:eastAsia="zh-CN"/>
              </w:rPr>
              <w:t>新疆维吾尔自治区人民政府</w:t>
            </w:r>
          </w:p>
          <w:p w14:paraId="05D537AF">
            <w:pPr>
              <w:pStyle w:val="18"/>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ascii="宋体" w:hAnsi="宋体" w:cs="宋体"/>
                <w:color w:val="auto"/>
                <w:kern w:val="0"/>
                <w:szCs w:val="21"/>
              </w:rPr>
            </w:pPr>
            <w:r>
              <w:rPr>
                <w:rFonts w:hint="eastAsia"/>
                <w:b/>
                <w:bCs w:val="0"/>
                <w:color w:val="auto"/>
                <w:kern w:val="0"/>
                <w:lang w:val="en-US" w:eastAsia="zh-CN"/>
              </w:rPr>
              <w:t>审批文件名称及文号：</w:t>
            </w:r>
            <w:r>
              <w:rPr>
                <w:rFonts w:hint="eastAsia"/>
                <w:b w:val="0"/>
                <w:bCs/>
                <w:color w:val="auto"/>
                <w:kern w:val="0"/>
                <w:lang w:val="en-US" w:eastAsia="zh-CN"/>
              </w:rPr>
              <w:t>《关于甘泉堡工业园总体规划（2016-2030年）的批复》（新政函〔2017〕42号）</w:t>
            </w:r>
          </w:p>
        </w:tc>
      </w:tr>
      <w:tr w14:paraId="523FE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43" w:type="dxa"/>
            <w:vAlign w:val="center"/>
          </w:tcPr>
          <w:p w14:paraId="271A84AB">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color w:val="auto"/>
                <w:szCs w:val="21"/>
              </w:rPr>
            </w:pPr>
            <w:r>
              <w:rPr>
                <w:rFonts w:hint="eastAsia" w:ascii="宋体" w:hAnsi="宋体" w:cs="宋体"/>
                <w:color w:val="auto"/>
                <w:szCs w:val="21"/>
              </w:rPr>
              <w:t>规划环境影响</w:t>
            </w:r>
          </w:p>
          <w:p w14:paraId="654EAA8F">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rPr>
            </w:pPr>
            <w:r>
              <w:rPr>
                <w:rFonts w:hint="eastAsia" w:ascii="宋体" w:hAnsi="宋体" w:cs="宋体"/>
                <w:color w:val="auto"/>
                <w:szCs w:val="21"/>
              </w:rPr>
              <w:t>评价情况</w:t>
            </w:r>
          </w:p>
        </w:tc>
        <w:tc>
          <w:tcPr>
            <w:tcW w:w="7927" w:type="dxa"/>
            <w:gridSpan w:val="4"/>
            <w:vAlign w:val="center"/>
          </w:tcPr>
          <w:p w14:paraId="655F8800">
            <w:pPr>
              <w:pStyle w:val="18"/>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heme="minorBidi"/>
                <w:b w:val="0"/>
                <w:bCs/>
                <w:color w:val="auto"/>
                <w:kern w:val="2"/>
                <w:sz w:val="24"/>
                <w:szCs w:val="24"/>
                <w:lang w:val="en-US" w:eastAsia="zh-CN" w:bidi="ar-SA"/>
              </w:rPr>
            </w:pPr>
            <w:r>
              <w:rPr>
                <w:b/>
                <w:bCs w:val="0"/>
                <w:color w:val="auto"/>
                <w:kern w:val="0"/>
              </w:rPr>
              <w:t>规划环境影响评价文件：</w:t>
            </w:r>
            <w:r>
              <w:rPr>
                <w:rFonts w:hint="default" w:ascii="Times New Roman" w:hAnsi="Times New Roman" w:eastAsia="宋体" w:cstheme="minorBidi"/>
                <w:b w:val="0"/>
                <w:bCs/>
                <w:color w:val="auto"/>
                <w:kern w:val="2"/>
                <w:sz w:val="24"/>
                <w:szCs w:val="24"/>
                <w:lang w:val="en-US" w:eastAsia="zh-CN" w:bidi="ar-SA"/>
              </w:rPr>
              <w:t>《甘泉堡工业园总体规划（2016-2030年）环境影响报告书》</w:t>
            </w:r>
          </w:p>
          <w:p w14:paraId="23310C28">
            <w:pPr>
              <w:pStyle w:val="18"/>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heme="minorBidi"/>
                <w:b w:val="0"/>
                <w:bCs/>
                <w:color w:val="auto"/>
                <w:kern w:val="2"/>
                <w:sz w:val="24"/>
                <w:szCs w:val="24"/>
                <w:lang w:val="en-US" w:eastAsia="zh-CN" w:bidi="ar-SA"/>
              </w:rPr>
            </w:pPr>
            <w:r>
              <w:rPr>
                <w:b/>
                <w:bCs w:val="0"/>
                <w:color w:val="auto"/>
                <w:kern w:val="0"/>
              </w:rPr>
              <w:t>召集审查机关：</w:t>
            </w:r>
            <w:r>
              <w:rPr>
                <w:b w:val="0"/>
                <w:bCs/>
                <w:color w:val="auto"/>
                <w:kern w:val="0"/>
              </w:rPr>
              <w:t>原新疆维吾尔自治区环境保护厅</w:t>
            </w:r>
          </w:p>
          <w:p w14:paraId="72EA2272">
            <w:pPr>
              <w:pStyle w:val="18"/>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ascii="宋体" w:hAnsi="宋体" w:cs="宋体"/>
                <w:color w:val="auto"/>
                <w:kern w:val="0"/>
                <w:szCs w:val="21"/>
              </w:rPr>
            </w:pPr>
            <w:r>
              <w:rPr>
                <w:b/>
                <w:bCs w:val="0"/>
                <w:color w:val="auto"/>
                <w:kern w:val="0"/>
              </w:rPr>
              <w:t>审查文件名称及文号：</w:t>
            </w:r>
            <w:r>
              <w:rPr>
                <w:rFonts w:hint="default" w:ascii="Times New Roman" w:hAnsi="Times New Roman" w:eastAsia="宋体" w:cstheme="minorBidi"/>
                <w:b w:val="0"/>
                <w:bCs/>
                <w:color w:val="auto"/>
                <w:kern w:val="2"/>
                <w:sz w:val="24"/>
                <w:szCs w:val="24"/>
                <w:lang w:val="en-US" w:eastAsia="zh-CN" w:bidi="ar-SA"/>
              </w:rPr>
              <w:t>《关于甘泉堡工业园总体规划（2016-2030年）环境影响报告书的审查意见》（新环函〔2018〕368号）</w:t>
            </w:r>
          </w:p>
        </w:tc>
      </w:tr>
      <w:tr w14:paraId="66179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43" w:type="dxa"/>
            <w:vAlign w:val="center"/>
          </w:tcPr>
          <w:p w14:paraId="1C179823">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cs="宋体"/>
                <w:color w:val="auto"/>
                <w:kern w:val="0"/>
                <w:szCs w:val="21"/>
              </w:rPr>
            </w:pPr>
            <w:r>
              <w:rPr>
                <w:rFonts w:hint="eastAsia" w:ascii="宋体" w:hAnsi="宋体" w:cs="宋体"/>
                <w:color w:val="auto"/>
                <w:kern w:val="0"/>
                <w:szCs w:val="21"/>
              </w:rPr>
              <w:t>规划及规划环境影响评价符合性分析</w:t>
            </w:r>
          </w:p>
        </w:tc>
        <w:tc>
          <w:tcPr>
            <w:tcW w:w="7927" w:type="dxa"/>
            <w:gridSpan w:val="4"/>
            <w:vAlign w:val="center"/>
          </w:tcPr>
          <w:p w14:paraId="0976105B">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kern w:val="0"/>
                <w:sz w:val="24"/>
                <w:szCs w:val="24"/>
                <w:lang w:val="en-US" w:eastAsia="zh-CN" w:bidi="ar"/>
              </w:rPr>
              <w:t>本项目所在阜康苏通小微创业园隶属于甘泉堡工业园。</w:t>
            </w:r>
          </w:p>
          <w:p w14:paraId="0C3FB3DA">
            <w:pPr>
              <w:pStyle w:val="7"/>
              <w:keepNext w:val="0"/>
              <w:keepLines w:val="0"/>
              <w:pageBreakBefore w:val="0"/>
              <w:numPr>
                <w:ilvl w:val="0"/>
                <w:numId w:val="0"/>
              </w:numPr>
              <w:kinsoku/>
              <w:wordWrap/>
              <w:overflowPunct/>
              <w:topLinePunct w:val="0"/>
              <w:autoSpaceDE/>
              <w:autoSpaceDN/>
              <w:bidi w:val="0"/>
              <w:adjustRightInd/>
              <w:snapToGrid/>
              <w:spacing w:beforeLines="0" w:afterLines="0" w:line="360" w:lineRule="auto"/>
              <w:ind w:right="0" w:rightChars="0"/>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与甘泉堡工业园区规划符合性分析</w:t>
            </w:r>
          </w:p>
          <w:p w14:paraId="0715C058">
            <w:pPr>
              <w:pStyle w:val="18"/>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甘泉堡工业园总体规划（2016-2030年）（2016修订稿）》及其批复园区功能定位为：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7+3+2”的产业体系。即7种重点发展产业，确保现有煤电煤化工产业以及精细化工业的有序建设、重点发展新能源与新材料工业、先进装备制造业、机电工业（主要是电气设备和通讯设备），积极开拓生物医药、电子信息产业；3种补充发展产业，即新型建材业、有色金属加工业，鼓励发展众筹等小微企业；2种配套发展产业，即生产性服务业和消费性服务业，其中生产性服务业是指以铁路、高速公路为主动脉的物流运输产业，金融服务、信息技术、咨询、教育、产业研发、会展业等；生活性服务业是指商业、文化、休闲、居住等。</w:t>
            </w:r>
          </w:p>
          <w:p w14:paraId="608C41FD">
            <w:pPr>
              <w:pStyle w:val="18"/>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园区产业空间布局为：规划区划分为十个功能区，即优势资源转化区、经济合作与产业孵化区、新能源工业区、高新技术产业区、科教综合服务新区、物流仓储区、小微企业创新区、商贸物流区、生态保育区和协调发展区。</w:t>
            </w:r>
          </w:p>
          <w:p w14:paraId="23FC8CBD">
            <w:pPr>
              <w:pStyle w:val="18"/>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sz w:val="24"/>
                <w:szCs w:val="24"/>
                <w:lang w:val="en-US" w:eastAsia="zh-CN"/>
              </w:rPr>
              <w:t>本项目位于</w:t>
            </w:r>
            <w:r>
              <w:rPr>
                <w:rFonts w:hint="default" w:ascii="Times New Roman" w:hAnsi="Times New Roman" w:eastAsia="宋体" w:cs="Times New Roman"/>
                <w:spacing w:val="0"/>
                <w:sz w:val="24"/>
                <w:szCs w:val="24"/>
                <w:lang w:val="en-US" w:eastAsia="zh-CN"/>
              </w:rPr>
              <w:t>甘泉堡工业园</w:t>
            </w:r>
            <w:r>
              <w:rPr>
                <w:rFonts w:hint="eastAsia" w:ascii="Times New Roman" w:hAnsi="Times New Roman" w:cs="Times New Roman"/>
                <w:sz w:val="24"/>
                <w:szCs w:val="24"/>
              </w:rPr>
              <w:t>小微企业创新区</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该园区功能定位是</w:t>
            </w:r>
            <w:r>
              <w:rPr>
                <w:rFonts w:hint="eastAsia" w:ascii="Times New Roman" w:hAnsi="Times New Roman" w:cs="Times New Roman"/>
                <w:sz w:val="24"/>
                <w:szCs w:val="24"/>
              </w:rPr>
              <w:t>以新型建材产业为主导的集研发孵化、生产加工、商贸交易、物流配送为一体的小微新兴产业企业园。</w:t>
            </w:r>
            <w:r>
              <w:rPr>
                <w:rFonts w:hint="eastAsia" w:ascii="Times New Roman" w:hAnsi="Times New Roman" w:cs="Times New Roman"/>
                <w:sz w:val="24"/>
                <w:szCs w:val="24"/>
                <w:lang w:val="en-US" w:eastAsia="zh-CN"/>
              </w:rPr>
              <w:t>建设单位新疆盛世腾达建材有限公司属于小型企业，本项目以生产</w:t>
            </w:r>
            <w:r>
              <w:rPr>
                <w:rFonts w:hint="eastAsia" w:ascii="宋体" w:hAnsi="宋体" w:eastAsia="宋体" w:cs="宋体"/>
                <w:color w:val="auto"/>
                <w:kern w:val="0"/>
                <w:sz w:val="24"/>
                <w:szCs w:val="24"/>
                <w:lang w:val="en-US" w:eastAsia="zh-CN" w:bidi="ar"/>
              </w:rPr>
              <w:t>节能型复合保温</w:t>
            </w:r>
            <w:r>
              <w:rPr>
                <w:rFonts w:hint="eastAsia" w:ascii="宋体" w:hAnsi="宋体" w:cs="宋体"/>
                <w:color w:val="auto"/>
                <w:kern w:val="0"/>
                <w:sz w:val="24"/>
                <w:szCs w:val="24"/>
                <w:lang w:val="en-US" w:eastAsia="zh-CN" w:bidi="ar"/>
              </w:rPr>
              <w:t>免拆</w:t>
            </w:r>
            <w:r>
              <w:rPr>
                <w:rFonts w:hint="eastAsia" w:ascii="宋体" w:hAnsi="宋体" w:eastAsia="宋体" w:cs="宋体"/>
                <w:color w:val="auto"/>
                <w:kern w:val="0"/>
                <w:sz w:val="24"/>
                <w:szCs w:val="24"/>
                <w:lang w:val="en-US" w:eastAsia="zh-CN" w:bidi="ar"/>
              </w:rPr>
              <w:t>一体板</w:t>
            </w:r>
            <w:r>
              <w:rPr>
                <w:rFonts w:hint="eastAsia" w:ascii="Times New Roman" w:hAnsi="Times New Roman" w:cs="Times New Roman"/>
                <w:sz w:val="24"/>
                <w:szCs w:val="24"/>
                <w:lang w:val="en-US" w:eastAsia="zh-CN"/>
              </w:rPr>
              <w:t>为主，</w:t>
            </w:r>
            <w:r>
              <w:rPr>
                <w:rFonts w:hint="eastAsia" w:ascii="Times New Roman" w:hAnsi="Times New Roman" w:eastAsia="宋体" w:cs="Times New Roman"/>
                <w:spacing w:val="0"/>
                <w:sz w:val="24"/>
                <w:szCs w:val="24"/>
                <w:lang w:val="en-US" w:eastAsia="zh-CN"/>
              </w:rPr>
              <w:t>符合</w:t>
            </w:r>
            <w:r>
              <w:rPr>
                <w:rFonts w:hint="eastAsia" w:ascii="Times New Roman" w:hAnsi="Times New Roman" w:cs="Times New Roman"/>
                <w:sz w:val="24"/>
                <w:szCs w:val="24"/>
              </w:rPr>
              <w:t>小微企业创新区</w:t>
            </w:r>
            <w:r>
              <w:rPr>
                <w:rFonts w:hint="eastAsia" w:ascii="Times New Roman" w:hAnsi="Times New Roman" w:cs="Times New Roman"/>
                <w:sz w:val="24"/>
                <w:szCs w:val="24"/>
                <w:lang w:val="en-US" w:eastAsia="zh-CN"/>
              </w:rPr>
              <w:t>生产加工的产业定位</w:t>
            </w:r>
            <w:r>
              <w:rPr>
                <w:rFonts w:hint="default" w:ascii="Times New Roman" w:hAnsi="Times New Roman" w:eastAsia="宋体" w:cs="Times New Roman"/>
                <w:spacing w:val="0"/>
                <w:sz w:val="24"/>
                <w:szCs w:val="24"/>
                <w:lang w:val="en-US" w:eastAsia="zh-CN"/>
              </w:rPr>
              <w:t>，属于园区功能定位中鼓励发展的小微企业，符合园区产业空间布局，因此项目符合园区规划要求。</w:t>
            </w:r>
          </w:p>
          <w:p w14:paraId="4098807B">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right="0"/>
              <w:jc w:val="left"/>
              <w:textAlignment w:val="auto"/>
              <w:outlineLvl w:val="1"/>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甘泉堡工业园总体规划</w:t>
            </w:r>
            <w:r>
              <w:rPr>
                <w:rFonts w:hint="eastAsia" w:ascii="Times New Roman" w:hAnsi="Times New Roman" w:eastAsia="宋体" w:cs="Times New Roman"/>
                <w:b/>
                <w:bCs/>
                <w:color w:val="auto"/>
                <w:kern w:val="2"/>
                <w:sz w:val="24"/>
                <w:szCs w:val="24"/>
                <w:lang w:val="en-US" w:eastAsia="zh-CN" w:bidi="ar-SA"/>
              </w:rPr>
              <w:t>修编</w:t>
            </w:r>
            <w:r>
              <w:rPr>
                <w:rFonts w:hint="default" w:ascii="Times New Roman" w:hAnsi="Times New Roman" w:eastAsia="宋体" w:cs="Times New Roman"/>
                <w:b/>
                <w:bCs/>
                <w:color w:val="auto"/>
                <w:kern w:val="2"/>
                <w:sz w:val="24"/>
                <w:szCs w:val="24"/>
                <w:lang w:val="en-US" w:eastAsia="zh-CN" w:bidi="ar-SA"/>
              </w:rPr>
              <w:t>及规划环评符合性分析</w:t>
            </w:r>
          </w:p>
          <w:p w14:paraId="2A4F9C0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甘泉堡工业园地处乌鲁木齐市与昌吉州的交界地带，东接准东石油基地，南临小黄山铁路和216国道，西接乌鲁木齐米东区，北至兵团农六师102团（五家渠）。区域中心距乌鲁木齐市中心区45公里，米东新区中心区20公，阜康市中心15公里，准东石油基地5公里。东西跨长约21公里，南北约23公里，周围被五家渠、昌吉、乌鲁木齐、阜康等城市和准东石油基地、农六师102团包围。</w:t>
            </w:r>
          </w:p>
          <w:p w14:paraId="108C0F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甘泉堡工业园（2012年9月国务院批复了《国务院办公厅关于设立新疆乌鲁木齐甘泉堡经济技术开发区的复函》（国办函﹝2012﹞163号），同意乌鲁木齐甘泉堡工业区更名为甘泉堡经济技术开发区，以下简称甘泉堡工业园）</w:t>
            </w:r>
            <w:r>
              <w:rPr>
                <w:rFonts w:hint="default" w:ascii="Times New Roman" w:hAnsi="Times New Roman" w:eastAsia="宋体" w:cs="Times New Roman"/>
                <w:color w:val="auto"/>
                <w:sz w:val="24"/>
                <w:szCs w:val="24"/>
                <w:lang w:val="en-US" w:eastAsia="zh-CN"/>
              </w:rPr>
              <w:t>的工业用地；</w:t>
            </w:r>
            <w:r>
              <w:rPr>
                <w:rFonts w:hint="eastAsia" w:ascii="Times New Roman" w:hAnsi="Times New Roman" w:eastAsia="宋体" w:cs="Times New Roman"/>
                <w:color w:val="auto"/>
                <w:sz w:val="24"/>
                <w:szCs w:val="24"/>
                <w:lang w:val="en-US" w:eastAsia="zh-CN"/>
              </w:rPr>
              <w:t xml:space="preserve">根据《甘泉堡工业园总体规划（2016-2030年）》，乌昌地区未来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7+3+2”的产业体系。 </w:t>
            </w:r>
          </w:p>
          <w:p w14:paraId="762A8E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（1）重点发展产业：确保现有煤电煤化工产业和精细化工业有序建设，重点发展新能源与新材料工业、先进装备制造业和机电工业（主要是电气设备和通讯设备），积极开拓生物医药、电子信息产业。</w:t>
            </w:r>
          </w:p>
          <w:p w14:paraId="5120427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（2）补充发展产业：合理发展新型建材业和有色金属加工业， 鼓励发展众创众筹等小微产业。</w:t>
            </w:r>
          </w:p>
          <w:p w14:paraId="1657185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3）配套发展产业：包括为生产性服务业和消费性服务业。其中，生产性服务业指以铁路、高速公路为主动脉的物流运输产业，金融服务、信息技术、咨询、教育、产业研发、会展业等；生活性服务业指商业、文化、休闲、居住等。 </w:t>
            </w:r>
          </w:p>
          <w:p w14:paraId="01054A9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规划区划分为十个功能区，即优势资源转化区、经济合作与产业孵化区、新能源工业区、高新技术产业区、科教综合服务新区、物流仓储区、小微企业创新区、商贸物流区、生态保育区和协调发展区。根据园区功能区划图，本项目位于甘泉堡工业园中小微企业创新区。</w:t>
            </w:r>
          </w:p>
          <w:p w14:paraId="6481897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小微创新区属于阜康市城市总体规划中的阜西工业园区，阜西工业园区总体规划内容包含于《甘泉堡工业园区总体规划（2016- 2030年）》中。小微企业创新区以新型建材产业为主导的集研发孵化、生产加工、商贸交易、物流配送为一体的小微新兴产业企业园。本项目位于小微企业创新区，本项目属于隔热和隔音材料制造项目，属于小微产业，与园区产业布局相符。</w:t>
            </w:r>
          </w:p>
          <w:p w14:paraId="0FEF508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关于甘泉堡工业园总体规划（2016-2030年）环境影响报告书的审查意见》（新环函[2018]368号）：“园区位于乌鲁木齐、昌吉、石河子、五家渠区域环境同防同治区的重点区域，不宜布局建设煤化工、电解铝、燃煤纯发电机组、金属硅、碳化硅、聚氯乙烯（电石法）、焦炭（含半焦）等行业的新增产能项目，加快钢铁、水泥、焦炭、玻璃、煤炭等行业落后产能淘汰力度”，本项目为隔热和隔音材料制造，不属于钢铁、水泥、焦炭、玻璃、煤炭等行业落后产能，</w:t>
            </w:r>
            <w:r>
              <w:rPr>
                <w:rFonts w:hint="default" w:ascii="Times New Roman" w:hAnsi="Times New Roman" w:eastAsia="宋体" w:cs="Times New Roman"/>
                <w:color w:val="auto"/>
                <w:sz w:val="24"/>
                <w:szCs w:val="24"/>
                <w:lang w:val="en-US" w:eastAsia="zh-CN"/>
              </w:rPr>
              <w:t>符合产业政策、相关规划、规划环境影响评价结论及审查意见要求。</w:t>
            </w:r>
          </w:p>
          <w:p w14:paraId="59C7E2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关于甘泉堡工业园总体规划（2016-2030年）环境影响报告书的审查意见》（新环函[2018]368号）提出“严守生态保护红线，优化园区产业结构、空间布局，促进园区产业集约与绿色发展。规划空问管制区划定的禁建区和500水库坝外延1500米范围，以及规划范围内西延干渠两侧250米范围内划定为生态保护红线，禁止开发。结合区域发展方向、人口分布及环境保护等要求，按照《报告书》提出的空问管控距离控制园区和功能分区规划边界．制定并落实园区内现有不符合园区规划功能布局的企业搬迁、关停或转型改造计划。本项目距离500水库</w:t>
            </w:r>
            <w:r>
              <w:rPr>
                <w:rFonts w:hint="eastAsia"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700米，距离西延干渠2</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00米，不位于生态红线范围内。</w:t>
            </w:r>
          </w:p>
          <w:p w14:paraId="0605C5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关于甘泉堡工业园总体规划（2016-2030年）环境影响报告书的审查意见》（新环函[2018]368号）提出“坚守环境质量底线，产格污染物总量管控。根据规划区域及周边环境质量现状和日标，确定区域污染物排放总景上限，落实园区煤炭及其他颗粒状物料储运全封闭防尘措施，采取有效措施减少二氧化硫、氮氧化物、挥发性有机物、颗粒物、化学需氧量、氨氮、重金属等污染物的排放量，落实国家和自治区重点区域污染物特别排放限值。</w:t>
            </w:r>
          </w:p>
          <w:p w14:paraId="720699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本项目为隔热和隔音材料制造，</w:t>
            </w:r>
            <w:r>
              <w:rPr>
                <w:rFonts w:hint="default" w:ascii="Times New Roman" w:hAnsi="Times New Roman" w:eastAsia="宋体" w:cs="Times New Roman"/>
                <w:color w:val="auto"/>
                <w:kern w:val="2"/>
                <w:sz w:val="24"/>
                <w:szCs w:val="24"/>
                <w:highlight w:val="none"/>
                <w:lang w:val="en-US" w:eastAsia="zh-CN" w:bidi="ar-SA"/>
              </w:rPr>
              <w:t>属于园区功能定位中</w:t>
            </w:r>
            <w:r>
              <w:rPr>
                <w:rFonts w:hint="eastAsia" w:ascii="Times New Roman" w:hAnsi="Times New Roman" w:eastAsia="宋体" w:cs="Times New Roman"/>
                <w:color w:val="auto"/>
                <w:kern w:val="2"/>
                <w:sz w:val="24"/>
                <w:szCs w:val="24"/>
                <w:highlight w:val="none"/>
                <w:lang w:val="en-US" w:eastAsia="zh-CN" w:bidi="ar-SA"/>
              </w:rPr>
              <w:t>新型建材业</w:t>
            </w:r>
            <w:r>
              <w:rPr>
                <w:rFonts w:hint="eastAsia" w:cs="Times New Roman"/>
                <w:color w:val="auto"/>
                <w:kern w:val="2"/>
                <w:sz w:val="24"/>
                <w:szCs w:val="24"/>
                <w:highlight w:val="none"/>
                <w:lang w:val="en-US" w:eastAsia="zh-CN" w:bidi="ar-SA"/>
              </w:rPr>
              <w:t>，项目运行期不产生</w:t>
            </w:r>
            <w:r>
              <w:rPr>
                <w:rFonts w:hint="default" w:ascii="Times New Roman" w:hAnsi="Times New Roman" w:eastAsia="宋体" w:cs="Times New Roman"/>
                <w:color w:val="auto"/>
                <w:sz w:val="24"/>
                <w:szCs w:val="24"/>
                <w:highlight w:val="none"/>
                <w:lang w:val="en-US" w:eastAsia="zh-CN"/>
              </w:rPr>
              <w:t>二氧化硫、氮氧化物</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lang w:val="en-US" w:eastAsia="zh-CN"/>
              </w:rPr>
              <w:t>物料运输均在封闭厂房内进行，</w:t>
            </w:r>
            <w:r>
              <w:rPr>
                <w:rFonts w:hint="eastAsia" w:cs="Times New Roman"/>
                <w:color w:val="auto"/>
                <w:sz w:val="24"/>
                <w:szCs w:val="24"/>
                <w:lang w:val="en-US" w:eastAsia="zh-CN"/>
              </w:rPr>
              <w:t>切割采</w:t>
            </w:r>
            <w:r>
              <w:rPr>
                <w:rFonts w:hint="eastAsia" w:cs="Times New Roman"/>
                <w:color w:val="auto"/>
                <w:sz w:val="24"/>
                <w:szCs w:val="24"/>
                <w:highlight w:val="none"/>
                <w:lang w:val="en-US" w:eastAsia="zh-CN"/>
              </w:rPr>
              <w:t>用湿法切</w:t>
            </w:r>
            <w:r>
              <w:rPr>
                <w:rFonts w:hint="eastAsia" w:cs="Times New Roman"/>
                <w:color w:val="auto"/>
                <w:sz w:val="24"/>
                <w:szCs w:val="24"/>
                <w:lang w:val="en-US" w:eastAsia="zh-CN"/>
              </w:rPr>
              <w:t>割，</w:t>
            </w:r>
            <w:r>
              <w:rPr>
                <w:rFonts w:hint="eastAsia" w:ascii="Times New Roman" w:hAnsi="Times New Roman" w:eastAsia="宋体" w:cs="Times New Roman"/>
                <w:color w:val="auto"/>
                <w:sz w:val="24"/>
                <w:szCs w:val="24"/>
                <w:lang w:val="en-US" w:eastAsia="zh-CN"/>
              </w:rPr>
              <w:t>同时在</w:t>
            </w:r>
            <w:r>
              <w:rPr>
                <w:rFonts w:hint="eastAsia" w:cs="Times New Roman"/>
                <w:color w:val="auto"/>
                <w:sz w:val="24"/>
                <w:szCs w:val="24"/>
                <w:lang w:val="en-US" w:eastAsia="zh-CN"/>
              </w:rPr>
              <w:t>加料、物料搅拌</w:t>
            </w:r>
            <w:r>
              <w:rPr>
                <w:rFonts w:hint="eastAsia" w:ascii="Times New Roman" w:hAnsi="Times New Roman" w:eastAsia="宋体" w:cs="Times New Roman"/>
                <w:color w:val="auto"/>
                <w:sz w:val="24"/>
                <w:szCs w:val="24"/>
                <w:lang w:val="en-US" w:eastAsia="zh-CN"/>
              </w:rPr>
              <w:t>等易产生颗粒物的环节设置集气罩收集后由袋式除尘处理</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满足</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水泥工业大气污染物排放标准》（GB4915-2013）</w:t>
            </w:r>
            <w:r>
              <w:rPr>
                <w:rFonts w:hint="default" w:ascii="Times New Roman" w:hAnsi="Times New Roman" w:eastAsia="宋体" w:cs="Times New Roman"/>
                <w:color w:val="auto"/>
                <w:sz w:val="24"/>
                <w:szCs w:val="24"/>
                <w:lang w:val="en-US" w:eastAsia="zh-CN"/>
              </w:rPr>
              <w:t>中排放限值</w:t>
            </w:r>
            <w:r>
              <w:rPr>
                <w:rFonts w:hint="eastAsia"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mg/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后通过15m</w:t>
            </w:r>
            <w:r>
              <w:rPr>
                <w:rFonts w:hint="eastAsia" w:cs="Times New Roman"/>
                <w:color w:val="auto"/>
                <w:sz w:val="24"/>
                <w:szCs w:val="24"/>
                <w:lang w:val="en-US" w:eastAsia="zh-CN"/>
              </w:rPr>
              <w:t>高</w:t>
            </w:r>
            <w:r>
              <w:rPr>
                <w:rFonts w:hint="eastAsia" w:ascii="Times New Roman" w:hAnsi="Times New Roman" w:eastAsia="宋体" w:cs="Times New Roman"/>
                <w:color w:val="auto"/>
                <w:sz w:val="24"/>
                <w:szCs w:val="24"/>
                <w:lang w:val="en-US" w:eastAsia="zh-CN"/>
              </w:rPr>
              <w:t>排气筒排放，厂界无组织排放</w:t>
            </w:r>
            <w:r>
              <w:rPr>
                <w:rFonts w:hint="default" w:ascii="Times New Roman" w:hAnsi="Times New Roman" w:eastAsia="宋体" w:cs="Times New Roman"/>
                <w:color w:val="auto"/>
                <w:sz w:val="24"/>
                <w:szCs w:val="24"/>
                <w:lang w:val="en-US" w:eastAsia="zh-CN"/>
              </w:rPr>
              <w:t>满足《水泥工业大气污染物排放标准》（GB4915-2013）中排放限值</w:t>
            </w:r>
            <w:r>
              <w:rPr>
                <w:rFonts w:hint="default" w:ascii="Times New Roman" w:hAnsi="Times New Roman" w:eastAsia="宋体" w:cs="Times New Roman"/>
                <w:color w:val="auto"/>
                <w:sz w:val="24"/>
                <w:szCs w:val="24"/>
                <w:lang w:val="zh-CN" w:eastAsia="zh-CN"/>
              </w:rPr>
              <w:t>（</w:t>
            </w:r>
            <w:r>
              <w:rPr>
                <w:rFonts w:hint="eastAsia"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mg/</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lang w:val="en-US" w:eastAsia="zh-CN"/>
              </w:rPr>
              <w:t>）标准限值</w:t>
            </w:r>
            <w:r>
              <w:rPr>
                <w:rFonts w:hint="eastAsia" w:ascii="Times New Roman" w:hAnsi="Times New Roman" w:eastAsia="宋体" w:cs="Times New Roman"/>
                <w:color w:val="auto"/>
                <w:sz w:val="24"/>
                <w:szCs w:val="24"/>
                <w:lang w:val="en-US" w:eastAsia="zh-CN"/>
              </w:rPr>
              <w:t>；</w:t>
            </w:r>
          </w:p>
          <w:p w14:paraId="6C7D443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严格控制用水量，新鲜水仅用于生活用水以及产品用水，符合《关于甘泉堡工业园总体规划（2016-2030年）环境影响报告书的审查意见》（新环函[2018]368号）提出“严格控制用水总量，提高用水效率，合理控制排污，严守水资源‘三条红线’”等要求。</w:t>
            </w:r>
          </w:p>
          <w:p w14:paraId="2E0B820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sz w:val="24"/>
                <w:szCs w:val="24"/>
                <w:lang w:val="en-US" w:eastAsia="zh-CN"/>
              </w:rPr>
              <w:t>因此，本项目符合甘泉堡工业园产业布局、园区规划以及规划环评审查意见。</w:t>
            </w:r>
          </w:p>
        </w:tc>
      </w:tr>
      <w:tr w14:paraId="23298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3" w:hRule="atLeast"/>
        </w:trPr>
        <w:tc>
          <w:tcPr>
            <w:tcW w:w="943" w:type="dxa"/>
            <w:vAlign w:val="center"/>
          </w:tcPr>
          <w:p w14:paraId="095E0EA4">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7927" w:type="dxa"/>
            <w:gridSpan w:val="4"/>
            <w:vAlign w:val="center"/>
          </w:tcPr>
          <w:p w14:paraId="56360097">
            <w:pPr>
              <w:pStyle w:val="30"/>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rPr>
            </w:pPr>
            <w:r>
              <w:rPr>
                <w:rFonts w:hint="eastAsia" w:ascii="Times New Roman" w:hAnsi="Times New Roman" w:cs="Times New Roman"/>
                <w:b/>
                <w:bCs/>
                <w:color w:val="auto"/>
                <w:sz w:val="24"/>
                <w:szCs w:val="24"/>
                <w:lang w:val="en-US" w:eastAsia="zh-CN"/>
              </w:rPr>
              <w:t>1.</w:t>
            </w:r>
            <w:r>
              <w:rPr>
                <w:rFonts w:hint="default" w:ascii="Times New Roman" w:hAnsi="Times New Roman" w:eastAsia="宋体" w:cs="Times New Roman"/>
                <w:b/>
                <w:bCs/>
                <w:color w:val="auto"/>
                <w:sz w:val="24"/>
                <w:szCs w:val="24"/>
              </w:rPr>
              <w:t>产业政策相符性分析</w:t>
            </w:r>
          </w:p>
          <w:p w14:paraId="2FFA0D21">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根据中华人民共和国国家发展和改革委员会令第9号《产业结构调整指导目录（20</w:t>
            </w:r>
            <w:r>
              <w:rPr>
                <w:rFonts w:hint="eastAsia" w:ascii="Times New Roman" w:hAnsi="Times New Roman" w:cs="Times New Roman"/>
                <w:color w:val="auto"/>
                <w:sz w:val="24"/>
                <w:szCs w:val="24"/>
                <w:lang w:val="en-US" w:eastAsia="zh-CN"/>
              </w:rPr>
              <w:t>24</w:t>
            </w:r>
            <w:r>
              <w:rPr>
                <w:rFonts w:hint="default" w:ascii="Times New Roman" w:hAnsi="Times New Roman" w:eastAsia="宋体" w:cs="Times New Roman"/>
                <w:color w:val="auto"/>
                <w:sz w:val="24"/>
                <w:szCs w:val="24"/>
              </w:rPr>
              <w:t>年本）》，该类项目为“鼓励类</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十二、建材”保温、装饰等功能一体化复合板材，属于鼓励类。</w:t>
            </w:r>
            <w:r>
              <w:rPr>
                <w:rFonts w:hint="eastAsia" w:ascii="Times New Roman" w:hAnsi="Times New Roman" w:cs="Times New Roman"/>
                <w:color w:val="auto"/>
                <w:sz w:val="24"/>
                <w:szCs w:val="24"/>
                <w:lang w:eastAsia="zh-CN"/>
              </w:rPr>
              <w:t>与此同时</w:t>
            </w:r>
            <w:r>
              <w:rPr>
                <w:rFonts w:hint="default" w:ascii="Times New Roman" w:hAnsi="Times New Roman" w:eastAsia="宋体" w:cs="Times New Roman"/>
                <w:color w:val="auto"/>
                <w:sz w:val="24"/>
                <w:szCs w:val="24"/>
              </w:rPr>
              <w:t>，符合工信部、住建部联合下发的《促进绿色建材生产和行动方案》，明确提出“鼓励发展保温、隔热及防火性能良好、施工便利、使用寿命长的外墙保温材料，开发推广结构与保温装饰一体化外墙板”。因此本项目的建设符合国家产业政策的要求。</w:t>
            </w:r>
          </w:p>
          <w:p w14:paraId="2F13CF59">
            <w:pPr>
              <w:pStyle w:val="30"/>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w:t>
            </w:r>
            <w:r>
              <w:rPr>
                <w:rFonts w:hint="eastAsia" w:ascii="Times New Roman" w:hAnsi="Times New Roman" w:cs="Times New Roman"/>
                <w:b/>
                <w:bCs/>
                <w:color w:val="auto"/>
                <w:sz w:val="24"/>
                <w:szCs w:val="24"/>
                <w:lang w:val="en-US" w:eastAsia="zh-CN"/>
              </w:rPr>
              <w:t>.</w:t>
            </w:r>
            <w:r>
              <w:rPr>
                <w:rFonts w:hint="default" w:ascii="Times New Roman" w:hAnsi="Times New Roman" w:eastAsia="宋体" w:cs="Times New Roman"/>
                <w:b/>
                <w:bCs/>
                <w:color w:val="auto"/>
                <w:sz w:val="24"/>
                <w:szCs w:val="24"/>
              </w:rPr>
              <w:t>选址合理性分析</w:t>
            </w:r>
          </w:p>
          <w:p w14:paraId="77E6EC62">
            <w:pPr>
              <w:pStyle w:val="30"/>
              <w:keepNext w:val="0"/>
              <w:keepLines w:val="0"/>
              <w:pageBreakBefore w:val="0"/>
              <w:widowControl w:val="0"/>
              <w:numPr>
                <w:ilvl w:val="0"/>
                <w:numId w:val="0"/>
              </w:numPr>
              <w:tabs>
                <w:tab w:val="left" w:pos="1199"/>
              </w:tabs>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本项目位于曙光南路253号。根据现场调查，项目周围无自然保护区及珍稀动植物，项目所产生的各项污染物，在采取本评价所提出的各项治理措施后，均可做到达标排放或得到合理的处理处置，且本项目周围距居民区较远，因此本项目的建设对周围环境影响较小。</w:t>
            </w:r>
          </w:p>
          <w:p w14:paraId="082DC693">
            <w:pPr>
              <w:pStyle w:val="30"/>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项目所在区域基础设施配套完善，周围具有较完善的给水、供电、通信等基础设施条件，可以满足该项目生产需求。</w:t>
            </w:r>
          </w:p>
          <w:p w14:paraId="7C79DB4B">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项目区所在地周围无饮用水保护区、基本农田保护区、生态脆弱区等社会关注区，根据《建设项目环境影响评价分类管类管理名录2021版》（生态保护</w:t>
            </w:r>
            <w:r>
              <w:rPr>
                <w:rFonts w:hint="eastAsia" w:ascii="Times New Roman" w:hAnsi="Times New Roman" w:cs="Times New Roman"/>
                <w:color w:val="auto"/>
                <w:sz w:val="24"/>
                <w:szCs w:val="24"/>
                <w:lang w:eastAsia="zh-CN"/>
              </w:rPr>
              <w:t>部令</w:t>
            </w:r>
            <w:r>
              <w:rPr>
                <w:rFonts w:hint="default" w:ascii="Times New Roman" w:hAnsi="Times New Roman" w:eastAsia="宋体" w:cs="Times New Roman"/>
                <w:color w:val="auto"/>
                <w:sz w:val="24"/>
                <w:szCs w:val="24"/>
              </w:rPr>
              <w:t>第16号）中对环境敏感区的界定原则，本项目地处环境非敏感区。故本项目选址合理。</w:t>
            </w:r>
          </w:p>
          <w:p w14:paraId="73249ABE">
            <w:pPr>
              <w:pStyle w:val="30"/>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项目位于</w:t>
            </w:r>
            <w:r>
              <w:rPr>
                <w:rFonts w:hint="eastAsia" w:ascii="Times New Roman" w:hAnsi="Times New Roman" w:cs="Times New Roman"/>
                <w:color w:val="auto"/>
                <w:sz w:val="24"/>
                <w:szCs w:val="24"/>
                <w:lang w:eastAsia="zh-CN"/>
              </w:rPr>
              <w:t>园区</w:t>
            </w:r>
            <w:r>
              <w:rPr>
                <w:rFonts w:hint="default" w:ascii="Times New Roman" w:hAnsi="Times New Roman" w:eastAsia="宋体" w:cs="Times New Roman"/>
                <w:color w:val="auto"/>
                <w:sz w:val="24"/>
                <w:szCs w:val="24"/>
              </w:rPr>
              <w:t>工业园标准化厂房内，用地性质为工业用地，用地不属于国土资发《关于发布实施&lt;限制用地项目目录（2012年本）和&lt;禁止用地项目目录（2012年本）&gt;的通知》中限制用地和禁止用地项目，且项目符合园区入驻企业要求。</w:t>
            </w:r>
          </w:p>
          <w:p w14:paraId="1105620F">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本项目根据现场调查，项目周边市政道路及供排水、供电等基础设施已建成，项目所在区域交通便利，利于本项目建设。</w:t>
            </w:r>
          </w:p>
          <w:p w14:paraId="39F49916">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）项目区周边无社会关注的自然保护区、风景区、名胜古迹和其他需要特别保护的敏感目标；同时，本项目工艺及产品对外环境无特殊要求，无其他制约因素，故本项目与外环境相容。</w:t>
            </w:r>
          </w:p>
          <w:p w14:paraId="4CBF9ECF">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综上，本项目选址合理。</w:t>
            </w:r>
          </w:p>
          <w:p w14:paraId="3EDF9AB0">
            <w:pPr>
              <w:pStyle w:val="30"/>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w:t>
            </w:r>
            <w:r>
              <w:rPr>
                <w:rFonts w:hint="eastAsia" w:ascii="Times New Roman" w:hAnsi="Times New Roman" w:cs="Times New Roman"/>
                <w:b/>
                <w:bCs/>
                <w:color w:val="auto"/>
                <w:sz w:val="24"/>
                <w:szCs w:val="24"/>
                <w:lang w:val="en-US" w:eastAsia="zh-CN"/>
              </w:rPr>
              <w:t>.</w:t>
            </w:r>
            <w:r>
              <w:rPr>
                <w:rFonts w:hint="default" w:ascii="Times New Roman" w:hAnsi="Times New Roman" w:eastAsia="宋体" w:cs="Times New Roman"/>
                <w:b/>
                <w:bCs/>
                <w:color w:val="auto"/>
                <w:sz w:val="24"/>
                <w:szCs w:val="24"/>
              </w:rPr>
              <w:t>与“三线一单”相符性分析</w:t>
            </w:r>
          </w:p>
          <w:p w14:paraId="5ECCCC8A">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ascii="Times New Roman" w:hAnsi="Times New Roman" w:cs="Times New Roman"/>
                <w:color w:val="auto"/>
                <w:sz w:val="24"/>
                <w:szCs w:val="24"/>
                <w:lang w:eastAsia="zh-CN"/>
              </w:rPr>
              <w:t>生态环境部</w:t>
            </w:r>
            <w:r>
              <w:rPr>
                <w:rFonts w:hint="default" w:ascii="Times New Roman" w:hAnsi="Times New Roman" w:eastAsia="宋体" w:cs="Times New Roman"/>
                <w:color w:val="auto"/>
                <w:sz w:val="24"/>
                <w:szCs w:val="24"/>
              </w:rPr>
              <w:t>文《关于以改善环境质量为核心加强环境影响评价管理的通知》（环环评【2016】150号），三线一单中的三线是指“生态保护红线、环境质量底线、资源利用上线”，一单是指“环境准入负面清单”。</w:t>
            </w:r>
          </w:p>
          <w:p w14:paraId="7409EA27">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生态保护红线的符合性分析</w:t>
            </w:r>
          </w:p>
          <w:p w14:paraId="44643368">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本项目所在</w:t>
            </w:r>
            <w:r>
              <w:rPr>
                <w:rFonts w:hint="eastAsia" w:ascii="Times New Roman" w:hAnsi="Times New Roman" w:cs="Times New Roman"/>
                <w:color w:val="auto"/>
                <w:sz w:val="24"/>
                <w:szCs w:val="24"/>
                <w:lang w:eastAsia="zh-CN"/>
              </w:rPr>
              <w:t>阜康产业园阜西苏通小微创业园</w:t>
            </w:r>
            <w:r>
              <w:rPr>
                <w:rFonts w:hint="default" w:ascii="Times New Roman" w:hAnsi="Times New Roman" w:eastAsia="宋体" w:cs="Times New Roman"/>
                <w:color w:val="auto"/>
                <w:sz w:val="24"/>
                <w:szCs w:val="24"/>
              </w:rPr>
              <w:t>区域内</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无自然保护区、风景名胜区等特殊生态敏感区，工业园区区域不在生态保护红线区内，</w:t>
            </w:r>
            <w:r>
              <w:rPr>
                <w:rFonts w:hint="eastAsia" w:ascii="Times New Roman" w:hAnsi="Times New Roman" w:cs="Times New Roman"/>
                <w:color w:val="auto"/>
                <w:sz w:val="24"/>
                <w:szCs w:val="24"/>
                <w:lang w:val="en-US" w:eastAsia="zh-CN"/>
              </w:rPr>
              <w:t>因此，</w:t>
            </w:r>
            <w:r>
              <w:rPr>
                <w:rFonts w:hint="default" w:ascii="Times New Roman" w:hAnsi="Times New Roman" w:eastAsia="宋体" w:cs="Times New Roman"/>
                <w:color w:val="auto"/>
                <w:sz w:val="24"/>
                <w:szCs w:val="24"/>
              </w:rPr>
              <w:t>本项目不涉及生态保护红线。</w:t>
            </w:r>
          </w:p>
          <w:p w14:paraId="2C69521C">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环境质量底线的符合性分析</w:t>
            </w:r>
          </w:p>
          <w:p w14:paraId="43A0E181">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本项目生产废气主要为储存废气、混合搅拌废气，存储工序在密闭空间内进行，</w:t>
            </w:r>
            <w:r>
              <w:rPr>
                <w:rFonts w:hint="eastAsia" w:ascii="Times New Roman" w:hAnsi="Times New Roman" w:cs="Times New Roman"/>
                <w:color w:val="auto"/>
                <w:sz w:val="24"/>
                <w:szCs w:val="24"/>
                <w:lang w:val="en-US" w:eastAsia="zh-CN"/>
              </w:rPr>
              <w:t>通过集气管道</w:t>
            </w:r>
            <w:r>
              <w:rPr>
                <w:rFonts w:hint="default" w:ascii="Times New Roman" w:hAnsi="Times New Roman" w:eastAsia="宋体" w:cs="Times New Roman"/>
                <w:color w:val="auto"/>
                <w:sz w:val="24"/>
                <w:szCs w:val="24"/>
              </w:rPr>
              <w:t>连接至袋式除尘器，</w:t>
            </w:r>
            <w:r>
              <w:rPr>
                <w:rFonts w:hint="eastAsia" w:ascii="Times New Roman" w:hAnsi="Times New Roman" w:cs="Times New Roman"/>
                <w:color w:val="auto"/>
                <w:sz w:val="24"/>
                <w:szCs w:val="24"/>
                <w:lang w:val="en-US" w:eastAsia="zh-CN"/>
              </w:rPr>
              <w:t>处理达标后排放</w:t>
            </w:r>
            <w:r>
              <w:rPr>
                <w:rFonts w:hint="default" w:ascii="Times New Roman" w:hAnsi="Times New Roman" w:eastAsia="宋体" w:cs="Times New Roman"/>
                <w:color w:val="auto"/>
                <w:sz w:val="24"/>
                <w:szCs w:val="24"/>
              </w:rPr>
              <w:t>；搅拌工序废气采用袋式除尘器，搅拌废气经收集后引至同一台袋式除尘器与混合工序产生的粉尘共同处理，处理后通过一根15m高排气筒排放（DA001）；项目生产废水循环使用不外排，生活污水排入园区污水管网，最终进入</w:t>
            </w:r>
            <w:r>
              <w:rPr>
                <w:rFonts w:hint="default" w:ascii="Times New Roman" w:hAnsi="Times New Roman" w:eastAsia="宋体" w:cs="Times New Roman"/>
                <w:color w:val="auto"/>
                <w:sz w:val="24"/>
                <w:szCs w:val="24"/>
                <w:highlight w:val="none"/>
              </w:rPr>
              <w:t>阜康市西部城区污水处理厂</w:t>
            </w:r>
            <w:r>
              <w:rPr>
                <w:rFonts w:hint="default" w:ascii="Times New Roman" w:hAnsi="Times New Roman" w:eastAsia="宋体" w:cs="Times New Roman"/>
                <w:color w:val="auto"/>
                <w:sz w:val="24"/>
                <w:szCs w:val="24"/>
              </w:rPr>
              <w:t>处理；固废可达到100%合理贮存、处置并配套相关防止污染环境的措施。本项目严格落实环评中提出的各项环保设施，各项污染物做到连续稳定达标排放，建成后不会对区域环境质量造成较大影响，本项目建设不会突破区域环境质量底线。</w:t>
            </w:r>
          </w:p>
          <w:p w14:paraId="0F055130">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资源利用上线的符合性分析</w:t>
            </w:r>
          </w:p>
          <w:p w14:paraId="092206E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本项目不涉及地下水开采，不使用煤炭，符合园区资源利用上线相关要求。</w:t>
            </w:r>
          </w:p>
          <w:p w14:paraId="5BB34CB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环境准入负面清单的符合性分析</w:t>
            </w:r>
          </w:p>
          <w:p w14:paraId="6184563E">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w:t>
            </w:r>
            <w:r>
              <w:rPr>
                <w:rFonts w:hint="eastAsia" w:ascii="Times New Roman" w:hAnsi="Times New Roman" w:cs="Times New Roman"/>
                <w:color w:val="auto"/>
                <w:sz w:val="24"/>
                <w:szCs w:val="24"/>
                <w:lang w:val="en-US" w:eastAsia="zh-CN"/>
              </w:rPr>
              <w:t>阜西苏通小微创业园</w:t>
            </w:r>
            <w:r>
              <w:rPr>
                <w:rFonts w:hint="default" w:ascii="Times New Roman" w:hAnsi="Times New Roman" w:eastAsia="宋体" w:cs="Times New Roman"/>
                <w:color w:val="auto"/>
                <w:sz w:val="24"/>
                <w:szCs w:val="24"/>
              </w:rPr>
              <w:t>，不涉及地下水开采，不使用煤炭，不产生</w:t>
            </w:r>
            <w:r>
              <w:rPr>
                <w:rFonts w:hint="eastAsia" w:ascii="Times New Roman" w:hAnsi="Times New Roman" w:cs="Times New Roman"/>
                <w:color w:val="auto"/>
                <w:sz w:val="24"/>
                <w:szCs w:val="24"/>
                <w:lang w:eastAsia="zh-CN"/>
              </w:rPr>
              <w:t>VOCs</w:t>
            </w:r>
            <w:r>
              <w:rPr>
                <w:rFonts w:hint="default" w:ascii="Times New Roman" w:hAnsi="Times New Roman" w:eastAsia="宋体" w:cs="Times New Roman"/>
                <w:color w:val="auto"/>
                <w:sz w:val="24"/>
                <w:szCs w:val="24"/>
              </w:rPr>
              <w:t>；符合园区产业定位及总体规划，不属于“</w:t>
            </w:r>
            <w:r>
              <w:rPr>
                <w:rFonts w:hint="eastAsia" w:ascii="Times New Roman" w:hAnsi="Times New Roman" w:cs="Times New Roman"/>
                <w:color w:val="auto"/>
                <w:sz w:val="24"/>
                <w:szCs w:val="24"/>
                <w:lang w:eastAsia="zh-CN"/>
              </w:rPr>
              <w:t>阜康产业园阜西苏通小微创业园</w:t>
            </w:r>
            <w:r>
              <w:rPr>
                <w:rFonts w:hint="default" w:ascii="Times New Roman" w:hAnsi="Times New Roman" w:eastAsia="宋体" w:cs="Times New Roman"/>
                <w:color w:val="auto"/>
                <w:sz w:val="24"/>
                <w:szCs w:val="24"/>
              </w:rPr>
              <w:t>区总体规划环境影响跟踪评价报告书”中提出的环境准入负面清单中禁止进入项目。</w:t>
            </w:r>
          </w:p>
          <w:p w14:paraId="1BAA22A0">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综上，本项目满足</w:t>
            </w:r>
            <w:r>
              <w:rPr>
                <w:rFonts w:hint="eastAsia" w:ascii="Times New Roman" w:hAnsi="Times New Roman" w:cs="Times New Roman"/>
                <w:color w:val="auto"/>
                <w:sz w:val="24"/>
                <w:szCs w:val="24"/>
                <w:lang w:eastAsia="zh-CN"/>
              </w:rPr>
              <w:t>园区</w:t>
            </w:r>
            <w:r>
              <w:rPr>
                <w:rFonts w:hint="default" w:ascii="Times New Roman" w:hAnsi="Times New Roman" w:eastAsia="宋体" w:cs="Times New Roman"/>
                <w:color w:val="auto"/>
                <w:sz w:val="24"/>
                <w:szCs w:val="24"/>
              </w:rPr>
              <w:t>化工工业园区“三线一单”要求。</w:t>
            </w:r>
          </w:p>
          <w:p w14:paraId="327C5582">
            <w:pPr>
              <w:pStyle w:val="11"/>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3.1与《新疆维吾尔自治区“三线一单”生态环境分区管控方案》符合性分析</w:t>
            </w:r>
          </w:p>
          <w:p w14:paraId="218A34EB">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新疆维吾尔自治区“三线一单”生态环境分区管控方案》，按照生态保护红线、环境质量底线、资源利用上线的管控要求，将自治区从生态环境保护角度划分为优先保护单元、重点管控单元、一般管控单元三类环境管控单元。</w:t>
            </w:r>
          </w:p>
          <w:p w14:paraId="1CAC7E29">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根据项目建设地点与</w:t>
            </w:r>
            <w:r>
              <w:rPr>
                <w:rFonts w:hint="eastAsia" w:ascii="Times New Roman" w:hAnsi="Times New Roman" w:cs="Times New Roman"/>
                <w:color w:val="auto"/>
                <w:sz w:val="24"/>
                <w:szCs w:val="24"/>
                <w:lang w:val="en-US" w:eastAsia="zh-CN"/>
              </w:rPr>
              <w:t>最新新疆维吾尔自治区管控要求成果数据</w:t>
            </w:r>
            <w:r>
              <w:rPr>
                <w:rFonts w:hint="default" w:ascii="Times New Roman" w:hAnsi="Times New Roman" w:eastAsia="宋体" w:cs="Times New Roman"/>
                <w:color w:val="auto"/>
                <w:sz w:val="24"/>
                <w:szCs w:val="24"/>
              </w:rPr>
              <w:t>的核查，本项目属于重点管控单元，重点管控单元要求：要着力优化空间布局，不断提升资源利用效率，有针对性地加强污染物排放管控和环境风险防控，解决生态环境质量不达标、生态环境风险高等问题。</w:t>
            </w:r>
          </w:p>
          <w:p w14:paraId="6F7BE21D">
            <w:pPr>
              <w:pStyle w:val="3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本项目属于非金属矿物制品制造，运行期产生的废气均有较好合理的治理措施，废水有合理的去向，对环境影响较小，故本项目符合分区管控的要求。</w:t>
            </w:r>
          </w:p>
          <w:p w14:paraId="57935091">
            <w:pPr>
              <w:keepNext w:val="0"/>
              <w:keepLines w:val="0"/>
              <w:pageBreakBefore w:val="0"/>
              <w:widowControl w:val="0"/>
              <w:tabs>
                <w:tab w:val="left" w:pos="3120"/>
              </w:tabs>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1"/>
                <w:szCs w:val="21"/>
              </w:rPr>
              <w:t>表1-1</w:t>
            </w:r>
            <w:r>
              <w:rPr>
                <w:rFonts w:hint="eastAsia"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《新疆维吾尔自治区“三线一单”生态环境分区管控方案》符合性分析</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60"/>
              <w:gridCol w:w="4048"/>
              <w:gridCol w:w="3100"/>
            </w:tblGrid>
            <w:tr w14:paraId="3641BB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bottom w:val="single" w:color="000000" w:sz="12" w:space="0"/>
                  </w:tcBorders>
                  <w:vAlign w:val="center"/>
                </w:tcPr>
                <w:p w14:paraId="01A20D85">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tc>
              <w:tc>
                <w:tcPr>
                  <w:tcW w:w="2625" w:type="pct"/>
                  <w:tcBorders>
                    <w:bottom w:val="single" w:color="000000" w:sz="12" w:space="0"/>
                  </w:tcBorders>
                  <w:vAlign w:val="center"/>
                </w:tcPr>
                <w:p w14:paraId="4543A9EF">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要求</w:t>
                  </w:r>
                </w:p>
              </w:tc>
              <w:tc>
                <w:tcPr>
                  <w:tcW w:w="2010" w:type="pct"/>
                  <w:tcBorders>
                    <w:bottom w:val="single" w:color="000000" w:sz="12" w:space="0"/>
                  </w:tcBorders>
                  <w:vAlign w:val="center"/>
                </w:tcPr>
                <w:p w14:paraId="557105E8">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符合性</w:t>
                  </w:r>
                </w:p>
              </w:tc>
            </w:tr>
            <w:tr w14:paraId="7B7B2F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op w:val="single" w:color="000000" w:sz="12" w:space="0"/>
                    <w:tl2br w:val="nil"/>
                    <w:tr2bl w:val="nil"/>
                  </w:tcBorders>
                  <w:vAlign w:val="center"/>
                </w:tcPr>
                <w:p w14:paraId="77E7551B">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生态保护红线</w:t>
                  </w:r>
                </w:p>
              </w:tc>
              <w:tc>
                <w:tcPr>
                  <w:tcW w:w="2625" w:type="pct"/>
                  <w:tcBorders>
                    <w:top w:val="single" w:color="000000" w:sz="12" w:space="0"/>
                    <w:tl2br w:val="nil"/>
                    <w:tr2bl w:val="nil"/>
                  </w:tcBorders>
                  <w:vAlign w:val="center"/>
                </w:tcPr>
                <w:p w14:paraId="2099F32E">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按照“生态功能不降低、面积不减少、性质不改变”的基本要求，对划定的生态保护红线实施严格管控，保障和维护国家生态安全的底线和生命线。</w:t>
                  </w:r>
                </w:p>
              </w:tc>
              <w:tc>
                <w:tcPr>
                  <w:tcW w:w="2010" w:type="pct"/>
                  <w:tcBorders>
                    <w:top w:val="single" w:color="000000" w:sz="12" w:space="0"/>
                    <w:tl2br w:val="nil"/>
                    <w:tr2bl w:val="nil"/>
                  </w:tcBorders>
                  <w:vAlign w:val="center"/>
                </w:tcPr>
                <w:p w14:paraId="323B53F0">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项目位于</w:t>
                  </w:r>
                  <w:r>
                    <w:rPr>
                      <w:rFonts w:hint="eastAsia" w:ascii="Times New Roman" w:hAnsi="Times New Roman" w:cs="Times New Roman"/>
                      <w:color w:val="auto"/>
                      <w:sz w:val="21"/>
                      <w:szCs w:val="21"/>
                      <w:lang w:eastAsia="zh-CN"/>
                    </w:rPr>
                    <w:t>阜康市阜康产业园阜西苏通小微创业园</w:t>
                  </w:r>
                  <w:r>
                    <w:rPr>
                      <w:rFonts w:hint="default" w:ascii="Times New Roman" w:hAnsi="Times New Roman" w:eastAsia="宋体" w:cs="Times New Roman"/>
                      <w:color w:val="auto"/>
                      <w:sz w:val="21"/>
                      <w:szCs w:val="21"/>
                    </w:rPr>
                    <w:t>，不涉及生态红线保护区域，不会影响所在区域内生态服务功能。</w:t>
                  </w:r>
                </w:p>
              </w:tc>
            </w:tr>
            <w:tr w14:paraId="012517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4B59835E">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环境质量底线</w:t>
                  </w:r>
                </w:p>
              </w:tc>
              <w:tc>
                <w:tcPr>
                  <w:tcW w:w="2625" w:type="pct"/>
                  <w:tcBorders>
                    <w:tl2br w:val="nil"/>
                    <w:tr2bl w:val="nil"/>
                  </w:tcBorders>
                  <w:vAlign w:val="center"/>
                </w:tcPr>
                <w:p w14:paraId="62B42B00">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2010" w:type="pct"/>
                  <w:tcBorders>
                    <w:tl2br w:val="nil"/>
                    <w:tr2bl w:val="nil"/>
                  </w:tcBorders>
                  <w:vAlign w:val="center"/>
                </w:tcPr>
                <w:p w14:paraId="01C2EC2F">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w:t>
                  </w:r>
                  <w:r>
                    <w:rPr>
                      <w:rFonts w:hint="eastAsia" w:ascii="Times New Roman" w:hAnsi="Times New Roman" w:cs="Times New Roman"/>
                      <w:color w:val="auto"/>
                      <w:sz w:val="21"/>
                      <w:szCs w:val="21"/>
                      <w:lang w:eastAsia="zh-CN"/>
                    </w:rPr>
                    <w:t>属于</w:t>
                  </w:r>
                  <w:r>
                    <w:rPr>
                      <w:rFonts w:hint="default" w:ascii="Times New Roman" w:hAnsi="Times New Roman" w:eastAsia="宋体" w:cs="Times New Roman"/>
                      <w:color w:val="auto"/>
                      <w:sz w:val="21"/>
                      <w:szCs w:val="21"/>
                    </w:rPr>
                    <w:t>非金属矿物制品制造，废水主要为生活污水，生活污水排入园区污水管网，最终排入阜康市西部城区污水处理厂处置，与地表水体无水力联系，也不会对地下水造成污染；项目不产生</w:t>
                  </w:r>
                  <w:r>
                    <w:rPr>
                      <w:rFonts w:hint="eastAsia" w:ascii="Times New Roman" w:hAnsi="Times New Roman" w:cs="Times New Roman"/>
                      <w:color w:val="auto"/>
                      <w:sz w:val="21"/>
                      <w:szCs w:val="21"/>
                      <w:lang w:eastAsia="zh-CN"/>
                    </w:rPr>
                    <w:t>VOCs</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颗粒物经处理后达标排放，</w:t>
                  </w:r>
                  <w:r>
                    <w:rPr>
                      <w:rFonts w:hint="default" w:ascii="Times New Roman" w:hAnsi="Times New Roman" w:eastAsia="宋体" w:cs="Times New Roman"/>
                      <w:color w:val="auto"/>
                      <w:sz w:val="21"/>
                      <w:szCs w:val="21"/>
                    </w:rPr>
                    <w:t>对环境影响较小。上述措施能确保本项目污染物对环境质量的影响降到最小，不突破所在区域环境质量底线。</w:t>
                  </w:r>
                </w:p>
              </w:tc>
            </w:tr>
            <w:tr w14:paraId="216E57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3DDC75E0">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资源利用上线</w:t>
                  </w:r>
                </w:p>
              </w:tc>
              <w:tc>
                <w:tcPr>
                  <w:tcW w:w="2625" w:type="pct"/>
                  <w:tcBorders>
                    <w:tl2br w:val="nil"/>
                    <w:tr2bl w:val="nil"/>
                  </w:tcBorders>
                  <w:vAlign w:val="center"/>
                </w:tcPr>
                <w:p w14:paraId="7D16B67D">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强化节约集约利用，持续提升资源能源利用效率，水资源、土地资源、能源消耗等达到国家、自治区下达的总量和强度控制目标。</w:t>
                  </w:r>
                </w:p>
              </w:tc>
              <w:tc>
                <w:tcPr>
                  <w:tcW w:w="2010" w:type="pct"/>
                  <w:tcBorders>
                    <w:tl2br w:val="nil"/>
                    <w:tr2bl w:val="nil"/>
                  </w:tcBorders>
                  <w:vAlign w:val="center"/>
                </w:tcPr>
                <w:p w14:paraId="4B1D787B">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本项目生产工艺主要消耗电能、水。项目资源、能源消耗满足国家、自治区下达的总量和强度控制目标。</w:t>
                  </w:r>
                </w:p>
              </w:tc>
            </w:tr>
          </w:tbl>
          <w:p w14:paraId="630F7D94">
            <w:pPr>
              <w:pStyle w:val="30"/>
              <w:pageBreakBefore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24"/>
                <w:szCs w:val="24"/>
              </w:rPr>
            </w:pPr>
          </w:p>
          <w:p w14:paraId="0D9FDFDD">
            <w:pPr>
              <w:pStyle w:val="11"/>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与《新疆维吾尔自治区七大片区“三线一单”生态环境分区管控要求》（新环环评发[2021]162号）符合性分析</w:t>
            </w:r>
          </w:p>
          <w:p w14:paraId="7140F2B1">
            <w:pPr>
              <w:pStyle w:val="48"/>
              <w:spacing w:line="360" w:lineRule="auto"/>
              <w:ind w:firstLine="480" w:firstLineChars="200"/>
              <w:jc w:val="both"/>
              <w:rPr>
                <w:rFonts w:eastAsia="宋体"/>
                <w:color w:val="auto"/>
                <w:sz w:val="24"/>
                <w:szCs w:val="24"/>
              </w:rPr>
            </w:pPr>
            <w:r>
              <w:rPr>
                <w:rFonts w:eastAsia="宋体"/>
                <w:snapToGrid/>
                <w:color w:val="auto"/>
                <w:sz w:val="24"/>
                <w:szCs w:val="24"/>
              </w:rPr>
              <w:t>据</w:t>
            </w:r>
            <w:r>
              <w:rPr>
                <w:rFonts w:eastAsia="宋体"/>
                <w:snapToGrid/>
                <w:color w:val="auto"/>
                <w:sz w:val="24"/>
                <w:szCs w:val="24"/>
                <w:highlight w:val="none"/>
              </w:rPr>
              <w:t>《新疆维吾尔自治区七大片区“三线一单”生态环境分区管控要求》文件要求：“除国家规划项目外</w:t>
            </w:r>
            <w:r>
              <w:rPr>
                <w:rFonts w:hint="eastAsia" w:eastAsia="宋体"/>
                <w:snapToGrid/>
                <w:color w:val="auto"/>
                <w:sz w:val="24"/>
                <w:szCs w:val="24"/>
                <w:highlight w:val="none"/>
                <w:lang w:eastAsia="zh-CN"/>
              </w:rPr>
              <w:t>，</w:t>
            </w:r>
            <w:r>
              <w:rPr>
                <w:rFonts w:eastAsia="宋体"/>
                <w:snapToGrid/>
                <w:color w:val="auto"/>
                <w:sz w:val="24"/>
                <w:szCs w:val="24"/>
                <w:highlight w:val="none"/>
              </w:rPr>
              <w:t>乌鲁木齐市七区一县、昌吉市、阜康市玛纳斯县、呼图壁县、沙湾市建成区及周边敏感区域内不再布局建设煤化工、电解铝、燃煤纯发电机组、金属硅、碳化硅、聚氯乙烯（电石法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含半焦）等新增产能项目。具备风光电清洁供暖建设条件的区域原则上不新批热电联产项目。坚持属地负责与区域大气污染联防联控相结合</w:t>
            </w:r>
            <w:r>
              <w:rPr>
                <w:rFonts w:hint="eastAsia" w:eastAsia="宋体"/>
                <w:snapToGrid/>
                <w:color w:val="auto"/>
                <w:sz w:val="24"/>
                <w:szCs w:val="24"/>
                <w:highlight w:val="none"/>
                <w:lang w:eastAsia="zh-CN"/>
              </w:rPr>
              <w:t>，</w:t>
            </w:r>
            <w:r>
              <w:rPr>
                <w:rFonts w:eastAsia="宋体"/>
                <w:snapToGrid/>
                <w:color w:val="auto"/>
                <w:sz w:val="24"/>
                <w:szCs w:val="24"/>
                <w:highlight w:val="none"/>
              </w:rPr>
              <w:t>以明显降低细颗粒物浓度为重点</w:t>
            </w:r>
            <w:r>
              <w:rPr>
                <w:rFonts w:hint="eastAsia" w:eastAsia="宋体"/>
                <w:snapToGrid/>
                <w:color w:val="auto"/>
                <w:sz w:val="24"/>
                <w:szCs w:val="24"/>
                <w:highlight w:val="none"/>
                <w:lang w:eastAsia="zh-CN"/>
              </w:rPr>
              <w:t>，</w:t>
            </w:r>
            <w:r>
              <w:rPr>
                <w:rFonts w:eastAsia="宋体"/>
                <w:snapToGrid/>
                <w:color w:val="auto"/>
                <w:sz w:val="24"/>
                <w:szCs w:val="24"/>
                <w:highlight w:val="none"/>
              </w:rPr>
              <w:t>协同推进“乌-昌-石”同防同治区域大气环境治理。所有新建、改建、扩建工业项目执行最严格的大气污染物排放标准</w:t>
            </w:r>
            <w:r>
              <w:rPr>
                <w:rFonts w:hint="eastAsia" w:eastAsia="宋体"/>
                <w:snapToGrid/>
                <w:color w:val="auto"/>
                <w:sz w:val="24"/>
                <w:szCs w:val="24"/>
                <w:highlight w:val="none"/>
                <w:lang w:eastAsia="zh-CN"/>
              </w:rPr>
              <w:t>，</w:t>
            </w:r>
            <w:r>
              <w:rPr>
                <w:rFonts w:eastAsia="宋体"/>
                <w:snapToGrid/>
                <w:color w:val="auto"/>
                <w:sz w:val="24"/>
                <w:szCs w:val="24"/>
                <w:highlight w:val="none"/>
              </w:rPr>
              <w:t>强化氮氧化物深度治理</w:t>
            </w:r>
            <w:r>
              <w:rPr>
                <w:rFonts w:hint="eastAsia" w:eastAsia="宋体"/>
                <w:snapToGrid/>
                <w:color w:val="auto"/>
                <w:sz w:val="24"/>
                <w:szCs w:val="24"/>
                <w:highlight w:val="none"/>
                <w:lang w:eastAsia="zh-CN"/>
              </w:rPr>
              <w:t>，</w:t>
            </w:r>
            <w:r>
              <w:rPr>
                <w:rFonts w:eastAsia="宋体"/>
                <w:snapToGrid/>
                <w:color w:val="auto"/>
                <w:sz w:val="24"/>
                <w:szCs w:val="24"/>
                <w:highlight w:val="none"/>
              </w:rPr>
              <w:t>确保区</w:t>
            </w:r>
            <w:r>
              <w:rPr>
                <w:rFonts w:eastAsia="宋体"/>
                <w:snapToGrid/>
                <w:color w:val="auto"/>
                <w:sz w:val="24"/>
                <w:szCs w:val="24"/>
              </w:rPr>
              <w:t>域环境空气质量持续改善。”</w:t>
            </w:r>
          </w:p>
          <w:p w14:paraId="77A18C3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kern w:val="0"/>
                <w:sz w:val="24"/>
                <w:szCs w:val="24"/>
                <w:lang w:val="en-US" w:eastAsia="zh-CN"/>
              </w:rPr>
            </w:pPr>
            <w:r>
              <w:rPr>
                <w:color w:val="auto"/>
                <w:kern w:val="0"/>
                <w:sz w:val="24"/>
                <w:highlight w:val="none"/>
              </w:rPr>
              <w:t>本项目属于</w:t>
            </w:r>
            <w:r>
              <w:rPr>
                <w:rFonts w:hint="eastAsia"/>
                <w:color w:val="auto"/>
                <w:kern w:val="0"/>
                <w:sz w:val="24"/>
                <w:highlight w:val="none"/>
                <w:lang w:val="en-US" w:eastAsia="zh-CN"/>
              </w:rPr>
              <w:t>隔热和隔音材料制造，不属于</w:t>
            </w:r>
            <w:r>
              <w:rPr>
                <w:rFonts w:eastAsia="宋体"/>
                <w:snapToGrid/>
                <w:color w:val="auto"/>
                <w:sz w:val="24"/>
                <w:szCs w:val="24"/>
                <w:highlight w:val="none"/>
              </w:rPr>
              <w:t>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w:t>
            </w:r>
            <w:r>
              <w:rPr>
                <w:rFonts w:hint="eastAsia"/>
                <w:snapToGrid/>
                <w:color w:val="auto"/>
                <w:sz w:val="24"/>
                <w:szCs w:val="24"/>
                <w:highlight w:val="none"/>
                <w:lang w:eastAsia="zh-CN"/>
              </w:rPr>
              <w:t>，</w:t>
            </w:r>
            <w:r>
              <w:rPr>
                <w:rFonts w:hint="eastAsia"/>
                <w:snapToGrid/>
                <w:color w:val="auto"/>
                <w:sz w:val="24"/>
                <w:szCs w:val="24"/>
                <w:highlight w:val="none"/>
                <w:lang w:val="en-US" w:eastAsia="zh-CN"/>
              </w:rPr>
              <w:t>本项目主要污染物为混合搅拌保温材料时产生的粉尘颗粒物，水泥筒仓设有布袋除尘器，存放原材料时产生的粉尘当场处理，搅拌机自带袋式除尘设备，并且搅拌设备置于全封闭厂房，不会对区域环境空气质量产生影响。</w:t>
            </w:r>
            <w:r>
              <w:rPr>
                <w:color w:val="auto"/>
                <w:kern w:val="0"/>
                <w:sz w:val="24"/>
              </w:rPr>
              <w:t>因此，符合《新疆维吾尔自治区七大片区“三线一单”生态环境分区管控要求》相关要求。</w:t>
            </w:r>
          </w:p>
          <w:p w14:paraId="337D4E4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3.</w:t>
            </w:r>
            <w:r>
              <w:rPr>
                <w:rFonts w:hint="eastAsia" w:cs="Times New Roman"/>
                <w:b/>
                <w:bCs/>
                <w:color w:val="auto"/>
                <w:kern w:val="0"/>
                <w:sz w:val="24"/>
                <w:szCs w:val="24"/>
                <w:lang w:val="en-US" w:eastAsia="zh-CN"/>
              </w:rPr>
              <w:t>3</w:t>
            </w:r>
            <w:r>
              <w:rPr>
                <w:rFonts w:hint="default" w:ascii="Times New Roman" w:hAnsi="Times New Roman" w:eastAsia="宋体" w:cs="Times New Roman"/>
                <w:b/>
                <w:bCs/>
                <w:color w:val="auto"/>
                <w:kern w:val="0"/>
                <w:sz w:val="24"/>
                <w:szCs w:val="24"/>
                <w:lang w:val="en-US" w:eastAsia="zh-CN"/>
              </w:rPr>
              <w:t>与《昌吉回族自治州“三线一单”生态环境分区管控方案》的符合性分析</w:t>
            </w:r>
          </w:p>
          <w:p w14:paraId="0FA53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本项目位于甘泉堡工业园区中苏通小微创业园区块，根据《昌吉回族自治州“三线一单”生态环境分区管控方案及生态环境准入清单》划分，本项目属于ZH65230220002环境管控单元编码区，属于阜康市重点管控单元，本项目与阜康市环境管控单元生态环境准入清单符合性分析见表</w:t>
            </w:r>
            <w:r>
              <w:rPr>
                <w:rFonts w:hint="eastAsia" w:ascii="Times New Roman" w:hAnsi="Times New Roman" w:eastAsia="宋体" w:cs="Times New Roman"/>
                <w:color w:val="auto"/>
                <w:sz w:val="24"/>
                <w:szCs w:val="32"/>
                <w:lang w:val="en-US" w:eastAsia="zh-CN"/>
              </w:rPr>
              <w:t>1-2</w:t>
            </w:r>
            <w:r>
              <w:rPr>
                <w:rFonts w:hint="default" w:ascii="Times New Roman" w:hAnsi="Times New Roman" w:eastAsia="宋体" w:cs="Times New Roman"/>
                <w:color w:val="auto"/>
                <w:sz w:val="24"/>
                <w:szCs w:val="32"/>
                <w:lang w:val="en-US" w:eastAsia="zh-CN"/>
              </w:rPr>
              <w:t>。</w:t>
            </w:r>
          </w:p>
          <w:p w14:paraId="4D87B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项目选址不涉及生态保护红线，项目所在区域不存在自然保护区、风景名胜区、饮用水水源保护区等需要特别保护的区域，不属于禁止建设开发区和限制建设开发区，符合生态保护红线的要求，不会影响所在区域内生态功能和性质。符合生态保护红线相关要求。</w:t>
            </w:r>
          </w:p>
          <w:p w14:paraId="64073E04">
            <w:pPr>
              <w:pStyle w:val="38"/>
              <w:keepNext w:val="0"/>
              <w:keepLines w:val="0"/>
              <w:pageBreakBefore w:val="0"/>
              <w:widowControl w:val="0"/>
              <w:tabs>
                <w:tab w:val="left" w:pos="360"/>
                <w:tab w:val="left" w:pos="1620"/>
              </w:tabs>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color w:val="auto"/>
                <w:lang w:val="en-US" w:eastAsia="zh-CN"/>
              </w:rPr>
            </w:pPr>
            <w:r>
              <w:rPr>
                <w:rFonts w:hint="default" w:ascii="Times New Roman" w:hAnsi="Times New Roman" w:cs="Times New Roman"/>
                <w:b/>
                <w:bCs w:val="0"/>
                <w:color w:val="auto"/>
                <w:sz w:val="21"/>
                <w:szCs w:val="21"/>
              </w:rPr>
              <w:t>表</w:t>
            </w:r>
            <w:r>
              <w:rPr>
                <w:rFonts w:hint="eastAsia" w:ascii="Times New Roman" w:hAnsi="Times New Roman" w:cs="Times New Roman"/>
                <w:b/>
                <w:bCs w:val="0"/>
                <w:color w:val="auto"/>
                <w:sz w:val="21"/>
                <w:szCs w:val="21"/>
                <w:lang w:val="en-US" w:eastAsia="zh-CN"/>
              </w:rPr>
              <w:t xml:space="preserve">1-2    </w:t>
            </w:r>
            <w:r>
              <w:rPr>
                <w:rFonts w:hint="eastAsia" w:ascii="Times New Roman" w:hAnsi="Times New Roman" w:eastAsia="宋体" w:cs="Times New Roman"/>
                <w:b/>
                <w:bCs w:val="0"/>
                <w:color w:val="auto"/>
                <w:sz w:val="24"/>
                <w:szCs w:val="24"/>
                <w:lang w:eastAsia="zh-CN"/>
              </w:rPr>
              <w:t>“</w:t>
            </w:r>
            <w:r>
              <w:rPr>
                <w:rFonts w:hint="eastAsia" w:ascii="Times New Roman" w:hAnsi="Times New Roman" w:eastAsia="宋体" w:cs="宋体"/>
                <w:color w:val="auto"/>
                <w:lang w:val="en-US" w:eastAsia="zh-CN"/>
              </w:rPr>
              <w:t>阜康市环境管控单元生态环境准入清单”</w:t>
            </w:r>
            <w:r>
              <w:rPr>
                <w:rFonts w:hint="default" w:ascii="Times New Roman" w:hAnsi="Times New Roman" w:eastAsia="宋体" w:cs="宋体"/>
                <w:color w:val="auto"/>
                <w:lang w:val="en-US" w:eastAsia="zh-CN"/>
              </w:rPr>
              <w:t>符合性分析</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58"/>
              <w:gridCol w:w="705"/>
              <w:gridCol w:w="765"/>
              <w:gridCol w:w="3321"/>
              <w:gridCol w:w="1494"/>
              <w:gridCol w:w="562"/>
            </w:tblGrid>
            <w:tr w14:paraId="38B4D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tcBorders>
                    <w:tl2br w:val="nil"/>
                    <w:tr2bl w:val="nil"/>
                  </w:tcBorders>
                  <w:noWrap w:val="0"/>
                  <w:vAlign w:val="center"/>
                </w:tcPr>
                <w:p w14:paraId="2DA48C1F">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环境</w:t>
                  </w:r>
                  <w:r>
                    <w:rPr>
                      <w:rFonts w:hint="default"/>
                      <w:color w:val="auto"/>
                      <w:lang w:val="en-US" w:eastAsia="zh-CN"/>
                    </w:rPr>
                    <w:t>管控单元</w:t>
                  </w:r>
                  <w:r>
                    <w:rPr>
                      <w:rFonts w:hint="eastAsia"/>
                      <w:color w:val="auto"/>
                      <w:lang w:val="en-US" w:eastAsia="zh-CN"/>
                    </w:rPr>
                    <w:t>编码</w:t>
                  </w:r>
                </w:p>
              </w:tc>
              <w:tc>
                <w:tcPr>
                  <w:tcW w:w="457" w:type="pct"/>
                  <w:tcBorders>
                    <w:tl2br w:val="nil"/>
                    <w:tr2bl w:val="nil"/>
                  </w:tcBorders>
                  <w:noWrap w:val="0"/>
                  <w:vAlign w:val="center"/>
                </w:tcPr>
                <w:p w14:paraId="09B61E38">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lang w:val="en-US" w:eastAsia="zh-CN"/>
                    </w:rPr>
                    <w:t>管控单元名称</w:t>
                  </w:r>
                </w:p>
              </w:tc>
              <w:tc>
                <w:tcPr>
                  <w:tcW w:w="2651" w:type="pct"/>
                  <w:gridSpan w:val="2"/>
                  <w:tcBorders>
                    <w:tl2br w:val="nil"/>
                    <w:tr2bl w:val="nil"/>
                  </w:tcBorders>
                  <w:noWrap w:val="0"/>
                  <w:vAlign w:val="center"/>
                </w:tcPr>
                <w:p w14:paraId="2BC62FDB">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lang w:val="en-US" w:eastAsia="zh-CN"/>
                    </w:rPr>
                    <w:t>管控要求</w:t>
                  </w:r>
                </w:p>
              </w:tc>
              <w:tc>
                <w:tcPr>
                  <w:tcW w:w="969" w:type="pct"/>
                  <w:tcBorders>
                    <w:tl2br w:val="nil"/>
                    <w:tr2bl w:val="nil"/>
                  </w:tcBorders>
                  <w:noWrap w:val="0"/>
                  <w:vAlign w:val="center"/>
                </w:tcPr>
                <w:p w14:paraId="36775C29">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lang w:val="en-US" w:eastAsia="zh-CN"/>
                    </w:rPr>
                    <w:t>项目情况</w:t>
                  </w:r>
                </w:p>
              </w:tc>
              <w:tc>
                <w:tcPr>
                  <w:tcW w:w="364" w:type="pct"/>
                  <w:tcBorders>
                    <w:tl2br w:val="nil"/>
                    <w:tr2bl w:val="nil"/>
                  </w:tcBorders>
                  <w:noWrap w:val="0"/>
                  <w:vAlign w:val="center"/>
                </w:tcPr>
                <w:p w14:paraId="702C0D42">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lang w:val="en-US" w:eastAsia="zh-CN"/>
                    </w:rPr>
                    <w:t>符合性</w:t>
                  </w:r>
                </w:p>
              </w:tc>
            </w:tr>
            <w:tr w14:paraId="4B86CE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restart"/>
                  <w:tcBorders>
                    <w:tl2br w:val="nil"/>
                    <w:tr2bl w:val="nil"/>
                  </w:tcBorders>
                  <w:noWrap w:val="0"/>
                  <w:vAlign w:val="center"/>
                </w:tcPr>
                <w:p w14:paraId="597936FE">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lang w:val="en-US" w:eastAsia="zh-CN"/>
                    </w:rPr>
                  </w:pPr>
                  <w:r>
                    <w:rPr>
                      <w:rFonts w:hint="eastAsia"/>
                      <w:color w:val="auto"/>
                      <w:lang w:val="en-US" w:eastAsia="zh-CN"/>
                    </w:rPr>
                    <w:t>ZH65230220002</w:t>
                  </w:r>
                  <w:bookmarkStart w:id="2" w:name="_GoBack"/>
                  <w:bookmarkEnd w:id="2"/>
                </w:p>
              </w:tc>
              <w:tc>
                <w:tcPr>
                  <w:tcW w:w="457" w:type="pct"/>
                  <w:vMerge w:val="restart"/>
                  <w:tcBorders>
                    <w:tl2br w:val="nil"/>
                    <w:tr2bl w:val="nil"/>
                  </w:tcBorders>
                  <w:noWrap w:val="0"/>
                  <w:vAlign w:val="center"/>
                </w:tcPr>
                <w:p w14:paraId="3C41145D">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rPr>
                    <w:t>阜康高新技术产业开发区</w:t>
                  </w:r>
                </w:p>
              </w:tc>
              <w:tc>
                <w:tcPr>
                  <w:tcW w:w="496" w:type="pct"/>
                  <w:tcBorders>
                    <w:tl2br w:val="nil"/>
                    <w:tr2bl w:val="nil"/>
                  </w:tcBorders>
                  <w:noWrap w:val="0"/>
                  <w:vAlign w:val="center"/>
                </w:tcPr>
                <w:p w14:paraId="612C240F">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rPr>
                    <w:t>空间布局约束</w:t>
                  </w:r>
                </w:p>
              </w:tc>
              <w:tc>
                <w:tcPr>
                  <w:tcW w:w="2155" w:type="pct"/>
                  <w:tcBorders>
                    <w:tl2br w:val="nil"/>
                    <w:tr2bl w:val="nil"/>
                  </w:tcBorders>
                  <w:noWrap w:val="0"/>
                  <w:vAlign w:val="center"/>
                </w:tcPr>
                <w:p w14:paraId="7EAC1C59">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rPr>
                  </w:pPr>
                  <w:r>
                    <w:rPr>
                      <w:rFonts w:hint="default"/>
                      <w:color w:val="auto"/>
                    </w:rPr>
                    <w:t>1、除国家规定新增原料用能不纳入能源消费总量控制的项目和列入国家规划的项目外，“乌—昌—石”等重点区域不再新建、扩建使用煤炭项目。</w:t>
                  </w:r>
                </w:p>
                <w:p w14:paraId="43ADF66D">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rPr>
                  </w:pPr>
                  <w:r>
                    <w:rPr>
                      <w:rFonts w:hint="default"/>
                      <w:color w:val="auto"/>
                    </w:rPr>
                    <w:t>2、入园企业需符合园区产业发展定位，产业发展以新型建材、优势果品及包装货运配送产业为主导。</w:t>
                  </w:r>
                </w:p>
                <w:p w14:paraId="0FB1CF35">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lang w:val="en-US" w:eastAsia="zh-CN"/>
                    </w:rPr>
                  </w:pPr>
                  <w:r>
                    <w:rPr>
                      <w:rFonts w:hint="eastAsia"/>
                      <w:color w:val="auto"/>
                      <w:lang w:val="en-US" w:eastAsia="zh-CN"/>
                    </w:rPr>
                    <w:t>3、入园企业需符合产业布局规划及土地利用规划。</w:t>
                  </w:r>
                </w:p>
              </w:tc>
              <w:tc>
                <w:tcPr>
                  <w:tcW w:w="969" w:type="pct"/>
                  <w:tcBorders>
                    <w:tl2br w:val="nil"/>
                    <w:tr2bl w:val="nil"/>
                  </w:tcBorders>
                  <w:noWrap w:val="0"/>
                  <w:vAlign w:val="center"/>
                </w:tcPr>
                <w:p w14:paraId="7BB286B1">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default"/>
                      <w:color w:val="auto"/>
                      <w:lang w:val="en-US" w:eastAsia="zh-CN"/>
                    </w:rPr>
                    <w:t>1、本项目</w:t>
                  </w:r>
                  <w:r>
                    <w:rPr>
                      <w:rFonts w:hint="eastAsia"/>
                      <w:color w:val="auto"/>
                      <w:lang w:val="en-US" w:eastAsia="zh-CN"/>
                    </w:rPr>
                    <w:t>无使用煤炭项目。</w:t>
                  </w:r>
                  <w:r>
                    <w:rPr>
                      <w:rFonts w:hint="default"/>
                      <w:color w:val="auto"/>
                      <w:lang w:val="en-US" w:eastAsia="zh-CN"/>
                    </w:rPr>
                    <w:t>。</w:t>
                  </w:r>
                </w:p>
                <w:p w14:paraId="04F69F5A">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default"/>
                      <w:color w:val="auto"/>
                      <w:lang w:val="en-US" w:eastAsia="zh-CN"/>
                    </w:rPr>
                    <w:t>2、本项目符合园区发展定位。</w:t>
                  </w:r>
                </w:p>
                <w:p w14:paraId="0FB765A4">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eastAsia"/>
                      <w:color w:val="auto"/>
                      <w:lang w:val="en-US" w:eastAsia="zh-CN"/>
                    </w:rPr>
                    <w:t>3、本项目符合园区产业布局规划及土地利用规划。</w:t>
                  </w:r>
                </w:p>
              </w:tc>
              <w:tc>
                <w:tcPr>
                  <w:tcW w:w="364" w:type="pct"/>
                  <w:tcBorders>
                    <w:tl2br w:val="nil"/>
                    <w:tr2bl w:val="nil"/>
                  </w:tcBorders>
                  <w:noWrap w:val="0"/>
                  <w:vAlign w:val="center"/>
                </w:tcPr>
                <w:p w14:paraId="04B76C29">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lang w:val="en-US" w:eastAsia="zh-CN"/>
                    </w:rPr>
                    <w:t>符合</w:t>
                  </w:r>
                </w:p>
              </w:tc>
            </w:tr>
            <w:tr w14:paraId="6771F8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4520BACD">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p>
              </w:tc>
              <w:tc>
                <w:tcPr>
                  <w:tcW w:w="457" w:type="pct"/>
                  <w:vMerge w:val="continue"/>
                  <w:tcBorders>
                    <w:tl2br w:val="nil"/>
                    <w:tr2bl w:val="nil"/>
                  </w:tcBorders>
                  <w:noWrap w:val="0"/>
                  <w:vAlign w:val="center"/>
                </w:tcPr>
                <w:p w14:paraId="361A1305">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p>
              </w:tc>
              <w:tc>
                <w:tcPr>
                  <w:tcW w:w="496" w:type="pct"/>
                  <w:tcBorders>
                    <w:tl2br w:val="nil"/>
                    <w:tr2bl w:val="nil"/>
                  </w:tcBorders>
                  <w:noWrap w:val="0"/>
                  <w:vAlign w:val="center"/>
                </w:tcPr>
                <w:p w14:paraId="3D6F58F5">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rPr>
                    <w:t>污染物排放管控</w:t>
                  </w:r>
                </w:p>
              </w:tc>
              <w:tc>
                <w:tcPr>
                  <w:tcW w:w="2155" w:type="pct"/>
                  <w:tcBorders>
                    <w:tl2br w:val="nil"/>
                    <w:tr2bl w:val="nil"/>
                  </w:tcBorders>
                  <w:noWrap w:val="0"/>
                  <w:vAlign w:val="center"/>
                </w:tcPr>
                <w:p w14:paraId="2C10432A">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rPr>
                  </w:pPr>
                  <w:r>
                    <w:rPr>
                      <w:rFonts w:hint="eastAsia"/>
                      <w:color w:val="auto"/>
                      <w:lang w:val="en-US" w:eastAsia="zh-CN"/>
                    </w:rPr>
                    <w:t>1</w:t>
                  </w:r>
                  <w:r>
                    <w:rPr>
                      <w:rFonts w:hint="default"/>
                      <w:color w:val="auto"/>
                    </w:rPr>
                    <w:t>、新（改、扩）建项目应执行最严格的大气污染物排放标准。</w:t>
                  </w:r>
                </w:p>
                <w:p w14:paraId="6D5D717F">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eastAsia"/>
                      <w:color w:val="auto"/>
                      <w:lang w:val="en-US" w:eastAsia="zh-CN"/>
                    </w:rPr>
                    <w:t>2</w:t>
                  </w:r>
                  <w:r>
                    <w:rPr>
                      <w:rFonts w:hint="default"/>
                      <w:color w:val="auto"/>
                    </w:rPr>
                    <w:t>、“乌-昌-石”区域内，已实施超低排放的涉气排污单位，其实施超低排放改造的污染因子执行超低排放限值，其他污染因子执行特别排放限值和特别控制要求。</w:t>
                  </w:r>
                </w:p>
              </w:tc>
              <w:tc>
                <w:tcPr>
                  <w:tcW w:w="969" w:type="pct"/>
                  <w:tcBorders>
                    <w:tl2br w:val="nil"/>
                    <w:tr2bl w:val="nil"/>
                  </w:tcBorders>
                  <w:noWrap w:val="0"/>
                  <w:vAlign w:val="center"/>
                </w:tcPr>
                <w:p w14:paraId="59D6BC27">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rPr>
                  </w:pPr>
                  <w:r>
                    <w:rPr>
                      <w:rFonts w:hint="eastAsia"/>
                      <w:color w:val="auto"/>
                      <w:lang w:val="en-US" w:eastAsia="zh-CN"/>
                    </w:rPr>
                    <w:t>1</w:t>
                  </w:r>
                  <w:r>
                    <w:rPr>
                      <w:rFonts w:hint="default"/>
                      <w:color w:val="auto"/>
                      <w:lang w:val="en-US" w:eastAsia="zh-CN"/>
                    </w:rPr>
                    <w:t>、</w:t>
                  </w:r>
                  <w:r>
                    <w:rPr>
                      <w:rFonts w:hint="eastAsia"/>
                      <w:color w:val="auto"/>
                      <w:lang w:val="en-US" w:eastAsia="zh-CN"/>
                    </w:rPr>
                    <w:t>本项目已执行最严格的</w:t>
                  </w:r>
                  <w:r>
                    <w:rPr>
                      <w:rFonts w:hint="default"/>
                      <w:color w:val="auto"/>
                    </w:rPr>
                    <w:t>大气污染物排放标准。</w:t>
                  </w:r>
                </w:p>
                <w:p w14:paraId="0AF58A57">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lang w:val="en-US" w:eastAsia="zh-CN"/>
                    </w:rPr>
                  </w:pPr>
                  <w:r>
                    <w:rPr>
                      <w:rFonts w:hint="eastAsia"/>
                      <w:color w:val="auto"/>
                      <w:lang w:val="en-US" w:eastAsia="zh-CN"/>
                    </w:rPr>
                    <w:t>2、本项目</w:t>
                  </w:r>
                  <w:r>
                    <w:rPr>
                      <w:rFonts w:hint="default"/>
                      <w:color w:val="auto"/>
                    </w:rPr>
                    <w:t>其他污染因子</w:t>
                  </w:r>
                  <w:r>
                    <w:rPr>
                      <w:rFonts w:hint="eastAsia"/>
                      <w:color w:val="auto"/>
                      <w:lang w:val="en-US" w:eastAsia="zh-CN"/>
                    </w:rPr>
                    <w:t>已</w:t>
                  </w:r>
                  <w:r>
                    <w:rPr>
                      <w:rFonts w:hint="default"/>
                      <w:color w:val="auto"/>
                    </w:rPr>
                    <w:t>执行特别排放限值和特别控制要求。</w:t>
                  </w:r>
                </w:p>
              </w:tc>
              <w:tc>
                <w:tcPr>
                  <w:tcW w:w="364" w:type="pct"/>
                  <w:tcBorders>
                    <w:tl2br w:val="nil"/>
                    <w:tr2bl w:val="nil"/>
                  </w:tcBorders>
                  <w:noWrap w:val="0"/>
                  <w:vAlign w:val="center"/>
                </w:tcPr>
                <w:p w14:paraId="6FA51E93">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符合</w:t>
                  </w:r>
                </w:p>
              </w:tc>
            </w:tr>
            <w:tr w14:paraId="4835ED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38864BE1">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p>
              </w:tc>
              <w:tc>
                <w:tcPr>
                  <w:tcW w:w="457" w:type="pct"/>
                  <w:vMerge w:val="continue"/>
                  <w:tcBorders>
                    <w:tl2br w:val="nil"/>
                    <w:tr2bl w:val="nil"/>
                  </w:tcBorders>
                  <w:noWrap w:val="0"/>
                  <w:vAlign w:val="center"/>
                </w:tcPr>
                <w:p w14:paraId="0F655683">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p>
              </w:tc>
              <w:tc>
                <w:tcPr>
                  <w:tcW w:w="496" w:type="pct"/>
                  <w:tcBorders>
                    <w:tl2br w:val="nil"/>
                    <w:tr2bl w:val="nil"/>
                  </w:tcBorders>
                  <w:noWrap w:val="0"/>
                  <w:vAlign w:val="center"/>
                </w:tcPr>
                <w:p w14:paraId="0D4B63B3">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rPr>
                    <w:t>环境风险防控</w:t>
                  </w:r>
                </w:p>
              </w:tc>
              <w:tc>
                <w:tcPr>
                  <w:tcW w:w="2155" w:type="pct"/>
                  <w:tcBorders>
                    <w:tl2br w:val="nil"/>
                    <w:tr2bl w:val="nil"/>
                  </w:tcBorders>
                  <w:noWrap w:val="0"/>
                  <w:vAlign w:val="center"/>
                </w:tcPr>
                <w:p w14:paraId="637B0D16">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default"/>
                      <w:color w:val="auto"/>
                    </w:rPr>
                    <w:t>1、园区应设立环境应急管理机构，建立环境风险监管制度、环境风险预警制度、突发环境事件应急预案、环境风险应急保障制度等环境风险防控体系，并具备环境风险应急救援能力。</w:t>
                  </w:r>
                </w:p>
              </w:tc>
              <w:tc>
                <w:tcPr>
                  <w:tcW w:w="969" w:type="pct"/>
                  <w:tcBorders>
                    <w:tl2br w:val="nil"/>
                    <w:tr2bl w:val="nil"/>
                  </w:tcBorders>
                  <w:noWrap w:val="0"/>
                  <w:vAlign w:val="center"/>
                </w:tcPr>
                <w:p w14:paraId="08A4A67E">
                  <w:pPr>
                    <w:pStyle w:val="41"/>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lang w:val="en-US" w:eastAsia="zh-CN"/>
                    </w:rPr>
                  </w:pPr>
                  <w:r>
                    <w:rPr>
                      <w:rFonts w:hint="default"/>
                      <w:color w:val="auto"/>
                      <w:lang w:val="en-US" w:eastAsia="zh-CN"/>
                    </w:rPr>
                    <w:t>本项目</w:t>
                  </w:r>
                  <w:r>
                    <w:rPr>
                      <w:rFonts w:hint="eastAsia"/>
                      <w:color w:val="auto"/>
                      <w:lang w:val="en-US" w:eastAsia="zh-CN"/>
                    </w:rPr>
                    <w:t>已建立</w:t>
                  </w:r>
                  <w:r>
                    <w:rPr>
                      <w:rFonts w:hint="default"/>
                      <w:color w:val="auto"/>
                    </w:rPr>
                    <w:t>环境风险监管制度、环境风险预警制度</w:t>
                  </w:r>
                  <w:r>
                    <w:rPr>
                      <w:rFonts w:hint="eastAsia"/>
                      <w:color w:val="auto"/>
                      <w:lang w:eastAsia="zh-CN"/>
                    </w:rPr>
                    <w:t>，</w:t>
                  </w:r>
                  <w:r>
                    <w:rPr>
                      <w:rFonts w:hint="default"/>
                      <w:color w:val="auto"/>
                    </w:rPr>
                    <w:t>并具备环境风险应急救援能力。</w:t>
                  </w:r>
                </w:p>
              </w:tc>
              <w:tc>
                <w:tcPr>
                  <w:tcW w:w="364" w:type="pct"/>
                  <w:tcBorders>
                    <w:tl2br w:val="nil"/>
                    <w:tr2bl w:val="nil"/>
                  </w:tcBorders>
                  <w:noWrap w:val="0"/>
                  <w:vAlign w:val="center"/>
                </w:tcPr>
                <w:p w14:paraId="4EAFB000">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符合</w:t>
                  </w:r>
                </w:p>
              </w:tc>
            </w:tr>
            <w:tr w14:paraId="7FDBF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298922B6">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p>
              </w:tc>
              <w:tc>
                <w:tcPr>
                  <w:tcW w:w="457" w:type="pct"/>
                  <w:vMerge w:val="continue"/>
                  <w:tcBorders>
                    <w:tl2br w:val="nil"/>
                    <w:tr2bl w:val="nil"/>
                  </w:tcBorders>
                  <w:noWrap w:val="0"/>
                  <w:vAlign w:val="center"/>
                </w:tcPr>
                <w:p w14:paraId="4B714C0E">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p>
              </w:tc>
              <w:tc>
                <w:tcPr>
                  <w:tcW w:w="496" w:type="pct"/>
                  <w:tcBorders>
                    <w:tl2br w:val="nil"/>
                    <w:tr2bl w:val="nil"/>
                  </w:tcBorders>
                  <w:noWrap w:val="0"/>
                  <w:vAlign w:val="center"/>
                </w:tcPr>
                <w:p w14:paraId="48CBC0D4">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color w:val="auto"/>
                    </w:rPr>
                    <w:t>资源利用效率</w:t>
                  </w:r>
                </w:p>
              </w:tc>
              <w:tc>
                <w:tcPr>
                  <w:tcW w:w="2155" w:type="pct"/>
                  <w:tcBorders>
                    <w:tl2br w:val="nil"/>
                    <w:tr2bl w:val="nil"/>
                  </w:tcBorders>
                  <w:noWrap w:val="0"/>
                  <w:vAlign w:val="center"/>
                </w:tcPr>
                <w:p w14:paraId="2998B5E0">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rPr>
                  </w:pPr>
                  <w:r>
                    <w:rPr>
                      <w:rFonts w:hint="default"/>
                      <w:color w:val="auto"/>
                    </w:rPr>
                    <w:t>1、鼓励使用清洁燃料，重点区域建设项目原则上不新建燃煤自备锅炉。</w:t>
                  </w:r>
                </w:p>
                <w:p w14:paraId="56B1B9CF">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rPr>
                  </w:pPr>
                  <w:r>
                    <w:rPr>
                      <w:rFonts w:hint="default"/>
                      <w:color w:val="auto"/>
                    </w:rPr>
                    <w:t>2、严守水资源开发利用控制、用水效率控制和水功能区限制纳污“三条红线”，严格实行区域用水总量和强度控制，强化用水定额管理。</w:t>
                  </w:r>
                </w:p>
                <w:p w14:paraId="0CC58082">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default"/>
                      <w:color w:val="auto"/>
                    </w:rPr>
                    <w:t>3、推行清洁生产、降低生产水耗、从源头上控制污染物的产生。</w:t>
                  </w:r>
                </w:p>
              </w:tc>
              <w:tc>
                <w:tcPr>
                  <w:tcW w:w="969" w:type="pct"/>
                  <w:tcBorders>
                    <w:tl2br w:val="nil"/>
                    <w:tr2bl w:val="nil"/>
                  </w:tcBorders>
                  <w:noWrap w:val="0"/>
                  <w:vAlign w:val="center"/>
                </w:tcPr>
                <w:p w14:paraId="0943D40B">
                  <w:pPr>
                    <w:pStyle w:val="41"/>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lang w:val="en-US" w:eastAsia="zh-CN"/>
                    </w:rPr>
                  </w:pPr>
                  <w:r>
                    <w:rPr>
                      <w:rFonts w:hint="eastAsia"/>
                      <w:color w:val="auto"/>
                      <w:lang w:val="en-US" w:eastAsia="zh-CN"/>
                    </w:rPr>
                    <w:t>1、本项目不使用燃料。</w:t>
                  </w:r>
                </w:p>
                <w:p w14:paraId="2B2F358F">
                  <w:pPr>
                    <w:pStyle w:val="41"/>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lang w:val="en-US" w:eastAsia="zh-CN"/>
                    </w:rPr>
                  </w:pPr>
                  <w:r>
                    <w:rPr>
                      <w:rFonts w:hint="eastAsia"/>
                      <w:color w:val="auto"/>
                      <w:lang w:val="en-US" w:eastAsia="zh-CN"/>
                    </w:rPr>
                    <w:t>2、本项目用水已严格控制，与园区用水总量和强度控制相符。</w:t>
                  </w:r>
                </w:p>
                <w:p w14:paraId="6C740A4A">
                  <w:pPr>
                    <w:pStyle w:val="41"/>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lang w:val="en-US" w:eastAsia="zh-CN"/>
                    </w:rPr>
                  </w:pPr>
                  <w:r>
                    <w:rPr>
                      <w:rFonts w:hint="eastAsia"/>
                      <w:color w:val="auto"/>
                      <w:lang w:val="en-US" w:eastAsia="zh-CN"/>
                    </w:rPr>
                    <w:t>3、本项目已实行清洁生产，已严格控制生产水耗，污染物的产生符合相关要求。</w:t>
                  </w:r>
                </w:p>
              </w:tc>
              <w:tc>
                <w:tcPr>
                  <w:tcW w:w="364" w:type="pct"/>
                  <w:tcBorders>
                    <w:tl2br w:val="nil"/>
                    <w:tr2bl w:val="nil"/>
                  </w:tcBorders>
                  <w:noWrap w:val="0"/>
                  <w:vAlign w:val="center"/>
                </w:tcPr>
                <w:p w14:paraId="40F49597">
                  <w:pPr>
                    <w:pStyle w:val="41"/>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lang w:val="en-US" w:eastAsia="zh-CN"/>
                    </w:rPr>
                  </w:pPr>
                  <w:r>
                    <w:rPr>
                      <w:rFonts w:hint="eastAsia"/>
                      <w:color w:val="auto"/>
                      <w:lang w:val="en-US" w:eastAsia="zh-CN"/>
                    </w:rPr>
                    <w:t>符合</w:t>
                  </w:r>
                </w:p>
              </w:tc>
            </w:tr>
          </w:tbl>
          <w:p w14:paraId="573D52A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olor w:val="auto"/>
                <w:sz w:val="24"/>
                <w:szCs w:val="24"/>
                <w:lang w:val="en-US" w:eastAsia="zh-CN"/>
              </w:rPr>
            </w:pPr>
            <w:r>
              <w:rPr>
                <w:rFonts w:hint="eastAsia"/>
                <w:b w:val="0"/>
                <w:bCs w:val="0"/>
                <w:color w:val="auto"/>
                <w:sz w:val="24"/>
                <w:szCs w:val="24"/>
                <w:lang w:val="en-US" w:eastAsia="zh-CN"/>
              </w:rPr>
              <w:t>综上所述，本项目符合</w:t>
            </w:r>
            <w:r>
              <w:rPr>
                <w:rFonts w:hint="eastAsia" w:ascii="宋体" w:hAnsi="宋体" w:eastAsia="宋体" w:cs="宋体"/>
                <w:b w:val="0"/>
                <w:bCs w:val="0"/>
                <w:color w:val="auto"/>
                <w:kern w:val="0"/>
                <w:sz w:val="24"/>
                <w:szCs w:val="24"/>
                <w:lang w:val="en-US" w:eastAsia="zh-CN"/>
              </w:rPr>
              <w:t>《</w:t>
            </w:r>
            <w:r>
              <w:rPr>
                <w:rFonts w:hint="eastAsia" w:ascii="Times New Roman" w:hAnsi="Times New Roman" w:eastAsia="宋体" w:cs="Times New Roman"/>
                <w:color w:val="auto"/>
                <w:sz w:val="24"/>
                <w:szCs w:val="24"/>
                <w:lang w:val="en-US" w:eastAsia="zh-CN"/>
              </w:rPr>
              <w:t>昌吉回族自治州“三线一单”生态环境分区管控方案》</w:t>
            </w:r>
            <w:r>
              <w:rPr>
                <w:rFonts w:hint="eastAsia"/>
                <w:color w:val="auto"/>
                <w:sz w:val="24"/>
                <w:szCs w:val="24"/>
                <w:lang w:val="en-US" w:eastAsia="zh-CN"/>
              </w:rPr>
              <w:t>相关要求.</w:t>
            </w:r>
          </w:p>
          <w:p w14:paraId="58B33A37">
            <w:pPr>
              <w:pStyle w:val="7"/>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宋体"/>
                <w:b/>
                <w:bCs/>
                <w:kern w:val="2"/>
                <w:sz w:val="24"/>
                <w:szCs w:val="24"/>
                <w:lang w:val="en-US" w:eastAsia="zh-CN" w:bidi="ar-SA"/>
              </w:rPr>
              <w:t>《关于进一步加强乌鲁木齐、昌吉、石河子、五家渠区域大气同防同治的意见》(新政办发[2023]29号)</w:t>
            </w:r>
            <w:r>
              <w:rPr>
                <w:rFonts w:hint="default" w:ascii="Times New Roman" w:hAnsi="Times New Roman" w:eastAsia="宋体" w:cs="Times New Roman"/>
                <w:b/>
                <w:bCs/>
                <w:color w:val="auto"/>
                <w:sz w:val="24"/>
                <w:szCs w:val="24"/>
              </w:rPr>
              <w:t>的符合性分析</w:t>
            </w:r>
          </w:p>
          <w:p w14:paraId="399F0D40">
            <w:pPr>
              <w:pStyle w:val="18"/>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关于进一步加强乌鲁木齐、昌吉、石河子、五家渠区域大气同防同治的意见》(新政办发[2023]29号)规定：严格执行国家产业、环境准入政策，防范过剩和落后产能跨地区转移。全面开展战略环评和行业、园区规划环评，将其作为项目环评审批的重要依据。重点区域内不再布局建设煤化工、电解铝、燃煤纯发电机组、金属硅、碳化硅、聚氯乙烯(电石法)、焦炭(含半焦)等行业的新增产能项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认真落实《重点区域大气污染物排放特别限值的公告》(环保厅2016第45号)的要求</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钢铁、石化、火电、水泥等行业和燃煤锅炉严格执行重点行业污染物特别排放限值要求。加大扬尘治理力度。严格落实建筑施工、道路、车辆运输、堆场等扬尘源点污染控制要求，扩大绿地和地面铺装硬化面积。</w:t>
            </w:r>
          </w:p>
          <w:p w14:paraId="416A2F67">
            <w:pPr>
              <w:pStyle w:val="18"/>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本项目属于乌</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昌</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石同防同治区域图中的重点控制区，项目</w:t>
            </w:r>
            <w:r>
              <w:rPr>
                <w:rFonts w:hint="eastAsia" w:cs="Times New Roman"/>
                <w:color w:val="auto"/>
                <w:sz w:val="24"/>
                <w:szCs w:val="24"/>
                <w:lang w:val="en-US" w:eastAsia="zh-CN"/>
              </w:rPr>
              <w:t>不属于</w:t>
            </w:r>
            <w:r>
              <w:rPr>
                <w:rFonts w:hint="default" w:ascii="Times New Roman" w:hAnsi="Times New Roman" w:eastAsia="宋体" w:cs="Times New Roman"/>
                <w:color w:val="auto"/>
                <w:sz w:val="24"/>
                <w:szCs w:val="24"/>
                <w:lang w:val="en-US" w:eastAsia="zh-CN"/>
              </w:rPr>
              <w:t>煤化工、电解铝、燃煤纯发电机组、金属硅、碳化硅、聚氯乙烯(电石法)、焦炭(含半焦)等行业</w:t>
            </w:r>
            <w:r>
              <w:rPr>
                <w:rFonts w:hint="eastAsia" w:ascii="Times New Roman" w:hAnsi="Times New Roman" w:eastAsia="宋体" w:cs="Times New Roman"/>
                <w:color w:val="auto"/>
                <w:sz w:val="24"/>
                <w:szCs w:val="24"/>
                <w:lang w:val="en-US" w:eastAsia="zh-CN"/>
              </w:rPr>
              <w:t>。不</w:t>
            </w:r>
            <w:r>
              <w:rPr>
                <w:rFonts w:hint="eastAsia" w:cs="Times New Roman"/>
                <w:color w:val="auto"/>
                <w:sz w:val="24"/>
                <w:szCs w:val="24"/>
                <w:lang w:val="en-US" w:eastAsia="zh-CN"/>
              </w:rPr>
              <w:t>产生有机废气</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项目已执行污染物特别排放限值要求，颗粒物经除尘器处理后经15m高排气筒达标排放，满足《水泥工业大气污染物排放标准》（GB4915-2013）中特别排放限值标准。项目所在厂房周边道路已由园区进行硬化处理，车辆运输只会产生少量扬尘，对周围环境不造成影响。符合《关于进一步加强乌鲁木齐、昌吉、石河子、五家渠区域大气同防同治的意见》(新政办发[2023]29号)的相关要求。</w:t>
            </w:r>
          </w:p>
          <w:p w14:paraId="536CDF5B">
            <w:pPr>
              <w:pStyle w:val="7"/>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5.与《新疆维吾尔自治区</w:t>
            </w:r>
            <w:r>
              <w:rPr>
                <w:rFonts w:hint="default" w:ascii="Times New Roman" w:hAnsi="Times New Roman" w:eastAsia="宋体" w:cs="Times New Roman"/>
                <w:b/>
                <w:bCs/>
                <w:color w:val="auto"/>
                <w:sz w:val="24"/>
                <w:szCs w:val="24"/>
                <w:lang w:val="en-US" w:eastAsia="zh-CN"/>
              </w:rPr>
              <w:fldChar w:fldCharType="begin"/>
            </w:r>
            <w:r>
              <w:rPr>
                <w:rFonts w:hint="default" w:ascii="Times New Roman" w:hAnsi="Times New Roman" w:eastAsia="宋体" w:cs="Times New Roman"/>
                <w:b/>
                <w:bCs/>
                <w:color w:val="auto"/>
                <w:sz w:val="24"/>
                <w:szCs w:val="24"/>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b/>
                <w:bCs/>
                <w:color w:val="auto"/>
                <w:sz w:val="24"/>
                <w:szCs w:val="24"/>
                <w:lang w:val="en-US" w:eastAsia="zh-CN"/>
              </w:rPr>
              <w:fldChar w:fldCharType="separate"/>
            </w:r>
            <w:r>
              <w:rPr>
                <w:rFonts w:hint="default" w:ascii="Times New Roman" w:hAnsi="Times New Roman" w:eastAsia="宋体" w:cs="Times New Roman"/>
                <w:b/>
                <w:bCs/>
                <w:color w:val="auto"/>
                <w:sz w:val="24"/>
                <w:szCs w:val="24"/>
                <w:lang w:val="en-US" w:eastAsia="zh-CN"/>
              </w:rPr>
              <w:t>大气污染防治</w:t>
            </w:r>
            <w:r>
              <w:rPr>
                <w:rFonts w:hint="default" w:ascii="Times New Roman" w:hAnsi="Times New Roman" w:eastAsia="宋体" w:cs="Times New Roman"/>
                <w:b/>
                <w:bCs/>
                <w:color w:val="auto"/>
                <w:sz w:val="24"/>
                <w:szCs w:val="24"/>
                <w:lang w:val="en-US" w:eastAsia="zh-CN"/>
              </w:rPr>
              <w:fldChar w:fldCharType="end"/>
            </w:r>
            <w:r>
              <w:rPr>
                <w:rFonts w:hint="default" w:ascii="Times New Roman" w:hAnsi="Times New Roman" w:eastAsia="宋体" w:cs="Times New Roman"/>
                <w:b/>
                <w:bCs/>
                <w:color w:val="auto"/>
                <w:sz w:val="24"/>
                <w:szCs w:val="24"/>
                <w:lang w:val="en-US" w:eastAsia="zh-CN"/>
              </w:rPr>
              <w:t>条例》符合性分析</w:t>
            </w:r>
          </w:p>
          <w:p w14:paraId="300D7628">
            <w:pPr>
              <w:pStyle w:val="18"/>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新疆维吾尔自治区</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大气污染防治</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条例第三十</w:t>
            </w:r>
            <w:r>
              <w:rPr>
                <w:rFonts w:hint="eastAsia" w:cs="Times New Roman"/>
                <w:color w:val="auto"/>
                <w:sz w:val="24"/>
                <w:szCs w:val="24"/>
                <w:lang w:val="en-US" w:eastAsia="zh-CN"/>
              </w:rPr>
              <w:t>七</w:t>
            </w:r>
            <w:r>
              <w:rPr>
                <w:rFonts w:hint="default" w:ascii="Times New Roman" w:hAnsi="Times New Roman" w:eastAsia="宋体" w:cs="Times New Roman"/>
                <w:color w:val="auto"/>
                <w:sz w:val="24"/>
                <w:szCs w:val="24"/>
                <w:lang w:val="en-US" w:eastAsia="zh-CN"/>
              </w:rPr>
              <w:t>条提出：</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各级人民政府应当加强对建设施工、矿产资源开采、物料运输的扬尘和沙尘污染的治理，保持道路清洁、控制料堆和渣土堆放，科学合理扩大绿地、水面、湿地、地面铺装和防风固沙绿化面积，防治扬尘污染。</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第</w:t>
            </w:r>
            <w:r>
              <w:rPr>
                <w:rFonts w:hint="eastAsia" w:ascii="Times New Roman" w:hAnsi="Times New Roman" w:eastAsia="宋体" w:cs="Times New Roman"/>
                <w:color w:val="auto"/>
                <w:sz w:val="24"/>
                <w:szCs w:val="24"/>
                <w:lang w:val="en-US" w:eastAsia="zh-CN"/>
              </w:rPr>
              <w:t>四十三</w:t>
            </w:r>
            <w:r>
              <w:rPr>
                <w:rFonts w:hint="default" w:ascii="Times New Roman" w:hAnsi="Times New Roman" w:eastAsia="宋体" w:cs="Times New Roman"/>
                <w:color w:val="auto"/>
                <w:sz w:val="24"/>
                <w:szCs w:val="24"/>
                <w:lang w:val="en-US" w:eastAsia="zh-CN"/>
              </w:rPr>
              <w:t>条提出：</w:t>
            </w:r>
            <w:r>
              <w:rPr>
                <w:rFonts w:hint="eastAsia" w:cs="Times New Roman"/>
                <w:color w:val="auto"/>
                <w:sz w:val="24"/>
                <w:szCs w:val="24"/>
                <w:lang w:val="en-US" w:eastAsia="zh-CN"/>
              </w:rPr>
              <w:t>“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p w14:paraId="3F49B949">
            <w:pPr>
              <w:pStyle w:val="18"/>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厂区路面已硬化</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物料运输只会产生极少量扬尘；水泥筒仓全封闭，且筒仓呼吸废气经布袋除尘器处理后达标排放，</w:t>
            </w:r>
            <w:r>
              <w:rPr>
                <w:rFonts w:hint="default" w:ascii="Times New Roman" w:hAnsi="Times New Roman" w:eastAsia="宋体" w:cs="Times New Roman"/>
                <w:color w:val="auto"/>
                <w:sz w:val="24"/>
                <w:szCs w:val="24"/>
                <w:lang w:val="en-US" w:eastAsia="zh-CN"/>
              </w:rPr>
              <w:t>符合新疆维吾尔自治区</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大气污染防治</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条例管理要求。</w:t>
            </w:r>
          </w:p>
          <w:p w14:paraId="5D442917">
            <w:pPr>
              <w:pStyle w:val="7"/>
              <w:pageBreakBefore w:val="0"/>
              <w:numPr>
                <w:ilvl w:val="0"/>
                <w:numId w:val="0"/>
              </w:numPr>
              <w:kinsoku/>
              <w:wordWrap/>
              <w:overflowPunct/>
              <w:topLinePunct w:val="0"/>
              <w:autoSpaceDE/>
              <w:autoSpaceDN/>
              <w:bidi w:val="0"/>
              <w:adjustRightInd/>
              <w:snapToGrid/>
              <w:spacing w:beforeLines="0" w:afterLines="0" w:line="360" w:lineRule="auto"/>
              <w:ind w:leftChars="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6</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《新疆维吾尔自治区生态环境保护“十四五”规划》符合性分析</w:t>
            </w:r>
          </w:p>
          <w:p w14:paraId="521CF7F8">
            <w:pPr>
              <w:autoSpaceDE w:val="0"/>
              <w:autoSpaceDN w:val="0"/>
              <w:adjustRightInd w:val="0"/>
              <w:snapToGrid w:val="0"/>
              <w:spacing w:line="360" w:lineRule="auto"/>
              <w:ind w:firstLine="480" w:firstLineChars="200"/>
              <w:rPr>
                <w:color w:val="auto"/>
                <w:kern w:val="0"/>
                <w:sz w:val="24"/>
              </w:rPr>
            </w:pPr>
            <w:r>
              <w:rPr>
                <w:color w:val="auto"/>
                <w:kern w:val="0"/>
                <w:sz w:val="24"/>
              </w:rPr>
              <w:t>《新疆</w:t>
            </w:r>
            <w:r>
              <w:rPr>
                <w:rFonts w:hint="eastAsia"/>
                <w:color w:val="auto"/>
                <w:kern w:val="0"/>
                <w:sz w:val="24"/>
                <w:lang w:val="en-US" w:eastAsia="zh-CN"/>
              </w:rPr>
              <w:t>维吾尔自治区</w:t>
            </w:r>
            <w:r>
              <w:rPr>
                <w:color w:val="auto"/>
                <w:kern w:val="0"/>
                <w:sz w:val="24"/>
              </w:rPr>
              <w:t>生态环境保护“十四五”规划》指出：“实施最严格的生态保护制度。坚决遏制“两高”项目盲目发展，严格执行能源、矿产资源开发自治区人民政府</w:t>
            </w:r>
            <w:r>
              <w:rPr>
                <w:rFonts w:hint="eastAsia"/>
                <w:color w:val="auto"/>
                <w:kern w:val="0"/>
                <w:sz w:val="24"/>
                <w:lang w:eastAsia="zh-CN"/>
              </w:rPr>
              <w:t>“</w:t>
            </w:r>
            <w:r>
              <w:rPr>
                <w:color w:val="auto"/>
                <w:kern w:val="0"/>
                <w:sz w:val="24"/>
              </w:rPr>
              <w:t>一支笔</w:t>
            </w:r>
            <w:r>
              <w:rPr>
                <w:rFonts w:hint="eastAsia"/>
                <w:color w:val="auto"/>
                <w:kern w:val="0"/>
                <w:sz w:val="24"/>
                <w:lang w:eastAsia="zh-CN"/>
              </w:rPr>
              <w:t>”</w:t>
            </w:r>
            <w:r>
              <w:rPr>
                <w:color w:val="auto"/>
                <w:kern w:val="0"/>
                <w:sz w:val="24"/>
              </w:rPr>
              <w:t>审批制度、环境保护</w:t>
            </w:r>
            <w:r>
              <w:rPr>
                <w:rFonts w:hint="eastAsia"/>
                <w:color w:val="auto"/>
                <w:kern w:val="0"/>
                <w:sz w:val="24"/>
                <w:lang w:eastAsia="zh-CN"/>
              </w:rPr>
              <w:t>“</w:t>
            </w:r>
            <w:r>
              <w:rPr>
                <w:color w:val="auto"/>
                <w:kern w:val="0"/>
                <w:sz w:val="24"/>
              </w:rPr>
              <w:t>一票否决</w:t>
            </w:r>
            <w:r>
              <w:rPr>
                <w:rFonts w:hint="eastAsia"/>
                <w:color w:val="auto"/>
                <w:kern w:val="0"/>
                <w:sz w:val="24"/>
                <w:lang w:eastAsia="zh-CN"/>
              </w:rPr>
              <w:t>”</w:t>
            </w:r>
            <w:r>
              <w:rPr>
                <w:color w:val="auto"/>
                <w:kern w:val="0"/>
                <w:sz w:val="24"/>
              </w:rPr>
              <w:t>制度，落实“三线一单”生态环境分区管控要求，守住生态保护红线、环境质量底线和资源利用上线，实施生态环境准入清单管控。”</w:t>
            </w:r>
          </w:p>
          <w:p w14:paraId="6F6DD866">
            <w:pPr>
              <w:autoSpaceDE w:val="0"/>
              <w:autoSpaceDN w:val="0"/>
              <w:adjustRightInd w:val="0"/>
              <w:snapToGrid w:val="0"/>
              <w:spacing w:line="360" w:lineRule="auto"/>
              <w:ind w:firstLine="480" w:firstLineChars="200"/>
              <w:rPr>
                <w:color w:val="auto"/>
                <w:kern w:val="0"/>
                <w:sz w:val="24"/>
              </w:rPr>
            </w:pPr>
            <w:r>
              <w:rPr>
                <w:color w:val="auto"/>
                <w:kern w:val="0"/>
                <w:sz w:val="24"/>
              </w:rPr>
              <w:t>“强化区域大气污染联防联控，合理确定产业布局，推动区域内统一产业准入和排放标准。实施钢铁、水泥、焦化等行业季节性生产调控措施，推进散煤整治、挥发性有机污染物综合治理</w:t>
            </w:r>
            <w:r>
              <w:rPr>
                <w:rFonts w:hint="eastAsia"/>
                <w:color w:val="auto"/>
                <w:kern w:val="0"/>
                <w:sz w:val="24"/>
                <w:lang w:eastAsia="zh-CN"/>
              </w:rPr>
              <w:t>，</w:t>
            </w:r>
            <w:r>
              <w:rPr>
                <w:color w:val="auto"/>
                <w:kern w:val="0"/>
                <w:sz w:val="24"/>
              </w:rPr>
              <w:t>钢铁、水泥、焦化和燃煤工业锅炉行业超低排放改造、燃气锅炉低氮燃烧改造、工业园区内轨道运输</w:t>
            </w:r>
            <w:r>
              <w:rPr>
                <w:rFonts w:hint="eastAsia"/>
                <w:color w:val="auto"/>
                <w:kern w:val="0"/>
                <w:sz w:val="24"/>
                <w:lang w:eastAsia="zh-CN"/>
              </w:rPr>
              <w:t>（</w:t>
            </w:r>
            <w:r>
              <w:rPr>
                <w:color w:val="auto"/>
                <w:kern w:val="0"/>
                <w:sz w:val="24"/>
              </w:rPr>
              <w:t>大宗货物“公转铁”</w:t>
            </w:r>
            <w:r>
              <w:rPr>
                <w:rFonts w:hint="eastAsia"/>
                <w:color w:val="auto"/>
                <w:kern w:val="0"/>
                <w:sz w:val="24"/>
                <w:lang w:eastAsia="zh-CN"/>
              </w:rPr>
              <w:t>）</w:t>
            </w:r>
            <w:r>
              <w:rPr>
                <w:color w:val="auto"/>
                <w:kern w:val="0"/>
                <w:sz w:val="24"/>
              </w:rPr>
              <w:t>、柴油货车治理、锅炉炉窑综合治理等工程项目。全面推行绿色施工，持续推动城市建成区重污染企业搬迁或关闭退出。”</w:t>
            </w:r>
          </w:p>
          <w:p w14:paraId="0FBD876E">
            <w:pPr>
              <w:autoSpaceDE w:val="0"/>
              <w:autoSpaceDN w:val="0"/>
              <w:adjustRightInd w:val="0"/>
              <w:snapToGrid w:val="0"/>
              <w:spacing w:line="360" w:lineRule="auto"/>
              <w:ind w:firstLine="480" w:firstLineChars="200"/>
              <w:rPr>
                <w:color w:val="auto"/>
                <w:kern w:val="0"/>
                <w:sz w:val="24"/>
              </w:rPr>
            </w:pPr>
            <w:r>
              <w:rPr>
                <w:color w:val="auto"/>
                <w:kern w:val="0"/>
                <w:sz w:val="24"/>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p w14:paraId="21EA535D">
            <w:pPr>
              <w:autoSpaceDE w:val="0"/>
              <w:autoSpaceDN w:val="0"/>
              <w:adjustRightInd w:val="0"/>
              <w:snapToGrid w:val="0"/>
              <w:spacing w:line="360" w:lineRule="auto"/>
              <w:ind w:firstLine="480" w:firstLineChars="200"/>
              <w:rPr>
                <w:color w:val="auto"/>
                <w:kern w:val="0"/>
                <w:sz w:val="24"/>
                <w:highlight w:val="none"/>
              </w:rPr>
            </w:pPr>
            <w:r>
              <w:rPr>
                <w:rFonts w:hint="default" w:ascii="Times New Roman" w:hAnsi="Times New Roman" w:eastAsia="宋体" w:cs="Times New Roman"/>
                <w:color w:val="auto"/>
                <w:sz w:val="24"/>
                <w:szCs w:val="24"/>
              </w:rPr>
              <w:t>本项目属于非金属矿物制品制造</w:t>
            </w:r>
            <w:r>
              <w:rPr>
                <w:color w:val="auto"/>
                <w:kern w:val="0"/>
                <w:sz w:val="24"/>
                <w:highlight w:val="none"/>
              </w:rPr>
              <w:t>，不属于“两高”项目。本项目位于</w:t>
            </w:r>
            <w:r>
              <w:rPr>
                <w:rFonts w:hint="eastAsia" w:ascii="Times New Roman" w:hAnsi="Times New Roman" w:cs="Times New Roman"/>
                <w:color w:val="auto"/>
                <w:sz w:val="24"/>
                <w:szCs w:val="24"/>
                <w:lang w:eastAsia="zh-CN"/>
              </w:rPr>
              <w:t>阜康产业园阜西苏通小微创业园</w:t>
            </w:r>
            <w:r>
              <w:rPr>
                <w:rFonts w:hint="default" w:ascii="Times New Roman" w:hAnsi="Times New Roman" w:eastAsia="宋体" w:cs="Times New Roman"/>
                <w:color w:val="auto"/>
                <w:sz w:val="24"/>
                <w:szCs w:val="24"/>
              </w:rPr>
              <w:t>区域内</w:t>
            </w:r>
            <w:r>
              <w:rPr>
                <w:color w:val="auto"/>
                <w:kern w:val="0"/>
                <w:sz w:val="24"/>
                <w:highlight w:val="none"/>
              </w:rPr>
              <w:t>，</w:t>
            </w:r>
            <w:r>
              <w:rPr>
                <w:rFonts w:hint="eastAsia"/>
                <w:color w:val="auto"/>
                <w:kern w:val="0"/>
                <w:sz w:val="24"/>
                <w:highlight w:val="none"/>
                <w:lang w:val="en-US" w:eastAsia="zh-CN"/>
              </w:rPr>
              <w:t>不涉及新疆的生态保护红线和昌吉州的生态保护红线</w:t>
            </w:r>
            <w:r>
              <w:rPr>
                <w:color w:val="auto"/>
                <w:kern w:val="0"/>
                <w:sz w:val="24"/>
                <w:highlight w:val="none"/>
              </w:rPr>
              <w:t>，</w:t>
            </w:r>
            <w:r>
              <w:rPr>
                <w:rFonts w:hint="eastAsia"/>
                <w:color w:val="auto"/>
                <w:kern w:val="0"/>
                <w:sz w:val="24"/>
                <w:highlight w:val="none"/>
                <w:lang w:val="en-US" w:eastAsia="zh-CN"/>
              </w:rPr>
              <w:t>符合</w:t>
            </w:r>
            <w:r>
              <w:rPr>
                <w:color w:val="auto"/>
                <w:kern w:val="0"/>
                <w:sz w:val="24"/>
                <w:highlight w:val="none"/>
              </w:rPr>
              <w:t>“三线一单”生态环境分区管控要求。</w:t>
            </w:r>
          </w:p>
          <w:p w14:paraId="50D4B45C">
            <w:pPr>
              <w:pStyle w:val="7"/>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bCs/>
                <w:color w:val="auto"/>
                <w:sz w:val="24"/>
                <w:szCs w:val="24"/>
                <w:lang w:val="en-US" w:eastAsia="zh-CN"/>
              </w:rPr>
            </w:pPr>
            <w:r>
              <w:rPr>
                <w:rFonts w:ascii="Times New Roman" w:hAnsi="Times New Roman" w:eastAsia="宋体" w:cs="Times New Roman"/>
                <w:color w:val="auto"/>
                <w:kern w:val="0"/>
                <w:sz w:val="24"/>
              </w:rPr>
              <w:t>本</w:t>
            </w:r>
            <w:r>
              <w:rPr>
                <w:color w:val="auto"/>
                <w:kern w:val="0"/>
                <w:sz w:val="24"/>
                <w:highlight w:val="none"/>
              </w:rPr>
              <w:t>项目</w:t>
            </w:r>
            <w:r>
              <w:rPr>
                <w:rFonts w:ascii="Times New Roman" w:hAnsi="Times New Roman" w:eastAsia="宋体" w:cs="Times New Roman"/>
                <w:color w:val="auto"/>
                <w:kern w:val="0"/>
                <w:sz w:val="24"/>
                <w:highlight w:val="none"/>
              </w:rPr>
              <w:t>生产产生的废气污染物</w:t>
            </w:r>
            <w:r>
              <w:rPr>
                <w:rFonts w:hint="eastAsia" w:ascii="Times New Roman" w:hAnsi="Times New Roman" w:eastAsia="宋体" w:cs="Times New Roman"/>
                <w:color w:val="auto"/>
                <w:kern w:val="0"/>
                <w:sz w:val="24"/>
                <w:highlight w:val="none"/>
                <w:lang w:val="en-US" w:eastAsia="zh-CN"/>
              </w:rPr>
              <w:t>主要为</w:t>
            </w:r>
            <w:r>
              <w:rPr>
                <w:rFonts w:hint="eastAsia" w:cs="Times New Roman"/>
                <w:color w:val="auto"/>
                <w:kern w:val="0"/>
                <w:sz w:val="24"/>
                <w:highlight w:val="none"/>
                <w:lang w:val="en-US" w:eastAsia="zh-CN"/>
              </w:rPr>
              <w:t>水泥筒仓粉尘和</w:t>
            </w:r>
            <w:r>
              <w:rPr>
                <w:rFonts w:hint="eastAsia" w:ascii="Times New Roman" w:hAnsi="Times New Roman" w:eastAsia="宋体" w:cs="Times New Roman"/>
                <w:color w:val="auto"/>
                <w:kern w:val="0"/>
                <w:sz w:val="24"/>
                <w:highlight w:val="none"/>
                <w:lang w:val="en-US" w:eastAsia="zh-CN"/>
              </w:rPr>
              <w:t>搅拌粉尘，</w:t>
            </w:r>
            <w:r>
              <w:rPr>
                <w:rFonts w:hint="eastAsia" w:cs="Times New Roman"/>
                <w:color w:val="auto"/>
                <w:kern w:val="0"/>
                <w:sz w:val="24"/>
                <w:highlight w:val="none"/>
                <w:lang w:val="en-US" w:eastAsia="zh-CN"/>
              </w:rPr>
              <w:t>筒仓和</w:t>
            </w:r>
            <w:r>
              <w:rPr>
                <w:rFonts w:hint="eastAsia" w:ascii="Times New Roman" w:hAnsi="Times New Roman" w:eastAsia="宋体" w:cs="Times New Roman"/>
                <w:color w:val="auto"/>
                <w:kern w:val="0"/>
                <w:sz w:val="24"/>
                <w:lang w:val="en-US" w:eastAsia="zh-CN"/>
              </w:rPr>
              <w:t>搅拌设备位于密闭</w:t>
            </w:r>
            <w:r>
              <w:rPr>
                <w:rFonts w:hint="eastAsia" w:cs="Times New Roman"/>
                <w:color w:val="auto"/>
                <w:kern w:val="0"/>
                <w:sz w:val="24"/>
                <w:lang w:val="en-US" w:eastAsia="zh-CN"/>
              </w:rPr>
              <w:t>厂房</w:t>
            </w:r>
            <w:r>
              <w:rPr>
                <w:rFonts w:hint="eastAsia" w:ascii="Times New Roman" w:hAnsi="Times New Roman" w:eastAsia="宋体" w:cs="Times New Roman"/>
                <w:color w:val="auto"/>
                <w:kern w:val="0"/>
                <w:sz w:val="24"/>
                <w:lang w:val="en-US" w:eastAsia="zh-CN"/>
              </w:rPr>
              <w:t>中，</w:t>
            </w:r>
            <w:r>
              <w:rPr>
                <w:rFonts w:hint="eastAsia" w:cs="Times New Roman"/>
                <w:color w:val="auto"/>
                <w:kern w:val="0"/>
                <w:sz w:val="24"/>
                <w:lang w:val="en-US" w:eastAsia="zh-CN"/>
              </w:rPr>
              <w:t>筒仓呼吸粉尘经布袋除尘器处理后排放，</w:t>
            </w:r>
            <w:r>
              <w:rPr>
                <w:rFonts w:hint="eastAsia" w:ascii="Times New Roman" w:hAnsi="Times New Roman" w:eastAsia="宋体" w:cs="Times New Roman"/>
                <w:color w:val="auto"/>
                <w:kern w:val="0"/>
                <w:sz w:val="24"/>
                <w:lang w:val="en-US" w:eastAsia="zh-CN"/>
              </w:rPr>
              <w:t>搅拌机</w:t>
            </w:r>
            <w:r>
              <w:rPr>
                <w:rFonts w:hint="eastAsia" w:cs="Times New Roman"/>
                <w:color w:val="auto"/>
                <w:kern w:val="0"/>
                <w:sz w:val="24"/>
                <w:lang w:val="en-US" w:eastAsia="zh-CN"/>
              </w:rPr>
              <w:t>集气罩接至脉冲</w:t>
            </w:r>
            <w:r>
              <w:rPr>
                <w:rFonts w:hint="eastAsia" w:ascii="Times New Roman" w:hAnsi="Times New Roman" w:eastAsia="宋体" w:cs="Times New Roman"/>
                <w:color w:val="auto"/>
                <w:kern w:val="0"/>
                <w:sz w:val="24"/>
                <w:lang w:val="en-US" w:eastAsia="zh-CN"/>
              </w:rPr>
              <w:t>布袋除尘器</w:t>
            </w:r>
            <w:r>
              <w:rPr>
                <w:rFonts w:hint="eastAsia" w:cs="Times New Roman"/>
                <w:color w:val="auto"/>
                <w:kern w:val="0"/>
                <w:sz w:val="24"/>
                <w:lang w:val="en-US" w:eastAsia="zh-CN"/>
              </w:rPr>
              <w:t>处理后排放</w:t>
            </w:r>
            <w:r>
              <w:rPr>
                <w:rFonts w:hint="eastAsia" w:ascii="Times New Roman" w:hAnsi="Times New Roman" w:eastAsia="宋体" w:cs="Times New Roman"/>
                <w:color w:val="auto"/>
                <w:kern w:val="0"/>
                <w:sz w:val="24"/>
                <w:lang w:val="en-US" w:eastAsia="zh-CN"/>
              </w:rPr>
              <w:t>，产生的废气</w:t>
            </w:r>
            <w:r>
              <w:rPr>
                <w:rFonts w:ascii="Times New Roman" w:hAnsi="Times New Roman" w:eastAsia="宋体" w:cs="Times New Roman"/>
                <w:color w:val="auto"/>
                <w:kern w:val="0"/>
                <w:sz w:val="24"/>
                <w:highlight w:val="none"/>
              </w:rPr>
              <w:t>执行《水泥工业大气污染物排放标准》（GB4915-2013）</w:t>
            </w:r>
            <w:r>
              <w:rPr>
                <w:rFonts w:hint="eastAsia" w:ascii="Times New Roman" w:hAnsi="Times New Roman" w:eastAsia="宋体" w:cs="Times New Roman"/>
                <w:color w:val="auto"/>
                <w:kern w:val="0"/>
                <w:sz w:val="24"/>
                <w:highlight w:val="none"/>
                <w:lang w:val="en-US" w:eastAsia="zh-CN"/>
              </w:rPr>
              <w:t>排放限值要求，对周围环境影响</w:t>
            </w:r>
            <w:r>
              <w:rPr>
                <w:color w:val="auto"/>
                <w:kern w:val="0"/>
                <w:sz w:val="24"/>
                <w:highlight w:val="none"/>
              </w:rPr>
              <w:t>较小。因此，与《新疆</w:t>
            </w:r>
            <w:r>
              <w:rPr>
                <w:rFonts w:hint="eastAsia"/>
                <w:color w:val="auto"/>
                <w:kern w:val="0"/>
                <w:sz w:val="24"/>
                <w:highlight w:val="none"/>
                <w:lang w:val="en-US" w:eastAsia="zh-CN"/>
              </w:rPr>
              <w:t>维吾尔自治区</w:t>
            </w:r>
            <w:r>
              <w:rPr>
                <w:color w:val="auto"/>
                <w:kern w:val="0"/>
                <w:sz w:val="24"/>
                <w:highlight w:val="none"/>
              </w:rPr>
              <w:t>生态环境保护“十四五”规划》相符合。</w:t>
            </w:r>
          </w:p>
          <w:p w14:paraId="418D8D33">
            <w:pPr>
              <w:pStyle w:val="7"/>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.环境相容性分析</w:t>
            </w:r>
          </w:p>
          <w:p w14:paraId="19434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项目为隔音和隔热材料制造类项目，建设地点位于阜康产业园阜西苏通小微创业园</w:t>
            </w:r>
            <w:r>
              <w:rPr>
                <w:rFonts w:hint="eastAsia" w:ascii="Times New Roman" w:hAnsi="Times New Roman" w:eastAsia="宋体" w:cs="Times New Roman"/>
                <w:color w:val="auto"/>
                <w:kern w:val="2"/>
                <w:sz w:val="24"/>
                <w:szCs w:val="24"/>
                <w:lang w:val="en-US" w:eastAsia="zh-CN" w:bidi="zh-CN"/>
              </w:rPr>
              <w:t>新疆禄鼎锋包装有限公司</w:t>
            </w:r>
            <w:r>
              <w:rPr>
                <w:rFonts w:hint="eastAsia" w:ascii="Times New Roman" w:hAnsi="Times New Roman" w:eastAsia="宋体" w:cs="Times New Roman"/>
                <w:color w:val="auto"/>
                <w:kern w:val="2"/>
                <w:sz w:val="24"/>
                <w:szCs w:val="24"/>
                <w:highlight w:val="none"/>
                <w:lang w:val="en-US" w:eastAsia="zh-CN" w:bidi="ar-SA"/>
              </w:rPr>
              <w:t>院内</w:t>
            </w:r>
            <w:r>
              <w:rPr>
                <w:rFonts w:hint="eastAsia" w:ascii="Times New Roman" w:hAnsi="Times New Roman" w:eastAsia="宋体" w:cs="Times New Roman"/>
                <w:color w:val="auto"/>
                <w:kern w:val="2"/>
                <w:sz w:val="24"/>
                <w:szCs w:val="24"/>
                <w:lang w:val="en-US" w:eastAsia="zh-CN" w:bidi="ar-SA"/>
              </w:rPr>
              <w:t>，与本项目相容。</w:t>
            </w:r>
            <w:r>
              <w:rPr>
                <w:rFonts w:hint="eastAsia" w:ascii="Times New Roman" w:hAnsi="Times New Roman" w:eastAsia="宋体" w:cs="Times New Roman"/>
                <w:color w:val="auto"/>
                <w:kern w:val="2"/>
                <w:sz w:val="24"/>
                <w:szCs w:val="24"/>
                <w:highlight w:val="none"/>
                <w:lang w:val="en-US" w:eastAsia="zh-CN" w:bidi="ar-SA"/>
              </w:rPr>
              <w:t>厂区东侧为新疆</w:t>
            </w:r>
            <w:r>
              <w:rPr>
                <w:rFonts w:hint="eastAsia" w:cs="Times New Roman"/>
                <w:color w:val="auto"/>
                <w:kern w:val="2"/>
                <w:sz w:val="24"/>
                <w:szCs w:val="24"/>
                <w:highlight w:val="none"/>
                <w:lang w:val="en-US" w:eastAsia="zh-CN" w:bidi="ar-SA"/>
              </w:rPr>
              <w:t>阜康市苏通工业园鑫万丰纸业有限公司厂房</w:t>
            </w:r>
            <w:r>
              <w:rPr>
                <w:rFonts w:hint="eastAsia" w:ascii="Times New Roman" w:hAnsi="Times New Roman" w:eastAsia="宋体" w:cs="Times New Roman"/>
                <w:color w:val="auto"/>
                <w:kern w:val="2"/>
                <w:sz w:val="24"/>
                <w:szCs w:val="24"/>
                <w:highlight w:val="none"/>
                <w:lang w:val="en-US" w:eastAsia="zh-CN" w:bidi="ar-SA"/>
              </w:rPr>
              <w:t>，南侧为</w:t>
            </w:r>
            <w:r>
              <w:rPr>
                <w:rFonts w:hint="eastAsia" w:cs="Times New Roman"/>
                <w:color w:val="auto"/>
                <w:kern w:val="2"/>
                <w:sz w:val="24"/>
                <w:szCs w:val="24"/>
                <w:highlight w:val="none"/>
                <w:lang w:val="en-US" w:eastAsia="zh-CN" w:bidi="ar-SA"/>
              </w:rPr>
              <w:t>新疆美疆美业智能家具有限公司</w:t>
            </w:r>
            <w:r>
              <w:rPr>
                <w:rFonts w:hint="eastAsia" w:ascii="Times New Roman" w:hAnsi="Times New Roman" w:eastAsia="宋体" w:cs="Times New Roman"/>
                <w:color w:val="auto"/>
                <w:kern w:val="2"/>
                <w:sz w:val="24"/>
                <w:szCs w:val="24"/>
                <w:highlight w:val="none"/>
                <w:lang w:val="en-US" w:eastAsia="zh-CN" w:bidi="ar-SA"/>
              </w:rPr>
              <w:t>，西侧</w:t>
            </w:r>
            <w:r>
              <w:rPr>
                <w:rFonts w:hint="eastAsia" w:cs="Times New Roman"/>
                <w:color w:val="auto"/>
                <w:kern w:val="2"/>
                <w:sz w:val="24"/>
                <w:szCs w:val="24"/>
                <w:highlight w:val="none"/>
                <w:lang w:val="en-US" w:eastAsia="zh-CN" w:bidi="ar-SA"/>
              </w:rPr>
              <w:t>隔阜旺路为新疆三维包装有限公司厂房，</w:t>
            </w:r>
            <w:r>
              <w:rPr>
                <w:rFonts w:hint="eastAsia" w:ascii="Times New Roman" w:hAnsi="Times New Roman" w:eastAsia="宋体" w:cs="Times New Roman"/>
                <w:color w:val="auto"/>
                <w:kern w:val="2"/>
                <w:sz w:val="24"/>
                <w:szCs w:val="24"/>
                <w:highlight w:val="none"/>
                <w:lang w:val="en-US" w:eastAsia="zh-CN" w:bidi="ar-SA"/>
              </w:rPr>
              <w:t>北侧为</w:t>
            </w:r>
            <w:r>
              <w:rPr>
                <w:rFonts w:hint="eastAsia" w:cs="Times New Roman"/>
                <w:color w:val="auto"/>
                <w:kern w:val="2"/>
                <w:sz w:val="24"/>
                <w:szCs w:val="24"/>
                <w:highlight w:val="none"/>
                <w:lang w:val="en-US" w:eastAsia="zh-CN" w:bidi="ar-SA"/>
              </w:rPr>
              <w:t>阜康市嘉盛阳光新能源</w:t>
            </w:r>
            <w:r>
              <w:rPr>
                <w:rFonts w:hint="eastAsia" w:ascii="Times New Roman" w:hAnsi="Times New Roman" w:eastAsia="宋体" w:cs="Times New Roman"/>
                <w:color w:val="auto"/>
                <w:kern w:val="2"/>
                <w:sz w:val="24"/>
                <w:szCs w:val="24"/>
                <w:highlight w:val="none"/>
                <w:lang w:val="en-US" w:eastAsia="zh-CN" w:bidi="ar-SA"/>
              </w:rPr>
              <w:t>有限公司</w:t>
            </w:r>
            <w:r>
              <w:rPr>
                <w:rFonts w:hint="eastAsia" w:cs="Times New Roman"/>
                <w:color w:val="auto"/>
                <w:kern w:val="2"/>
                <w:sz w:val="24"/>
                <w:szCs w:val="24"/>
                <w:highlight w:val="none"/>
                <w:lang w:val="en-US" w:eastAsia="zh-CN" w:bidi="ar-SA"/>
              </w:rPr>
              <w:t>厂房</w:t>
            </w:r>
            <w:r>
              <w:rPr>
                <w:rFonts w:hint="eastAsia" w:ascii="Times New Roman" w:hAnsi="Times New Roman" w:eastAsia="宋体" w:cs="Times New Roman"/>
                <w:color w:val="auto"/>
                <w:kern w:val="2"/>
                <w:sz w:val="24"/>
                <w:szCs w:val="24"/>
                <w:highlight w:val="none"/>
                <w:lang w:val="en-US" w:eastAsia="zh-CN" w:bidi="ar-SA"/>
              </w:rPr>
              <w:t>，周边环境对项目产生影响较小。</w:t>
            </w:r>
          </w:p>
          <w:p w14:paraId="599C2387">
            <w:pPr>
              <w:pStyle w:val="18"/>
              <w:pageBreakBefore w:val="0"/>
              <w:widowControl w:val="0"/>
              <w:kinsoku/>
              <w:wordWrap/>
              <w:overflowPunct/>
              <w:topLinePunct w:val="0"/>
              <w:autoSpaceDE/>
              <w:autoSpaceDN/>
              <w:bidi w:val="0"/>
              <w:adjustRightInd/>
              <w:snapToGrid/>
              <w:jc w:val="both"/>
              <w:textAlignment w:val="auto"/>
              <w:rPr>
                <w:rFonts w:hint="eastAsia"/>
                <w:color w:val="auto"/>
                <w:lang w:val="en-US" w:eastAsia="zh-CN"/>
              </w:rPr>
            </w:pPr>
            <w:r>
              <w:rPr>
                <w:rFonts w:hint="eastAsia"/>
                <w:color w:val="auto"/>
                <w:lang w:val="en-US" w:eastAsia="zh-CN"/>
              </w:rPr>
              <w:t>项目运营期产生大气污染物主要为颗粒物</w:t>
            </w:r>
            <w:r>
              <w:rPr>
                <w:rFonts w:hint="default"/>
                <w:color w:val="auto"/>
                <w:lang w:eastAsia="zh-CN"/>
              </w:rPr>
              <w:t>，</w:t>
            </w:r>
            <w:r>
              <w:rPr>
                <w:rFonts w:hint="eastAsia"/>
                <w:color w:val="auto"/>
                <w:lang w:val="en-US" w:eastAsia="zh-CN"/>
              </w:rPr>
              <w:t>经“集气罩+袋式除尘器+1根15m高排气筒”处理，对周围大气环境影响较小。项目生活污水依托园区现有下水管网排入阜康市西部城区污水处理厂集中处理，不会对周围水体产生影响。项目营运期对产噪设备采取安装减振降噪措施及厂房隔声后，厂界能够满足《工业企业厂界环境噪声排放标准》（GB12348-2008）中3类标准。项目各类固废在采取相应处理处置措施后，均可做到综合利用或无害化处置，不会对区域环境造成不利影响。因此，本项目建设对周边环境影响较小。</w:t>
            </w:r>
          </w:p>
          <w:p w14:paraId="3E6E445E">
            <w:pPr>
              <w:pStyle w:val="18"/>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综上，本项目选址与周边环境相容。</w:t>
            </w:r>
          </w:p>
          <w:p w14:paraId="6C2DE427">
            <w:pPr>
              <w:pStyle w:val="7"/>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8</w:t>
            </w:r>
            <w:r>
              <w:rPr>
                <w:rFonts w:hint="eastAsia" w:ascii="Times New Roman" w:hAnsi="Times New Roman" w:eastAsia="宋体" w:cs="Times New Roman"/>
                <w:b/>
                <w:bCs/>
                <w:color w:val="auto"/>
                <w:sz w:val="24"/>
                <w:szCs w:val="24"/>
                <w:lang w:val="en-US" w:eastAsia="zh-CN"/>
              </w:rPr>
              <w:t>.选址合理性分析</w:t>
            </w:r>
          </w:p>
          <w:p w14:paraId="02323617">
            <w:pPr>
              <w:pStyle w:val="18"/>
              <w:pageBreakBefore w:val="0"/>
              <w:widowControl w:val="0"/>
              <w:kinsoku/>
              <w:wordWrap/>
              <w:overflowPunct/>
              <w:topLinePunct w:val="0"/>
              <w:autoSpaceDE/>
              <w:autoSpaceDN/>
              <w:bidi w:val="0"/>
              <w:adjustRightInd/>
              <w:snapToGrid/>
              <w:textAlignment w:val="auto"/>
              <w:rPr>
                <w:rFonts w:hint="eastAsia"/>
                <w:color w:val="auto"/>
                <w:lang w:eastAsia="zh-CN"/>
              </w:rPr>
            </w:pPr>
            <w:r>
              <w:rPr>
                <w:color w:val="auto"/>
              </w:rPr>
              <w:t>本</w:t>
            </w:r>
            <w:r>
              <w:rPr>
                <w:rFonts w:hint="eastAsia"/>
                <w:color w:val="auto"/>
                <w:lang w:val="en-US" w:eastAsia="zh-CN"/>
              </w:rPr>
              <w:t>项目</w:t>
            </w:r>
            <w:r>
              <w:rPr>
                <w:rFonts w:hint="default"/>
                <w:color w:val="auto"/>
                <w:lang w:eastAsia="zh-CN"/>
              </w:rPr>
              <w:t>为</w:t>
            </w:r>
            <w:r>
              <w:rPr>
                <w:rFonts w:hint="eastAsia" w:ascii="Times New Roman" w:hAnsi="Times New Roman" w:eastAsia="宋体" w:cs="Times New Roman"/>
                <w:color w:val="auto"/>
                <w:kern w:val="2"/>
                <w:sz w:val="24"/>
                <w:szCs w:val="24"/>
                <w:lang w:val="en-US" w:eastAsia="zh-CN" w:bidi="ar-SA"/>
              </w:rPr>
              <w:t>隔音和隔热材料制造</w:t>
            </w:r>
            <w:r>
              <w:rPr>
                <w:rFonts w:hint="default" w:cs="Times New Roman"/>
                <w:color w:val="auto"/>
                <w:kern w:val="2"/>
                <w:sz w:val="24"/>
                <w:szCs w:val="24"/>
                <w:lang w:eastAsia="zh-CN" w:bidi="ar-SA"/>
              </w:rPr>
              <w:t>类</w:t>
            </w:r>
            <w:r>
              <w:rPr>
                <w:rFonts w:hint="eastAsia"/>
                <w:color w:val="auto"/>
                <w:lang w:val="en-US" w:eastAsia="zh-CN"/>
              </w:rPr>
              <w:t>，</w:t>
            </w:r>
            <w:r>
              <w:rPr>
                <w:color w:val="auto"/>
              </w:rPr>
              <w:t>选址位于</w:t>
            </w:r>
            <w:r>
              <w:rPr>
                <w:rFonts w:hint="default"/>
                <w:b w:val="0"/>
                <w:bCs/>
                <w:color w:val="auto"/>
                <w:lang w:val="en-US" w:eastAsia="zh-CN"/>
              </w:rPr>
              <w:t>新疆</w:t>
            </w:r>
            <w:r>
              <w:rPr>
                <w:rFonts w:hint="eastAsia"/>
                <w:b w:val="0"/>
                <w:bCs/>
                <w:color w:val="auto"/>
                <w:lang w:val="en-US" w:eastAsia="zh-CN"/>
              </w:rPr>
              <w:t>维吾尔自治区</w:t>
            </w:r>
            <w:r>
              <w:rPr>
                <w:rFonts w:hint="default"/>
                <w:b w:val="0"/>
                <w:bCs/>
                <w:color w:val="auto"/>
                <w:lang w:val="en-US" w:eastAsia="zh-CN"/>
              </w:rPr>
              <w:t>昌吉</w:t>
            </w:r>
            <w:r>
              <w:rPr>
                <w:rFonts w:hint="eastAsia"/>
                <w:b w:val="0"/>
                <w:bCs/>
                <w:color w:val="auto"/>
                <w:lang w:val="en-US" w:eastAsia="zh-CN"/>
              </w:rPr>
              <w:t>回族自治州阜康产业园阜西苏通小微创业园</w:t>
            </w:r>
            <w:r>
              <w:rPr>
                <w:rFonts w:hint="eastAsia" w:ascii="Times New Roman" w:hAnsi="Times New Roman" w:eastAsia="宋体" w:cs="Times New Roman"/>
                <w:color w:val="auto"/>
                <w:kern w:val="2"/>
                <w:sz w:val="24"/>
                <w:szCs w:val="24"/>
                <w:lang w:val="en-US" w:eastAsia="zh-CN" w:bidi="zh-CN"/>
              </w:rPr>
              <w:t>新疆禄鼎锋包装有限公司</w:t>
            </w:r>
            <w:r>
              <w:rPr>
                <w:rFonts w:hint="eastAsia"/>
                <w:b w:val="0"/>
                <w:bCs/>
                <w:color w:val="auto"/>
                <w:lang w:val="en-US" w:eastAsia="zh-CN"/>
              </w:rPr>
              <w:t>院内</w:t>
            </w:r>
            <w:r>
              <w:rPr>
                <w:rFonts w:hint="eastAsia"/>
                <w:color w:val="auto"/>
                <w:lang w:val="en-US" w:eastAsia="zh-CN"/>
              </w:rPr>
              <w:t>，属于园区功能定位中鼓励发展的小微企业，符合园区产业空间布局，</w:t>
            </w:r>
            <w:r>
              <w:rPr>
                <w:rFonts w:hint="default" w:ascii="Times New Roman" w:hAnsi="Times New Roman" w:eastAsia="宋体" w:cs="Times New Roman"/>
                <w:color w:val="auto"/>
                <w:kern w:val="0"/>
                <w:sz w:val="24"/>
                <w:szCs w:val="24"/>
                <w:lang w:val="en-US" w:eastAsia="zh-CN" w:bidi="ar"/>
              </w:rPr>
              <w:t>项目不存在制约因素，不占用基本农田、生态红线，周边无集中居民点</w:t>
            </w:r>
            <w:r>
              <w:rPr>
                <w:rFonts w:hint="eastAsia" w:cs="Times New Roman"/>
                <w:color w:val="auto"/>
                <w:kern w:val="0"/>
                <w:sz w:val="24"/>
                <w:szCs w:val="24"/>
                <w:lang w:val="en-US" w:eastAsia="zh-CN" w:bidi="ar"/>
              </w:rPr>
              <w:t>。</w:t>
            </w:r>
          </w:p>
          <w:p w14:paraId="675E65BB">
            <w:pPr>
              <w:pStyle w:val="18"/>
              <w:pageBreakBefore w:val="0"/>
              <w:widowControl w:val="0"/>
              <w:kinsoku/>
              <w:wordWrap/>
              <w:overflowPunct/>
              <w:topLinePunct w:val="0"/>
              <w:autoSpaceDE/>
              <w:autoSpaceDN/>
              <w:bidi w:val="0"/>
              <w:adjustRightInd/>
              <w:snapToGrid/>
              <w:textAlignment w:val="auto"/>
              <w:rPr>
                <w:rFonts w:hint="default" w:eastAsia="宋体"/>
                <w:color w:val="auto"/>
                <w:lang w:val="en-US" w:eastAsia="zh-CN"/>
              </w:rPr>
            </w:pPr>
            <w:r>
              <w:rPr>
                <w:rFonts w:hint="eastAsia"/>
                <w:color w:val="auto"/>
                <w:lang w:val="en-US" w:eastAsia="zh-CN"/>
              </w:rPr>
              <w:t>本项目选址属于工业用地。</w:t>
            </w:r>
            <w:r>
              <w:rPr>
                <w:color w:val="auto"/>
              </w:rPr>
              <w:t>项目选址地区不属于特殊保护地区、社会关注区和特殊地貌景观区，也无重点保护生态品种及濒危生物物种，文物古迹等，区域环境敏感因素较少。</w:t>
            </w:r>
            <w:r>
              <w:rPr>
                <w:rFonts w:hint="eastAsia"/>
                <w:color w:val="auto"/>
              </w:rPr>
              <w:t>项目区紧邻道路，交通运输满足建设期及运行期的原材料运输；</w:t>
            </w:r>
            <w:r>
              <w:rPr>
                <w:rFonts w:hint="eastAsia"/>
                <w:color w:val="auto"/>
                <w:lang w:val="en-US" w:eastAsia="zh-CN"/>
              </w:rPr>
              <w:t>项目</w:t>
            </w:r>
            <w:r>
              <w:rPr>
                <w:rFonts w:hint="eastAsia"/>
                <w:color w:val="auto"/>
              </w:rPr>
              <w:t>周边给水、供电设施齐全。</w:t>
            </w:r>
          </w:p>
          <w:p w14:paraId="49E6F769">
            <w:pPr>
              <w:pStyle w:val="18"/>
              <w:pageBreakBefore w:val="0"/>
              <w:widowControl w:val="0"/>
              <w:kinsoku/>
              <w:wordWrap/>
              <w:overflowPunct/>
              <w:topLinePunct w:val="0"/>
              <w:autoSpaceDE/>
              <w:autoSpaceDN/>
              <w:bidi w:val="0"/>
              <w:adjustRightInd/>
              <w:snapToGrid/>
              <w:textAlignment w:val="auto"/>
              <w:rPr>
                <w:rFonts w:hint="eastAsia"/>
                <w:color w:val="auto"/>
                <w:lang w:eastAsia="zh-CN"/>
              </w:rPr>
            </w:pPr>
            <w:r>
              <w:rPr>
                <w:color w:val="auto"/>
              </w:rPr>
              <w:t>综上，本项目基础设施便于依托，评价范围内没有自然保护区、风景名胜区、水源保护区等敏感区，项目运营时不会导致本地区环境质量的下降，项目选址合理</w:t>
            </w:r>
            <w:r>
              <w:rPr>
                <w:rFonts w:hint="eastAsia"/>
                <w:color w:val="auto"/>
                <w:lang w:eastAsia="zh-CN"/>
              </w:rPr>
              <w:t>。</w:t>
            </w:r>
          </w:p>
          <w:p w14:paraId="6FE2EA2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jc w:val="both"/>
              <w:textAlignment w:val="auto"/>
              <w:rPr>
                <w:rFonts w:hint="default"/>
                <w:color w:val="auto"/>
              </w:rPr>
            </w:pPr>
          </w:p>
          <w:p w14:paraId="39DA940C">
            <w:pPr>
              <w:pStyle w:val="2"/>
              <w:jc w:val="both"/>
              <w:rPr>
                <w:rFonts w:hint="default"/>
                <w:color w:val="auto"/>
              </w:rPr>
            </w:pPr>
          </w:p>
        </w:tc>
      </w:tr>
    </w:tbl>
    <w:p w14:paraId="77CD5BB3">
      <w:pPr>
        <w:spacing w:line="360" w:lineRule="auto"/>
        <w:outlineLvl w:val="9"/>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14:paraId="2AC8C882">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1"/>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8489"/>
      </w:tblGrid>
      <w:tr w14:paraId="1CA15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12" w:hRule="atLeast"/>
          <w:jc w:val="center"/>
        </w:trPr>
        <w:tc>
          <w:tcPr>
            <w:tcW w:w="571" w:type="dxa"/>
            <w:vAlign w:val="center"/>
          </w:tcPr>
          <w:p w14:paraId="0CC90D4C">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489" w:type="dxa"/>
            <w:vAlign w:val="top"/>
          </w:tcPr>
          <w:p w14:paraId="5EA9C596">
            <w:pPr>
              <w:adjustRightInd w:val="0"/>
              <w:snapToGrid w:val="0"/>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color w:val="auto"/>
                <w:sz w:val="24"/>
                <w:szCs w:val="24"/>
              </w:rPr>
              <w:t>建设项目组成</w:t>
            </w:r>
          </w:p>
          <w:p w14:paraId="53DC1E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本项目选址区位于</w:t>
            </w:r>
            <w:r>
              <w:rPr>
                <w:rFonts w:hint="eastAsia" w:ascii="Times New Roman" w:hAnsi="Times New Roman" w:eastAsia="宋体" w:cs="Times New Roman"/>
                <w:color w:val="auto"/>
                <w:kern w:val="0"/>
                <w:sz w:val="24"/>
                <w:szCs w:val="24"/>
                <w:lang w:val="en-US" w:eastAsia="zh-CN" w:bidi="ar"/>
              </w:rPr>
              <w:t>阜康市苏通小微创业园包装创业园新疆禄鼎锋包装有限公司院内1号厂房</w:t>
            </w:r>
            <w:r>
              <w:rPr>
                <w:rFonts w:hint="default" w:ascii="Times New Roman" w:hAnsi="Times New Roman" w:eastAsia="宋体" w:cs="Times New Roman"/>
                <w:color w:val="auto"/>
                <w:kern w:val="0"/>
                <w:sz w:val="24"/>
                <w:szCs w:val="24"/>
                <w:lang w:val="en-US" w:eastAsia="zh-CN" w:bidi="ar"/>
              </w:rPr>
              <w:t>，租赁</w:t>
            </w:r>
            <w:r>
              <w:rPr>
                <w:rFonts w:hint="eastAsia" w:cs="Times New Roman"/>
                <w:color w:val="auto"/>
                <w:kern w:val="0"/>
                <w:sz w:val="24"/>
                <w:szCs w:val="24"/>
                <w:lang w:val="en-US" w:eastAsia="zh-CN" w:bidi="ar"/>
              </w:rPr>
              <w:t>1号厂房北侧1500m</w:t>
            </w:r>
            <w:r>
              <w:rPr>
                <w:rFonts w:hint="eastAsia" w:cs="Times New Roman"/>
                <w:color w:val="auto"/>
                <w:kern w:val="0"/>
                <w:sz w:val="24"/>
                <w:szCs w:val="24"/>
                <w:vertAlign w:val="superscript"/>
                <w:lang w:val="en-US" w:eastAsia="zh-CN" w:bidi="ar"/>
              </w:rPr>
              <w:t>2</w:t>
            </w:r>
            <w:r>
              <w:rPr>
                <w:rFonts w:hint="default" w:ascii="Times New Roman" w:hAnsi="Times New Roman" w:eastAsia="宋体" w:cs="Times New Roman"/>
                <w:color w:val="auto"/>
                <w:kern w:val="0"/>
                <w:sz w:val="24"/>
                <w:szCs w:val="24"/>
                <w:lang w:val="en-US" w:eastAsia="zh-CN" w:bidi="ar"/>
              </w:rPr>
              <w:t>，进行本项目的建设</w:t>
            </w:r>
            <w:r>
              <w:rPr>
                <w:rFonts w:hint="eastAsia"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中心地理位置坐标（</w:t>
            </w:r>
            <w:r>
              <w:rPr>
                <w:rFonts w:hint="default" w:ascii="Times New Roman" w:hAnsi="Times New Roman" w:cs="Times New Roman"/>
                <w:color w:val="auto"/>
                <w:kern w:val="0"/>
                <w:sz w:val="24"/>
                <w:szCs w:val="24"/>
                <w:lang w:val="en-US" w:eastAsia="zh-CN" w:bidi="ar"/>
              </w:rPr>
              <w:t>东经87</w:t>
            </w:r>
            <w:r>
              <w:rPr>
                <w:rFonts w:hint="eastAsia" w:cs="Times New Roman"/>
                <w:color w:val="auto"/>
                <w:kern w:val="0"/>
                <w:sz w:val="24"/>
                <w:szCs w:val="24"/>
                <w:lang w:val="en-US" w:eastAsia="zh-CN" w:bidi="ar"/>
              </w:rPr>
              <w:t>度</w:t>
            </w:r>
            <w:r>
              <w:rPr>
                <w:rFonts w:hint="default" w:ascii="Times New Roman" w:hAnsi="Times New Roman" w:cs="Times New Roman"/>
                <w:color w:val="auto"/>
                <w:kern w:val="0"/>
                <w:sz w:val="24"/>
                <w:szCs w:val="24"/>
                <w:lang w:val="en-US" w:eastAsia="zh-CN" w:bidi="ar"/>
              </w:rPr>
              <w:t>49</w:t>
            </w:r>
            <w:r>
              <w:rPr>
                <w:rFonts w:hint="eastAsia" w:cs="Times New Roman"/>
                <w:color w:val="auto"/>
                <w:kern w:val="0"/>
                <w:sz w:val="24"/>
                <w:szCs w:val="24"/>
                <w:lang w:val="en-US" w:eastAsia="zh-CN" w:bidi="ar"/>
              </w:rPr>
              <w:t>分23.76秒</w:t>
            </w:r>
            <w:r>
              <w:rPr>
                <w:rFonts w:hint="default" w:ascii="Times New Roman" w:hAnsi="Times New Roman" w:cs="Times New Roman"/>
                <w:color w:val="auto"/>
                <w:kern w:val="0"/>
                <w:sz w:val="24"/>
                <w:szCs w:val="24"/>
                <w:lang w:val="en-US" w:eastAsia="zh-CN" w:bidi="ar"/>
              </w:rPr>
              <w:t>；北纬44</w:t>
            </w:r>
            <w:r>
              <w:rPr>
                <w:rFonts w:hint="eastAsia" w:cs="Times New Roman"/>
                <w:color w:val="auto"/>
                <w:kern w:val="0"/>
                <w:sz w:val="24"/>
                <w:szCs w:val="24"/>
                <w:lang w:val="en-US" w:eastAsia="zh-CN" w:bidi="ar"/>
              </w:rPr>
              <w:t>度</w:t>
            </w:r>
            <w:r>
              <w:rPr>
                <w:rFonts w:hint="default" w:ascii="Times New Roman" w:hAnsi="Times New Roman" w:cs="Times New Roman"/>
                <w:color w:val="auto"/>
                <w:kern w:val="0"/>
                <w:sz w:val="24"/>
                <w:szCs w:val="24"/>
                <w:lang w:val="en-US" w:eastAsia="zh-CN" w:bidi="ar"/>
              </w:rPr>
              <w:t>9</w:t>
            </w:r>
            <w:r>
              <w:rPr>
                <w:rFonts w:hint="eastAsia" w:cs="Times New Roman"/>
                <w:color w:val="auto"/>
                <w:kern w:val="0"/>
                <w:sz w:val="24"/>
                <w:szCs w:val="24"/>
                <w:lang w:val="en-US" w:eastAsia="zh-CN" w:bidi="ar"/>
              </w:rPr>
              <w:t>分45.126秒</w:t>
            </w:r>
            <w:r>
              <w:rPr>
                <w:rFonts w:hint="eastAsia" w:ascii="Times New Roman" w:hAnsi="Times New Roman" w:eastAsia="宋体" w:cs="Times New Roman"/>
                <w:color w:val="auto"/>
                <w:kern w:val="0"/>
                <w:sz w:val="24"/>
                <w:szCs w:val="24"/>
                <w:lang w:val="en-US" w:eastAsia="zh-CN" w:bidi="ar"/>
              </w:rPr>
              <w:t>），购置自动化复合保温免拆一体板生产线</w:t>
            </w:r>
            <w:r>
              <w:rPr>
                <w:rFonts w:hint="eastAsia" w:cs="Times New Roman"/>
                <w:color w:val="auto"/>
                <w:kern w:val="0"/>
                <w:sz w:val="24"/>
                <w:szCs w:val="24"/>
                <w:lang w:val="en-US" w:eastAsia="zh-CN" w:bidi="ar"/>
              </w:rPr>
              <w:t>1</w:t>
            </w:r>
            <w:r>
              <w:rPr>
                <w:rFonts w:hint="eastAsia" w:ascii="Times New Roman" w:hAnsi="Times New Roman" w:eastAsia="宋体" w:cs="Times New Roman"/>
                <w:color w:val="auto"/>
                <w:kern w:val="0"/>
                <w:sz w:val="24"/>
                <w:szCs w:val="24"/>
                <w:lang w:val="en-US" w:eastAsia="zh-CN" w:bidi="ar"/>
              </w:rPr>
              <w:t>条，年产</w:t>
            </w:r>
            <w:r>
              <w:rPr>
                <w:rFonts w:hint="eastAsia" w:cs="Times New Roman"/>
                <w:color w:val="auto"/>
                <w:kern w:val="0"/>
                <w:sz w:val="24"/>
                <w:szCs w:val="24"/>
                <w:lang w:val="en-US" w:eastAsia="zh-CN" w:bidi="ar"/>
              </w:rPr>
              <w:t>3</w:t>
            </w:r>
            <w:r>
              <w:rPr>
                <w:rFonts w:hint="eastAsia" w:ascii="Times New Roman" w:hAnsi="Times New Roman" w:eastAsia="宋体" w:cs="Times New Roman"/>
                <w:color w:val="auto"/>
                <w:kern w:val="0"/>
                <w:sz w:val="24"/>
                <w:szCs w:val="24"/>
                <w:lang w:val="en-US" w:eastAsia="zh-CN" w:bidi="ar"/>
              </w:rPr>
              <w:t>0万平方米节能型复合保温免拆一体板；购置环保设备2台，切割机2台，打孔机2台，储料罐3台，叉车4台，养护架700套。</w:t>
            </w:r>
          </w:p>
          <w:p w14:paraId="606D5724">
            <w:pPr>
              <w:pStyle w:val="31"/>
              <w:bidi w:val="0"/>
              <w:spacing w:line="240" w:lineRule="auto"/>
              <w:rPr>
                <w:rFonts w:hint="eastAsia" w:ascii="宋体" w:hAnsi="宋体" w:cs="宋体"/>
                <w:b/>
                <w:bCs/>
                <w:color w:val="auto"/>
                <w:szCs w:val="21"/>
              </w:rPr>
            </w:pPr>
            <w:r>
              <w:rPr>
                <w:rFonts w:hint="eastAsia"/>
                <w:b/>
                <w:bCs/>
                <w:color w:val="auto"/>
                <w:lang w:val="en-US" w:eastAsia="zh-CN"/>
              </w:rPr>
              <w:t>表2-1    项目建设内容一览表</w:t>
            </w:r>
          </w:p>
          <w:tbl>
            <w:tblPr>
              <w:tblStyle w:val="2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12"/>
              <w:gridCol w:w="1026"/>
              <w:gridCol w:w="895"/>
              <w:gridCol w:w="4804"/>
              <w:gridCol w:w="933"/>
            </w:tblGrid>
            <w:tr w14:paraId="4CAA4C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tcBorders>
                    <w:bottom w:val="single" w:color="000000" w:sz="12" w:space="0"/>
                  </w:tcBorders>
                  <w:vAlign w:val="center"/>
                </w:tcPr>
                <w:p w14:paraId="0BA81BC1">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工程</w:t>
                  </w:r>
                </w:p>
              </w:tc>
              <w:tc>
                <w:tcPr>
                  <w:tcW w:w="620" w:type="pct"/>
                  <w:tcBorders>
                    <w:bottom w:val="single" w:color="000000" w:sz="12" w:space="0"/>
                  </w:tcBorders>
                  <w:vAlign w:val="center"/>
                </w:tcPr>
                <w:p w14:paraId="634C54B7">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项目组成</w:t>
                  </w:r>
                </w:p>
              </w:tc>
              <w:tc>
                <w:tcPr>
                  <w:tcW w:w="3445" w:type="pct"/>
                  <w:gridSpan w:val="2"/>
                  <w:tcBorders>
                    <w:bottom w:val="single" w:color="000000" w:sz="12" w:space="0"/>
                  </w:tcBorders>
                  <w:vAlign w:val="center"/>
                </w:tcPr>
                <w:p w14:paraId="43CACCE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主要工程内容</w:t>
                  </w:r>
                </w:p>
              </w:tc>
              <w:tc>
                <w:tcPr>
                  <w:tcW w:w="564" w:type="pct"/>
                  <w:tcBorders>
                    <w:bottom w:val="single" w:color="000000" w:sz="12" w:space="0"/>
                  </w:tcBorders>
                  <w:vAlign w:val="center"/>
                </w:tcPr>
                <w:p w14:paraId="756DCEF0">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14:paraId="617480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tcBorders>
                    <w:top w:val="single" w:color="000000" w:sz="12" w:space="0"/>
                    <w:tl2br w:val="nil"/>
                    <w:tr2bl w:val="nil"/>
                  </w:tcBorders>
                  <w:vAlign w:val="center"/>
                </w:tcPr>
                <w:p w14:paraId="6A478AF8">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620" w:type="pct"/>
                  <w:tcBorders>
                    <w:top w:val="single" w:color="000000" w:sz="12" w:space="0"/>
                    <w:tl2br w:val="nil"/>
                    <w:tr2bl w:val="nil"/>
                  </w:tcBorders>
                  <w:vAlign w:val="center"/>
                </w:tcPr>
                <w:p w14:paraId="7C99B7AB">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生产车间</w:t>
                  </w:r>
                </w:p>
              </w:tc>
              <w:tc>
                <w:tcPr>
                  <w:tcW w:w="3445" w:type="pct"/>
                  <w:gridSpan w:val="2"/>
                  <w:tcBorders>
                    <w:top w:val="single" w:color="000000" w:sz="12" w:space="0"/>
                    <w:tl2br w:val="nil"/>
                    <w:tr2bl w:val="nil"/>
                  </w:tcBorders>
                  <w:vAlign w:val="center"/>
                </w:tcPr>
                <w:p w14:paraId="6A5D2E67">
                  <w:pPr>
                    <w:keepNext w:val="0"/>
                    <w:keepLines w:val="0"/>
                    <w:pageBreakBefore w:val="0"/>
                    <w:widowControl/>
                    <w:suppressLineNumbers w:val="0"/>
                    <w:kinsoku/>
                    <w:wordWrap/>
                    <w:overflowPunct/>
                    <w:topLinePunct w:val="0"/>
                    <w:bidi w:val="0"/>
                    <w:adjustRightInd/>
                    <w:snapToGrid/>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zh-CN" w:eastAsia="zh-CN" w:bidi="zh-CN"/>
                    </w:rPr>
                    <w:t>租赁新疆昌吉回族自治州阜康市苏通小微创业园包装创业园新疆禄鼎锋包装有限公司院内1号厂房北侧</w:t>
                  </w:r>
                  <w:r>
                    <w:rPr>
                      <w:rFonts w:hint="eastAsia" w:cs="Times New Roman"/>
                      <w:color w:val="auto"/>
                      <w:kern w:val="2"/>
                      <w:sz w:val="21"/>
                      <w:szCs w:val="21"/>
                      <w:lang w:val="en-US" w:eastAsia="zh-CN" w:bidi="zh-CN"/>
                    </w:rPr>
                    <w:t>1500m</w:t>
                  </w:r>
                  <w:r>
                    <w:rPr>
                      <w:rFonts w:hint="eastAsia" w:cs="Times New Roman"/>
                      <w:color w:val="auto"/>
                      <w:kern w:val="2"/>
                      <w:sz w:val="21"/>
                      <w:szCs w:val="21"/>
                      <w:vertAlign w:val="superscript"/>
                      <w:lang w:val="en-US" w:eastAsia="zh-CN" w:bidi="zh-CN"/>
                    </w:rPr>
                    <w:t>2</w:t>
                  </w:r>
                  <w:r>
                    <w:rPr>
                      <w:rFonts w:hint="default" w:ascii="Times New Roman" w:hAnsi="Times New Roman" w:eastAsia="宋体" w:cs="Times New Roman"/>
                      <w:color w:val="auto"/>
                      <w:kern w:val="2"/>
                      <w:sz w:val="21"/>
                      <w:szCs w:val="21"/>
                      <w:lang w:val="zh-CN" w:eastAsia="zh-CN" w:bidi="zh-CN"/>
                    </w:rPr>
                    <w:t>。新建</w:t>
                  </w:r>
                  <w:r>
                    <w:rPr>
                      <w:rFonts w:hint="eastAsia" w:cs="Times New Roman"/>
                      <w:color w:val="auto"/>
                      <w:kern w:val="2"/>
                      <w:sz w:val="21"/>
                      <w:szCs w:val="21"/>
                      <w:lang w:val="en-US" w:eastAsia="zh-CN" w:bidi="zh-CN"/>
                    </w:rPr>
                    <w:t>1</w:t>
                  </w:r>
                  <w:r>
                    <w:rPr>
                      <w:rFonts w:hint="default" w:ascii="Times New Roman" w:hAnsi="Times New Roman" w:eastAsia="宋体" w:cs="Times New Roman"/>
                      <w:color w:val="auto"/>
                      <w:kern w:val="2"/>
                      <w:sz w:val="21"/>
                      <w:szCs w:val="21"/>
                      <w:lang w:val="zh-CN" w:eastAsia="zh-CN" w:bidi="zh-CN"/>
                    </w:rPr>
                    <w:t>条节能型</w:t>
                  </w:r>
                  <w:r>
                    <w:rPr>
                      <w:rFonts w:hint="default" w:ascii="Times New Roman" w:hAnsi="Times New Roman" w:eastAsia="宋体" w:cs="Times New Roman"/>
                      <w:color w:val="auto"/>
                      <w:sz w:val="21"/>
                      <w:szCs w:val="21"/>
                    </w:rPr>
                    <w:t>复合保温免拆一体板生产线，年产</w:t>
                  </w:r>
                  <w:r>
                    <w:rPr>
                      <w:rFonts w:hint="eastAsia" w:cs="Times New Roman"/>
                      <w:color w:val="auto"/>
                      <w:sz w:val="21"/>
                      <w:szCs w:val="21"/>
                      <w:lang w:val="en-US" w:eastAsia="zh-CN"/>
                    </w:rPr>
                    <w:t>3</w:t>
                  </w:r>
                  <w:r>
                    <w:rPr>
                      <w:rFonts w:hint="default" w:ascii="Times New Roman" w:hAnsi="Times New Roman" w:eastAsia="宋体" w:cs="Times New Roman"/>
                      <w:color w:val="auto"/>
                      <w:sz w:val="21"/>
                      <w:szCs w:val="21"/>
                    </w:rPr>
                    <w:t>0万平方米保温</w:t>
                  </w:r>
                  <w:r>
                    <w:rPr>
                      <w:rFonts w:hint="eastAsia" w:cs="Times New Roman"/>
                      <w:color w:val="auto"/>
                      <w:sz w:val="21"/>
                      <w:szCs w:val="21"/>
                      <w:lang w:val="en-US" w:eastAsia="zh-CN"/>
                    </w:rPr>
                    <w:t>免拆</w:t>
                  </w:r>
                  <w:r>
                    <w:rPr>
                      <w:rFonts w:hint="default" w:ascii="Times New Roman" w:hAnsi="Times New Roman" w:eastAsia="宋体" w:cs="Times New Roman"/>
                      <w:color w:val="auto"/>
                      <w:sz w:val="21"/>
                      <w:szCs w:val="21"/>
                    </w:rPr>
                    <w:t>一体板</w:t>
                  </w:r>
                  <w:r>
                    <w:rPr>
                      <w:rFonts w:hint="eastAsia" w:cs="Times New Roman"/>
                      <w:color w:val="auto"/>
                      <w:sz w:val="21"/>
                      <w:szCs w:val="21"/>
                      <w:lang w:eastAsia="zh-CN"/>
                    </w:rPr>
                    <w:t>。</w:t>
                  </w:r>
                </w:p>
              </w:tc>
              <w:tc>
                <w:tcPr>
                  <w:tcW w:w="564" w:type="pct"/>
                  <w:tcBorders>
                    <w:top w:val="single" w:color="000000" w:sz="12" w:space="0"/>
                    <w:tl2br w:val="nil"/>
                    <w:tr2bl w:val="nil"/>
                  </w:tcBorders>
                  <w:vAlign w:val="center"/>
                </w:tcPr>
                <w:p w14:paraId="010B7641">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全部置于租赁厂房内</w:t>
                  </w:r>
                </w:p>
              </w:tc>
            </w:tr>
            <w:tr w14:paraId="781EAB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tcBorders>
                    <w:tl2br w:val="nil"/>
                    <w:tr2bl w:val="nil"/>
                  </w:tcBorders>
                  <w:vAlign w:val="center"/>
                </w:tcPr>
                <w:p w14:paraId="2F06DFBD">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辅助工程</w:t>
                  </w:r>
                </w:p>
              </w:tc>
              <w:tc>
                <w:tcPr>
                  <w:tcW w:w="620" w:type="pct"/>
                  <w:tcBorders>
                    <w:tl2br w:val="nil"/>
                    <w:tr2bl w:val="nil"/>
                  </w:tcBorders>
                  <w:vAlign w:val="center"/>
                </w:tcPr>
                <w:p w14:paraId="47C34E42">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办公用房</w:t>
                  </w:r>
                </w:p>
              </w:tc>
              <w:tc>
                <w:tcPr>
                  <w:tcW w:w="3445" w:type="pct"/>
                  <w:gridSpan w:val="2"/>
                  <w:tcBorders>
                    <w:tl2br w:val="nil"/>
                    <w:tr2bl w:val="nil"/>
                  </w:tcBorders>
                  <w:vAlign w:val="center"/>
                </w:tcPr>
                <w:p w14:paraId="09DFFD18">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办公室2间150m</w:t>
                  </w:r>
                  <w:r>
                    <w:rPr>
                      <w:rFonts w:hint="eastAsia" w:ascii="Times New Roman" w:hAnsi="Times New Roman" w:cs="Times New Roman"/>
                      <w:color w:val="auto"/>
                      <w:sz w:val="21"/>
                      <w:szCs w:val="21"/>
                      <w:vertAlign w:val="superscript"/>
                      <w:lang w:val="en-US" w:eastAsia="zh-CN"/>
                    </w:rPr>
                    <w:t>2</w:t>
                  </w:r>
                </w:p>
              </w:tc>
              <w:tc>
                <w:tcPr>
                  <w:tcW w:w="564" w:type="pct"/>
                  <w:tcBorders>
                    <w:tl2br w:val="nil"/>
                    <w:tr2bl w:val="nil"/>
                  </w:tcBorders>
                  <w:vAlign w:val="center"/>
                </w:tcPr>
                <w:p w14:paraId="52AE79BF">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p>
              </w:tc>
            </w:tr>
            <w:tr w14:paraId="66EC39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restart"/>
                  <w:tcBorders>
                    <w:tl2br w:val="nil"/>
                    <w:tr2bl w:val="nil"/>
                  </w:tcBorders>
                  <w:vAlign w:val="center"/>
                </w:tcPr>
                <w:p w14:paraId="0C506079">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620" w:type="pct"/>
                  <w:tcBorders>
                    <w:tl2br w:val="nil"/>
                    <w:tr2bl w:val="nil"/>
                  </w:tcBorders>
                  <w:vAlign w:val="center"/>
                </w:tcPr>
                <w:p w14:paraId="084CCAE0">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给水</w:t>
                  </w:r>
                </w:p>
              </w:tc>
              <w:tc>
                <w:tcPr>
                  <w:tcW w:w="3445" w:type="pct"/>
                  <w:gridSpan w:val="2"/>
                  <w:tcBorders>
                    <w:tl2br w:val="nil"/>
                    <w:tr2bl w:val="nil"/>
                  </w:tcBorders>
                  <w:vAlign w:val="center"/>
                </w:tcPr>
                <w:p w14:paraId="65400EA0">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依托园区给水管线</w:t>
                  </w:r>
                </w:p>
              </w:tc>
              <w:tc>
                <w:tcPr>
                  <w:tcW w:w="564" w:type="pct"/>
                  <w:tcBorders>
                    <w:tl2br w:val="nil"/>
                    <w:tr2bl w:val="nil"/>
                  </w:tcBorders>
                  <w:vAlign w:val="center"/>
                </w:tcPr>
                <w:p w14:paraId="52973A7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p>
              </w:tc>
            </w:tr>
            <w:tr w14:paraId="01BEDC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2AF5C0DE">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19D62714">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w:t>
                  </w:r>
                </w:p>
              </w:tc>
              <w:tc>
                <w:tcPr>
                  <w:tcW w:w="3445" w:type="pct"/>
                  <w:gridSpan w:val="2"/>
                  <w:tcBorders>
                    <w:tl2br w:val="nil"/>
                    <w:tr2bl w:val="nil"/>
                  </w:tcBorders>
                  <w:vAlign w:val="center"/>
                </w:tcPr>
                <w:p w14:paraId="1EBD0647">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生活污水排入园区污水管网</w:t>
                  </w:r>
                </w:p>
              </w:tc>
              <w:tc>
                <w:tcPr>
                  <w:tcW w:w="564" w:type="pct"/>
                  <w:tcBorders>
                    <w:tl2br w:val="nil"/>
                    <w:tr2bl w:val="nil"/>
                  </w:tcBorders>
                  <w:vAlign w:val="center"/>
                </w:tcPr>
                <w:p w14:paraId="38ACAEC0">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p>
              </w:tc>
            </w:tr>
            <w:tr w14:paraId="0BE8AD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3F15FF2A">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1182EB2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w:t>
                  </w:r>
                </w:p>
              </w:tc>
              <w:tc>
                <w:tcPr>
                  <w:tcW w:w="3445" w:type="pct"/>
                  <w:gridSpan w:val="2"/>
                  <w:tcBorders>
                    <w:tl2br w:val="nil"/>
                    <w:tr2bl w:val="nil"/>
                  </w:tcBorders>
                  <w:vAlign w:val="center"/>
                </w:tcPr>
                <w:p w14:paraId="0BB77EED">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依托园区供电设备进行供电</w:t>
                  </w:r>
                </w:p>
              </w:tc>
              <w:tc>
                <w:tcPr>
                  <w:tcW w:w="564" w:type="pct"/>
                  <w:tcBorders>
                    <w:tl2br w:val="nil"/>
                    <w:tr2bl w:val="nil"/>
                  </w:tcBorders>
                  <w:vAlign w:val="center"/>
                </w:tcPr>
                <w:p w14:paraId="3EF205F4">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w:t>
                  </w:r>
                </w:p>
              </w:tc>
            </w:tr>
            <w:tr w14:paraId="4CB292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70DB9844">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7E90D4AB">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供暖</w:t>
                  </w:r>
                </w:p>
              </w:tc>
              <w:tc>
                <w:tcPr>
                  <w:tcW w:w="3445" w:type="pct"/>
                  <w:gridSpan w:val="2"/>
                  <w:tcBorders>
                    <w:tl2br w:val="nil"/>
                    <w:tr2bl w:val="nil"/>
                  </w:tcBorders>
                  <w:vAlign w:val="center"/>
                </w:tcPr>
                <w:p w14:paraId="08AA2459">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生产无需供暖，冬季不生产</w:t>
                  </w:r>
                </w:p>
              </w:tc>
              <w:tc>
                <w:tcPr>
                  <w:tcW w:w="564" w:type="pct"/>
                  <w:tcBorders>
                    <w:tl2br w:val="nil"/>
                    <w:tr2bl w:val="nil"/>
                  </w:tcBorders>
                  <w:vAlign w:val="center"/>
                </w:tcPr>
                <w:p w14:paraId="66CA0251">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9"/>
                      <w:sz w:val="21"/>
                      <w:szCs w:val="21"/>
                    </w:rPr>
                    <w:t>/</w:t>
                  </w:r>
                </w:p>
              </w:tc>
            </w:tr>
            <w:tr w14:paraId="1D462C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restart"/>
                  <w:tcBorders>
                    <w:tl2br w:val="nil"/>
                    <w:tr2bl w:val="nil"/>
                  </w:tcBorders>
                  <w:vAlign w:val="center"/>
                </w:tcPr>
                <w:p w14:paraId="156E1E03">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储运工程</w:t>
                  </w:r>
                </w:p>
              </w:tc>
              <w:tc>
                <w:tcPr>
                  <w:tcW w:w="620" w:type="pct"/>
                  <w:tcBorders>
                    <w:tl2br w:val="nil"/>
                    <w:tr2bl w:val="nil"/>
                  </w:tcBorders>
                  <w:vAlign w:val="center"/>
                </w:tcPr>
                <w:p w14:paraId="0EC5C45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原料</w:t>
                  </w:r>
                  <w:r>
                    <w:rPr>
                      <w:rFonts w:hint="eastAsia" w:ascii="Times New Roman" w:hAnsi="Times New Roman" w:cs="Times New Roman"/>
                      <w:color w:val="auto"/>
                      <w:sz w:val="21"/>
                      <w:szCs w:val="21"/>
                      <w:lang w:val="en-US" w:eastAsia="zh-CN"/>
                    </w:rPr>
                    <w:t>堆放区</w:t>
                  </w:r>
                </w:p>
              </w:tc>
              <w:tc>
                <w:tcPr>
                  <w:tcW w:w="3445" w:type="pct"/>
                  <w:gridSpan w:val="2"/>
                  <w:tcBorders>
                    <w:tl2br w:val="nil"/>
                    <w:tr2bl w:val="nil"/>
                  </w:tcBorders>
                  <w:vAlign w:val="center"/>
                </w:tcPr>
                <w:p w14:paraId="31711FF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用于堆放保温聚合物、</w:t>
                  </w:r>
                  <w:r>
                    <w:rPr>
                      <w:rFonts w:hint="eastAsia" w:ascii="Times New Roman" w:hAnsi="Times New Roman" w:cs="Times New Roman"/>
                      <w:color w:val="auto"/>
                      <w:sz w:val="21"/>
                      <w:szCs w:val="21"/>
                      <w:lang w:val="en-US" w:eastAsia="zh-CN"/>
                    </w:rPr>
                    <w:t>云质板、</w:t>
                  </w:r>
                  <w:r>
                    <w:rPr>
                      <w:rFonts w:hint="eastAsia" w:ascii="Times New Roman" w:hAnsi="Times New Roman" w:cs="Times New Roman"/>
                      <w:color w:val="auto"/>
                      <w:sz w:val="21"/>
                      <w:szCs w:val="21"/>
                      <w:lang w:eastAsia="zh-CN"/>
                    </w:rPr>
                    <w:t>聚乙烯苯板</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石墨板及挤塑板</w:t>
                  </w:r>
                  <w:r>
                    <w:rPr>
                      <w:rFonts w:hint="default" w:ascii="Times New Roman" w:hAnsi="Times New Roman" w:eastAsia="宋体" w:cs="Times New Roman"/>
                      <w:color w:val="auto"/>
                      <w:sz w:val="21"/>
                      <w:szCs w:val="21"/>
                    </w:rPr>
                    <w:t>，位于厂房内部</w:t>
                  </w:r>
                </w:p>
              </w:tc>
              <w:tc>
                <w:tcPr>
                  <w:tcW w:w="564" w:type="pct"/>
                  <w:tcBorders>
                    <w:tl2br w:val="nil"/>
                    <w:tr2bl w:val="nil"/>
                  </w:tcBorders>
                  <w:vAlign w:val="center"/>
                </w:tcPr>
                <w:p w14:paraId="1F78F6E6">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位于</w:t>
                  </w:r>
                  <w:r>
                    <w:rPr>
                      <w:rFonts w:hint="default" w:ascii="Times New Roman" w:hAnsi="Times New Roman" w:eastAsia="宋体" w:cs="Times New Roman"/>
                      <w:color w:val="auto"/>
                      <w:sz w:val="21"/>
                      <w:szCs w:val="21"/>
                    </w:rPr>
                    <w:t>租赁厂房内</w:t>
                  </w:r>
                </w:p>
              </w:tc>
            </w:tr>
            <w:tr w14:paraId="79A1E3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0A16BA0B">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0FA7694A">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水泥料仓</w:t>
                  </w:r>
                </w:p>
              </w:tc>
              <w:tc>
                <w:tcPr>
                  <w:tcW w:w="3445" w:type="pct"/>
                  <w:gridSpan w:val="2"/>
                  <w:tcBorders>
                    <w:tl2br w:val="nil"/>
                    <w:tr2bl w:val="nil"/>
                  </w:tcBorders>
                  <w:vAlign w:val="center"/>
                </w:tcPr>
                <w:p w14:paraId="3B0CD4DA">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个密闭筒仓，</w:t>
                  </w:r>
                  <w:r>
                    <w:rPr>
                      <w:rFonts w:hint="eastAsia" w:ascii="Times New Roman" w:hAnsi="Times New Roman" w:cs="Times New Roman"/>
                      <w:color w:val="auto"/>
                      <w:sz w:val="21"/>
                      <w:szCs w:val="21"/>
                      <w:highlight w:val="none"/>
                      <w:lang w:val="en-US" w:eastAsia="zh-CN"/>
                    </w:rPr>
                    <w:t>20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eastAsia" w:ascii="Times New Roman" w:hAnsi="Times New Roman" w:cs="Times New Roman"/>
                      <w:color w:val="auto"/>
                      <w:sz w:val="24"/>
                      <w:szCs w:val="24"/>
                      <w:vertAlign w:val="baseline"/>
                      <w:lang w:eastAsia="zh-CN"/>
                    </w:rPr>
                    <w:t>，</w:t>
                  </w:r>
                  <w:r>
                    <w:rPr>
                      <w:rFonts w:hint="eastAsia" w:ascii="Times New Roman" w:hAnsi="Times New Roman" w:cs="Times New Roman"/>
                      <w:color w:val="auto"/>
                      <w:sz w:val="24"/>
                      <w:szCs w:val="24"/>
                      <w:vertAlign w:val="baseline"/>
                      <w:lang w:val="en-US" w:eastAsia="zh-CN"/>
                    </w:rPr>
                    <w:t>高6m</w:t>
                  </w:r>
                </w:p>
              </w:tc>
              <w:tc>
                <w:tcPr>
                  <w:tcW w:w="564" w:type="pct"/>
                  <w:tcBorders>
                    <w:tl2br w:val="nil"/>
                    <w:tr2bl w:val="nil"/>
                  </w:tcBorders>
                  <w:vAlign w:val="center"/>
                </w:tcPr>
                <w:p w14:paraId="0A673F08">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置于租赁厂房内</w:t>
                  </w:r>
                </w:p>
              </w:tc>
            </w:tr>
            <w:tr w14:paraId="5A62E9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2C0DE749">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5730FD95">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成品堆放区</w:t>
                  </w:r>
                </w:p>
              </w:tc>
              <w:tc>
                <w:tcPr>
                  <w:tcW w:w="3445" w:type="pct"/>
                  <w:gridSpan w:val="2"/>
                  <w:tcBorders>
                    <w:tl2br w:val="nil"/>
                    <w:tr2bl w:val="nil"/>
                  </w:tcBorders>
                  <w:vAlign w:val="center"/>
                </w:tcPr>
                <w:p w14:paraId="7E92B8E1">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面积230m</w:t>
                  </w:r>
                  <w:r>
                    <w:rPr>
                      <w:rFonts w:hint="eastAsia" w:ascii="Times New Roman" w:hAnsi="Times New Roman" w:cs="Times New Roman"/>
                      <w:color w:val="auto"/>
                      <w:sz w:val="21"/>
                      <w:szCs w:val="21"/>
                      <w:highlight w:val="none"/>
                      <w:vertAlign w:val="superscript"/>
                      <w:lang w:val="en-US" w:eastAsia="zh-CN"/>
                    </w:rPr>
                    <w:t>2</w:t>
                  </w:r>
                </w:p>
              </w:tc>
              <w:tc>
                <w:tcPr>
                  <w:tcW w:w="564" w:type="pct"/>
                  <w:tcBorders>
                    <w:tl2br w:val="nil"/>
                    <w:tr2bl w:val="nil"/>
                  </w:tcBorders>
                  <w:vAlign w:val="center"/>
                </w:tcPr>
                <w:p w14:paraId="721BDBD7">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位于</w:t>
                  </w:r>
                  <w:r>
                    <w:rPr>
                      <w:rFonts w:hint="default" w:ascii="Times New Roman" w:hAnsi="Times New Roman" w:eastAsia="宋体" w:cs="Times New Roman"/>
                      <w:color w:val="auto"/>
                      <w:sz w:val="21"/>
                      <w:szCs w:val="21"/>
                    </w:rPr>
                    <w:t>租赁厂房内</w:t>
                  </w:r>
                </w:p>
              </w:tc>
            </w:tr>
            <w:tr w14:paraId="22A34F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restart"/>
                  <w:tcBorders>
                    <w:tl2br w:val="nil"/>
                    <w:tr2bl w:val="nil"/>
                  </w:tcBorders>
                  <w:vAlign w:val="center"/>
                </w:tcPr>
                <w:p w14:paraId="618EE368">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620" w:type="pct"/>
                  <w:tcBorders>
                    <w:tl2br w:val="nil"/>
                    <w:tr2bl w:val="nil"/>
                  </w:tcBorders>
                  <w:vAlign w:val="center"/>
                </w:tcPr>
                <w:p w14:paraId="08546E5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445" w:type="pct"/>
                  <w:gridSpan w:val="2"/>
                  <w:tcBorders>
                    <w:tl2br w:val="nil"/>
                    <w:tr2bl w:val="nil"/>
                  </w:tcBorders>
                  <w:vAlign w:val="center"/>
                </w:tcPr>
                <w:p w14:paraId="081FC543">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①水泥料仓产生的物料存储废气经</w:t>
                  </w:r>
                  <w:r>
                    <w:rPr>
                      <w:rFonts w:hint="eastAsia" w:ascii="Times New Roman" w:hAnsi="Times New Roman" w:cs="Times New Roman"/>
                      <w:color w:val="auto"/>
                      <w:sz w:val="21"/>
                      <w:szCs w:val="21"/>
                      <w:lang w:val="en-US" w:eastAsia="zh-CN"/>
                    </w:rPr>
                    <w:t>集气管道排至袋式除尘器处理后</w:t>
                  </w:r>
                  <w:r>
                    <w:rPr>
                      <w:rFonts w:hint="default" w:ascii="Times New Roman" w:hAnsi="Times New Roman" w:eastAsia="宋体" w:cs="Times New Roman"/>
                      <w:color w:val="auto"/>
                      <w:sz w:val="21"/>
                      <w:szCs w:val="21"/>
                      <w:highlight w:val="none"/>
                    </w:rPr>
                    <w:t>通过</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根15m高排气筒排放（DA001）</w:t>
                  </w:r>
                  <w:r>
                    <w:rPr>
                      <w:rFonts w:hint="eastAsia" w:ascii="Times New Roman" w:hAnsi="Times New Roman" w:eastAsia="宋体" w:cs="Times New Roman"/>
                      <w:color w:val="auto"/>
                      <w:sz w:val="21"/>
                      <w:szCs w:val="21"/>
                      <w:highlight w:val="none"/>
                      <w:lang w:eastAsia="zh-CN"/>
                    </w:rPr>
                    <w:t>；</w:t>
                  </w:r>
                </w:p>
                <w:p w14:paraId="5EE7C353">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②车间</w:t>
                  </w:r>
                  <w:r>
                    <w:rPr>
                      <w:rFonts w:hint="eastAsia" w:ascii="Times New Roman" w:hAnsi="Times New Roman" w:cs="Times New Roman"/>
                      <w:color w:val="auto"/>
                      <w:sz w:val="21"/>
                      <w:szCs w:val="21"/>
                      <w:lang w:val="en-US" w:eastAsia="zh-CN"/>
                    </w:rPr>
                    <w:t>切割采用湿法切割，仅产生少量粉尘</w:t>
                  </w:r>
                  <w:r>
                    <w:rPr>
                      <w:rFonts w:hint="default" w:ascii="Times New Roman" w:hAnsi="Times New Roman" w:eastAsia="宋体" w:cs="Times New Roman"/>
                      <w:color w:val="auto"/>
                      <w:sz w:val="21"/>
                      <w:szCs w:val="21"/>
                    </w:rPr>
                    <w:t>；</w:t>
                  </w:r>
                </w:p>
                <w:p w14:paraId="0B76266A">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highlight w:val="none"/>
                    </w:rPr>
                    <w:t>车间</w:t>
                  </w:r>
                  <w:r>
                    <w:rPr>
                      <w:rFonts w:hint="default" w:ascii="Times New Roman" w:hAnsi="Times New Roman" w:cs="Times New Roman"/>
                      <w:color w:val="auto"/>
                      <w:sz w:val="21"/>
                      <w:szCs w:val="21"/>
                      <w:highlight w:val="none"/>
                      <w:lang w:val="en-US" w:eastAsia="zh-CN"/>
                    </w:rPr>
                    <w:t>内搅拌</w:t>
                  </w:r>
                  <w:r>
                    <w:rPr>
                      <w:rFonts w:hint="default" w:ascii="Times New Roman" w:hAnsi="Times New Roman" w:eastAsia="宋体" w:cs="Times New Roman"/>
                      <w:color w:val="auto"/>
                      <w:sz w:val="21"/>
                      <w:szCs w:val="21"/>
                      <w:highlight w:val="none"/>
                    </w:rPr>
                    <w:t>工序产生的粉尘</w:t>
                  </w:r>
                  <w:r>
                    <w:rPr>
                      <w:rFonts w:hint="eastAsia" w:ascii="Times New Roman" w:hAnsi="Times New Roman" w:eastAsia="宋体" w:cs="Times New Roman"/>
                      <w:color w:val="auto"/>
                      <w:sz w:val="21"/>
                      <w:szCs w:val="21"/>
                      <w:highlight w:val="none"/>
                      <w:lang w:val="en-US" w:eastAsia="zh-CN"/>
                    </w:rPr>
                    <w:t>由</w:t>
                  </w:r>
                  <w:r>
                    <w:rPr>
                      <w:rFonts w:hint="default" w:ascii="Times New Roman" w:hAnsi="Times New Roman" w:eastAsia="宋体" w:cs="Times New Roman"/>
                      <w:color w:val="auto"/>
                      <w:sz w:val="21"/>
                      <w:szCs w:val="21"/>
                      <w:highlight w:val="none"/>
                    </w:rPr>
                    <w:t>集气</w:t>
                  </w:r>
                  <w:r>
                    <w:rPr>
                      <w:rFonts w:hint="default" w:ascii="Times New Roman" w:hAnsi="Times New Roman" w:cs="Times New Roman"/>
                      <w:color w:val="auto"/>
                      <w:sz w:val="21"/>
                      <w:szCs w:val="21"/>
                      <w:highlight w:val="none"/>
                      <w:lang w:val="en-US" w:eastAsia="zh-CN"/>
                    </w:rPr>
                    <w:t>罩</w:t>
                  </w:r>
                  <w:r>
                    <w:rPr>
                      <w:rFonts w:hint="default" w:ascii="Times New Roman" w:hAnsi="Times New Roman" w:eastAsia="宋体" w:cs="Times New Roman"/>
                      <w:color w:val="auto"/>
                      <w:sz w:val="21"/>
                      <w:szCs w:val="21"/>
                      <w:highlight w:val="none"/>
                    </w:rPr>
                    <w:t>收集至袋式除尘器，处理后通过</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根15m高排气筒排放（DA001）</w:t>
                  </w:r>
                  <w:r>
                    <w:rPr>
                      <w:rFonts w:hint="eastAsia" w:ascii="Times New Roman" w:hAnsi="Times New Roman" w:eastAsia="宋体" w:cs="Times New Roman"/>
                      <w:color w:val="auto"/>
                      <w:sz w:val="21"/>
                      <w:szCs w:val="21"/>
                      <w:highlight w:val="none"/>
                      <w:lang w:eastAsia="zh-CN"/>
                    </w:rPr>
                    <w:t>；</w:t>
                  </w:r>
                </w:p>
              </w:tc>
              <w:tc>
                <w:tcPr>
                  <w:tcW w:w="564" w:type="pct"/>
                  <w:tcBorders>
                    <w:tl2br w:val="nil"/>
                    <w:tr2bl w:val="nil"/>
                  </w:tcBorders>
                  <w:vAlign w:val="center"/>
                </w:tcPr>
                <w:p w14:paraId="3DAFBE87">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w:t>
                  </w:r>
                </w:p>
              </w:tc>
            </w:tr>
            <w:tr w14:paraId="368A72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41768B16">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0E82251D">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3445" w:type="pct"/>
                  <w:gridSpan w:val="2"/>
                  <w:tcBorders>
                    <w:tl2br w:val="nil"/>
                    <w:tr2bl w:val="nil"/>
                  </w:tcBorders>
                  <w:vAlign w:val="center"/>
                </w:tcPr>
                <w:p w14:paraId="5F96EEBA">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建设6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eastAsia" w:ascii="Times New Roman" w:hAnsi="Times New Roman" w:cs="Times New Roman"/>
                      <w:color w:val="auto"/>
                      <w:sz w:val="21"/>
                      <w:szCs w:val="21"/>
                      <w:lang w:val="en-US" w:eastAsia="zh-CN"/>
                    </w:rPr>
                    <w:t>沉淀池</w:t>
                  </w:r>
                  <w:r>
                    <w:rPr>
                      <w:rFonts w:hint="default" w:ascii="Times New Roman" w:hAnsi="Times New Roman" w:eastAsia="宋体" w:cs="Times New Roman"/>
                      <w:color w:val="auto"/>
                      <w:sz w:val="21"/>
                      <w:szCs w:val="21"/>
                    </w:rPr>
                    <w:t>，生活污水排入园区污水管网</w:t>
                  </w:r>
                </w:p>
              </w:tc>
              <w:tc>
                <w:tcPr>
                  <w:tcW w:w="564" w:type="pct"/>
                  <w:tcBorders>
                    <w:tl2br w:val="nil"/>
                    <w:tr2bl w:val="nil"/>
                  </w:tcBorders>
                  <w:vAlign w:val="center"/>
                </w:tcPr>
                <w:p w14:paraId="416ABF06">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新建</w:t>
                  </w:r>
                </w:p>
              </w:tc>
            </w:tr>
            <w:tr w14:paraId="081E66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5BF1677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tcBorders>
                    <w:tl2br w:val="nil"/>
                    <w:tr2bl w:val="nil"/>
                  </w:tcBorders>
                  <w:vAlign w:val="center"/>
                </w:tcPr>
                <w:p w14:paraId="115F9A4F">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3445" w:type="pct"/>
                  <w:gridSpan w:val="2"/>
                  <w:tcBorders>
                    <w:tl2br w:val="nil"/>
                    <w:tr2bl w:val="nil"/>
                  </w:tcBorders>
                  <w:vAlign w:val="center"/>
                </w:tcPr>
                <w:p w14:paraId="125490D7">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采取相应吸隔声、减振措施，加强管理</w:t>
                  </w:r>
                </w:p>
              </w:tc>
              <w:tc>
                <w:tcPr>
                  <w:tcW w:w="564" w:type="pct"/>
                  <w:tcBorders>
                    <w:tl2br w:val="nil"/>
                    <w:tr2bl w:val="nil"/>
                  </w:tcBorders>
                  <w:vAlign w:val="center"/>
                </w:tcPr>
                <w:p w14:paraId="5CFDD487">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w:t>
                  </w:r>
                </w:p>
              </w:tc>
            </w:tr>
            <w:tr w14:paraId="06D15F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78750AF5">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vMerge w:val="restart"/>
                  <w:tcBorders>
                    <w:tl2br w:val="nil"/>
                    <w:tr2bl w:val="nil"/>
                  </w:tcBorders>
                  <w:vAlign w:val="center"/>
                </w:tcPr>
                <w:p w14:paraId="1C13EDD7">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tc>
              <w:tc>
                <w:tcPr>
                  <w:tcW w:w="541" w:type="pct"/>
                  <w:tcBorders>
                    <w:tl2br w:val="nil"/>
                    <w:tr2bl w:val="nil"/>
                  </w:tcBorders>
                  <w:vAlign w:val="center"/>
                </w:tcPr>
                <w:p w14:paraId="6F892A8C">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一般工业固废</w:t>
                  </w:r>
                </w:p>
              </w:tc>
              <w:tc>
                <w:tcPr>
                  <w:tcW w:w="2904" w:type="pct"/>
                  <w:tcBorders>
                    <w:tl2br w:val="nil"/>
                    <w:tr2bl w:val="nil"/>
                  </w:tcBorders>
                  <w:vAlign w:val="center"/>
                </w:tcPr>
                <w:p w14:paraId="7BC301DB">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color w:val="auto"/>
                      <w:lang w:val="en-US" w:eastAsia="zh-CN"/>
                    </w:rPr>
                  </w:pPr>
                  <w:r>
                    <w:rPr>
                      <w:rFonts w:hint="eastAsia"/>
                      <w:color w:val="auto"/>
                    </w:rPr>
                    <w:t>①</w:t>
                  </w:r>
                  <w:r>
                    <w:rPr>
                      <w:rFonts w:hint="eastAsia"/>
                      <w:color w:val="auto"/>
                      <w:lang w:val="en-US" w:eastAsia="zh-CN"/>
                    </w:rPr>
                    <w:t>废边角料：集中收集于固废暂存间，定期外运填埋场填埋；</w:t>
                  </w:r>
                </w:p>
                <w:p w14:paraId="2EDAAB7E">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color w:val="auto"/>
                      <w:lang w:val="en-US" w:eastAsia="zh-CN"/>
                    </w:rPr>
                  </w:pPr>
                  <w:r>
                    <w:rPr>
                      <w:rFonts w:hint="eastAsia"/>
                      <w:color w:val="auto"/>
                    </w:rPr>
                    <w:t>②废包装袋</w:t>
                  </w:r>
                  <w:r>
                    <w:rPr>
                      <w:rFonts w:hint="eastAsia"/>
                      <w:color w:val="auto"/>
                      <w:lang w:val="en-US" w:eastAsia="zh-CN"/>
                    </w:rPr>
                    <w:t>外售回收单位综合利用；</w:t>
                  </w:r>
                </w:p>
                <w:p w14:paraId="6C04B460">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color w:val="auto"/>
                      <w:lang w:val="en-US" w:eastAsia="zh-CN"/>
                    </w:rPr>
                  </w:pPr>
                  <w:r>
                    <w:rPr>
                      <w:rFonts w:hint="eastAsia"/>
                      <w:color w:val="auto"/>
                      <w:lang w:val="en-US" w:eastAsia="zh-CN"/>
                    </w:rPr>
                    <w:t>③沉淀池沉渣回用于生产；</w:t>
                  </w:r>
                </w:p>
                <w:p w14:paraId="63AFCEFF">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color w:val="auto"/>
                      <w:lang w:val="en-US" w:eastAsia="zh-CN"/>
                    </w:rPr>
                  </w:pPr>
                  <w:r>
                    <w:rPr>
                      <w:rFonts w:hint="eastAsia"/>
                      <w:color w:val="auto"/>
                      <w:lang w:val="en-US" w:eastAsia="zh-CN"/>
                    </w:rPr>
                    <w:t>④除尘灰回用于生产；</w:t>
                  </w:r>
                </w:p>
                <w:p w14:paraId="7AAEF4E8">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ascii="Times New Roman" w:hAnsi="Times New Roman" w:eastAsia="宋体" w:cs="Times New Roman"/>
                      <w:color w:val="auto"/>
                      <w:sz w:val="24"/>
                      <w:szCs w:val="24"/>
                    </w:rPr>
                  </w:pPr>
                  <w:r>
                    <w:rPr>
                      <w:rFonts w:hint="eastAsia"/>
                      <w:color w:val="auto"/>
                      <w:lang w:val="en-US" w:eastAsia="zh-CN"/>
                    </w:rPr>
                    <w:t>⑤</w:t>
                  </w:r>
                  <w:r>
                    <w:rPr>
                      <w:rFonts w:hint="eastAsia"/>
                      <w:color w:val="auto"/>
                    </w:rPr>
                    <w:t>生活垃圾由当地环卫部门统一清运处理</w:t>
                  </w:r>
                </w:p>
              </w:tc>
              <w:tc>
                <w:tcPr>
                  <w:tcW w:w="564" w:type="pct"/>
                  <w:tcBorders>
                    <w:tl2br w:val="nil"/>
                    <w:tr2bl w:val="nil"/>
                  </w:tcBorders>
                  <w:vAlign w:val="center"/>
                </w:tcPr>
                <w:p w14:paraId="2408173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r w14:paraId="36BD70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0" w:type="pct"/>
                  <w:vMerge w:val="continue"/>
                  <w:tcBorders>
                    <w:tl2br w:val="nil"/>
                    <w:tr2bl w:val="nil"/>
                  </w:tcBorders>
                  <w:vAlign w:val="center"/>
                </w:tcPr>
                <w:p w14:paraId="1D83EB3C">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pct"/>
                  <w:vMerge w:val="continue"/>
                  <w:tcBorders>
                    <w:tl2br w:val="nil"/>
                    <w:tr2bl w:val="nil"/>
                  </w:tcBorders>
                  <w:vAlign w:val="center"/>
                </w:tcPr>
                <w:p w14:paraId="7B16D2D1">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p>
              </w:tc>
              <w:tc>
                <w:tcPr>
                  <w:tcW w:w="541" w:type="pct"/>
                  <w:tcBorders>
                    <w:tl2br w:val="nil"/>
                    <w:tr2bl w:val="nil"/>
                  </w:tcBorders>
                  <w:vAlign w:val="center"/>
                </w:tcPr>
                <w:p w14:paraId="69DC80EB">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p>
              </w:tc>
              <w:tc>
                <w:tcPr>
                  <w:tcW w:w="2904" w:type="pct"/>
                  <w:tcBorders>
                    <w:tl2br w:val="nil"/>
                    <w:tr2bl w:val="nil"/>
                  </w:tcBorders>
                  <w:vAlign w:val="center"/>
                </w:tcPr>
                <w:p w14:paraId="662E9A55">
                  <w:pPr>
                    <w:pStyle w:val="3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1"/>
                      <w:szCs w:val="21"/>
                    </w:rPr>
                    <w:t>废机油等危险废物暂存于危废暂存间，交由有资质单位处理</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建筑面积为</w:t>
                  </w:r>
                  <w:r>
                    <w:rPr>
                      <w:rFonts w:hint="eastAsia" w:ascii="Times New Roman" w:hAnsi="Times New Roman" w:cs="Times New Roman"/>
                      <w:color w:val="auto"/>
                      <w:sz w:val="21"/>
                      <w:szCs w:val="21"/>
                      <w:lang w:val="en-US" w:eastAsia="zh-CN"/>
                    </w:rPr>
                    <w:t>6m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rPr>
                    <w:t>，符合《危险废物贮存污染控制标准》（GB18597-20</w:t>
                  </w:r>
                  <w:r>
                    <w:rPr>
                      <w:rFonts w:hint="eastAsia" w:ascii="Times New Roman" w:hAnsi="Times New Roman" w:cs="Times New Roman"/>
                      <w:color w:val="auto"/>
                      <w:sz w:val="21"/>
                      <w:szCs w:val="21"/>
                      <w:lang w:val="en-US" w:eastAsia="zh-CN"/>
                    </w:rPr>
                    <w:t>23</w:t>
                  </w:r>
                  <w:r>
                    <w:rPr>
                      <w:rFonts w:hint="eastAsia" w:ascii="Times New Roman" w:hAnsi="Times New Roman" w:eastAsia="宋体" w:cs="Times New Roman"/>
                      <w:color w:val="auto"/>
                      <w:sz w:val="21"/>
                      <w:szCs w:val="21"/>
                    </w:rPr>
                    <w:t>）及其修改单中要求</w:t>
                  </w:r>
                </w:p>
              </w:tc>
              <w:tc>
                <w:tcPr>
                  <w:tcW w:w="564" w:type="pct"/>
                  <w:tcBorders>
                    <w:tl2br w:val="nil"/>
                    <w:tr2bl w:val="nil"/>
                  </w:tcBorders>
                  <w:vAlign w:val="center"/>
                </w:tcPr>
                <w:p w14:paraId="7821146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新建</w:t>
                  </w:r>
                </w:p>
              </w:tc>
            </w:tr>
          </w:tbl>
          <w:p w14:paraId="7396F755">
            <w:pPr>
              <w:adjustRightInd w:val="0"/>
              <w:snapToGrid w:val="0"/>
              <w:jc w:val="center"/>
              <w:rPr>
                <w:rFonts w:hint="eastAsia" w:ascii="宋体" w:hAnsi="宋体" w:cs="宋体"/>
                <w:b/>
                <w:bCs/>
                <w:color w:val="auto"/>
                <w:szCs w:val="21"/>
              </w:rPr>
            </w:pPr>
          </w:p>
          <w:p w14:paraId="03D08E42">
            <w:pPr>
              <w:adjustRightInd w:val="0"/>
              <w:snapToGrid w:val="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主要产品及产能</w:t>
            </w:r>
          </w:p>
          <w:p w14:paraId="5D9A72AD">
            <w:pPr>
              <w:ind w:firstLine="480"/>
              <w:jc w:val="both"/>
              <w:rPr>
                <w:color w:val="auto"/>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产品</w:t>
            </w:r>
            <w:r>
              <w:rPr>
                <w:rFonts w:hint="eastAsia"/>
                <w:color w:val="auto"/>
                <w:lang w:val="en-US" w:eastAsia="zh-CN"/>
              </w:rPr>
              <w:t>方案</w:t>
            </w:r>
            <w:r>
              <w:rPr>
                <w:color w:val="auto"/>
              </w:rPr>
              <w:t>见</w:t>
            </w:r>
            <w:r>
              <w:rPr>
                <w:rFonts w:hint="eastAsia"/>
                <w:color w:val="auto"/>
              </w:rPr>
              <w:t>下</w:t>
            </w:r>
            <w:r>
              <w:rPr>
                <w:color w:val="auto"/>
              </w:rPr>
              <w:t>表。</w:t>
            </w:r>
          </w:p>
          <w:p w14:paraId="13E1A4B6">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b/>
                <w:color w:val="auto"/>
                <w:sz w:val="21"/>
                <w:szCs w:val="21"/>
              </w:rPr>
            </w:pPr>
            <w:r>
              <w:rPr>
                <w:b/>
                <w:color w:val="auto"/>
                <w:sz w:val="21"/>
                <w:szCs w:val="21"/>
              </w:rPr>
              <w:t>表</w:t>
            </w:r>
            <w:r>
              <w:rPr>
                <w:rFonts w:hint="eastAsia"/>
                <w:b/>
                <w:color w:val="auto"/>
                <w:sz w:val="21"/>
                <w:szCs w:val="21"/>
                <w:lang w:val="en-US" w:eastAsia="zh-CN"/>
              </w:rPr>
              <w:t xml:space="preserve">2-2    </w:t>
            </w:r>
            <w:r>
              <w:rPr>
                <w:b/>
                <w:color w:val="auto"/>
                <w:sz w:val="21"/>
                <w:szCs w:val="21"/>
              </w:rPr>
              <w:t>项目产品方案表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23"/>
              <w:gridCol w:w="4421"/>
              <w:gridCol w:w="2726"/>
            </w:tblGrid>
            <w:tr w14:paraId="183E8A7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9" w:type="pct"/>
                  <w:tcBorders>
                    <w:tl2br w:val="nil"/>
                    <w:tr2bl w:val="nil"/>
                  </w:tcBorders>
                  <w:vAlign w:val="center"/>
                </w:tcPr>
                <w:p w14:paraId="0AAA64AC">
                  <w:pPr>
                    <w:pStyle w:val="3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2672" w:type="pct"/>
                  <w:tcBorders>
                    <w:tl2br w:val="nil"/>
                    <w:tr2bl w:val="nil"/>
                  </w:tcBorders>
                  <w:vAlign w:val="center"/>
                </w:tcPr>
                <w:p w14:paraId="5D093E2A">
                  <w:pPr>
                    <w:pStyle w:val="3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产品名称</w:t>
                  </w:r>
                </w:p>
              </w:tc>
              <w:tc>
                <w:tcPr>
                  <w:tcW w:w="1647" w:type="pct"/>
                  <w:tcBorders>
                    <w:tl2br w:val="nil"/>
                    <w:tr2bl w:val="nil"/>
                  </w:tcBorders>
                  <w:vAlign w:val="center"/>
                </w:tcPr>
                <w:p w14:paraId="4B016B33">
                  <w:pPr>
                    <w:pStyle w:val="3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年达产规模</w:t>
                  </w:r>
                </w:p>
              </w:tc>
            </w:tr>
            <w:tr w14:paraId="5B5E11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9" w:type="pct"/>
                  <w:tcBorders>
                    <w:tl2br w:val="nil"/>
                    <w:tr2bl w:val="nil"/>
                  </w:tcBorders>
                  <w:vAlign w:val="center"/>
                </w:tcPr>
                <w:p w14:paraId="4A8AF682">
                  <w:pPr>
                    <w:pStyle w:val="3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672" w:type="pct"/>
                  <w:tcBorders>
                    <w:tl2br w:val="nil"/>
                    <w:tr2bl w:val="nil"/>
                  </w:tcBorders>
                  <w:vAlign w:val="center"/>
                </w:tcPr>
                <w:p w14:paraId="770BD894">
                  <w:pPr>
                    <w:pStyle w:val="3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节能型复合保温免拆一体板</w:t>
                  </w:r>
                </w:p>
              </w:tc>
              <w:tc>
                <w:tcPr>
                  <w:tcW w:w="1647" w:type="pct"/>
                  <w:tcBorders>
                    <w:tl2br w:val="nil"/>
                    <w:tr2bl w:val="nil"/>
                  </w:tcBorders>
                  <w:vAlign w:val="center"/>
                </w:tcPr>
                <w:p w14:paraId="2C31DB23">
                  <w:pPr>
                    <w:pStyle w:val="3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0万平方米</w:t>
                  </w:r>
                </w:p>
              </w:tc>
            </w:tr>
          </w:tbl>
          <w:p w14:paraId="1465A304">
            <w:pPr>
              <w:adjustRightInd w:val="0"/>
              <w:snapToGrid w:val="0"/>
              <w:rPr>
                <w:rFonts w:hint="eastAsia" w:ascii="宋体" w:hAnsi="宋体" w:cs="宋体"/>
                <w:b/>
                <w:bCs/>
                <w:color w:val="auto"/>
                <w:sz w:val="24"/>
                <w:szCs w:val="24"/>
              </w:rPr>
            </w:pPr>
          </w:p>
          <w:p w14:paraId="03C5CB44">
            <w:pPr>
              <w:adjustRightInd w:val="0"/>
              <w:snapToGrid w:val="0"/>
              <w:spacing w:line="36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主要生产设备</w:t>
            </w:r>
          </w:p>
          <w:p w14:paraId="32F55E94">
            <w:pPr>
              <w:spacing w:line="360" w:lineRule="auto"/>
              <w:ind w:firstLine="48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本项目主要</w:t>
            </w:r>
            <w:r>
              <w:rPr>
                <w:rFonts w:hint="default" w:ascii="Times New Roman" w:hAnsi="Times New Roman" w:cs="Times New Roman"/>
                <w:color w:val="auto"/>
                <w:sz w:val="24"/>
                <w:szCs w:val="24"/>
                <w:lang w:val="en-US" w:eastAsia="zh-CN"/>
              </w:rPr>
              <w:t>生产设备</w:t>
            </w:r>
            <w:r>
              <w:rPr>
                <w:rFonts w:hint="default" w:ascii="Times New Roman" w:hAnsi="Times New Roman" w:cs="Times New Roman"/>
                <w:color w:val="auto"/>
                <w:sz w:val="24"/>
                <w:szCs w:val="24"/>
              </w:rPr>
              <w:t>名称及用量见下表。</w:t>
            </w:r>
          </w:p>
          <w:p w14:paraId="004853D4">
            <w:pPr>
              <w:spacing w:before="0"/>
              <w:ind w:left="0" w:right="10" w:firstLine="0"/>
              <w:jc w:val="center"/>
              <w:rPr>
                <w:b/>
                <w:color w:val="auto"/>
                <w:sz w:val="21"/>
                <w:szCs w:val="21"/>
              </w:rPr>
            </w:pPr>
            <w:r>
              <w:rPr>
                <w:b/>
                <w:color w:val="auto"/>
                <w:sz w:val="21"/>
                <w:szCs w:val="21"/>
              </w:rPr>
              <w:t>表</w:t>
            </w:r>
            <w:r>
              <w:rPr>
                <w:rFonts w:hint="eastAsia"/>
                <w:b/>
                <w:color w:val="auto"/>
                <w:sz w:val="21"/>
                <w:szCs w:val="21"/>
                <w:lang w:val="en-US" w:eastAsia="zh-CN"/>
              </w:rPr>
              <w:t>2</w:t>
            </w:r>
            <w:r>
              <w:rPr>
                <w:rFonts w:ascii="Times New Roman" w:eastAsia="Times New Roman"/>
                <w:b/>
                <w:color w:val="auto"/>
                <w:sz w:val="21"/>
                <w:szCs w:val="21"/>
              </w:rPr>
              <w:t>-3</w:t>
            </w:r>
            <w:r>
              <w:rPr>
                <w:rFonts w:hint="eastAsia" w:eastAsia="宋体"/>
                <w:b/>
                <w:color w:val="auto"/>
                <w:sz w:val="21"/>
                <w:szCs w:val="21"/>
                <w:lang w:val="en-US" w:eastAsia="zh-CN"/>
              </w:rPr>
              <w:t xml:space="preserve">    </w:t>
            </w:r>
            <w:r>
              <w:rPr>
                <w:b/>
                <w:color w:val="auto"/>
                <w:sz w:val="21"/>
                <w:szCs w:val="21"/>
              </w:rPr>
              <w:t>主要生产设备一览表</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67"/>
              <w:gridCol w:w="2411"/>
              <w:gridCol w:w="2704"/>
              <w:gridCol w:w="1506"/>
              <w:gridCol w:w="982"/>
            </w:tblGrid>
            <w:tr w14:paraId="5D8596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03" w:type="pct"/>
                  <w:tcBorders>
                    <w:bottom w:val="single" w:color="000000" w:sz="12" w:space="0"/>
                  </w:tcBorders>
                  <w:vAlign w:val="center"/>
                </w:tcPr>
                <w:p w14:paraId="58A8411C">
                  <w:pPr>
                    <w:pStyle w:val="30"/>
                    <w:spacing w:before="28"/>
                    <w:ind w:left="95" w:right="68"/>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1457" w:type="pct"/>
                  <w:tcBorders>
                    <w:bottom w:val="single" w:color="000000" w:sz="12" w:space="0"/>
                  </w:tcBorders>
                  <w:vAlign w:val="center"/>
                </w:tcPr>
                <w:p w14:paraId="5DCE8028">
                  <w:pPr>
                    <w:pStyle w:val="30"/>
                    <w:spacing w:before="28"/>
                    <w:ind w:left="233" w:right="188"/>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生产设备</w:t>
                  </w:r>
                </w:p>
              </w:tc>
              <w:tc>
                <w:tcPr>
                  <w:tcW w:w="1634" w:type="pct"/>
                  <w:tcBorders>
                    <w:bottom w:val="single" w:color="000000" w:sz="12" w:space="0"/>
                  </w:tcBorders>
                  <w:vAlign w:val="center"/>
                </w:tcPr>
                <w:p w14:paraId="6235F985">
                  <w:pPr>
                    <w:pStyle w:val="30"/>
                    <w:spacing w:before="28"/>
                    <w:ind w:left="233" w:right="188"/>
                    <w:jc w:val="center"/>
                    <w:rPr>
                      <w:rFonts w:hint="default" w:ascii="Times New Roman" w:hAnsi="Times New Roman" w:eastAsia="宋体" w:cs="Times New Roman"/>
                      <w:b/>
                      <w:color w:val="auto"/>
                      <w:sz w:val="21"/>
                      <w:szCs w:val="21"/>
                    </w:rPr>
                  </w:pPr>
                  <w:r>
                    <w:rPr>
                      <w:rFonts w:hint="eastAsia" w:ascii="Times New Roman" w:hAnsi="Times New Roman" w:eastAsia="宋体" w:cs="Times New Roman"/>
                      <w:b/>
                      <w:bCs/>
                      <w:color w:val="auto"/>
                      <w:kern w:val="0"/>
                      <w:sz w:val="21"/>
                      <w:szCs w:val="21"/>
                      <w:lang w:val="en-US" w:eastAsia="zh-CN" w:bidi="ar"/>
                    </w:rPr>
                    <w:t>规格型号</w:t>
                  </w:r>
                </w:p>
              </w:tc>
              <w:tc>
                <w:tcPr>
                  <w:tcW w:w="910" w:type="pct"/>
                  <w:tcBorders>
                    <w:bottom w:val="single" w:color="000000" w:sz="12" w:space="0"/>
                  </w:tcBorders>
                  <w:vAlign w:val="center"/>
                </w:tcPr>
                <w:p w14:paraId="39913E38">
                  <w:pPr>
                    <w:pStyle w:val="30"/>
                    <w:spacing w:before="28"/>
                    <w:ind w:left="202" w:right="162"/>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单位</w:t>
                  </w:r>
                </w:p>
              </w:tc>
              <w:tc>
                <w:tcPr>
                  <w:tcW w:w="593" w:type="pct"/>
                  <w:tcBorders>
                    <w:bottom w:val="single" w:color="000000" w:sz="12" w:space="0"/>
                  </w:tcBorders>
                  <w:vAlign w:val="center"/>
                </w:tcPr>
                <w:p w14:paraId="590660A6">
                  <w:pPr>
                    <w:pStyle w:val="30"/>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数量</w:t>
                  </w:r>
                </w:p>
              </w:tc>
            </w:tr>
            <w:tr w14:paraId="101952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03" w:type="pct"/>
                  <w:tcBorders>
                    <w:top w:val="single" w:color="000000" w:sz="12" w:space="0"/>
                    <w:tl2br w:val="nil"/>
                    <w:tr2bl w:val="nil"/>
                  </w:tcBorders>
                  <w:vAlign w:val="center"/>
                </w:tcPr>
                <w:p w14:paraId="5F13FBC1">
                  <w:pPr>
                    <w:pStyle w:val="30"/>
                    <w:spacing w:before="16" w:line="275" w:lineRule="exact"/>
                    <w:ind w:left="27"/>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57" w:type="pct"/>
                  <w:tcBorders>
                    <w:top w:val="single" w:color="000000" w:sz="12" w:space="0"/>
                    <w:tl2br w:val="nil"/>
                    <w:tr2bl w:val="nil"/>
                  </w:tcBorders>
                  <w:vAlign w:val="center"/>
                </w:tcPr>
                <w:p w14:paraId="453FA33E">
                  <w:pPr>
                    <w:pStyle w:val="30"/>
                    <w:spacing w:line="291" w:lineRule="exact"/>
                    <w:ind w:left="233" w:right="19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切割机</w:t>
                  </w:r>
                </w:p>
              </w:tc>
              <w:tc>
                <w:tcPr>
                  <w:tcW w:w="1634" w:type="pct"/>
                  <w:tcBorders>
                    <w:top w:val="single" w:color="000000" w:sz="12" w:space="0"/>
                    <w:tl2br w:val="nil"/>
                    <w:tr2bl w:val="nil"/>
                  </w:tcBorders>
                  <w:vAlign w:val="center"/>
                </w:tcPr>
                <w:p w14:paraId="5B32E92C">
                  <w:pPr>
                    <w:pStyle w:val="30"/>
                    <w:spacing w:line="291" w:lineRule="exact"/>
                    <w:ind w:left="233" w:right="19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KJPD-ZD-1625</w:t>
                  </w:r>
                </w:p>
              </w:tc>
              <w:tc>
                <w:tcPr>
                  <w:tcW w:w="910" w:type="pct"/>
                  <w:tcBorders>
                    <w:top w:val="single" w:color="000000" w:sz="12" w:space="0"/>
                    <w:tl2br w:val="nil"/>
                    <w:tr2bl w:val="nil"/>
                  </w:tcBorders>
                  <w:vAlign w:val="center"/>
                </w:tcPr>
                <w:p w14:paraId="7F7FEC77">
                  <w:pPr>
                    <w:pStyle w:val="30"/>
                    <w:spacing w:before="2" w:line="288"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593" w:type="pct"/>
                  <w:tcBorders>
                    <w:top w:val="single" w:color="000000" w:sz="12" w:space="0"/>
                    <w:tl2br w:val="nil"/>
                    <w:tr2bl w:val="nil"/>
                  </w:tcBorders>
                  <w:vAlign w:val="center"/>
                </w:tcPr>
                <w:p w14:paraId="08931059">
                  <w:pPr>
                    <w:pStyle w:val="30"/>
                    <w:spacing w:before="16" w:line="275" w:lineRule="exact"/>
                    <w:ind w:left="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r>
            <w:tr w14:paraId="019DB3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3" w:type="pct"/>
                  <w:tcBorders>
                    <w:tl2br w:val="nil"/>
                    <w:tr2bl w:val="nil"/>
                  </w:tcBorders>
                  <w:vAlign w:val="center"/>
                </w:tcPr>
                <w:p w14:paraId="6535E6F7">
                  <w:pPr>
                    <w:pStyle w:val="30"/>
                    <w:spacing w:before="16" w:line="275"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457" w:type="pct"/>
                  <w:tcBorders>
                    <w:tl2br w:val="nil"/>
                    <w:tr2bl w:val="nil"/>
                  </w:tcBorders>
                  <w:vAlign w:val="center"/>
                </w:tcPr>
                <w:p w14:paraId="739B3F73">
                  <w:pPr>
                    <w:pStyle w:val="30"/>
                    <w:spacing w:line="291"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混合机</w:t>
                  </w:r>
                </w:p>
              </w:tc>
              <w:tc>
                <w:tcPr>
                  <w:tcW w:w="1634" w:type="pct"/>
                  <w:tcBorders>
                    <w:tl2br w:val="nil"/>
                    <w:tr2bl w:val="nil"/>
                  </w:tcBorders>
                  <w:vAlign w:val="center"/>
                </w:tcPr>
                <w:p w14:paraId="45E4DE23">
                  <w:pPr>
                    <w:pStyle w:val="30"/>
                    <w:spacing w:line="291" w:lineRule="exact"/>
                    <w:ind w:left="233" w:right="19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DX-400</w:t>
                  </w:r>
                </w:p>
              </w:tc>
              <w:tc>
                <w:tcPr>
                  <w:tcW w:w="910" w:type="pct"/>
                  <w:tcBorders>
                    <w:tl2br w:val="nil"/>
                    <w:tr2bl w:val="nil"/>
                  </w:tcBorders>
                  <w:vAlign w:val="center"/>
                </w:tcPr>
                <w:p w14:paraId="141D94ED">
                  <w:pPr>
                    <w:pStyle w:val="30"/>
                    <w:spacing w:line="291"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593" w:type="pct"/>
                  <w:tcBorders>
                    <w:tl2br w:val="nil"/>
                    <w:tr2bl w:val="nil"/>
                  </w:tcBorders>
                  <w:vAlign w:val="center"/>
                </w:tcPr>
                <w:p w14:paraId="63D02B1B">
                  <w:pPr>
                    <w:pStyle w:val="30"/>
                    <w:spacing w:before="16" w:line="275" w:lineRule="exact"/>
                    <w:ind w:left="42"/>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2</w:t>
                  </w:r>
                </w:p>
              </w:tc>
            </w:tr>
            <w:tr w14:paraId="6A6282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03" w:type="pct"/>
                  <w:tcBorders>
                    <w:tl2br w:val="nil"/>
                    <w:tr2bl w:val="nil"/>
                  </w:tcBorders>
                  <w:vAlign w:val="center"/>
                </w:tcPr>
                <w:p w14:paraId="77310FCE">
                  <w:pPr>
                    <w:pStyle w:val="30"/>
                    <w:spacing w:before="16" w:line="275"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457" w:type="pct"/>
                  <w:tcBorders>
                    <w:tl2br w:val="nil"/>
                    <w:tr2bl w:val="nil"/>
                  </w:tcBorders>
                  <w:vAlign w:val="center"/>
                </w:tcPr>
                <w:p w14:paraId="3B216F38">
                  <w:pPr>
                    <w:pStyle w:val="30"/>
                    <w:spacing w:line="291"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复合一体板生产线</w:t>
                  </w:r>
                </w:p>
              </w:tc>
              <w:tc>
                <w:tcPr>
                  <w:tcW w:w="1634" w:type="pct"/>
                  <w:tcBorders>
                    <w:tl2br w:val="nil"/>
                    <w:tr2bl w:val="nil"/>
                  </w:tcBorders>
                  <w:vAlign w:val="center"/>
                </w:tcPr>
                <w:p w14:paraId="3E1B9013">
                  <w:pPr>
                    <w:pStyle w:val="30"/>
                    <w:spacing w:line="291" w:lineRule="exact"/>
                    <w:ind w:left="233" w:right="19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10" w:type="pct"/>
                  <w:tcBorders>
                    <w:tl2br w:val="nil"/>
                    <w:tr2bl w:val="nil"/>
                  </w:tcBorders>
                  <w:vAlign w:val="center"/>
                </w:tcPr>
                <w:p w14:paraId="178F258A">
                  <w:pPr>
                    <w:pStyle w:val="30"/>
                    <w:spacing w:line="291"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条</w:t>
                  </w:r>
                </w:p>
              </w:tc>
              <w:tc>
                <w:tcPr>
                  <w:tcW w:w="593" w:type="pct"/>
                  <w:tcBorders>
                    <w:tl2br w:val="nil"/>
                    <w:tr2bl w:val="nil"/>
                  </w:tcBorders>
                  <w:vAlign w:val="center"/>
                </w:tcPr>
                <w:p w14:paraId="0B40FF03">
                  <w:pPr>
                    <w:pStyle w:val="30"/>
                    <w:spacing w:before="16" w:line="275" w:lineRule="exact"/>
                    <w:ind w:left="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r>
            <w:tr w14:paraId="759D70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03" w:type="pct"/>
                  <w:tcBorders>
                    <w:tl2br w:val="nil"/>
                    <w:tr2bl w:val="nil"/>
                  </w:tcBorders>
                  <w:vAlign w:val="center"/>
                </w:tcPr>
                <w:p w14:paraId="63A7B2A7">
                  <w:pPr>
                    <w:pStyle w:val="30"/>
                    <w:spacing w:before="17" w:line="274"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457" w:type="pct"/>
                  <w:tcBorders>
                    <w:tl2br w:val="nil"/>
                    <w:tr2bl w:val="nil"/>
                  </w:tcBorders>
                  <w:vAlign w:val="center"/>
                </w:tcPr>
                <w:p w14:paraId="08B1C226">
                  <w:pPr>
                    <w:pStyle w:val="30"/>
                    <w:spacing w:before="3" w:line="288"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储料罐</w:t>
                  </w:r>
                </w:p>
              </w:tc>
              <w:tc>
                <w:tcPr>
                  <w:tcW w:w="1634" w:type="pct"/>
                  <w:tcBorders>
                    <w:tl2br w:val="nil"/>
                    <w:tr2bl w:val="nil"/>
                  </w:tcBorders>
                  <w:vAlign w:val="center"/>
                </w:tcPr>
                <w:p w14:paraId="0884403C">
                  <w:pPr>
                    <w:pStyle w:val="30"/>
                    <w:spacing w:before="3" w:line="288" w:lineRule="exact"/>
                    <w:ind w:left="233" w:right="19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p>
              </w:tc>
              <w:tc>
                <w:tcPr>
                  <w:tcW w:w="910" w:type="pct"/>
                  <w:tcBorders>
                    <w:tl2br w:val="nil"/>
                    <w:tr2bl w:val="nil"/>
                  </w:tcBorders>
                  <w:vAlign w:val="center"/>
                </w:tcPr>
                <w:p w14:paraId="261256F2">
                  <w:pPr>
                    <w:pStyle w:val="30"/>
                    <w:spacing w:before="3" w:line="288"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593" w:type="pct"/>
                  <w:tcBorders>
                    <w:tl2br w:val="nil"/>
                    <w:tr2bl w:val="nil"/>
                  </w:tcBorders>
                  <w:vAlign w:val="center"/>
                </w:tcPr>
                <w:p w14:paraId="68A8F86C">
                  <w:pPr>
                    <w:pStyle w:val="30"/>
                    <w:spacing w:before="17" w:line="274" w:lineRule="exact"/>
                    <w:ind w:left="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r>
            <w:tr w14:paraId="7D8129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03" w:type="pct"/>
                  <w:tcBorders>
                    <w:tl2br w:val="nil"/>
                    <w:tr2bl w:val="nil"/>
                  </w:tcBorders>
                  <w:vAlign w:val="center"/>
                </w:tcPr>
                <w:p w14:paraId="4B3E8C64">
                  <w:pPr>
                    <w:pStyle w:val="30"/>
                    <w:spacing w:before="17" w:line="275"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457" w:type="pct"/>
                  <w:tcBorders>
                    <w:tl2br w:val="nil"/>
                    <w:tr2bl w:val="nil"/>
                  </w:tcBorders>
                  <w:vAlign w:val="center"/>
                </w:tcPr>
                <w:p w14:paraId="0E05712C">
                  <w:pPr>
                    <w:pStyle w:val="30"/>
                    <w:spacing w:before="1" w:line="291"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变压器</w:t>
                  </w:r>
                </w:p>
              </w:tc>
              <w:tc>
                <w:tcPr>
                  <w:tcW w:w="1634" w:type="pct"/>
                  <w:tcBorders>
                    <w:tl2br w:val="nil"/>
                    <w:tr2bl w:val="nil"/>
                  </w:tcBorders>
                  <w:vAlign w:val="center"/>
                </w:tcPr>
                <w:p w14:paraId="6228B970">
                  <w:pPr>
                    <w:pStyle w:val="30"/>
                    <w:spacing w:before="1" w:line="291" w:lineRule="exact"/>
                    <w:ind w:left="233" w:right="19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10" w:type="pct"/>
                  <w:tcBorders>
                    <w:tl2br w:val="nil"/>
                    <w:tr2bl w:val="nil"/>
                  </w:tcBorders>
                  <w:vAlign w:val="center"/>
                </w:tcPr>
                <w:p w14:paraId="24ADCB0D">
                  <w:pPr>
                    <w:pStyle w:val="30"/>
                    <w:spacing w:before="1" w:line="291"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593" w:type="pct"/>
                  <w:tcBorders>
                    <w:tl2br w:val="nil"/>
                    <w:tr2bl w:val="nil"/>
                  </w:tcBorders>
                  <w:vAlign w:val="center"/>
                </w:tcPr>
                <w:p w14:paraId="326F4DFD">
                  <w:pPr>
                    <w:pStyle w:val="30"/>
                    <w:spacing w:before="17" w:line="275" w:lineRule="exact"/>
                    <w:ind w:left="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67E0E7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03" w:type="pct"/>
                  <w:tcBorders>
                    <w:tl2br w:val="nil"/>
                    <w:tr2bl w:val="nil"/>
                  </w:tcBorders>
                  <w:vAlign w:val="center"/>
                </w:tcPr>
                <w:p w14:paraId="2C544863">
                  <w:pPr>
                    <w:pStyle w:val="30"/>
                    <w:spacing w:before="16" w:line="274"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457" w:type="pct"/>
                  <w:tcBorders>
                    <w:tl2br w:val="nil"/>
                    <w:tr2bl w:val="nil"/>
                  </w:tcBorders>
                  <w:vAlign w:val="center"/>
                </w:tcPr>
                <w:p w14:paraId="59F4ED1A">
                  <w:pPr>
                    <w:pStyle w:val="30"/>
                    <w:spacing w:line="290"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货车</w:t>
                  </w:r>
                </w:p>
              </w:tc>
              <w:tc>
                <w:tcPr>
                  <w:tcW w:w="1634" w:type="pct"/>
                  <w:tcBorders>
                    <w:tl2br w:val="nil"/>
                    <w:tr2bl w:val="nil"/>
                  </w:tcBorders>
                  <w:vAlign w:val="center"/>
                </w:tcPr>
                <w:p w14:paraId="3D2D280F">
                  <w:pPr>
                    <w:pStyle w:val="30"/>
                    <w:spacing w:line="290" w:lineRule="exact"/>
                    <w:ind w:left="233" w:right="19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10" w:type="pct"/>
                  <w:tcBorders>
                    <w:tl2br w:val="nil"/>
                    <w:tr2bl w:val="nil"/>
                  </w:tcBorders>
                  <w:vAlign w:val="center"/>
                </w:tcPr>
                <w:p w14:paraId="44FE593F">
                  <w:pPr>
                    <w:pStyle w:val="30"/>
                    <w:spacing w:line="290"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辆</w:t>
                  </w:r>
                </w:p>
              </w:tc>
              <w:tc>
                <w:tcPr>
                  <w:tcW w:w="593" w:type="pct"/>
                  <w:tcBorders>
                    <w:tl2br w:val="nil"/>
                    <w:tr2bl w:val="nil"/>
                  </w:tcBorders>
                  <w:vAlign w:val="center"/>
                </w:tcPr>
                <w:p w14:paraId="3D3175E1">
                  <w:pPr>
                    <w:pStyle w:val="30"/>
                    <w:spacing w:before="16" w:line="274" w:lineRule="exact"/>
                    <w:ind w:left="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r>
            <w:tr w14:paraId="645D15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03" w:type="pct"/>
                  <w:tcBorders>
                    <w:tl2br w:val="nil"/>
                    <w:tr2bl w:val="nil"/>
                  </w:tcBorders>
                  <w:vAlign w:val="center"/>
                </w:tcPr>
                <w:p w14:paraId="77E06D04">
                  <w:pPr>
                    <w:pStyle w:val="30"/>
                    <w:spacing w:before="17" w:line="274"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457" w:type="pct"/>
                  <w:tcBorders>
                    <w:tl2br w:val="nil"/>
                    <w:tr2bl w:val="nil"/>
                  </w:tcBorders>
                  <w:vAlign w:val="center"/>
                </w:tcPr>
                <w:p w14:paraId="03A5D53D">
                  <w:pPr>
                    <w:pStyle w:val="30"/>
                    <w:spacing w:before="1" w:line="290"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叉车</w:t>
                  </w:r>
                </w:p>
              </w:tc>
              <w:tc>
                <w:tcPr>
                  <w:tcW w:w="1634" w:type="pct"/>
                  <w:tcBorders>
                    <w:tl2br w:val="nil"/>
                    <w:tr2bl w:val="nil"/>
                  </w:tcBorders>
                  <w:vAlign w:val="center"/>
                </w:tcPr>
                <w:p w14:paraId="27C9BF1E">
                  <w:pPr>
                    <w:pStyle w:val="30"/>
                    <w:spacing w:before="1" w:line="290" w:lineRule="exact"/>
                    <w:ind w:left="233" w:right="190"/>
                    <w:jc w:val="center"/>
                    <w:rPr>
                      <w:rFonts w:hint="default" w:ascii="Times New Roman" w:hAnsi="Times New Roman" w:eastAsia="微软雅黑" w:cs="Times New Roman"/>
                      <w:color w:val="auto"/>
                      <w:sz w:val="21"/>
                      <w:szCs w:val="21"/>
                      <w:lang w:val="en-US" w:eastAsia="zh-CN"/>
                    </w:rPr>
                  </w:pPr>
                  <w:r>
                    <w:rPr>
                      <w:rFonts w:hint="default" w:ascii="Times New Roman" w:hAnsi="Times New Roman" w:eastAsia="微软雅黑" w:cs="Times New Roman"/>
                      <w:b w:val="0"/>
                      <w:bCs w:val="0"/>
                      <w:i w:val="0"/>
                      <w:iCs w:val="0"/>
                      <w:caps w:val="0"/>
                      <w:color w:val="auto"/>
                      <w:spacing w:val="0"/>
                      <w:sz w:val="21"/>
                      <w:szCs w:val="21"/>
                    </w:rPr>
                    <w:t>EYU</w:t>
                  </w:r>
                  <w:r>
                    <w:rPr>
                      <w:rFonts w:hint="default" w:ascii="Times New Roman" w:hAnsi="Times New Roman" w:eastAsia="微软雅黑" w:cs="Times New Roman"/>
                      <w:b w:val="0"/>
                      <w:bCs w:val="0"/>
                      <w:i w:val="0"/>
                      <w:iCs w:val="0"/>
                      <w:caps w:val="0"/>
                      <w:color w:val="auto"/>
                      <w:spacing w:val="0"/>
                      <w:sz w:val="21"/>
                      <w:szCs w:val="21"/>
                      <w:lang w:val="en-US" w:eastAsia="zh-CN"/>
                    </w:rPr>
                    <w:t>2100</w:t>
                  </w:r>
                </w:p>
              </w:tc>
              <w:tc>
                <w:tcPr>
                  <w:tcW w:w="910" w:type="pct"/>
                  <w:tcBorders>
                    <w:tl2br w:val="nil"/>
                    <w:tr2bl w:val="nil"/>
                  </w:tcBorders>
                  <w:vAlign w:val="center"/>
                </w:tcPr>
                <w:p w14:paraId="597212A3">
                  <w:pPr>
                    <w:pStyle w:val="30"/>
                    <w:spacing w:before="1" w:line="290"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593" w:type="pct"/>
                  <w:tcBorders>
                    <w:tl2br w:val="nil"/>
                    <w:tr2bl w:val="nil"/>
                  </w:tcBorders>
                  <w:vAlign w:val="center"/>
                </w:tcPr>
                <w:p w14:paraId="4FFBCFFC">
                  <w:pPr>
                    <w:pStyle w:val="30"/>
                    <w:spacing w:before="17" w:line="274" w:lineRule="exact"/>
                    <w:ind w:left="4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r>
            <w:tr w14:paraId="55DFF0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03" w:type="pct"/>
                  <w:tcBorders>
                    <w:tl2br w:val="nil"/>
                    <w:tr2bl w:val="nil"/>
                  </w:tcBorders>
                  <w:vAlign w:val="center"/>
                </w:tcPr>
                <w:p w14:paraId="2092A519">
                  <w:pPr>
                    <w:pStyle w:val="30"/>
                    <w:spacing w:before="17" w:line="274" w:lineRule="exact"/>
                    <w:ind w:left="27"/>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457" w:type="pct"/>
                  <w:tcBorders>
                    <w:tl2br w:val="nil"/>
                    <w:tr2bl w:val="nil"/>
                  </w:tcBorders>
                  <w:vAlign w:val="center"/>
                </w:tcPr>
                <w:p w14:paraId="6AA12CDE">
                  <w:pPr>
                    <w:pStyle w:val="30"/>
                    <w:spacing w:before="1" w:line="290" w:lineRule="exact"/>
                    <w:ind w:left="233" w:right="19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养护架</w:t>
                  </w:r>
                </w:p>
              </w:tc>
              <w:tc>
                <w:tcPr>
                  <w:tcW w:w="1634" w:type="pct"/>
                  <w:tcBorders>
                    <w:tl2br w:val="nil"/>
                    <w:tr2bl w:val="nil"/>
                  </w:tcBorders>
                  <w:vAlign w:val="center"/>
                </w:tcPr>
                <w:p w14:paraId="3F25CC6C">
                  <w:pPr>
                    <w:pStyle w:val="30"/>
                    <w:spacing w:before="1" w:line="290" w:lineRule="exact"/>
                    <w:ind w:left="233" w:right="19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10" w:type="pct"/>
                  <w:tcBorders>
                    <w:tl2br w:val="nil"/>
                    <w:tr2bl w:val="nil"/>
                  </w:tcBorders>
                  <w:vAlign w:val="center"/>
                </w:tcPr>
                <w:p w14:paraId="46977125">
                  <w:pPr>
                    <w:pStyle w:val="30"/>
                    <w:spacing w:before="1" w:line="290" w:lineRule="exact"/>
                    <w:ind w:left="4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套</w:t>
                  </w:r>
                </w:p>
              </w:tc>
              <w:tc>
                <w:tcPr>
                  <w:tcW w:w="593" w:type="pct"/>
                  <w:tcBorders>
                    <w:tl2br w:val="nil"/>
                    <w:tr2bl w:val="nil"/>
                  </w:tcBorders>
                  <w:vAlign w:val="center"/>
                </w:tcPr>
                <w:p w14:paraId="5D4D7ABB">
                  <w:pPr>
                    <w:pStyle w:val="30"/>
                    <w:spacing w:before="17" w:line="274"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700</w:t>
                  </w:r>
                </w:p>
              </w:tc>
            </w:tr>
            <w:tr w14:paraId="31DB90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03" w:type="pct"/>
                  <w:tcBorders>
                    <w:tl2br w:val="nil"/>
                    <w:tr2bl w:val="nil"/>
                  </w:tcBorders>
                  <w:vAlign w:val="center"/>
                </w:tcPr>
                <w:p w14:paraId="740E6DBA">
                  <w:pPr>
                    <w:pStyle w:val="30"/>
                    <w:spacing w:before="18" w:line="274" w:lineRule="exact"/>
                    <w:ind w:left="95" w:right="68"/>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457" w:type="pct"/>
                  <w:tcBorders>
                    <w:tl2br w:val="nil"/>
                    <w:tr2bl w:val="nil"/>
                  </w:tcBorders>
                  <w:vAlign w:val="center"/>
                </w:tcPr>
                <w:p w14:paraId="21C29D18">
                  <w:pPr>
                    <w:jc w:val="center"/>
                    <w:rPr>
                      <w:rFonts w:hint="default" w:ascii="Times New Roman" w:hAnsi="Times New Roman" w:eastAsia="宋体" w:cs="Times New Roman"/>
                      <w:bCs/>
                      <w:color w:val="auto"/>
                      <w:kern w:val="2"/>
                      <w:sz w:val="21"/>
                      <w:szCs w:val="21"/>
                      <w:vertAlign w:val="baseline"/>
                      <w:lang w:val="en-US" w:eastAsia="zh-CN" w:bidi="ar-SA"/>
                    </w:rPr>
                  </w:pPr>
                  <w:r>
                    <w:rPr>
                      <w:rFonts w:hint="eastAsia" w:ascii="Times New Roman" w:hAnsi="Times New Roman" w:eastAsia="宋体" w:cs="Times New Roman"/>
                      <w:bCs/>
                      <w:color w:val="auto"/>
                      <w:sz w:val="21"/>
                      <w:szCs w:val="21"/>
                      <w:vertAlign w:val="baseline"/>
                      <w:lang w:val="en-US" w:eastAsia="zh-CN"/>
                    </w:rPr>
                    <w:t>集气罩</w:t>
                  </w:r>
                </w:p>
              </w:tc>
              <w:tc>
                <w:tcPr>
                  <w:tcW w:w="1634" w:type="pct"/>
                  <w:tcBorders>
                    <w:tl2br w:val="nil"/>
                    <w:tr2bl w:val="nil"/>
                  </w:tcBorders>
                  <w:vAlign w:val="center"/>
                </w:tcPr>
                <w:p w14:paraId="15D23B7D">
                  <w:pPr>
                    <w:jc w:val="center"/>
                    <w:rPr>
                      <w:rFonts w:hint="default" w:ascii="Times New Roman" w:hAnsi="Times New Roman" w:eastAsia="宋体"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搅拌工段：</w:t>
                  </w:r>
                  <w:r>
                    <w:rPr>
                      <w:rFonts w:hint="eastAsia" w:ascii="Times New Roman" w:hAnsi="Times New Roman" w:cs="Times New Roman"/>
                      <w:color w:val="auto"/>
                      <w:sz w:val="21"/>
                      <w:szCs w:val="21"/>
                      <w:lang w:val="en-US" w:eastAsia="zh-CN"/>
                    </w:rPr>
                    <w:t>3m×2m×0.35m</w:t>
                  </w:r>
                </w:p>
              </w:tc>
              <w:tc>
                <w:tcPr>
                  <w:tcW w:w="910" w:type="pct"/>
                  <w:tcBorders>
                    <w:tl2br w:val="nil"/>
                    <w:tr2bl w:val="nil"/>
                  </w:tcBorders>
                  <w:vAlign w:val="center"/>
                </w:tcPr>
                <w:p w14:paraId="766605C8">
                  <w:pPr>
                    <w:spacing w:before="2" w:line="290" w:lineRule="exact"/>
                    <w:ind w:left="204" w:right="162"/>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套</w:t>
                  </w:r>
                </w:p>
              </w:tc>
              <w:tc>
                <w:tcPr>
                  <w:tcW w:w="593" w:type="pct"/>
                  <w:tcBorders>
                    <w:tl2br w:val="nil"/>
                    <w:tr2bl w:val="nil"/>
                  </w:tcBorders>
                  <w:vAlign w:val="center"/>
                </w:tcPr>
                <w:p w14:paraId="034EB4E9">
                  <w:pPr>
                    <w:pStyle w:val="30"/>
                    <w:spacing w:before="18" w:line="274" w:lineRule="exact"/>
                    <w:ind w:left="45"/>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r>
            <w:tr w14:paraId="2DB7F4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03" w:type="pct"/>
                  <w:tcBorders>
                    <w:tl2br w:val="nil"/>
                    <w:tr2bl w:val="nil"/>
                  </w:tcBorders>
                  <w:vAlign w:val="center"/>
                </w:tcPr>
                <w:p w14:paraId="6C5E0FF6">
                  <w:pPr>
                    <w:pStyle w:val="30"/>
                    <w:spacing w:before="18" w:line="274" w:lineRule="exact"/>
                    <w:ind w:left="95" w:right="68"/>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457" w:type="pct"/>
                  <w:tcBorders>
                    <w:tl2br w:val="nil"/>
                    <w:tr2bl w:val="nil"/>
                  </w:tcBorders>
                  <w:vAlign w:val="center"/>
                </w:tcPr>
                <w:p w14:paraId="008926C0">
                  <w:pPr>
                    <w:jc w:val="center"/>
                    <w:rPr>
                      <w:rFonts w:hint="default" w:ascii="Times New Roman" w:hAnsi="Times New Roman" w:eastAsia="宋体" w:cs="Times New Roman"/>
                      <w:bCs/>
                      <w:color w:val="auto"/>
                      <w:kern w:val="2"/>
                      <w:sz w:val="21"/>
                      <w:szCs w:val="21"/>
                      <w:vertAlign w:val="baseline"/>
                      <w:lang w:val="en-US" w:eastAsia="zh-CN" w:bidi="ar-SA"/>
                    </w:rPr>
                  </w:pPr>
                  <w:r>
                    <w:rPr>
                      <w:rFonts w:hint="eastAsia" w:ascii="Times New Roman" w:hAnsi="Times New Roman" w:eastAsia="宋体" w:cs="Times New Roman"/>
                      <w:bCs/>
                      <w:color w:val="auto"/>
                      <w:sz w:val="21"/>
                      <w:szCs w:val="21"/>
                      <w:vertAlign w:val="baseline"/>
                      <w:lang w:val="en-US" w:eastAsia="zh-CN"/>
                    </w:rPr>
                    <w:t>风机</w:t>
                  </w:r>
                </w:p>
              </w:tc>
              <w:tc>
                <w:tcPr>
                  <w:tcW w:w="1634" w:type="pct"/>
                  <w:tcBorders>
                    <w:tl2br w:val="nil"/>
                    <w:tr2bl w:val="nil"/>
                  </w:tcBorders>
                  <w:vAlign w:val="center"/>
                </w:tcPr>
                <w:p w14:paraId="4E94A366">
                  <w:pPr>
                    <w:jc w:val="center"/>
                    <w:rPr>
                      <w:rFonts w:hint="eastAsia" w:ascii="Times New Roman" w:hAnsi="Times New Roman" w:eastAsia="宋体" w:cs="Times New Roman"/>
                      <w:bCs/>
                      <w:color w:val="auto"/>
                      <w:sz w:val="21"/>
                      <w:szCs w:val="21"/>
                      <w:vertAlign w:val="baseline"/>
                      <w:lang w:val="en-US" w:eastAsia="zh-CN"/>
                    </w:rPr>
                  </w:pPr>
                  <w:r>
                    <w:rPr>
                      <w:rFonts w:hint="eastAsia" w:ascii="Times New Roman" w:hAnsi="Times New Roman" w:eastAsia="宋体" w:cs="Times New Roman"/>
                      <w:color w:val="auto"/>
                      <w:kern w:val="0"/>
                      <w:sz w:val="21"/>
                      <w:szCs w:val="21"/>
                      <w:highlight w:val="none"/>
                      <w:lang w:val="en-US" w:eastAsia="zh-CN" w:bidi="ar"/>
                    </w:rPr>
                    <w:t>风量</w:t>
                  </w:r>
                  <w:r>
                    <w:rPr>
                      <w:rFonts w:hint="eastAsia" w:cs="Times New Roman"/>
                      <w:color w:val="auto"/>
                      <w:kern w:val="0"/>
                      <w:sz w:val="21"/>
                      <w:szCs w:val="21"/>
                      <w:highlight w:val="none"/>
                      <w:lang w:val="en-US" w:eastAsia="zh-CN" w:bidi="ar"/>
                    </w:rPr>
                    <w:t>5</w:t>
                  </w:r>
                  <w:r>
                    <w:rPr>
                      <w:rFonts w:hint="eastAsia" w:ascii="Times New Roman" w:hAnsi="Times New Roman" w:eastAsia="宋体" w:cs="Times New Roman"/>
                      <w:color w:val="auto"/>
                      <w:kern w:val="0"/>
                      <w:sz w:val="21"/>
                      <w:szCs w:val="21"/>
                      <w:highlight w:val="none"/>
                      <w:lang w:val="en-US" w:eastAsia="zh-CN" w:bidi="ar"/>
                    </w:rPr>
                    <w:t>000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kern w:val="0"/>
                      <w:sz w:val="21"/>
                      <w:szCs w:val="21"/>
                      <w:highlight w:val="none"/>
                      <w:lang w:val="en-US" w:eastAsia="zh-CN" w:bidi="ar"/>
                    </w:rPr>
                    <w:t>/h</w:t>
                  </w:r>
                </w:p>
              </w:tc>
              <w:tc>
                <w:tcPr>
                  <w:tcW w:w="910" w:type="pct"/>
                  <w:tcBorders>
                    <w:tl2br w:val="nil"/>
                    <w:tr2bl w:val="nil"/>
                  </w:tcBorders>
                  <w:vAlign w:val="center"/>
                </w:tcPr>
                <w:p w14:paraId="6FB00D86">
                  <w:pPr>
                    <w:pStyle w:val="30"/>
                    <w:spacing w:before="2" w:line="290" w:lineRule="exact"/>
                    <w:ind w:left="204" w:right="162"/>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套</w:t>
                  </w:r>
                </w:p>
              </w:tc>
              <w:tc>
                <w:tcPr>
                  <w:tcW w:w="593" w:type="pct"/>
                  <w:tcBorders>
                    <w:tl2br w:val="nil"/>
                    <w:tr2bl w:val="nil"/>
                  </w:tcBorders>
                  <w:vAlign w:val="center"/>
                </w:tcPr>
                <w:p w14:paraId="58799D78">
                  <w:pPr>
                    <w:pStyle w:val="30"/>
                    <w:spacing w:before="18" w:line="274" w:lineRule="exact"/>
                    <w:ind w:left="45"/>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r>
          </w:tbl>
          <w:p w14:paraId="01B362A7">
            <w:pPr>
              <w:adjustRightInd w:val="0"/>
              <w:snapToGrid w:val="0"/>
              <w:jc w:val="both"/>
              <w:rPr>
                <w:rFonts w:ascii="宋体" w:hAnsi="宋体" w:cs="宋体"/>
                <w:b/>
                <w:bCs/>
                <w:color w:val="auto"/>
                <w:sz w:val="24"/>
                <w:szCs w:val="24"/>
              </w:rPr>
            </w:pPr>
          </w:p>
          <w:p w14:paraId="2B27CDBE">
            <w:pPr>
              <w:adjustRightInd w:val="0"/>
              <w:snapToGrid w:val="0"/>
              <w:spacing w:line="360" w:lineRule="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.主要</w:t>
            </w:r>
            <w:r>
              <w:rPr>
                <w:rFonts w:hint="eastAsia" w:ascii="宋体" w:hAnsi="宋体" w:cs="宋体"/>
                <w:b/>
                <w:bCs/>
                <w:color w:val="auto"/>
                <w:sz w:val="24"/>
                <w:szCs w:val="24"/>
              </w:rPr>
              <w:t>原辅</w:t>
            </w:r>
            <w:r>
              <w:rPr>
                <w:rFonts w:hint="eastAsia" w:ascii="宋体" w:hAnsi="宋体" w:cs="宋体"/>
                <w:b/>
                <w:bCs/>
                <w:color w:val="auto"/>
                <w:sz w:val="24"/>
                <w:szCs w:val="24"/>
                <w:lang w:val="en-US" w:eastAsia="zh-CN"/>
              </w:rPr>
              <w:t>材料消耗</w:t>
            </w:r>
          </w:p>
          <w:p w14:paraId="6E8488B8">
            <w:pPr>
              <w:spacing w:line="360" w:lineRule="auto"/>
              <w:ind w:firstLine="480"/>
              <w:jc w:val="both"/>
              <w:rPr>
                <w:rFonts w:hint="eastAsia"/>
                <w:color w:val="auto"/>
                <w:sz w:val="24"/>
                <w:szCs w:val="24"/>
              </w:rPr>
            </w:pPr>
            <w:r>
              <w:rPr>
                <w:color w:val="auto"/>
                <w:sz w:val="24"/>
                <w:szCs w:val="24"/>
              </w:rPr>
              <w:t>本项目主要原辅材料名称及用量见</w:t>
            </w:r>
            <w:r>
              <w:rPr>
                <w:rFonts w:hint="eastAsia"/>
                <w:color w:val="auto"/>
                <w:sz w:val="24"/>
                <w:szCs w:val="24"/>
              </w:rPr>
              <w:t>下</w:t>
            </w:r>
            <w:r>
              <w:rPr>
                <w:color w:val="auto"/>
                <w:sz w:val="24"/>
                <w:szCs w:val="24"/>
              </w:rPr>
              <w:t>表</w:t>
            </w:r>
            <w:r>
              <w:rPr>
                <w:rFonts w:hint="eastAsia"/>
                <w:color w:val="auto"/>
                <w:sz w:val="24"/>
                <w:szCs w:val="24"/>
                <w:lang w:val="en-US" w:eastAsia="zh-CN"/>
              </w:rPr>
              <w:t>2-4</w:t>
            </w:r>
            <w:r>
              <w:rPr>
                <w:color w:val="auto"/>
                <w:sz w:val="24"/>
                <w:szCs w:val="24"/>
              </w:rPr>
              <w:t>。</w:t>
            </w:r>
          </w:p>
          <w:p w14:paraId="5EC21DFC">
            <w:pPr>
              <w:spacing w:before="0" w:line="240" w:lineRule="auto"/>
              <w:ind w:left="3353" w:right="0" w:firstLine="0"/>
              <w:jc w:val="left"/>
              <w:rPr>
                <w:b/>
                <w:color w:val="auto"/>
                <w:sz w:val="21"/>
                <w:szCs w:val="21"/>
              </w:rPr>
            </w:pPr>
            <w:r>
              <w:rPr>
                <w:b/>
                <w:color w:val="auto"/>
                <w:sz w:val="21"/>
                <w:szCs w:val="21"/>
              </w:rPr>
              <w:t>表</w:t>
            </w:r>
            <w:r>
              <w:rPr>
                <w:rFonts w:hint="eastAsia"/>
                <w:b/>
                <w:color w:val="auto"/>
                <w:sz w:val="21"/>
                <w:szCs w:val="21"/>
                <w:lang w:val="en-US" w:eastAsia="zh-CN"/>
              </w:rPr>
              <w:t xml:space="preserve">2-4    </w:t>
            </w:r>
            <w:r>
              <w:rPr>
                <w:b/>
                <w:color w:val="auto"/>
                <w:sz w:val="21"/>
                <w:szCs w:val="21"/>
              </w:rPr>
              <w:t>主要原辅材料</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30"/>
              <w:gridCol w:w="1727"/>
              <w:gridCol w:w="1587"/>
              <w:gridCol w:w="1486"/>
              <w:gridCol w:w="2040"/>
            </w:tblGrid>
            <w:tr w14:paraId="0EDF93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908" w:type="pct"/>
                  <w:gridSpan w:val="2"/>
                  <w:tcBorders>
                    <w:bottom w:val="single" w:color="000000" w:sz="12" w:space="0"/>
                  </w:tcBorders>
                  <w:vAlign w:val="center"/>
                </w:tcPr>
                <w:p w14:paraId="0A162D3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原料名称</w:t>
                  </w:r>
                </w:p>
              </w:tc>
              <w:tc>
                <w:tcPr>
                  <w:tcW w:w="959" w:type="pct"/>
                  <w:tcBorders>
                    <w:bottom w:val="single" w:color="000000" w:sz="12" w:space="0"/>
                  </w:tcBorders>
                  <w:vAlign w:val="center"/>
                </w:tcPr>
                <w:p w14:paraId="766CA6C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c>
                <w:tcPr>
                  <w:tcW w:w="898" w:type="pct"/>
                  <w:tcBorders>
                    <w:bottom w:val="single" w:color="000000" w:sz="12" w:space="0"/>
                  </w:tcBorders>
                  <w:vAlign w:val="center"/>
                </w:tcPr>
                <w:p w14:paraId="043A847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年消耗量</w:t>
                  </w:r>
                </w:p>
              </w:tc>
              <w:tc>
                <w:tcPr>
                  <w:tcW w:w="1233" w:type="pct"/>
                  <w:tcBorders>
                    <w:bottom w:val="single" w:color="000000" w:sz="12" w:space="0"/>
                  </w:tcBorders>
                  <w:vAlign w:val="center"/>
                </w:tcPr>
                <w:p w14:paraId="154B86E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来源</w:t>
                  </w:r>
                </w:p>
              </w:tc>
            </w:tr>
            <w:tr w14:paraId="7CEFBB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64" w:type="pct"/>
                  <w:vMerge w:val="restart"/>
                  <w:tcBorders>
                    <w:top w:val="single" w:color="000000" w:sz="12" w:space="0"/>
                    <w:tl2br w:val="nil"/>
                    <w:tr2bl w:val="nil"/>
                  </w:tcBorders>
                  <w:vAlign w:val="center"/>
                </w:tcPr>
                <w:p w14:paraId="0B4F1F1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保温聚合物</w:t>
                  </w:r>
                </w:p>
              </w:tc>
              <w:tc>
                <w:tcPr>
                  <w:tcW w:w="1043" w:type="pct"/>
                  <w:tcBorders>
                    <w:top w:val="single" w:color="000000" w:sz="12" w:space="0"/>
                    <w:tl2br w:val="nil"/>
                    <w:tr2bl w:val="nil"/>
                  </w:tcBorders>
                  <w:vAlign w:val="center"/>
                </w:tcPr>
                <w:p w14:paraId="6E4D446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砂石料</w:t>
                  </w:r>
                </w:p>
              </w:tc>
              <w:tc>
                <w:tcPr>
                  <w:tcW w:w="959" w:type="pct"/>
                  <w:tcBorders>
                    <w:top w:val="single" w:color="000000" w:sz="12" w:space="0"/>
                    <w:tl2br w:val="nil"/>
                    <w:tr2bl w:val="nil"/>
                  </w:tcBorders>
                  <w:vAlign w:val="center"/>
                </w:tcPr>
                <w:p w14:paraId="6633B17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吨</w:t>
                  </w:r>
                </w:p>
              </w:tc>
              <w:tc>
                <w:tcPr>
                  <w:tcW w:w="898" w:type="pct"/>
                  <w:tcBorders>
                    <w:top w:val="single" w:color="000000" w:sz="12" w:space="0"/>
                    <w:tl2br w:val="nil"/>
                    <w:tr2bl w:val="nil"/>
                  </w:tcBorders>
                  <w:vAlign w:val="center"/>
                </w:tcPr>
                <w:p w14:paraId="75D1F8F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7000</w:t>
                  </w:r>
                </w:p>
              </w:tc>
              <w:tc>
                <w:tcPr>
                  <w:tcW w:w="1233" w:type="pct"/>
                  <w:tcBorders>
                    <w:top w:val="single" w:color="000000" w:sz="12" w:space="0"/>
                    <w:tl2br w:val="nil"/>
                    <w:tr2bl w:val="nil"/>
                  </w:tcBorders>
                  <w:vAlign w:val="center"/>
                </w:tcPr>
                <w:p w14:paraId="4B90B51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外购</w:t>
                  </w:r>
                </w:p>
              </w:tc>
            </w:tr>
            <w:tr w14:paraId="6571FA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64" w:type="pct"/>
                  <w:vMerge w:val="continue"/>
                  <w:tcBorders>
                    <w:tl2br w:val="nil"/>
                    <w:tr2bl w:val="nil"/>
                  </w:tcBorders>
                  <w:vAlign w:val="center"/>
                </w:tcPr>
                <w:p w14:paraId="1659C2D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p>
              </w:tc>
              <w:tc>
                <w:tcPr>
                  <w:tcW w:w="1043" w:type="pct"/>
                  <w:tcBorders>
                    <w:tl2br w:val="nil"/>
                    <w:tr2bl w:val="nil"/>
                  </w:tcBorders>
                  <w:vAlign w:val="center"/>
                </w:tcPr>
                <w:p w14:paraId="5E00EBD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水泥</w:t>
                  </w:r>
                </w:p>
              </w:tc>
              <w:tc>
                <w:tcPr>
                  <w:tcW w:w="959" w:type="pct"/>
                  <w:tcBorders>
                    <w:tl2br w:val="nil"/>
                    <w:tr2bl w:val="nil"/>
                  </w:tcBorders>
                  <w:vAlign w:val="center"/>
                </w:tcPr>
                <w:p w14:paraId="0EFBDE8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吨</w:t>
                  </w:r>
                </w:p>
              </w:tc>
              <w:tc>
                <w:tcPr>
                  <w:tcW w:w="898" w:type="pct"/>
                  <w:tcBorders>
                    <w:tl2br w:val="nil"/>
                    <w:tr2bl w:val="nil"/>
                  </w:tcBorders>
                  <w:vAlign w:val="center"/>
                </w:tcPr>
                <w:p w14:paraId="3D12839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3000</w:t>
                  </w:r>
                </w:p>
              </w:tc>
              <w:tc>
                <w:tcPr>
                  <w:tcW w:w="1233" w:type="pct"/>
                  <w:tcBorders>
                    <w:tl2br w:val="nil"/>
                    <w:tr2bl w:val="nil"/>
                  </w:tcBorders>
                  <w:vAlign w:val="center"/>
                </w:tcPr>
                <w:p w14:paraId="44B4D7D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外购</w:t>
                  </w:r>
                </w:p>
              </w:tc>
            </w:tr>
            <w:tr w14:paraId="3EBE2A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64" w:type="pct"/>
                  <w:vMerge w:val="continue"/>
                  <w:tcBorders>
                    <w:tl2br w:val="nil"/>
                    <w:tr2bl w:val="nil"/>
                  </w:tcBorders>
                  <w:vAlign w:val="center"/>
                </w:tcPr>
                <w:p w14:paraId="0835DD9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p>
              </w:tc>
              <w:tc>
                <w:tcPr>
                  <w:tcW w:w="1043" w:type="pct"/>
                  <w:tcBorders>
                    <w:tl2br w:val="nil"/>
                    <w:tr2bl w:val="nil"/>
                  </w:tcBorders>
                  <w:vAlign w:val="center"/>
                </w:tcPr>
                <w:p w14:paraId="7AFADB0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聚苯颗粒熟化料</w:t>
                  </w:r>
                </w:p>
              </w:tc>
              <w:tc>
                <w:tcPr>
                  <w:tcW w:w="959" w:type="pct"/>
                  <w:tcBorders>
                    <w:tl2br w:val="nil"/>
                    <w:tr2bl w:val="nil"/>
                  </w:tcBorders>
                  <w:vAlign w:val="center"/>
                </w:tcPr>
                <w:p w14:paraId="28268C7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吨</w:t>
                  </w:r>
                </w:p>
              </w:tc>
              <w:tc>
                <w:tcPr>
                  <w:tcW w:w="898" w:type="pct"/>
                  <w:tcBorders>
                    <w:tl2br w:val="nil"/>
                    <w:tr2bl w:val="nil"/>
                  </w:tcBorders>
                  <w:vAlign w:val="center"/>
                </w:tcPr>
                <w:p w14:paraId="2C744AD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120</w:t>
                  </w:r>
                </w:p>
              </w:tc>
              <w:tc>
                <w:tcPr>
                  <w:tcW w:w="1233" w:type="pct"/>
                  <w:tcBorders>
                    <w:tl2br w:val="nil"/>
                    <w:tr2bl w:val="nil"/>
                  </w:tcBorders>
                  <w:vAlign w:val="center"/>
                </w:tcPr>
                <w:p w14:paraId="33C2593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外购</w:t>
                  </w:r>
                </w:p>
              </w:tc>
            </w:tr>
            <w:tr w14:paraId="5108CF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908" w:type="pct"/>
                  <w:gridSpan w:val="2"/>
                  <w:tcBorders>
                    <w:tl2br w:val="nil"/>
                    <w:tr2bl w:val="nil"/>
                  </w:tcBorders>
                  <w:vAlign w:val="center"/>
                </w:tcPr>
                <w:p w14:paraId="03AD7EA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胶粉</w:t>
                  </w:r>
                </w:p>
              </w:tc>
              <w:tc>
                <w:tcPr>
                  <w:tcW w:w="959" w:type="pct"/>
                  <w:tcBorders>
                    <w:tl2br w:val="nil"/>
                    <w:tr2bl w:val="nil"/>
                  </w:tcBorders>
                  <w:vAlign w:val="center"/>
                </w:tcPr>
                <w:p w14:paraId="5BC0B4E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吨</w:t>
                  </w:r>
                </w:p>
              </w:tc>
              <w:tc>
                <w:tcPr>
                  <w:tcW w:w="898" w:type="pct"/>
                  <w:tcBorders>
                    <w:tl2br w:val="nil"/>
                    <w:tr2bl w:val="nil"/>
                  </w:tcBorders>
                  <w:vAlign w:val="center"/>
                </w:tcPr>
                <w:p w14:paraId="6EB2906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1233" w:type="pct"/>
                  <w:tcBorders>
                    <w:tl2br w:val="nil"/>
                    <w:tr2bl w:val="nil"/>
                  </w:tcBorders>
                  <w:vAlign w:val="center"/>
                </w:tcPr>
                <w:p w14:paraId="34A2035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外购</w:t>
                  </w:r>
                </w:p>
              </w:tc>
            </w:tr>
            <w:tr w14:paraId="25C25F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908" w:type="pct"/>
                  <w:gridSpan w:val="2"/>
                  <w:tcBorders>
                    <w:tl2br w:val="nil"/>
                    <w:tr2bl w:val="nil"/>
                  </w:tcBorders>
                  <w:vAlign w:val="center"/>
                </w:tcPr>
                <w:p w14:paraId="2ADD129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云质板</w:t>
                  </w:r>
                </w:p>
              </w:tc>
              <w:tc>
                <w:tcPr>
                  <w:tcW w:w="959" w:type="pct"/>
                  <w:tcBorders>
                    <w:tl2br w:val="nil"/>
                    <w:tr2bl w:val="nil"/>
                  </w:tcBorders>
                  <w:vAlign w:val="center"/>
                </w:tcPr>
                <w:p w14:paraId="77AF704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万平方米</w:t>
                  </w:r>
                </w:p>
              </w:tc>
              <w:tc>
                <w:tcPr>
                  <w:tcW w:w="898" w:type="pct"/>
                  <w:tcBorders>
                    <w:tl2br w:val="nil"/>
                    <w:tr2bl w:val="nil"/>
                  </w:tcBorders>
                  <w:vAlign w:val="center"/>
                </w:tcPr>
                <w:p w14:paraId="677123F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233" w:type="pct"/>
                  <w:tcBorders>
                    <w:tl2br w:val="nil"/>
                    <w:tr2bl w:val="nil"/>
                  </w:tcBorders>
                  <w:vAlign w:val="center"/>
                </w:tcPr>
                <w:p w14:paraId="4B62EF4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外购</w:t>
                  </w:r>
                </w:p>
              </w:tc>
            </w:tr>
            <w:tr w14:paraId="035DC1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908" w:type="pct"/>
                  <w:gridSpan w:val="2"/>
                  <w:tcBorders>
                    <w:tl2br w:val="nil"/>
                    <w:tr2bl w:val="nil"/>
                  </w:tcBorders>
                  <w:vAlign w:val="center"/>
                </w:tcPr>
                <w:p w14:paraId="19AAFCD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lang w:eastAsia="zh-CN"/>
                    </w:rPr>
                  </w:pPr>
                  <w:r>
                    <w:rPr>
                      <w:rFonts w:hint="eastAsia" w:cs="宋体"/>
                      <w:color w:val="auto"/>
                      <w:sz w:val="21"/>
                      <w:szCs w:val="21"/>
                      <w:lang w:eastAsia="zh-CN"/>
                    </w:rPr>
                    <w:t>聚乙烯苯板</w:t>
                  </w:r>
                </w:p>
              </w:tc>
              <w:tc>
                <w:tcPr>
                  <w:tcW w:w="959" w:type="pct"/>
                  <w:tcBorders>
                    <w:tl2br w:val="nil"/>
                    <w:tr2bl w:val="nil"/>
                  </w:tcBorders>
                  <w:vAlign w:val="center"/>
                </w:tcPr>
                <w:p w14:paraId="47978C0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万平方米</w:t>
                  </w:r>
                </w:p>
              </w:tc>
              <w:tc>
                <w:tcPr>
                  <w:tcW w:w="898" w:type="pct"/>
                  <w:tcBorders>
                    <w:tl2br w:val="nil"/>
                    <w:tr2bl w:val="nil"/>
                  </w:tcBorders>
                  <w:vAlign w:val="center"/>
                </w:tcPr>
                <w:p w14:paraId="7070025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233" w:type="pct"/>
                  <w:tcBorders>
                    <w:tl2br w:val="nil"/>
                    <w:tr2bl w:val="nil"/>
                  </w:tcBorders>
                  <w:vAlign w:val="center"/>
                </w:tcPr>
                <w:p w14:paraId="7B308FC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外购</w:t>
                  </w:r>
                </w:p>
              </w:tc>
            </w:tr>
            <w:tr w14:paraId="6E503F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908" w:type="pct"/>
                  <w:gridSpan w:val="2"/>
                  <w:tcBorders>
                    <w:tl2br w:val="nil"/>
                    <w:tr2bl w:val="nil"/>
                  </w:tcBorders>
                  <w:vAlign w:val="center"/>
                </w:tcPr>
                <w:p w14:paraId="794AA56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cs="宋体"/>
                      <w:color w:val="auto"/>
                      <w:sz w:val="21"/>
                      <w:szCs w:val="21"/>
                      <w:lang w:val="en-US" w:eastAsia="zh-CN"/>
                    </w:rPr>
                    <w:t>石墨</w:t>
                  </w:r>
                  <w:r>
                    <w:rPr>
                      <w:rFonts w:hint="eastAsia" w:ascii="宋体" w:hAnsi="宋体" w:eastAsia="宋体" w:cs="宋体"/>
                      <w:color w:val="auto"/>
                      <w:sz w:val="21"/>
                      <w:szCs w:val="21"/>
                    </w:rPr>
                    <w:t>板</w:t>
                  </w:r>
                </w:p>
              </w:tc>
              <w:tc>
                <w:tcPr>
                  <w:tcW w:w="959" w:type="pct"/>
                  <w:tcBorders>
                    <w:tl2br w:val="nil"/>
                    <w:tr2bl w:val="nil"/>
                  </w:tcBorders>
                  <w:vAlign w:val="center"/>
                </w:tcPr>
                <w:p w14:paraId="5B07C70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万平方米</w:t>
                  </w:r>
                </w:p>
              </w:tc>
              <w:tc>
                <w:tcPr>
                  <w:tcW w:w="898" w:type="pct"/>
                  <w:tcBorders>
                    <w:tl2br w:val="nil"/>
                    <w:tr2bl w:val="nil"/>
                  </w:tcBorders>
                  <w:vAlign w:val="center"/>
                </w:tcPr>
                <w:p w14:paraId="374D4E2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233" w:type="pct"/>
                  <w:tcBorders>
                    <w:tl2br w:val="nil"/>
                    <w:tr2bl w:val="nil"/>
                  </w:tcBorders>
                  <w:vAlign w:val="center"/>
                </w:tcPr>
                <w:p w14:paraId="52B4468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外购</w:t>
                  </w:r>
                </w:p>
              </w:tc>
            </w:tr>
            <w:tr w14:paraId="3C159A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908" w:type="pct"/>
                  <w:gridSpan w:val="2"/>
                  <w:tcBorders>
                    <w:tl2br w:val="nil"/>
                    <w:tr2bl w:val="nil"/>
                  </w:tcBorders>
                  <w:vAlign w:val="center"/>
                </w:tcPr>
                <w:p w14:paraId="47E3C64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cs="宋体"/>
                      <w:color w:val="auto"/>
                      <w:sz w:val="21"/>
                      <w:szCs w:val="21"/>
                      <w:lang w:val="en-US" w:eastAsia="zh-CN"/>
                    </w:rPr>
                    <w:t>挤塑</w:t>
                  </w:r>
                  <w:r>
                    <w:rPr>
                      <w:rFonts w:hint="eastAsia" w:ascii="宋体" w:hAnsi="宋体" w:eastAsia="宋体" w:cs="宋体"/>
                      <w:color w:val="auto"/>
                      <w:sz w:val="21"/>
                      <w:szCs w:val="21"/>
                    </w:rPr>
                    <w:t>板</w:t>
                  </w:r>
                </w:p>
              </w:tc>
              <w:tc>
                <w:tcPr>
                  <w:tcW w:w="959" w:type="pct"/>
                  <w:tcBorders>
                    <w:tl2br w:val="nil"/>
                    <w:tr2bl w:val="nil"/>
                  </w:tcBorders>
                  <w:vAlign w:val="center"/>
                </w:tcPr>
                <w:p w14:paraId="03265AF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万平方米</w:t>
                  </w:r>
                </w:p>
              </w:tc>
              <w:tc>
                <w:tcPr>
                  <w:tcW w:w="898" w:type="pct"/>
                  <w:tcBorders>
                    <w:tl2br w:val="nil"/>
                    <w:tr2bl w:val="nil"/>
                  </w:tcBorders>
                  <w:vAlign w:val="center"/>
                </w:tcPr>
                <w:p w14:paraId="2B96881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233" w:type="pct"/>
                  <w:tcBorders>
                    <w:tl2br w:val="nil"/>
                    <w:tr2bl w:val="nil"/>
                  </w:tcBorders>
                  <w:vAlign w:val="center"/>
                </w:tcPr>
                <w:p w14:paraId="26DD00C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外购</w:t>
                  </w:r>
                </w:p>
              </w:tc>
            </w:tr>
            <w:tr w14:paraId="145880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908" w:type="pct"/>
                  <w:gridSpan w:val="2"/>
                  <w:tcBorders>
                    <w:tl2br w:val="nil"/>
                    <w:tr2bl w:val="nil"/>
                  </w:tcBorders>
                  <w:vAlign w:val="center"/>
                </w:tcPr>
                <w:p w14:paraId="30471F2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color w:val="auto"/>
                      <w:lang w:val="en-US" w:eastAsia="zh-CN"/>
                    </w:rPr>
                  </w:pPr>
                  <w:r>
                    <w:rPr>
                      <w:rFonts w:hint="eastAsia"/>
                      <w:color w:val="auto"/>
                      <w:lang w:val="en-US" w:eastAsia="zh-CN"/>
                    </w:rPr>
                    <w:t>水</w:t>
                  </w:r>
                </w:p>
              </w:tc>
              <w:tc>
                <w:tcPr>
                  <w:tcW w:w="959" w:type="pct"/>
                  <w:tcBorders>
                    <w:tl2br w:val="nil"/>
                    <w:tr2bl w:val="nil"/>
                  </w:tcBorders>
                  <w:vAlign w:val="center"/>
                </w:tcPr>
                <w:p w14:paraId="13C849C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吨</w:t>
                  </w:r>
                </w:p>
              </w:tc>
              <w:tc>
                <w:tcPr>
                  <w:tcW w:w="898" w:type="pct"/>
                  <w:tcBorders>
                    <w:tl2br w:val="nil"/>
                    <w:tr2bl w:val="nil"/>
                  </w:tcBorders>
                  <w:vAlign w:val="center"/>
                </w:tcPr>
                <w:p w14:paraId="7950E21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600</w:t>
                  </w:r>
                </w:p>
              </w:tc>
              <w:tc>
                <w:tcPr>
                  <w:tcW w:w="1233" w:type="pct"/>
                  <w:tcBorders>
                    <w:tl2br w:val="nil"/>
                    <w:tr2bl w:val="nil"/>
                  </w:tcBorders>
                  <w:vAlign w:val="center"/>
                </w:tcPr>
                <w:p w14:paraId="3B0CBD9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color w:val="auto"/>
                      <w:sz w:val="21"/>
                      <w:szCs w:val="21"/>
                      <w:lang w:val="en-US" w:eastAsia="zh-CN"/>
                    </w:rPr>
                  </w:pPr>
                  <w:r>
                    <w:rPr>
                      <w:rFonts w:hint="eastAsia" w:cs="宋体"/>
                      <w:color w:val="auto"/>
                      <w:sz w:val="21"/>
                      <w:szCs w:val="21"/>
                      <w:lang w:val="en-US" w:eastAsia="zh-CN"/>
                    </w:rPr>
                    <w:t>园区供水管网</w:t>
                  </w:r>
                </w:p>
              </w:tc>
            </w:tr>
          </w:tbl>
          <w:p w14:paraId="251931D9">
            <w:pPr>
              <w:pStyle w:val="9"/>
              <w:pageBreakBefore w:val="0"/>
              <w:widowControl w:val="0"/>
              <w:kinsoku/>
              <w:wordWrap/>
              <w:overflowPunct/>
              <w:topLinePunct w:val="0"/>
              <w:autoSpaceDE/>
              <w:autoSpaceDN/>
              <w:bidi w:val="0"/>
              <w:spacing w:before="0" w:after="0" w:line="360" w:lineRule="auto"/>
              <w:ind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原辅材料简介：</w:t>
            </w:r>
          </w:p>
          <w:p w14:paraId="1F0561F3">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default" w:ascii="Times New Roman" w:hAnsi="Times New Roman" w:eastAsia="宋体" w:cs="Times New Roman"/>
                <w:b/>
                <w:color w:val="auto"/>
                <w:spacing w:val="-7"/>
                <w:sz w:val="24"/>
                <w:szCs w:val="24"/>
              </w:rPr>
            </w:pPr>
            <w:r>
              <w:rPr>
                <w:rFonts w:hint="eastAsia" w:cs="Times New Roman"/>
                <w:b/>
                <w:bCs/>
                <w:color w:val="auto"/>
                <w:kern w:val="0"/>
                <w:sz w:val="24"/>
                <w:highlight w:val="none"/>
                <w:lang w:val="en-US" w:eastAsia="zh-CN"/>
              </w:rPr>
              <w:t>水泥</w:t>
            </w:r>
            <w:r>
              <w:rPr>
                <w:rFonts w:hint="eastAsia" w:cs="Times New Roman"/>
                <w:color w:val="auto"/>
                <w:kern w:val="0"/>
                <w:sz w:val="24"/>
                <w:highlight w:val="none"/>
                <w:lang w:val="en-US" w:eastAsia="zh-CN"/>
              </w:rPr>
              <w:t>：水泥为粉状水硬性无机凝胶材料，加水搅拌后形成浆体，能在空气中硬化或者在水中硬化，并能把砂、石材料牢固的胶结在一起。主要由硅酸三钙、铝酸三钙、铁铝酸四钙等化合物组成，根据这些成分的比例和性质，以及环境温度、湿度等条件来调整水泥的水化反应速度和硬化程度。</w:t>
            </w:r>
          </w:p>
          <w:p w14:paraId="0CCE9A21">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54"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pacing w:val="-7"/>
                <w:sz w:val="24"/>
                <w:szCs w:val="24"/>
              </w:rPr>
              <w:t>聚苯颗粒熟化料：</w:t>
            </w:r>
            <w:r>
              <w:rPr>
                <w:rFonts w:hint="default" w:ascii="Times New Roman" w:hAnsi="Times New Roman" w:eastAsia="宋体" w:cs="Times New Roman"/>
                <w:color w:val="auto"/>
                <w:spacing w:val="-7"/>
                <w:sz w:val="24"/>
                <w:szCs w:val="24"/>
              </w:rPr>
              <w:t>聚苯颗粒保温涂料呈灰色干粉状，是以无机胶</w:t>
            </w:r>
            <w:r>
              <w:rPr>
                <w:rFonts w:hint="default" w:ascii="Times New Roman" w:hAnsi="Times New Roman" w:eastAsia="宋体" w:cs="Times New Roman"/>
                <w:color w:val="auto"/>
                <w:spacing w:val="-10"/>
                <w:sz w:val="24"/>
                <w:szCs w:val="24"/>
              </w:rPr>
              <w:t>凝材料、高分子聚合物、增强及抗裂涂料等多种组分生产而成。通过</w:t>
            </w:r>
            <w:r>
              <w:rPr>
                <w:rFonts w:hint="default" w:ascii="Times New Roman" w:hAnsi="Times New Roman" w:eastAsia="宋体" w:cs="Times New Roman"/>
                <w:color w:val="auto"/>
                <w:spacing w:val="-4"/>
                <w:sz w:val="24"/>
                <w:szCs w:val="24"/>
              </w:rPr>
              <w:t>预混合干拌制成。聚苯颗粒保温涂料集墙体保温、装饰功能于一体，</w:t>
            </w:r>
            <w:r>
              <w:rPr>
                <w:rFonts w:hint="default" w:ascii="Times New Roman" w:hAnsi="Times New Roman" w:eastAsia="宋体" w:cs="Times New Roman"/>
                <w:color w:val="auto"/>
                <w:spacing w:val="-11"/>
                <w:sz w:val="24"/>
                <w:szCs w:val="24"/>
              </w:rPr>
              <w:t>且适用范围广、材料配套齐全，工艺简便、合理，能满足我国大部分</w:t>
            </w:r>
            <w:r>
              <w:rPr>
                <w:rFonts w:hint="default" w:ascii="Times New Roman" w:hAnsi="Times New Roman" w:eastAsia="宋体" w:cs="Times New Roman"/>
                <w:color w:val="auto"/>
                <w:spacing w:val="-14"/>
                <w:sz w:val="24"/>
                <w:szCs w:val="24"/>
              </w:rPr>
              <w:t>地区不同气候条件下的建筑节能要求。</w:t>
            </w:r>
            <w:r>
              <w:rPr>
                <w:rFonts w:hint="eastAsia" w:ascii="Times New Roman" w:hAnsi="Times New Roman" w:cs="Times New Roman"/>
                <w:color w:val="auto"/>
                <w:spacing w:val="-14"/>
                <w:sz w:val="24"/>
                <w:szCs w:val="24"/>
                <w:lang w:eastAsia="zh-CN"/>
              </w:rPr>
              <w:t>有效地解决</w:t>
            </w:r>
            <w:r>
              <w:rPr>
                <w:rFonts w:hint="default" w:ascii="Times New Roman" w:hAnsi="Times New Roman" w:eastAsia="宋体" w:cs="Times New Roman"/>
                <w:color w:val="auto"/>
                <w:spacing w:val="-14"/>
                <w:sz w:val="24"/>
                <w:szCs w:val="24"/>
              </w:rPr>
              <w:t>了保温隔热、抗裂、</w:t>
            </w:r>
            <w:r>
              <w:rPr>
                <w:rFonts w:hint="default" w:ascii="Times New Roman" w:hAnsi="Times New Roman" w:eastAsia="宋体" w:cs="Times New Roman"/>
                <w:color w:val="auto"/>
                <w:spacing w:val="-13"/>
                <w:sz w:val="24"/>
                <w:szCs w:val="24"/>
              </w:rPr>
              <w:t>抗风压、抗震、耐水、憎水、耐候、透气、施工适应性等问题，是综</w:t>
            </w:r>
            <w:r>
              <w:rPr>
                <w:rFonts w:hint="default" w:ascii="Times New Roman" w:hAnsi="Times New Roman" w:eastAsia="宋体" w:cs="Times New Roman"/>
                <w:color w:val="auto"/>
                <w:spacing w:val="-5"/>
                <w:sz w:val="24"/>
                <w:szCs w:val="24"/>
              </w:rPr>
              <w:t>合技术优势最多的外墙外</w:t>
            </w:r>
            <w:r>
              <w:rPr>
                <w:rFonts w:hint="eastAsia" w:ascii="Times New Roman" w:hAnsi="Times New Roman" w:cs="Times New Roman"/>
                <w:color w:val="auto"/>
                <w:spacing w:val="-5"/>
                <w:sz w:val="24"/>
                <w:szCs w:val="24"/>
                <w:lang w:eastAsia="zh-CN"/>
              </w:rPr>
              <w:t>保温做法</w:t>
            </w:r>
            <w:r>
              <w:rPr>
                <w:rFonts w:hint="default" w:ascii="Times New Roman" w:hAnsi="Times New Roman" w:eastAsia="宋体" w:cs="Times New Roman"/>
                <w:color w:val="auto"/>
                <w:spacing w:val="-5"/>
                <w:sz w:val="24"/>
                <w:szCs w:val="24"/>
              </w:rPr>
              <w:t>之一。</w:t>
            </w:r>
          </w:p>
          <w:p w14:paraId="112A5D57">
            <w:pPr>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default" w:ascii="Times New Roman" w:hAnsi="Times New Roman" w:eastAsia="宋体" w:cs="Times New Roman"/>
                <w:color w:val="auto"/>
                <w:spacing w:val="-4"/>
                <w:kern w:val="2"/>
                <w:sz w:val="24"/>
                <w:szCs w:val="24"/>
                <w:lang w:eastAsia="zh-CN" w:bidi="zh-CN"/>
              </w:rPr>
            </w:pPr>
            <w:r>
              <w:rPr>
                <w:rFonts w:hint="default" w:ascii="Times New Roman" w:hAnsi="Times New Roman" w:eastAsia="宋体" w:cs="Times New Roman"/>
                <w:b/>
                <w:color w:val="auto"/>
                <w:spacing w:val="2"/>
                <w:sz w:val="24"/>
                <w:szCs w:val="24"/>
              </w:rPr>
              <w:t>胶粉：</w:t>
            </w:r>
            <w:r>
              <w:rPr>
                <w:rFonts w:hint="default" w:ascii="Times New Roman" w:hAnsi="Times New Roman" w:eastAsia="宋体" w:cs="Times New Roman"/>
                <w:color w:val="auto"/>
                <w:spacing w:val="-4"/>
                <w:kern w:val="2"/>
                <w:sz w:val="24"/>
                <w:szCs w:val="24"/>
                <w:lang w:val="zh-CN" w:eastAsia="zh-CN" w:bidi="zh-CN"/>
              </w:rPr>
              <w:t>本项目使用的胶粉为分散性乳胶粉，分为乙烯/醋酸乙烯酯的共聚物、醋酸乙烯/叔碳酸乙烯共聚物、丙烯酸共聚物等，</w:t>
            </w:r>
            <w:r>
              <w:rPr>
                <w:rFonts w:hint="eastAsia" w:ascii="Times New Roman" w:hAnsi="Times New Roman" w:eastAsia="宋体" w:cs="Times New Roman"/>
                <w:color w:val="auto"/>
                <w:spacing w:val="-4"/>
                <w:kern w:val="2"/>
                <w:sz w:val="24"/>
                <w:szCs w:val="24"/>
                <w:lang w:val="en-US" w:eastAsia="zh-CN" w:bidi="zh-CN"/>
              </w:rPr>
              <w:t>本项目加工过程中仅搅拌，无加热工序</w:t>
            </w:r>
            <w:r>
              <w:rPr>
                <w:rFonts w:hint="eastAsia" w:eastAsia="宋体" w:cs="Times New Roman"/>
                <w:color w:val="auto"/>
                <w:spacing w:val="-4"/>
                <w:kern w:val="2"/>
                <w:sz w:val="24"/>
                <w:szCs w:val="24"/>
                <w:lang w:val="en-US" w:eastAsia="zh-CN" w:bidi="zh-CN"/>
              </w:rPr>
              <w:t>。</w:t>
            </w:r>
            <w:r>
              <w:rPr>
                <w:rFonts w:hint="default" w:ascii="Times New Roman" w:hAnsi="Times New Roman" w:eastAsia="宋体" w:cs="Times New Roman"/>
                <w:color w:val="auto"/>
                <w:spacing w:val="-4"/>
                <w:kern w:val="2"/>
                <w:sz w:val="24"/>
                <w:szCs w:val="24"/>
                <w:lang w:val="zh-CN" w:eastAsia="zh-CN" w:bidi="zh-CN"/>
              </w:rPr>
              <w:t>喷雾干燥后制成的粉体粘合剂，以聚乙烯醇作为保护胶体。</w:t>
            </w:r>
          </w:p>
          <w:p w14:paraId="7F4429A9">
            <w:pPr>
              <w:pageBreakBefore w:val="0"/>
              <w:widowControl w:val="0"/>
              <w:kinsoku/>
              <w:wordWrap/>
              <w:overflowPunct/>
              <w:topLinePunct w:val="0"/>
              <w:autoSpaceDE/>
              <w:autoSpaceDN/>
              <w:bidi w:val="0"/>
              <w:adjustRightInd w:val="0"/>
              <w:snapToGrid w:val="0"/>
              <w:spacing w:line="360" w:lineRule="auto"/>
              <w:ind w:left="0" w:right="0" w:firstLine="462" w:firstLineChars="200"/>
              <w:jc w:val="both"/>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pacing w:val="-5"/>
                <w:sz w:val="24"/>
                <w:szCs w:val="24"/>
                <w:highlight w:val="none"/>
                <w:lang w:eastAsia="zh-CN"/>
              </w:rPr>
              <w:t>聚乙烯苯板</w:t>
            </w:r>
            <w:r>
              <w:rPr>
                <w:rFonts w:hint="default" w:ascii="Times New Roman" w:hAnsi="Times New Roman" w:eastAsia="宋体" w:cs="Times New Roman"/>
                <w:b/>
                <w:bCs/>
                <w:color w:val="auto"/>
                <w:spacing w:val="-5"/>
                <w:sz w:val="24"/>
                <w:szCs w:val="24"/>
                <w:highlight w:val="none"/>
              </w:rPr>
              <w:t>：</w:t>
            </w:r>
            <w:r>
              <w:rPr>
                <w:rFonts w:hint="default" w:ascii="Times New Roman" w:hAnsi="Times New Roman" w:eastAsia="宋体" w:cs="Times New Roman"/>
                <w:color w:val="auto"/>
                <w:spacing w:val="-5"/>
                <w:sz w:val="24"/>
                <w:szCs w:val="24"/>
                <w:highlight w:val="none"/>
              </w:rPr>
              <w:t>它是聚</w:t>
            </w:r>
            <w:r>
              <w:rPr>
                <w:rFonts w:hint="default" w:ascii="Times New Roman" w:hAnsi="Times New Roman" w:eastAsia="宋体" w:cs="Times New Roman"/>
                <w:color w:val="auto"/>
                <w:spacing w:val="-3"/>
                <w:sz w:val="24"/>
                <w:szCs w:val="24"/>
                <w:highlight w:val="none"/>
              </w:rPr>
              <w:t>苯乙烯原料加上其他辅料和聚合物，通过加热混合同时注入催化剂，然后挤塑压出成型而制造的硬质泡沫塑料板；</w:t>
            </w:r>
            <w:r>
              <w:rPr>
                <w:rFonts w:hint="eastAsia" w:cs="Times New Roman"/>
                <w:color w:val="auto"/>
                <w:spacing w:val="-3"/>
                <w:sz w:val="24"/>
                <w:szCs w:val="24"/>
                <w:highlight w:val="none"/>
                <w:lang w:eastAsia="zh-CN"/>
              </w:rPr>
              <w:t>聚乙烯苯板</w:t>
            </w:r>
            <w:r>
              <w:rPr>
                <w:rFonts w:hint="default" w:ascii="Times New Roman" w:hAnsi="Times New Roman" w:eastAsia="宋体" w:cs="Times New Roman"/>
                <w:color w:val="auto"/>
                <w:spacing w:val="-3"/>
                <w:sz w:val="24"/>
                <w:szCs w:val="24"/>
                <w:highlight w:val="none"/>
              </w:rPr>
              <w:t>具有完美的闭孔蜂窝结构，这种结构让</w:t>
            </w:r>
            <w:r>
              <w:rPr>
                <w:rFonts w:hint="eastAsia" w:cs="Times New Roman"/>
                <w:color w:val="auto"/>
                <w:sz w:val="24"/>
                <w:szCs w:val="24"/>
                <w:highlight w:val="none"/>
                <w:lang w:eastAsia="zh-CN"/>
              </w:rPr>
              <w:t>聚乙烯苯板</w:t>
            </w:r>
            <w:r>
              <w:rPr>
                <w:rFonts w:hint="default" w:ascii="Times New Roman" w:hAnsi="Times New Roman" w:eastAsia="宋体" w:cs="Times New Roman"/>
                <w:color w:val="auto"/>
                <w:sz w:val="24"/>
                <w:szCs w:val="24"/>
                <w:highlight w:val="none"/>
              </w:rPr>
              <w:t>有极低的吸水性、低热导系数、高抗压性、抗老化性。</w:t>
            </w:r>
          </w:p>
          <w:p w14:paraId="723E0D28">
            <w:pPr>
              <w:pStyle w:val="7"/>
              <w:numPr>
                <w:ilvl w:val="0"/>
                <w:numId w:val="0"/>
              </w:numPr>
              <w:bidi w:val="0"/>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5.公用工程</w:t>
            </w:r>
          </w:p>
          <w:p w14:paraId="1AAD0F15">
            <w:pPr>
              <w:pStyle w:val="8"/>
              <w:numPr>
                <w:ilvl w:val="0"/>
                <w:numId w:val="0"/>
              </w:numPr>
              <w:bidi w:val="0"/>
              <w:spacing w:line="360" w:lineRule="auto"/>
              <w:ind w:leftChars="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5.1供电</w:t>
            </w:r>
          </w:p>
          <w:p w14:paraId="2B1EEBD5">
            <w:pPr>
              <w:pStyle w:val="18"/>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本项目电源由</w:t>
            </w:r>
            <w:r>
              <w:rPr>
                <w:rFonts w:hint="default" w:ascii="Times New Roman" w:hAnsi="Times New Roman" w:eastAsia="宋体" w:cs="Times New Roman"/>
                <w:color w:val="auto"/>
                <w:sz w:val="24"/>
                <w:szCs w:val="24"/>
                <w:lang w:val="en-US" w:eastAsia="zh-CN"/>
              </w:rPr>
              <w:t>园区</w:t>
            </w:r>
            <w:r>
              <w:rPr>
                <w:rFonts w:hint="default" w:ascii="Times New Roman" w:hAnsi="Times New Roman" w:eastAsia="宋体" w:cs="Times New Roman"/>
                <w:color w:val="auto"/>
                <w:sz w:val="24"/>
                <w:szCs w:val="24"/>
              </w:rPr>
              <w:t>供电网供给，电力设施基础完好，能满足项目用电需求；</w:t>
            </w:r>
          </w:p>
          <w:p w14:paraId="161D6D22">
            <w:pPr>
              <w:pStyle w:val="8"/>
              <w:numPr>
                <w:ilvl w:val="0"/>
                <w:numId w:val="0"/>
              </w:numPr>
              <w:bidi w:val="0"/>
              <w:spacing w:line="360" w:lineRule="auto"/>
              <w:ind w:leftChars="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5.2.给水</w:t>
            </w:r>
          </w:p>
          <w:p w14:paraId="55A4B6AA">
            <w:pPr>
              <w:pStyle w:val="18"/>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本项目生产用水主要</w:t>
            </w:r>
            <w:r>
              <w:rPr>
                <w:rFonts w:hint="eastAsia" w:cs="Times New Roman"/>
                <w:color w:val="auto"/>
                <w:sz w:val="24"/>
                <w:szCs w:val="24"/>
                <w:lang w:val="en-US" w:eastAsia="zh-CN"/>
              </w:rPr>
              <w:t>为湿法切割用水、产品用水</w:t>
            </w:r>
            <w:r>
              <w:rPr>
                <w:rFonts w:hint="default" w:ascii="Times New Roman" w:hAnsi="Times New Roman" w:eastAsia="宋体" w:cs="Times New Roman"/>
                <w:color w:val="auto"/>
                <w:sz w:val="24"/>
                <w:szCs w:val="24"/>
                <w:lang w:val="en-US" w:eastAsia="zh-CN"/>
              </w:rPr>
              <w:t>及员工生活用水量。</w:t>
            </w:r>
          </w:p>
          <w:p w14:paraId="725EA52C">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（1）湿法切割用水</w:t>
            </w:r>
          </w:p>
          <w:p w14:paraId="7453977D">
            <w:pPr>
              <w:pStyle w:val="1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根据建设单位提供资料，本项目</w:t>
            </w:r>
            <w:r>
              <w:rPr>
                <w:rFonts w:hint="eastAsia" w:cs="Times New Roman"/>
                <w:color w:val="auto"/>
                <w:sz w:val="24"/>
                <w:szCs w:val="24"/>
                <w:lang w:val="en-US" w:eastAsia="zh-CN"/>
              </w:rPr>
              <w:t>板材复合之后需进行湿法切割</w:t>
            </w:r>
            <w:r>
              <w:rPr>
                <w:rFonts w:hint="default" w:ascii="Times New Roman" w:hAnsi="Times New Roman" w:eastAsia="宋体" w:cs="Times New Roman"/>
                <w:color w:val="auto"/>
                <w:sz w:val="24"/>
                <w:szCs w:val="24"/>
                <w:vertAlign w:val="baseline"/>
                <w:lang w:val="en-US" w:eastAsia="zh-CN"/>
              </w:rPr>
              <w:t>，</w:t>
            </w:r>
            <w:r>
              <w:rPr>
                <w:rFonts w:hint="eastAsia" w:cs="Times New Roman"/>
                <w:color w:val="auto"/>
                <w:sz w:val="24"/>
                <w:szCs w:val="24"/>
                <w:vertAlign w:val="baseline"/>
                <w:lang w:val="en-US" w:eastAsia="zh-CN"/>
              </w:rPr>
              <w:t>切割用水量</w:t>
            </w:r>
            <w:r>
              <w:rPr>
                <w:rFonts w:hint="default" w:ascii="Times New Roman" w:hAnsi="Times New Roman" w:eastAsia="宋体" w:cs="Times New Roman"/>
                <w:color w:val="auto"/>
                <w:sz w:val="24"/>
                <w:szCs w:val="24"/>
                <w:vertAlign w:val="baseline"/>
                <w:lang w:val="en-US" w:eastAsia="zh-CN"/>
              </w:rPr>
              <w:t>为</w:t>
            </w:r>
            <w:r>
              <w:rPr>
                <w:rFonts w:hint="eastAsia" w:cs="Times New Roman"/>
                <w:color w:val="auto"/>
                <w:sz w:val="24"/>
                <w:szCs w:val="24"/>
                <w:vertAlign w:val="baseline"/>
                <w:lang w:val="en-US" w:eastAsia="zh-CN"/>
              </w:rPr>
              <w:t>2.5m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/d（</w:t>
            </w:r>
            <w:r>
              <w:rPr>
                <w:rFonts w:hint="eastAsia" w:cs="Times New Roman"/>
                <w:color w:val="auto"/>
                <w:sz w:val="24"/>
                <w:szCs w:val="24"/>
                <w:vertAlign w:val="baseline"/>
                <w:lang w:val="en-US" w:eastAsia="zh-CN"/>
              </w:rPr>
              <w:t>525m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/a）。</w:t>
            </w:r>
          </w:p>
          <w:p w14:paraId="060412A0">
            <w:pPr>
              <w:pStyle w:val="1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cs="Times New Roman"/>
                <w:color w:val="auto"/>
                <w:sz w:val="24"/>
                <w:szCs w:val="24"/>
                <w:vertAlign w:val="baseline"/>
                <w:lang w:val="en-US" w:eastAsia="zh-CN"/>
              </w:rPr>
            </w:pPr>
            <w:r>
              <w:rPr>
                <w:rFonts w:hint="eastAsia" w:cs="Times New Roman"/>
                <w:color w:val="auto"/>
                <w:sz w:val="24"/>
                <w:szCs w:val="24"/>
                <w:vertAlign w:val="baseline"/>
                <w:lang w:val="en-US" w:eastAsia="zh-CN"/>
              </w:rPr>
              <w:t>（2）生产用水</w:t>
            </w:r>
          </w:p>
          <w:p w14:paraId="58E1C5F1">
            <w:pPr>
              <w:pStyle w:val="1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cs="Times New Roman"/>
                <w:color w:val="auto"/>
                <w:sz w:val="24"/>
                <w:szCs w:val="24"/>
                <w:vertAlign w:val="baseline"/>
                <w:lang w:val="en-US" w:eastAsia="zh-CN"/>
              </w:rPr>
            </w:pPr>
            <w:r>
              <w:rPr>
                <w:rFonts w:hint="eastAsia" w:cs="Times New Roman"/>
                <w:color w:val="auto"/>
                <w:sz w:val="24"/>
                <w:szCs w:val="24"/>
                <w:vertAlign w:val="baseline"/>
                <w:lang w:val="en-US" w:eastAsia="zh-CN"/>
              </w:rPr>
              <w:t>本项目生产用水量为2.86m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/d（600m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/a），全部进入产品，不外排。</w:t>
            </w:r>
          </w:p>
          <w:p w14:paraId="50E60992">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生活用水</w:t>
            </w:r>
          </w:p>
          <w:p w14:paraId="19003F60">
            <w:pPr>
              <w:pStyle w:val="18"/>
              <w:bidi w:val="0"/>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本项目劳动定员为</w:t>
            </w:r>
            <w:r>
              <w:rPr>
                <w:rFonts w:hint="eastAsia" w:cs="Times New Roman"/>
                <w:color w:val="auto"/>
                <w:sz w:val="24"/>
                <w:szCs w:val="24"/>
                <w:lang w:val="en-US" w:eastAsia="zh-CN"/>
              </w:rPr>
              <w:t>15人</w:t>
            </w:r>
            <w:r>
              <w:rPr>
                <w:rFonts w:hint="default" w:ascii="Times New Roman" w:hAnsi="Times New Roman" w:eastAsia="宋体" w:cs="Times New Roman"/>
                <w:color w:val="auto"/>
                <w:sz w:val="24"/>
                <w:szCs w:val="24"/>
              </w:rPr>
              <w:t>，年工作</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天，根据《新疆维吾尔自治区生活用水定额》，人均用水量按每人</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L/d计算，则生活用水量为</w:t>
            </w:r>
            <w:r>
              <w:rPr>
                <w:rFonts w:hint="eastAsia" w:cs="Times New Roman"/>
                <w:color w:val="auto"/>
                <w:sz w:val="24"/>
                <w:szCs w:val="24"/>
                <w:lang w:val="en-US" w:eastAsia="zh-CN"/>
              </w:rPr>
              <w:t>0.75</w:t>
            </w:r>
            <w:r>
              <w:rPr>
                <w:rFonts w:hint="eastAsia" w:cs="Times New Roman"/>
                <w:color w:val="auto"/>
                <w:sz w:val="24"/>
                <w:szCs w:val="24"/>
                <w:vertAlign w:val="baseline"/>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157.5</w:t>
            </w:r>
            <w:r>
              <w:rPr>
                <w:rFonts w:hint="eastAsia" w:cs="Times New Roman"/>
                <w:color w:val="auto"/>
                <w:sz w:val="24"/>
                <w:szCs w:val="24"/>
                <w:vertAlign w:val="baseline"/>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1AE658BB">
            <w:pPr>
              <w:pStyle w:val="8"/>
              <w:bidi w:val="0"/>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5.3排水</w:t>
            </w:r>
          </w:p>
          <w:p w14:paraId="43223E7D">
            <w:pPr>
              <w:pStyle w:val="18"/>
              <w:bidi w:val="0"/>
              <w:spacing w:line="360" w:lineRule="auto"/>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本项目运营期</w:t>
            </w:r>
            <w:r>
              <w:rPr>
                <w:rFonts w:hint="eastAsia" w:cs="Times New Roman"/>
                <w:color w:val="auto"/>
                <w:sz w:val="24"/>
                <w:szCs w:val="24"/>
                <w:lang w:val="en-US" w:eastAsia="zh-CN"/>
              </w:rPr>
              <w:t>产生的废水主要为湿法切割废水和</w:t>
            </w:r>
            <w:r>
              <w:rPr>
                <w:rFonts w:hint="default" w:ascii="Times New Roman" w:hAnsi="Times New Roman" w:eastAsia="宋体" w:cs="Times New Roman"/>
                <w:color w:val="auto"/>
                <w:sz w:val="24"/>
                <w:szCs w:val="24"/>
                <w:lang w:val="en-US" w:eastAsia="zh-CN"/>
              </w:rPr>
              <w:t>生活污水</w:t>
            </w:r>
            <w:r>
              <w:rPr>
                <w:rFonts w:hint="eastAsia" w:cs="Times New Roman"/>
                <w:color w:val="auto"/>
                <w:sz w:val="24"/>
                <w:szCs w:val="24"/>
                <w:lang w:val="en-US" w:eastAsia="zh-CN"/>
              </w:rPr>
              <w:t>。</w:t>
            </w:r>
          </w:p>
          <w:p w14:paraId="259F1CA2">
            <w:pPr>
              <w:pStyle w:val="18"/>
              <w:numPr>
                <w:ilvl w:val="0"/>
                <w:numId w:val="0"/>
              </w:numPr>
              <w:bidi w:val="0"/>
              <w:spacing w:line="360" w:lineRule="auto"/>
              <w:ind w:firstLine="480" w:firstLineChars="200"/>
              <w:rPr>
                <w:rFonts w:hint="default"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产品用水</w:t>
            </w:r>
          </w:p>
          <w:p w14:paraId="0C465D94">
            <w:pPr>
              <w:pStyle w:val="18"/>
              <w:numPr>
                <w:ilvl w:val="0"/>
                <w:numId w:val="0"/>
              </w:numPr>
              <w:bidi w:val="0"/>
              <w:spacing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vertAlign w:val="baseline"/>
                <w:lang w:val="en-US" w:eastAsia="zh-CN"/>
              </w:rPr>
              <w:t>本项目生产用水量为2.86m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/d（600m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/a），全部进入产品消耗，不外排。</w:t>
            </w:r>
          </w:p>
          <w:p w14:paraId="7D7745E1">
            <w:pPr>
              <w:pStyle w:val="18"/>
              <w:numPr>
                <w:ilvl w:val="0"/>
                <w:numId w:val="0"/>
              </w:numPr>
              <w:bidi w:val="0"/>
              <w:spacing w:line="360" w:lineRule="auto"/>
              <w:ind w:firstLine="480" w:firstLineChars="200"/>
              <w:rPr>
                <w:rFonts w:hint="eastAsia"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2</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sz w:val="24"/>
                <w:szCs w:val="24"/>
                <w:lang w:val="en-US" w:eastAsia="zh-CN"/>
              </w:rPr>
              <w:t>切割废水</w:t>
            </w:r>
          </w:p>
          <w:p w14:paraId="76AFCF94">
            <w:pPr>
              <w:pStyle w:val="18"/>
              <w:numPr>
                <w:ilvl w:val="0"/>
                <w:numId w:val="0"/>
              </w:numPr>
              <w:bidi w:val="0"/>
              <w:spacing w:line="360" w:lineRule="auto"/>
              <w:ind w:firstLine="480" w:firstLineChars="200"/>
              <w:rPr>
                <w:rFonts w:hint="default" w:cs="Times New Roman"/>
                <w:color w:val="auto"/>
                <w:sz w:val="24"/>
                <w:szCs w:val="24"/>
                <w:lang w:val="en-US" w:eastAsia="zh-CN"/>
              </w:rPr>
            </w:pPr>
            <w:r>
              <w:rPr>
                <w:rFonts w:hint="default" w:ascii="Times New Roman" w:hAnsi="Times New Roman" w:cs="Times New Roman"/>
                <w:color w:val="auto"/>
                <w:highlight w:val="none"/>
              </w:rPr>
              <w:t>本项目</w:t>
            </w:r>
            <w:r>
              <w:rPr>
                <w:rFonts w:hint="default" w:ascii="Times New Roman" w:hAnsi="Times New Roman" w:cs="Times New Roman"/>
                <w:color w:val="auto"/>
                <w:highlight w:val="none"/>
                <w:lang w:val="en-US" w:eastAsia="zh-CN"/>
              </w:rPr>
              <w:t>产品在切割工序产生的切割废水，</w:t>
            </w:r>
            <w:r>
              <w:rPr>
                <w:rFonts w:hint="eastAsia" w:cs="Times New Roman"/>
                <w:color w:val="auto"/>
                <w:sz w:val="24"/>
                <w:szCs w:val="24"/>
                <w:vertAlign w:val="baseline"/>
                <w:lang w:val="en-US" w:eastAsia="zh-CN"/>
              </w:rPr>
              <w:t>切割用水量</w:t>
            </w:r>
            <w:r>
              <w:rPr>
                <w:rFonts w:hint="default" w:ascii="Times New Roman" w:hAnsi="Times New Roman" w:eastAsia="宋体" w:cs="Times New Roman"/>
                <w:color w:val="auto"/>
                <w:sz w:val="24"/>
                <w:szCs w:val="24"/>
                <w:vertAlign w:val="baseline"/>
                <w:lang w:val="en-US" w:eastAsia="zh-CN"/>
              </w:rPr>
              <w:t>为</w:t>
            </w:r>
            <w:r>
              <w:rPr>
                <w:rFonts w:hint="eastAsia" w:cs="Times New Roman"/>
                <w:color w:val="auto"/>
                <w:sz w:val="24"/>
                <w:szCs w:val="24"/>
                <w:vertAlign w:val="baseline"/>
                <w:lang w:val="en-US" w:eastAsia="zh-CN"/>
              </w:rPr>
              <w:t>2.5m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/d（</w:t>
            </w:r>
            <w:r>
              <w:rPr>
                <w:rFonts w:hint="eastAsia" w:cs="Times New Roman"/>
                <w:color w:val="auto"/>
                <w:sz w:val="24"/>
                <w:szCs w:val="24"/>
                <w:vertAlign w:val="baseline"/>
                <w:lang w:val="en-US" w:eastAsia="zh-CN"/>
              </w:rPr>
              <w:t>525m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/a）</w:t>
            </w:r>
            <w:r>
              <w:rPr>
                <w:rFonts w:hint="eastAsia" w:cs="Times New Roman"/>
                <w:color w:val="auto"/>
                <w:sz w:val="24"/>
                <w:szCs w:val="24"/>
                <w:vertAlign w:val="baseline"/>
                <w:lang w:val="en-US" w:eastAsia="zh-CN"/>
              </w:rPr>
              <w:t>，</w:t>
            </w:r>
            <w:r>
              <w:rPr>
                <w:rFonts w:hint="default" w:ascii="Times New Roman" w:hAnsi="Times New Roman" w:cs="Times New Roman"/>
                <w:color w:val="auto"/>
                <w:highlight w:val="none"/>
                <w:lang w:val="en-US" w:eastAsia="zh-CN"/>
              </w:rPr>
              <w:t>经水槽流入</w:t>
            </w:r>
            <w:r>
              <w:rPr>
                <w:rFonts w:hint="eastAsia" w:cs="Times New Roman"/>
                <w:color w:val="auto"/>
                <w:highlight w:val="none"/>
                <w:lang w:val="en-US" w:eastAsia="zh-CN"/>
              </w:rPr>
              <w:t>6m</w:t>
            </w:r>
            <w:r>
              <w:rPr>
                <w:rFonts w:hint="eastAsia"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沉淀池进行沉淀，</w:t>
            </w:r>
            <w:r>
              <w:rPr>
                <w:rFonts w:hint="eastAsia" w:cs="Times New Roman"/>
                <w:color w:val="auto"/>
                <w:highlight w:val="none"/>
                <w:lang w:val="en-US" w:eastAsia="zh-CN"/>
              </w:rPr>
              <w:t>上清液回用于物料混合搅拌，沉淀池沉渣回用于生产。</w:t>
            </w:r>
          </w:p>
          <w:p w14:paraId="0AE004E5">
            <w:pPr>
              <w:pStyle w:val="18"/>
              <w:numPr>
                <w:ilvl w:val="0"/>
                <w:numId w:val="0"/>
              </w:numPr>
              <w:bidi w:val="0"/>
              <w:spacing w:line="360" w:lineRule="auto"/>
              <w:ind w:firstLine="480" w:firstLineChars="200"/>
              <w:rPr>
                <w:rFonts w:hint="default" w:cs="Times New Roman"/>
                <w:color w:val="auto"/>
                <w:sz w:val="24"/>
                <w:szCs w:val="24"/>
                <w:lang w:val="en-US" w:eastAsia="zh-CN"/>
              </w:rPr>
            </w:pPr>
            <w:r>
              <w:rPr>
                <w:rFonts w:hint="eastAsia" w:cs="Times New Roman"/>
                <w:color w:val="auto"/>
                <w:sz w:val="24"/>
                <w:szCs w:val="24"/>
                <w:lang w:val="en-US" w:eastAsia="zh-CN"/>
              </w:rPr>
              <w:t>（3）生活污水</w:t>
            </w:r>
          </w:p>
          <w:p w14:paraId="75E469E6">
            <w:pPr>
              <w:pStyle w:val="18"/>
              <w:bidi w:val="0"/>
              <w:spacing w:line="360" w:lineRule="auto"/>
              <w:rPr>
                <w:rFonts w:hint="eastAsia"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生活污水按生活用水量的80%计，则产生量为0.</w:t>
            </w:r>
            <w:r>
              <w:rPr>
                <w:rFonts w:hint="eastAsia" w:cs="Times New Roman"/>
                <w:color w:val="auto"/>
                <w:sz w:val="24"/>
                <w:szCs w:val="24"/>
                <w:lang w:val="en-US" w:eastAsia="zh-CN"/>
              </w:rPr>
              <w:t>6</w:t>
            </w:r>
            <w:r>
              <w:rPr>
                <w:rFonts w:hint="eastAsia" w:cs="Times New Roman"/>
                <w:color w:val="auto"/>
                <w:sz w:val="24"/>
                <w:szCs w:val="24"/>
                <w:vertAlign w:val="baseline"/>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126</w:t>
            </w:r>
            <w:r>
              <w:rPr>
                <w:rFonts w:hint="eastAsia" w:cs="Times New Roman"/>
                <w:color w:val="auto"/>
                <w:sz w:val="24"/>
                <w:szCs w:val="24"/>
                <w:vertAlign w:val="baseline"/>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eastAsia="zh-CN"/>
              </w:rPr>
              <w:t>，</w:t>
            </w:r>
            <w:r>
              <w:rPr>
                <w:rFonts w:hint="eastAsia" w:cs="Times New Roman"/>
                <w:color w:val="auto"/>
                <w:sz w:val="24"/>
                <w:szCs w:val="24"/>
                <w:lang w:val="en-US" w:eastAsia="zh-CN"/>
              </w:rPr>
              <w:t>消耗量为</w:t>
            </w:r>
            <w:r>
              <w:rPr>
                <w:rFonts w:hint="default"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15</w:t>
            </w:r>
            <w:r>
              <w:rPr>
                <w:rFonts w:hint="eastAsia" w:cs="Times New Roman"/>
                <w:color w:val="auto"/>
                <w:sz w:val="24"/>
                <w:szCs w:val="24"/>
                <w:vertAlign w:val="baseline"/>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31.5</w:t>
            </w:r>
            <w:r>
              <w:rPr>
                <w:rFonts w:hint="eastAsia" w:cs="Times New Roman"/>
                <w:color w:val="auto"/>
                <w:sz w:val="24"/>
                <w:szCs w:val="24"/>
                <w:vertAlign w:val="baseline"/>
                <w:lang w:val="en-US" w:eastAsia="zh-CN"/>
              </w:rPr>
              <w:t>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val="en-US" w:eastAsia="zh-CN"/>
              </w:rPr>
              <w:t>生活污水排入园区污水管网</w:t>
            </w:r>
            <w:r>
              <w:rPr>
                <w:rFonts w:hint="eastAsia" w:cs="Times New Roman"/>
                <w:color w:val="auto"/>
                <w:sz w:val="24"/>
                <w:szCs w:val="24"/>
                <w:lang w:val="en-US" w:eastAsia="zh-CN"/>
              </w:rPr>
              <w:t>。</w:t>
            </w:r>
          </w:p>
          <w:p w14:paraId="16CC6CEF">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综上，</w:t>
            </w:r>
            <w:r>
              <w:rPr>
                <w:rFonts w:ascii="Times New Roman" w:hAnsi="Times New Roman" w:eastAsia="宋体" w:cs="Times New Roman"/>
                <w:color w:val="auto"/>
                <w:kern w:val="0"/>
                <w:sz w:val="24"/>
              </w:rPr>
              <w:t>生产废水产生量</w:t>
            </w:r>
            <w:r>
              <w:rPr>
                <w:rFonts w:hint="eastAsia" w:ascii="Times New Roman" w:hAnsi="Times New Roman" w:eastAsia="宋体" w:cs="Times New Roman"/>
                <w:color w:val="auto"/>
                <w:kern w:val="0"/>
                <w:sz w:val="24"/>
                <w:lang w:val="en-US" w:eastAsia="zh-CN"/>
              </w:rPr>
              <w:t>为</w:t>
            </w:r>
            <w:r>
              <w:rPr>
                <w:rFonts w:hint="eastAsia" w:cs="Times New Roman"/>
                <w:color w:val="auto"/>
                <w:sz w:val="24"/>
                <w:szCs w:val="24"/>
                <w:vertAlign w:val="baseline"/>
                <w:lang w:val="en-US" w:eastAsia="zh-CN"/>
              </w:rPr>
              <w:t>2.5m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/d（</w:t>
            </w:r>
            <w:r>
              <w:rPr>
                <w:rFonts w:hint="eastAsia" w:cs="Times New Roman"/>
                <w:color w:val="auto"/>
                <w:sz w:val="24"/>
                <w:szCs w:val="24"/>
                <w:vertAlign w:val="baseline"/>
                <w:lang w:val="en-US" w:eastAsia="zh-CN"/>
              </w:rPr>
              <w:t>525m</w:t>
            </w:r>
            <w:r>
              <w:rPr>
                <w:rFonts w:hint="eastAsia"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/a）</w:t>
            </w:r>
            <w:r>
              <w:rPr>
                <w:rFonts w:hint="eastAsia" w:ascii="Times New Roman" w:hAnsi="Times New Roman" w:eastAsia="宋体" w:cs="Times New Roman"/>
                <w:color w:val="auto"/>
                <w:kern w:val="0"/>
                <w:sz w:val="24"/>
              </w:rPr>
              <w:t>，</w:t>
            </w:r>
            <w:r>
              <w:rPr>
                <w:rFonts w:hint="eastAsia" w:cs="Times New Roman"/>
                <w:color w:val="auto"/>
                <w:kern w:val="0"/>
                <w:sz w:val="24"/>
                <w:lang w:val="en-US" w:eastAsia="zh-CN"/>
              </w:rPr>
              <w:t>最大日产生量为</w:t>
            </w:r>
            <w:r>
              <w:rPr>
                <w:rFonts w:hint="eastAsia" w:ascii="Times New Roman" w:hAnsi="Times New Roman" w:eastAsia="宋体" w:cs="Times New Roman"/>
                <w:color w:val="auto"/>
                <w:kern w:val="0"/>
                <w:sz w:val="24"/>
                <w:lang w:val="en-US" w:eastAsia="zh-CN"/>
              </w:rPr>
              <w:t>2.5</w:t>
            </w:r>
            <w:r>
              <w:rPr>
                <w:rFonts w:ascii="Times New Roman" w:hAnsi="Times New Roman" w:eastAsia="宋体" w:cs="Times New Roman"/>
                <w:color w:val="auto"/>
                <w:kern w:val="0"/>
                <w:sz w:val="24"/>
              </w:rPr>
              <w:t>m</w:t>
            </w:r>
            <w:r>
              <w:rPr>
                <w:rFonts w:ascii="Times New Roman" w:hAnsi="Times New Roman" w:eastAsia="宋体" w:cs="Times New Roman"/>
                <w:color w:val="auto"/>
                <w:kern w:val="0"/>
                <w:sz w:val="24"/>
                <w:vertAlign w:val="superscript"/>
              </w:rPr>
              <w:t>3</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rPr>
              <w:t>d</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rPr>
              <w:t>生产废水主要污染物为</w:t>
            </w:r>
            <w:r>
              <w:rPr>
                <w:rFonts w:hint="eastAsia" w:ascii="Times New Roman" w:hAnsi="Times New Roman" w:cs="Times New Roman"/>
                <w:color w:val="auto"/>
                <w:sz w:val="24"/>
                <w:szCs w:val="24"/>
                <w:highlight w:val="none"/>
                <w:lang w:val="en-US" w:eastAsia="zh-CN"/>
              </w:rPr>
              <w:t>从复合保温板上冲下的复合残渣</w:t>
            </w:r>
            <w:r>
              <w:rPr>
                <w:rFonts w:hint="eastAsia" w:ascii="Times New Roman" w:hAnsi="Times New Roman" w:eastAsia="宋体" w:cs="Times New Roman"/>
                <w:color w:val="auto"/>
                <w:kern w:val="0"/>
                <w:sz w:val="24"/>
              </w:rPr>
              <w:t>。生产废水收集全部排入</w:t>
            </w:r>
            <w:r>
              <w:rPr>
                <w:rFonts w:hint="eastAsia" w:ascii="Times New Roman" w:hAnsi="Times New Roman" w:eastAsia="宋体" w:cs="Times New Roman"/>
                <w:color w:val="auto"/>
                <w:kern w:val="0"/>
                <w:sz w:val="24"/>
                <w:lang w:val="en-US" w:eastAsia="zh-CN"/>
              </w:rPr>
              <w:t>6</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沉淀池处理，</w:t>
            </w:r>
            <w:r>
              <w:rPr>
                <w:rFonts w:hint="eastAsia" w:ascii="Times New Roman" w:hAnsi="Times New Roman" w:eastAsia="宋体" w:cs="Times New Roman"/>
                <w:color w:val="auto"/>
                <w:kern w:val="0"/>
                <w:sz w:val="24"/>
                <w:lang w:val="en-US" w:eastAsia="zh-CN"/>
              </w:rPr>
              <w:t>6</w:t>
            </w:r>
            <w:r>
              <w:rPr>
                <w:rFonts w:hint="eastAsia" w:ascii="Times New Roman" w:hAnsi="Times New Roman" w:eastAsia="宋体" w:cs="Times New Roman"/>
                <w:color w:val="auto"/>
                <w:kern w:val="0"/>
                <w:sz w:val="24"/>
              </w:rPr>
              <w:t>m</w:t>
            </w:r>
            <w:r>
              <w:rPr>
                <w:rFonts w:hint="eastAsia" w:ascii="Times New Roman" w:hAnsi="Times New Roman" w:eastAsia="宋体" w:cs="Times New Roman"/>
                <w:color w:val="auto"/>
                <w:kern w:val="0"/>
                <w:sz w:val="24"/>
                <w:vertAlign w:val="superscript"/>
              </w:rPr>
              <w:t>3</w:t>
            </w:r>
            <w:r>
              <w:rPr>
                <w:rFonts w:hint="eastAsia" w:ascii="Times New Roman" w:hAnsi="Times New Roman" w:eastAsia="宋体" w:cs="Times New Roman"/>
                <w:color w:val="auto"/>
                <w:kern w:val="0"/>
                <w:sz w:val="24"/>
              </w:rPr>
              <w:t>沉淀池</w:t>
            </w:r>
            <w:r>
              <w:rPr>
                <w:rFonts w:hint="default" w:ascii="Times New Roman" w:hAnsi="Times New Roman" w:cs="Times New Roman"/>
                <w:color w:val="auto"/>
                <w:kern w:val="0"/>
                <w:sz w:val="24"/>
                <w:lang w:val="en-US" w:eastAsia="zh-CN"/>
              </w:rPr>
              <w:t>可以满足生产废水的处理要求</w:t>
            </w:r>
            <w:r>
              <w:rPr>
                <w:rFonts w:hint="eastAsia" w:cs="Times New Roman"/>
                <w:color w:val="auto"/>
                <w:kern w:val="0"/>
                <w:sz w:val="24"/>
                <w:lang w:eastAsia="zh-CN"/>
              </w:rPr>
              <w:t>，</w:t>
            </w:r>
            <w:r>
              <w:rPr>
                <w:rFonts w:hint="eastAsia" w:ascii="Times New Roman" w:hAnsi="Times New Roman" w:eastAsia="宋体" w:cs="Times New Roman"/>
                <w:color w:val="auto"/>
                <w:kern w:val="0"/>
                <w:sz w:val="24"/>
              </w:rPr>
              <w:t>上清液全部回用</w:t>
            </w:r>
            <w:r>
              <w:rPr>
                <w:rFonts w:hint="eastAsia" w:ascii="Times New Roman" w:hAnsi="Times New Roman" w:eastAsia="宋体" w:cs="Times New Roman"/>
                <w:color w:val="auto"/>
                <w:kern w:val="0"/>
                <w:sz w:val="24"/>
                <w:lang w:val="en-US" w:eastAsia="zh-CN"/>
              </w:rPr>
              <w:t>于物料混合搅拌</w:t>
            </w:r>
            <w:r>
              <w:rPr>
                <w:rFonts w:hint="eastAsia"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val="en-US" w:eastAsia="zh-CN"/>
              </w:rPr>
              <w:t>复合残渣</w:t>
            </w:r>
            <w:r>
              <w:rPr>
                <w:rFonts w:hint="eastAsia" w:ascii="Times New Roman" w:hAnsi="Times New Roman" w:eastAsia="宋体" w:cs="Times New Roman"/>
                <w:color w:val="auto"/>
                <w:kern w:val="0"/>
                <w:sz w:val="24"/>
              </w:rPr>
              <w:t>沉降在沉淀池池底，废料中主要固体为</w:t>
            </w:r>
            <w:r>
              <w:rPr>
                <w:rFonts w:hint="eastAsia" w:ascii="Times New Roman" w:hAnsi="Times New Roman" w:eastAsia="宋体" w:cs="Times New Roman"/>
                <w:color w:val="auto"/>
                <w:kern w:val="0"/>
                <w:sz w:val="24"/>
                <w:lang w:val="en-US" w:eastAsia="zh-CN"/>
              </w:rPr>
              <w:t>砂石料</w:t>
            </w:r>
            <w:r>
              <w:rPr>
                <w:rFonts w:hint="eastAsia" w:ascii="Times New Roman" w:hAnsi="Times New Roman" w:eastAsia="宋体" w:cs="Times New Roman"/>
                <w:color w:val="auto"/>
                <w:kern w:val="0"/>
                <w:sz w:val="24"/>
              </w:rPr>
              <w:t>，池底废料定期清理，回收利用。</w:t>
            </w:r>
          </w:p>
          <w:p w14:paraId="7E452DD4">
            <w:pPr>
              <w:pStyle w:val="18"/>
              <w:bidi w:val="0"/>
              <w:spacing w:line="360" w:lineRule="auto"/>
              <w:rPr>
                <w:rFonts w:hint="eastAsia" w:cs="Times New Roman"/>
                <w:color w:val="auto"/>
                <w:sz w:val="24"/>
                <w:szCs w:val="24"/>
                <w:lang w:val="en-US" w:eastAsia="zh-CN"/>
              </w:rPr>
            </w:pPr>
          </w:p>
          <w:p w14:paraId="3CB228C6">
            <w:pPr>
              <w:pStyle w:val="18"/>
              <w:bidi w:val="0"/>
              <w:spacing w:line="360" w:lineRule="auto"/>
              <w:ind w:left="0" w:leftChars="0" w:firstLine="0" w:firstLineChars="0"/>
              <w:rPr>
                <w:color w:val="auto"/>
              </w:rPr>
            </w:pPr>
            <w:r>
              <w:rPr>
                <w:rFonts w:hint="default" w:cs="Times New Roman"/>
                <w:color w:val="auto"/>
                <w:sz w:val="24"/>
                <w:szCs w:val="24"/>
                <w:lang w:val="en-US" w:eastAsia="zh-CN"/>
              </w:rPr>
              <w:drawing>
                <wp:inline distT="0" distB="0" distL="114300" distR="114300">
                  <wp:extent cx="4745355" cy="3295650"/>
                  <wp:effectExtent l="0" t="0" r="0" b="0"/>
                  <wp:docPr id="4" name="ECB019B1-382A-4266-B25C-5B523AA43C14-1" descr="C:/Users/哥哥/AppData/Local/Temp/wps.GuGyJB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哥哥/AppData/Local/Temp/wps.GuGyJBwps"/>
                          <pic:cNvPicPr>
                            <a:picLocks noChangeAspect="1"/>
                          </pic:cNvPicPr>
                        </pic:nvPicPr>
                        <pic:blipFill>
                          <a:blip r:embed="rId7"/>
                          <a:stretch>
                            <a:fillRect/>
                          </a:stretch>
                        </pic:blipFill>
                        <pic:spPr>
                          <a:xfrm>
                            <a:off x="0" y="0"/>
                            <a:ext cx="4745355" cy="3295650"/>
                          </a:xfrm>
                          <a:prstGeom prst="rect">
                            <a:avLst/>
                          </a:prstGeom>
                        </pic:spPr>
                      </pic:pic>
                    </a:graphicData>
                  </a:graphic>
                </wp:inline>
              </w:drawing>
            </w:r>
          </w:p>
          <w:p w14:paraId="0E51CF16">
            <w:pPr>
              <w:pStyle w:val="1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图1    项目水平衡图（单位：</w:t>
            </w:r>
            <w:r>
              <w:rPr>
                <w:rFonts w:hint="default" w:ascii="Times New Roman" w:hAnsi="Times New Roman" w:eastAsia="宋体" w:cs="Times New Roman"/>
                <w:b w:val="0"/>
                <w:bCs w:val="0"/>
                <w:color w:val="auto"/>
                <w:sz w:val="24"/>
                <w:szCs w:val="24"/>
              </w:rPr>
              <w:t>m</w:t>
            </w:r>
            <w:r>
              <w:rPr>
                <w:rFonts w:hint="default" w:ascii="Times New Roman" w:hAnsi="Times New Roman" w:eastAsia="宋体" w:cs="Times New Roman"/>
                <w:b w:val="0"/>
                <w:bCs w:val="0"/>
                <w:color w:val="auto"/>
                <w:sz w:val="24"/>
                <w:szCs w:val="24"/>
                <w:vertAlign w:val="superscript"/>
              </w:rPr>
              <w:t>3</w:t>
            </w:r>
            <w:r>
              <w:rPr>
                <w:rFonts w:hint="eastAsia"/>
                <w:b w:val="0"/>
                <w:bCs w:val="0"/>
                <w:color w:val="auto"/>
                <w:sz w:val="21"/>
                <w:szCs w:val="21"/>
                <w:lang w:val="en-US" w:eastAsia="zh-CN"/>
              </w:rPr>
              <w:t>/</w:t>
            </w:r>
            <w:r>
              <w:rPr>
                <w:rFonts w:hint="eastAsia"/>
                <w:b w:val="0"/>
                <w:bCs w:val="0"/>
                <w:color w:val="auto"/>
                <w:sz w:val="24"/>
                <w:szCs w:val="24"/>
                <w:lang w:val="en-US" w:eastAsia="zh-CN"/>
              </w:rPr>
              <w:t>a</w:t>
            </w:r>
            <w:r>
              <w:rPr>
                <w:rFonts w:hint="eastAsia"/>
                <w:b w:val="0"/>
                <w:bCs w:val="0"/>
                <w:color w:val="auto"/>
                <w:sz w:val="21"/>
                <w:szCs w:val="21"/>
                <w:lang w:val="en-US" w:eastAsia="zh-CN"/>
              </w:rPr>
              <w:t>）</w:t>
            </w:r>
          </w:p>
          <w:p w14:paraId="29DC3C42">
            <w:pPr>
              <w:pStyle w:val="8"/>
              <w:numPr>
                <w:ilvl w:val="0"/>
                <w:numId w:val="0"/>
              </w:numPr>
              <w:bidi w:val="0"/>
              <w:spacing w:line="360" w:lineRule="auto"/>
              <w:ind w:leftChars="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5.4供暖</w:t>
            </w:r>
          </w:p>
          <w:p w14:paraId="7F0CB41D">
            <w:pPr>
              <w:pStyle w:val="18"/>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冬季不生产。</w:t>
            </w:r>
          </w:p>
          <w:p w14:paraId="4BF16752">
            <w:pPr>
              <w:pStyle w:val="8"/>
              <w:numPr>
                <w:ilvl w:val="0"/>
                <w:numId w:val="0"/>
              </w:numPr>
              <w:bidi w:val="0"/>
              <w:spacing w:line="360" w:lineRule="auto"/>
              <w:ind w:leftChars="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5.5工作制度及劳动定员</w:t>
            </w:r>
          </w:p>
          <w:p w14:paraId="07544921">
            <w:pPr>
              <w:pStyle w:val="18"/>
              <w:bidi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根据</w:t>
            </w:r>
            <w:r>
              <w:rPr>
                <w:rFonts w:hint="default" w:ascii="Times New Roman" w:hAnsi="Times New Roman" w:eastAsia="宋体" w:cs="Times New Roman"/>
                <w:color w:val="auto"/>
                <w:sz w:val="24"/>
                <w:szCs w:val="24"/>
              </w:rPr>
              <w:t>本项目生产规模需求，</w:t>
            </w:r>
            <w:r>
              <w:rPr>
                <w:rFonts w:hint="default" w:ascii="Times New Roman" w:hAnsi="Times New Roman" w:eastAsia="宋体" w:cs="Times New Roman"/>
                <w:color w:val="auto"/>
                <w:sz w:val="24"/>
                <w:szCs w:val="24"/>
                <w:lang w:eastAsia="zh-CN"/>
              </w:rPr>
              <w:t>劳动定员</w:t>
            </w:r>
            <w:r>
              <w:rPr>
                <w:rFonts w:hint="eastAsia" w:cs="Times New Roman"/>
                <w:color w:val="auto"/>
                <w:sz w:val="24"/>
                <w:szCs w:val="24"/>
                <w:lang w:val="en-US" w:eastAsia="zh-CN"/>
              </w:rPr>
              <w:t>15</w:t>
            </w:r>
            <w:r>
              <w:rPr>
                <w:rFonts w:hint="default" w:ascii="Times New Roman" w:hAnsi="Times New Roman" w:eastAsia="宋体" w:cs="Times New Roman"/>
                <w:color w:val="auto"/>
                <w:sz w:val="24"/>
                <w:szCs w:val="24"/>
              </w:rPr>
              <w:t>人。全年生产约为</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rPr>
              <w:t>天。</w:t>
            </w:r>
            <w:r>
              <w:rPr>
                <w:rFonts w:hint="eastAsia" w:cs="Times New Roman"/>
                <w:color w:val="auto"/>
                <w:sz w:val="24"/>
                <w:szCs w:val="24"/>
                <w:lang w:val="en-US" w:eastAsia="zh-CN"/>
              </w:rPr>
              <w:t>一</w:t>
            </w:r>
            <w:r>
              <w:rPr>
                <w:rFonts w:hint="default" w:ascii="Times New Roman" w:hAnsi="Times New Roman" w:eastAsia="宋体" w:cs="Times New Roman"/>
                <w:color w:val="auto"/>
                <w:sz w:val="24"/>
                <w:szCs w:val="24"/>
                <w:lang w:val="en-US" w:eastAsia="zh-CN"/>
              </w:rPr>
              <w:t>班倒，每班8h</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年生产时间</w:t>
            </w:r>
            <w:r>
              <w:rPr>
                <w:rFonts w:hint="eastAsia" w:cs="Times New Roman"/>
                <w:color w:val="auto"/>
                <w:sz w:val="24"/>
                <w:szCs w:val="24"/>
                <w:lang w:val="en-US" w:eastAsia="zh-CN"/>
              </w:rPr>
              <w:t>1680</w:t>
            </w:r>
            <w:r>
              <w:rPr>
                <w:rFonts w:hint="eastAsia" w:ascii="Times New Roman" w:hAnsi="Times New Roman" w:eastAsia="宋体" w:cs="Times New Roman"/>
                <w:color w:val="auto"/>
                <w:sz w:val="24"/>
                <w:szCs w:val="24"/>
                <w:lang w:val="en-US" w:eastAsia="zh-CN"/>
              </w:rPr>
              <w:t>h。</w:t>
            </w:r>
          </w:p>
          <w:p w14:paraId="5615FC10">
            <w:pPr>
              <w:pStyle w:val="7"/>
              <w:numPr>
                <w:ilvl w:val="0"/>
                <w:numId w:val="0"/>
              </w:numPr>
              <w:bidi w:val="0"/>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6.总平面布置</w:t>
            </w:r>
          </w:p>
          <w:p w14:paraId="0ADC068A">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本项目厂房为租赁，厂区布置为</w:t>
            </w:r>
            <w:r>
              <w:rPr>
                <w:rFonts w:hint="default" w:ascii="Times New Roman" w:hAnsi="Times New Roman" w:eastAsia="宋体" w:cs="Times New Roman"/>
                <w:color w:val="auto"/>
                <w:spacing w:val="-1"/>
                <w:sz w:val="24"/>
                <w:szCs w:val="24"/>
                <w:highlight w:val="none"/>
              </w:rPr>
              <w:t>：生产车间靠近</w:t>
            </w:r>
            <w:r>
              <w:rPr>
                <w:rFonts w:hint="eastAsia" w:ascii="Times New Roman" w:hAnsi="Times New Roman" w:cs="Times New Roman"/>
                <w:color w:val="auto"/>
                <w:spacing w:val="-1"/>
                <w:sz w:val="24"/>
                <w:szCs w:val="24"/>
                <w:highlight w:val="none"/>
                <w:lang w:val="en-US" w:eastAsia="zh-CN"/>
              </w:rPr>
              <w:t>南</w:t>
            </w:r>
            <w:r>
              <w:rPr>
                <w:rFonts w:hint="default" w:ascii="Times New Roman" w:hAnsi="Times New Roman" w:eastAsia="宋体" w:cs="Times New Roman"/>
                <w:color w:val="auto"/>
                <w:spacing w:val="-1"/>
                <w:sz w:val="24"/>
                <w:szCs w:val="24"/>
                <w:highlight w:val="none"/>
              </w:rPr>
              <w:t>侧呈</w:t>
            </w:r>
            <w:r>
              <w:rPr>
                <w:rFonts w:hint="default" w:ascii="Times New Roman" w:hAnsi="Times New Roman" w:eastAsia="宋体" w:cs="Times New Roman"/>
                <w:color w:val="auto"/>
                <w:sz w:val="24"/>
                <w:szCs w:val="24"/>
                <w:highlight w:val="none"/>
              </w:rPr>
              <w:t>“直线”</w:t>
            </w:r>
            <w:r>
              <w:rPr>
                <w:rFonts w:hint="default" w:ascii="Times New Roman" w:hAnsi="Times New Roman" w:eastAsia="宋体" w:cs="Times New Roman"/>
                <w:color w:val="auto"/>
                <w:spacing w:val="-1"/>
                <w:sz w:val="24"/>
                <w:szCs w:val="24"/>
                <w:highlight w:val="none"/>
              </w:rPr>
              <w:t>型，成品库位于北侧，原料储存位于</w:t>
            </w:r>
            <w:r>
              <w:rPr>
                <w:rFonts w:hint="eastAsia" w:ascii="Times New Roman" w:hAnsi="Times New Roman" w:cs="Times New Roman"/>
                <w:color w:val="auto"/>
                <w:spacing w:val="-1"/>
                <w:sz w:val="24"/>
                <w:szCs w:val="24"/>
                <w:highlight w:val="none"/>
                <w:lang w:val="en-US" w:eastAsia="zh-CN"/>
              </w:rPr>
              <w:t>西</w:t>
            </w:r>
            <w:r>
              <w:rPr>
                <w:rFonts w:hint="default" w:ascii="Times New Roman" w:hAnsi="Times New Roman" w:eastAsia="宋体" w:cs="Times New Roman"/>
                <w:color w:val="auto"/>
                <w:spacing w:val="-4"/>
                <w:sz w:val="24"/>
                <w:szCs w:val="24"/>
                <w:highlight w:val="none"/>
              </w:rPr>
              <w:t>侧。生产区域功能齐全，整个厂房在满足生产、操作、安全和环保的要求许可时，联合集中布置，集中控制；厂区平面布置功能区分明确，根据工业企业的性质、规模、生产流程、交通运输、环境保护及场地自然条件合理布局；厂区通道</w:t>
            </w:r>
            <w:r>
              <w:rPr>
                <w:rFonts w:hint="default" w:ascii="Times New Roman" w:hAnsi="Times New Roman" w:eastAsia="宋体" w:cs="Times New Roman"/>
                <w:color w:val="auto"/>
                <w:spacing w:val="-3"/>
                <w:sz w:val="24"/>
                <w:szCs w:val="24"/>
                <w:highlight w:val="none"/>
              </w:rPr>
              <w:t>宽度满足各种运输线路布局。</w:t>
            </w:r>
          </w:p>
          <w:p w14:paraId="516CC8F6">
            <w:pPr>
              <w:pStyle w:val="1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Cs w:val="21"/>
                <w:lang w:eastAsia="zh-CN"/>
              </w:rPr>
            </w:pPr>
            <w:r>
              <w:rPr>
                <w:rFonts w:hint="default" w:ascii="Times New Roman" w:hAnsi="Times New Roman" w:eastAsia="宋体" w:cs="Times New Roman"/>
                <w:color w:val="auto"/>
                <w:sz w:val="24"/>
                <w:szCs w:val="24"/>
              </w:rPr>
              <w:t>生产车间内设备根据产品生产工艺流程形成流水线式布置，避免各工序生产线路反复，节约了人力和物力。整个厂区布置紧凑便捷、节省空间、有利生产、方便管理。综上所述，本项目平面布置合理。</w:t>
            </w:r>
          </w:p>
        </w:tc>
      </w:tr>
      <w:tr w14:paraId="1335A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571" w:type="dxa"/>
            <w:vAlign w:val="center"/>
          </w:tcPr>
          <w:p w14:paraId="2F332F4E">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工艺流程和产排污环节</w:t>
            </w:r>
          </w:p>
        </w:tc>
        <w:tc>
          <w:tcPr>
            <w:tcW w:w="8489" w:type="dxa"/>
            <w:vAlign w:val="top"/>
          </w:tcPr>
          <w:p w14:paraId="414075AA">
            <w:pPr>
              <w:adjustRightInd w:val="0"/>
              <w:snapToGrid w:val="0"/>
              <w:spacing w:line="360" w:lineRule="auto"/>
              <w:rPr>
                <w:rFonts w:hint="eastAsia"/>
                <w:color w:val="auto"/>
                <w:sz w:val="24"/>
                <w:szCs w:val="32"/>
              </w:rPr>
            </w:pPr>
            <w:r>
              <w:rPr>
                <w:rFonts w:hint="eastAsia"/>
                <w:color w:val="auto"/>
                <w:sz w:val="24"/>
                <w:szCs w:val="32"/>
              </w:rPr>
              <w:t>本项目生产工艺流程及产排污环节见图</w:t>
            </w:r>
            <w:r>
              <w:rPr>
                <w:rFonts w:hint="eastAsia"/>
                <w:color w:val="auto"/>
                <w:sz w:val="24"/>
                <w:szCs w:val="32"/>
                <w:lang w:val="en-US" w:eastAsia="zh-CN"/>
              </w:rPr>
              <w:t>2</w:t>
            </w:r>
            <w:r>
              <w:rPr>
                <w:rFonts w:hint="eastAsia"/>
                <w:color w:val="auto"/>
                <w:sz w:val="24"/>
                <w:szCs w:val="32"/>
              </w:rPr>
              <w:t>。</w:t>
            </w:r>
          </w:p>
          <w:p w14:paraId="31010BE3">
            <w:pPr>
              <w:adjustRightInd w:val="0"/>
              <w:snapToGrid w:val="0"/>
              <w:spacing w:line="360" w:lineRule="auto"/>
              <w:rPr>
                <w:color w:val="auto"/>
              </w:rPr>
            </w:pPr>
            <w:r>
              <w:rPr>
                <w:rFonts w:hint="eastAsia" w:eastAsia="宋体"/>
                <w:color w:val="auto"/>
                <w:sz w:val="24"/>
                <w:szCs w:val="32"/>
                <w:lang w:eastAsia="zh-CN"/>
              </w:rPr>
              <w:drawing>
                <wp:inline distT="0" distB="0" distL="114300" distR="114300">
                  <wp:extent cx="5043170" cy="2386330"/>
                  <wp:effectExtent l="0" t="0" r="0" b="0"/>
                  <wp:docPr id="5" name="ECB019B1-382A-4266-B25C-5B523AA43C14-2" descr="C:/Users/哥哥/AppData/Local/Temp/wps.DckXr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哥哥/AppData/Local/Temp/wps.DckXrfwps"/>
                          <pic:cNvPicPr>
                            <a:picLocks noChangeAspect="1"/>
                          </pic:cNvPicPr>
                        </pic:nvPicPr>
                        <pic:blipFill>
                          <a:blip r:embed="rId8"/>
                          <a:stretch>
                            <a:fillRect/>
                          </a:stretch>
                        </pic:blipFill>
                        <pic:spPr>
                          <a:xfrm>
                            <a:off x="0" y="0"/>
                            <a:ext cx="5043170" cy="2386330"/>
                          </a:xfrm>
                          <a:prstGeom prst="rect">
                            <a:avLst/>
                          </a:prstGeom>
                        </pic:spPr>
                      </pic:pic>
                    </a:graphicData>
                  </a:graphic>
                </wp:inline>
              </w:drawing>
            </w:r>
          </w:p>
          <w:p w14:paraId="0213ACA7">
            <w:pPr>
              <w:keepNext w:val="0"/>
              <w:keepLines w:val="0"/>
              <w:widowControl/>
              <w:suppressLineNumbers w:val="0"/>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图2</w:t>
            </w:r>
            <w:r>
              <w:rPr>
                <w:rFonts w:hint="eastAsia" w:cs="Times New Roman"/>
                <w:b/>
                <w:bCs/>
                <w:color w:val="auto"/>
                <w:kern w:val="0"/>
                <w:sz w:val="21"/>
                <w:szCs w:val="21"/>
                <w:lang w:val="en-US" w:eastAsia="zh-CN" w:bidi="ar"/>
              </w:rPr>
              <w:t xml:space="preserve">    </w:t>
            </w:r>
            <w:r>
              <w:rPr>
                <w:rFonts w:hint="default" w:ascii="Times New Roman" w:hAnsi="Times New Roman" w:eastAsia="宋体" w:cs="Times New Roman"/>
                <w:b/>
                <w:bCs/>
                <w:color w:val="auto"/>
                <w:kern w:val="0"/>
                <w:sz w:val="21"/>
                <w:szCs w:val="21"/>
                <w:lang w:val="en-US" w:eastAsia="zh-CN" w:bidi="ar"/>
              </w:rPr>
              <w:t>项目营运期工艺流程及产污环节</w:t>
            </w:r>
          </w:p>
          <w:p w14:paraId="3846FB6B">
            <w:pPr>
              <w:keepNext w:val="0"/>
              <w:keepLines w:val="0"/>
              <w:widowControl/>
              <w:suppressLineNumbers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工艺流程说明：</w:t>
            </w:r>
          </w:p>
          <w:p w14:paraId="5590E1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（1）物料储存运输</w:t>
            </w:r>
          </w:p>
          <w:p w14:paraId="563D5F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olor w:val="auto"/>
                <w:sz w:val="24"/>
                <w:highlight w:val="none"/>
                <w:lang w:val="en-US" w:eastAsia="zh-CN"/>
              </w:rPr>
              <w:t>原料水泥</w:t>
            </w:r>
            <w:r>
              <w:rPr>
                <w:color w:val="auto"/>
                <w:sz w:val="24"/>
                <w:highlight w:val="none"/>
              </w:rPr>
              <w:t>由专用罐车运输进厂，通过罐车自带的管道以负压吸入</w:t>
            </w:r>
            <w:r>
              <w:rPr>
                <w:rFonts w:hint="eastAsia"/>
                <w:color w:val="auto"/>
                <w:sz w:val="24"/>
                <w:highlight w:val="none"/>
                <w:lang w:val="en-US" w:eastAsia="zh-CN"/>
              </w:rPr>
              <w:t>料仓</w:t>
            </w:r>
            <w:r>
              <w:rPr>
                <w:color w:val="auto"/>
                <w:sz w:val="24"/>
                <w:highlight w:val="none"/>
              </w:rPr>
              <w:t>，</w:t>
            </w:r>
            <w:r>
              <w:rPr>
                <w:color w:val="auto"/>
                <w:sz w:val="24"/>
              </w:rPr>
              <w:t>整个输送过程在密闭的管道中完成</w:t>
            </w:r>
            <w:r>
              <w:rPr>
                <w:rFonts w:hint="eastAsia"/>
                <w:color w:val="auto"/>
                <w:sz w:val="24"/>
                <w:lang w:val="en-US" w:eastAsia="zh-CN"/>
              </w:rPr>
              <w:t>，聚苯颗粒熟化料、胶粉为尿素袋装，砂石料为吨包袋装，由货车运输到厂区原料堆场储存，云质板、聚乙烯苯板、石墨板、挤塑板由货车运输到厂区原料堆场储存，水由园区供水管网提供。</w:t>
            </w:r>
            <w:r>
              <w:rPr>
                <w:rFonts w:hint="default" w:ascii="Times New Roman" w:hAnsi="Times New Roman" w:eastAsia="宋体" w:cs="Times New Roman"/>
                <w:color w:val="auto"/>
                <w:kern w:val="0"/>
                <w:sz w:val="24"/>
                <w:szCs w:val="24"/>
                <w:lang w:val="en-US" w:eastAsia="zh-CN" w:bidi="ar"/>
              </w:rPr>
              <w:t>保温聚合物（砂石料、水泥、聚苯颗粒熟化料）通过螺旋配送器，输送至</w:t>
            </w:r>
            <w:r>
              <w:rPr>
                <w:rFonts w:hint="eastAsia" w:cs="Times New Roman"/>
                <w:color w:val="auto"/>
                <w:kern w:val="0"/>
                <w:sz w:val="24"/>
                <w:szCs w:val="24"/>
                <w:lang w:val="en-US" w:eastAsia="zh-CN" w:bidi="ar"/>
              </w:rPr>
              <w:t>搅拌机</w:t>
            </w:r>
            <w:r>
              <w:rPr>
                <w:rFonts w:hint="default" w:ascii="Times New Roman" w:hAnsi="Times New Roman" w:eastAsia="宋体" w:cs="Times New Roman"/>
                <w:color w:val="auto"/>
                <w:kern w:val="0"/>
                <w:sz w:val="24"/>
                <w:szCs w:val="24"/>
                <w:lang w:val="en-US" w:eastAsia="zh-CN" w:bidi="ar"/>
              </w:rPr>
              <w:t>内，输送路径采用管道</w:t>
            </w:r>
            <w:r>
              <w:rPr>
                <w:rFonts w:hint="eastAsia" w:ascii="Times New Roman" w:hAnsi="Times New Roman" w:eastAsia="宋体" w:cs="Times New Roman"/>
                <w:color w:val="auto"/>
                <w:kern w:val="0"/>
                <w:sz w:val="24"/>
                <w:szCs w:val="24"/>
                <w:lang w:val="en-US" w:eastAsia="zh-CN" w:bidi="ar"/>
              </w:rPr>
              <w:t>搅笼输送</w:t>
            </w:r>
            <w:r>
              <w:rPr>
                <w:rFonts w:hint="default" w:ascii="Times New Roman" w:hAnsi="Times New Roman" w:eastAsia="宋体" w:cs="Times New Roman"/>
                <w:color w:val="auto"/>
                <w:kern w:val="0"/>
                <w:sz w:val="24"/>
                <w:szCs w:val="24"/>
                <w:lang w:val="en-US" w:eastAsia="zh-CN" w:bidi="ar"/>
              </w:rPr>
              <w:t>，螺旋配送器适用于无粘性的干粉物料和小颗粒物料</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（例如：水泥、粉煤灰、石灰、粮等）</w:t>
            </w:r>
            <w:r>
              <w:rPr>
                <w:rFonts w:hint="eastAsia" w:ascii="Times New Roman" w:hAnsi="Times New Roman" w:eastAsia="宋体" w:cs="Times New Roman"/>
                <w:color w:val="auto"/>
                <w:kern w:val="0"/>
                <w:sz w:val="24"/>
                <w:szCs w:val="24"/>
                <w:lang w:val="en-US" w:eastAsia="zh-CN" w:bidi="ar"/>
              </w:rPr>
              <w:t>，本项目所用砂石料粒径在</w:t>
            </w:r>
            <w:r>
              <w:rPr>
                <w:rFonts w:hint="default" w:ascii="Times New Roman" w:hAnsi="Times New Roman" w:eastAsia="宋体" w:cs="Times New Roman"/>
                <w:color w:val="auto"/>
                <w:kern w:val="0"/>
                <w:sz w:val="24"/>
                <w:szCs w:val="24"/>
                <w:lang w:val="en-US" w:eastAsia="zh-CN" w:bidi="ar"/>
              </w:rPr>
              <w:t>5mm</w:t>
            </w:r>
            <w:r>
              <w:rPr>
                <w:rFonts w:hint="eastAsia" w:ascii="Times New Roman" w:hAnsi="Times New Roman" w:eastAsia="宋体" w:cs="Times New Roman"/>
                <w:color w:val="auto"/>
                <w:kern w:val="0"/>
                <w:sz w:val="24"/>
                <w:szCs w:val="24"/>
                <w:lang w:val="en-US" w:eastAsia="zh-CN" w:bidi="ar"/>
              </w:rPr>
              <w:t>以下，</w:t>
            </w:r>
            <w:r>
              <w:rPr>
                <w:rFonts w:hint="default" w:ascii="Times New Roman" w:hAnsi="Times New Roman" w:eastAsia="宋体" w:cs="Times New Roman"/>
                <w:color w:val="auto"/>
                <w:kern w:val="0"/>
                <w:sz w:val="24"/>
                <w:szCs w:val="24"/>
                <w:lang w:val="en-US" w:eastAsia="zh-CN" w:bidi="ar"/>
              </w:rPr>
              <w:t>利用电机带动螺旋回转，推移物料以实现输送目的</w:t>
            </w:r>
            <w:r>
              <w:rPr>
                <w:rFonts w:hint="eastAsia" w:ascii="Times New Roman" w:hAnsi="Times New Roman" w:eastAsia="宋体" w:cs="Times New Roman"/>
                <w:color w:val="auto"/>
                <w:kern w:val="0"/>
                <w:sz w:val="24"/>
                <w:szCs w:val="24"/>
                <w:lang w:val="en-US" w:eastAsia="zh-CN" w:bidi="ar"/>
              </w:rPr>
              <w:t>机械，其</w:t>
            </w:r>
            <w:r>
              <w:rPr>
                <w:rFonts w:hint="default" w:ascii="Times New Roman" w:hAnsi="Times New Roman" w:eastAsia="宋体" w:cs="Times New Roman"/>
                <w:color w:val="auto"/>
                <w:kern w:val="0"/>
                <w:sz w:val="24"/>
                <w:szCs w:val="24"/>
                <w:lang w:val="en-US" w:eastAsia="zh-CN" w:bidi="ar"/>
              </w:rPr>
              <w:t>工作原理是旋转的</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"https://baike.baidu.com/item/%E8%9E%BA%E6%97%8B%E5%8F%B6%E7%89%87/5734512" \t "https://baike.baidu.com/item/%E8%9E%BA%E6%97%8B%E8%BE%93%E9%80%81%E6%9C%BA/_blank"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t>螺旋叶片</w:t>
            </w:r>
            <w:r>
              <w:rPr>
                <w:rFonts w:hint="default" w:ascii="Times New Roman" w:hAnsi="Times New Roman" w:eastAsia="宋体" w:cs="Times New Roman"/>
                <w:color w:val="auto"/>
                <w:kern w:val="0"/>
                <w:sz w:val="24"/>
                <w:szCs w:val="24"/>
                <w:lang w:val="en-US" w:eastAsia="zh-CN" w:bidi="ar"/>
              </w:rPr>
              <w:fldChar w:fldCharType="end"/>
            </w:r>
            <w:r>
              <w:rPr>
                <w:rFonts w:hint="default" w:ascii="Times New Roman" w:hAnsi="Times New Roman" w:eastAsia="宋体" w:cs="Times New Roman"/>
                <w:color w:val="auto"/>
                <w:kern w:val="0"/>
                <w:sz w:val="24"/>
                <w:szCs w:val="24"/>
                <w:lang w:val="en-US" w:eastAsia="zh-CN" w:bidi="ar"/>
              </w:rPr>
              <w:t>将</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"https://baike.baidu.com/item/%E7%89%A9%E6%96%99/11000829" \t "https://baike.baidu.com/item/%E8%9E%BA%E6%97%8B%E8%BE%93%E9%80%81%E6%9C%BA/_blank"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t>物料</w:t>
            </w:r>
            <w:r>
              <w:rPr>
                <w:rFonts w:hint="default" w:ascii="Times New Roman" w:hAnsi="Times New Roman" w:eastAsia="宋体" w:cs="Times New Roman"/>
                <w:color w:val="auto"/>
                <w:kern w:val="0"/>
                <w:sz w:val="24"/>
                <w:szCs w:val="24"/>
                <w:lang w:val="en-US" w:eastAsia="zh-CN" w:bidi="ar"/>
              </w:rPr>
              <w:fldChar w:fldCharType="end"/>
            </w:r>
            <w:r>
              <w:rPr>
                <w:rFonts w:hint="default" w:ascii="Times New Roman" w:hAnsi="Times New Roman" w:eastAsia="宋体" w:cs="Times New Roman"/>
                <w:color w:val="auto"/>
                <w:kern w:val="0"/>
                <w:sz w:val="24"/>
                <w:szCs w:val="24"/>
                <w:lang w:val="en-US" w:eastAsia="zh-CN" w:bidi="ar"/>
              </w:rPr>
              <w:t>推移而进行螺旋输送机输送，使物料不与螺旋输送机叶片一起旋转的力是物料自身重量和螺旋输送机机壳对物料的摩擦阻力</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使物料只能在叶片的推送下沿着输送机的槽底向</w:t>
            </w:r>
            <w:r>
              <w:rPr>
                <w:rFonts w:hint="eastAsia" w:ascii="Times New Roman" w:hAnsi="Times New Roman" w:eastAsia="宋体" w:cs="Times New Roman"/>
                <w:color w:val="auto"/>
                <w:kern w:val="0"/>
                <w:sz w:val="24"/>
                <w:szCs w:val="24"/>
                <w:lang w:val="en-US" w:eastAsia="zh-CN" w:bidi="ar"/>
              </w:rPr>
              <w:t>目标</w:t>
            </w:r>
            <w:r>
              <w:rPr>
                <w:rFonts w:hint="default" w:ascii="Times New Roman" w:hAnsi="Times New Roman" w:eastAsia="宋体" w:cs="Times New Roman"/>
                <w:color w:val="auto"/>
                <w:kern w:val="0"/>
                <w:sz w:val="24"/>
                <w:szCs w:val="24"/>
                <w:lang w:val="en-US" w:eastAsia="zh-CN" w:bidi="ar"/>
              </w:rPr>
              <w:t>移动。并实现落料接口与</w:t>
            </w:r>
            <w:r>
              <w:rPr>
                <w:rFonts w:hint="eastAsia" w:cs="Times New Roman"/>
                <w:color w:val="auto"/>
                <w:kern w:val="0"/>
                <w:sz w:val="24"/>
                <w:szCs w:val="24"/>
                <w:lang w:val="en-US" w:eastAsia="zh-CN" w:bidi="ar"/>
              </w:rPr>
              <w:t>搅拌机</w:t>
            </w:r>
            <w:r>
              <w:rPr>
                <w:rFonts w:hint="default" w:ascii="Times New Roman" w:hAnsi="Times New Roman" w:eastAsia="宋体" w:cs="Times New Roman"/>
                <w:color w:val="auto"/>
                <w:kern w:val="0"/>
                <w:sz w:val="24"/>
                <w:szCs w:val="24"/>
                <w:lang w:val="en-US" w:eastAsia="zh-CN" w:bidi="ar"/>
              </w:rPr>
              <w:t>无缝隙连接</w:t>
            </w:r>
            <w:r>
              <w:rPr>
                <w:rFonts w:hint="eastAsia" w:cs="Times New Roman"/>
                <w:color w:val="auto"/>
                <w:kern w:val="0"/>
                <w:sz w:val="24"/>
                <w:szCs w:val="24"/>
                <w:lang w:val="en-US" w:eastAsia="zh-CN" w:bidi="ar"/>
              </w:rPr>
              <w:t>，在输送及装料过程中会有噪声和储存废气产生。</w:t>
            </w:r>
          </w:p>
          <w:p w14:paraId="6A60D7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（2）物料混合搅拌</w:t>
            </w:r>
          </w:p>
          <w:p w14:paraId="386DAB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highlight w:val="none"/>
                <w:lang w:val="en-US" w:eastAsia="zh-CN" w:bidi="ar"/>
              </w:rPr>
              <w:t>筒仓内存储的水泥在电脑控制计量后通过</w:t>
            </w:r>
            <w:r>
              <w:rPr>
                <w:rFonts w:hint="eastAsia" w:cs="Times New Roman"/>
                <w:color w:val="auto"/>
                <w:kern w:val="0"/>
                <w:sz w:val="24"/>
                <w:szCs w:val="24"/>
                <w:highlight w:val="none"/>
                <w:lang w:val="en-US" w:eastAsia="zh-CN" w:bidi="ar"/>
              </w:rPr>
              <w:t>螺旋配送器</w:t>
            </w:r>
            <w:r>
              <w:rPr>
                <w:rFonts w:hint="default" w:ascii="Times New Roman" w:hAnsi="Times New Roman" w:eastAsia="宋体" w:cs="Times New Roman"/>
                <w:color w:val="auto"/>
                <w:kern w:val="0"/>
                <w:sz w:val="24"/>
                <w:szCs w:val="24"/>
                <w:highlight w:val="none"/>
                <w:lang w:val="en-US" w:eastAsia="zh-CN" w:bidi="ar"/>
              </w:rPr>
              <w:t>输送至搅拌机进行搅拌，</w:t>
            </w:r>
            <w:r>
              <w:rPr>
                <w:rFonts w:hint="eastAsia" w:cs="Times New Roman"/>
                <w:color w:val="auto"/>
                <w:kern w:val="0"/>
                <w:sz w:val="24"/>
                <w:szCs w:val="24"/>
                <w:highlight w:val="none"/>
                <w:lang w:val="en-US" w:eastAsia="zh-CN" w:bidi="ar"/>
              </w:rPr>
              <w:t>袋装砂石料、聚苯颗粒熟化料、胶粉加入投料口，经过螺旋配送器</w:t>
            </w:r>
            <w:r>
              <w:rPr>
                <w:rFonts w:hint="default" w:ascii="Times New Roman" w:hAnsi="Times New Roman" w:eastAsia="宋体" w:cs="Times New Roman"/>
                <w:color w:val="auto"/>
                <w:kern w:val="0"/>
                <w:sz w:val="24"/>
                <w:szCs w:val="24"/>
                <w:highlight w:val="none"/>
                <w:lang w:val="en-US" w:eastAsia="zh-CN" w:bidi="ar"/>
              </w:rPr>
              <w:t>输送至搅拌机</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搅拌机预留一个搅拌投料口，投料口上方设置盖板，平时搅拌时关闭，投料时打开，目的在于观察搅拌仓内物料搅拌情况，以便及时调整配比；其次便于</w:t>
            </w:r>
            <w:r>
              <w:rPr>
                <w:rFonts w:hint="eastAsia" w:cs="Times New Roman"/>
                <w:color w:val="auto"/>
                <w:kern w:val="0"/>
                <w:sz w:val="24"/>
                <w:szCs w:val="24"/>
                <w:highlight w:val="none"/>
                <w:lang w:val="en-US" w:eastAsia="zh-CN" w:bidi="ar"/>
              </w:rPr>
              <w:t>投入沉淀池沉渣</w:t>
            </w:r>
            <w:r>
              <w:rPr>
                <w:rFonts w:hint="default" w:ascii="Times New Roman" w:hAnsi="Times New Roman" w:eastAsia="宋体" w:cs="Times New Roman"/>
                <w:color w:val="auto"/>
                <w:kern w:val="0"/>
                <w:sz w:val="24"/>
                <w:szCs w:val="24"/>
                <w:highlight w:val="none"/>
                <w:lang w:val="en-US" w:eastAsia="zh-CN" w:bidi="ar"/>
              </w:rPr>
              <w:t>，降低产品成本。在混合搅拌工序会产生颗粒物，本项目在搅拌机顶部设置不小于搅拌投料口的集气罩，产生的颗粒物经集气罩收集后经15m高排气筒（DA001）排出。</w:t>
            </w:r>
          </w:p>
          <w:p w14:paraId="66B4B9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（3）铺设保温材料</w:t>
            </w:r>
          </w:p>
          <w:p w14:paraId="17E0EF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由人工</w:t>
            </w:r>
            <w:r>
              <w:rPr>
                <w:rFonts w:hint="default" w:ascii="Times New Roman" w:hAnsi="Times New Roman" w:eastAsia="宋体" w:cs="Times New Roman"/>
                <w:color w:val="auto"/>
                <w:kern w:val="0"/>
                <w:sz w:val="24"/>
                <w:szCs w:val="24"/>
                <w:lang w:val="en-US" w:eastAsia="zh-CN" w:bidi="ar"/>
              </w:rPr>
              <w:t>在复合机输送带</w:t>
            </w:r>
            <w:r>
              <w:rPr>
                <w:rFonts w:hint="eastAsia" w:cs="Times New Roman"/>
                <w:color w:val="auto"/>
                <w:kern w:val="0"/>
                <w:sz w:val="24"/>
                <w:szCs w:val="24"/>
                <w:lang w:val="en-US" w:eastAsia="zh-CN" w:bidi="ar"/>
              </w:rPr>
              <w:t>上依据生产情况分别</w:t>
            </w:r>
            <w:r>
              <w:rPr>
                <w:rFonts w:hint="default" w:ascii="Times New Roman" w:hAnsi="Times New Roman" w:eastAsia="宋体" w:cs="Times New Roman"/>
                <w:color w:val="auto"/>
                <w:kern w:val="0"/>
                <w:sz w:val="24"/>
                <w:szCs w:val="24"/>
                <w:lang w:val="en-US" w:eastAsia="zh-CN" w:bidi="ar"/>
              </w:rPr>
              <w:t>铺设</w:t>
            </w:r>
            <w:r>
              <w:rPr>
                <w:rFonts w:hint="eastAsia"/>
                <w:color w:val="auto"/>
                <w:sz w:val="24"/>
                <w:lang w:val="en-US" w:eastAsia="zh-CN"/>
              </w:rPr>
              <w:t>云质板、聚乙烯苯板、石墨板、挤塑板等。</w:t>
            </w:r>
            <w:r>
              <w:rPr>
                <w:rFonts w:hint="default" w:ascii="Times New Roman" w:hAnsi="Times New Roman" w:eastAsia="宋体" w:cs="Times New Roman"/>
                <w:color w:val="auto"/>
                <w:kern w:val="0"/>
                <w:sz w:val="24"/>
                <w:szCs w:val="24"/>
                <w:lang w:val="en-US" w:eastAsia="zh-CN" w:bidi="ar"/>
              </w:rPr>
              <w:t>本项目原料中聚苯板不加热</w:t>
            </w:r>
            <w:r>
              <w:rPr>
                <w:rFonts w:hint="eastAsia" w:eastAsia="宋体" w:cs="Times New Roman"/>
                <w:color w:val="auto"/>
                <w:kern w:val="0"/>
                <w:sz w:val="24"/>
                <w:szCs w:val="24"/>
                <w:lang w:val="en-US" w:eastAsia="zh-CN" w:bidi="ar"/>
              </w:rPr>
              <w:t>。</w:t>
            </w:r>
          </w:p>
          <w:p w14:paraId="235A14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（4）复合板材</w:t>
            </w:r>
          </w:p>
          <w:p w14:paraId="42CA99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kern w:val="0"/>
                <w:sz w:val="24"/>
                <w:szCs w:val="24"/>
                <w:lang w:val="en-US" w:eastAsia="zh-CN" w:bidi="ar"/>
              </w:rPr>
              <w:t>搅拌</w:t>
            </w:r>
            <w:r>
              <w:rPr>
                <w:rFonts w:hint="default" w:ascii="Times New Roman" w:hAnsi="Times New Roman" w:eastAsia="宋体" w:cs="Times New Roman"/>
                <w:color w:val="auto"/>
                <w:kern w:val="0"/>
                <w:sz w:val="24"/>
                <w:szCs w:val="24"/>
                <w:lang w:val="en-US" w:eastAsia="zh-CN" w:bidi="ar"/>
              </w:rPr>
              <w:t>机将拌和好的保温聚合物</w:t>
            </w:r>
            <w:r>
              <w:rPr>
                <w:rFonts w:hint="eastAsia" w:ascii="Times New Roman" w:hAnsi="Times New Roman" w:eastAsia="宋体" w:cs="Times New Roman"/>
                <w:color w:val="auto"/>
                <w:kern w:val="0"/>
                <w:sz w:val="24"/>
                <w:szCs w:val="24"/>
                <w:lang w:val="en-US" w:eastAsia="zh-CN" w:bidi="ar"/>
              </w:rPr>
              <w:t>通过下料机进行</w:t>
            </w:r>
            <w:r>
              <w:rPr>
                <w:rFonts w:hint="default" w:ascii="Times New Roman" w:hAnsi="Times New Roman" w:eastAsia="宋体" w:cs="Times New Roman"/>
                <w:color w:val="auto"/>
                <w:kern w:val="0"/>
                <w:sz w:val="24"/>
                <w:szCs w:val="24"/>
                <w:lang w:val="en-US" w:eastAsia="zh-CN" w:bidi="ar"/>
              </w:rPr>
              <w:t>下料，在复合机刮板作用下，保温聚合物均匀摊平</w:t>
            </w:r>
            <w:r>
              <w:rPr>
                <w:rFonts w:hint="eastAsia" w:cs="Times New Roman"/>
                <w:color w:val="auto"/>
                <w:kern w:val="0"/>
                <w:sz w:val="24"/>
                <w:szCs w:val="24"/>
                <w:lang w:val="en-US" w:eastAsia="zh-CN" w:bidi="ar"/>
              </w:rPr>
              <w:t>在</w:t>
            </w:r>
            <w:r>
              <w:rPr>
                <w:rFonts w:hint="eastAsia"/>
                <w:color w:val="auto"/>
                <w:sz w:val="24"/>
                <w:lang w:val="en-US" w:eastAsia="zh-CN"/>
              </w:rPr>
              <w:t>云质板、聚乙烯苯板、石墨板、挤塑板上</w:t>
            </w:r>
            <w:r>
              <w:rPr>
                <w:rFonts w:hint="eastAsia" w:ascii="Times New Roman" w:hAnsi="Times New Roman" w:eastAsia="宋体" w:cs="Times New Roman"/>
                <w:color w:val="auto"/>
                <w:kern w:val="0"/>
                <w:sz w:val="24"/>
                <w:szCs w:val="24"/>
                <w:lang w:val="en-US" w:eastAsia="zh-CN" w:bidi="ar"/>
              </w:rPr>
              <w:t>。</w:t>
            </w:r>
          </w:p>
          <w:p w14:paraId="5D7773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（5）切割</w:t>
            </w:r>
          </w:p>
          <w:p w14:paraId="0D549B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w:t>
            </w:r>
            <w:r>
              <w:rPr>
                <w:rFonts w:hint="eastAsia" w:ascii="Times New Roman" w:hAnsi="Times New Roman" w:eastAsia="宋体" w:cs="Times New Roman"/>
                <w:color w:val="auto"/>
                <w:kern w:val="0"/>
                <w:sz w:val="24"/>
                <w:szCs w:val="24"/>
                <w:lang w:val="en-US" w:eastAsia="zh-CN" w:bidi="ar"/>
              </w:rPr>
              <w:t>客户</w:t>
            </w:r>
            <w:r>
              <w:rPr>
                <w:rFonts w:hint="default" w:ascii="Times New Roman" w:hAnsi="Times New Roman" w:eastAsia="宋体" w:cs="Times New Roman"/>
                <w:color w:val="auto"/>
                <w:kern w:val="0"/>
                <w:sz w:val="24"/>
                <w:szCs w:val="24"/>
                <w:lang w:val="en-US" w:eastAsia="zh-CN" w:bidi="ar"/>
              </w:rPr>
              <w:t>要求，在复合机末端采用切割机将模板切断，即成型</w:t>
            </w:r>
            <w:r>
              <w:rPr>
                <w:rFonts w:hint="eastAsia" w:cs="Times New Roman"/>
                <w:color w:val="auto"/>
                <w:kern w:val="0"/>
                <w:sz w:val="24"/>
                <w:szCs w:val="24"/>
                <w:lang w:val="en-US" w:eastAsia="zh-CN" w:bidi="ar"/>
              </w:rPr>
              <w:t>，在切割修边过程中会产生一些边角料，产生的边角料收集后定期拉运至垃圾填埋场填埋。</w:t>
            </w:r>
          </w:p>
          <w:p w14:paraId="788B29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（6）晾晒养护</w:t>
            </w:r>
          </w:p>
          <w:p w14:paraId="02422F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将模板坯放在托盘上，人工转移至</w:t>
            </w:r>
            <w:r>
              <w:rPr>
                <w:rFonts w:hint="eastAsia" w:cs="Times New Roman"/>
                <w:color w:val="auto"/>
                <w:kern w:val="0"/>
                <w:sz w:val="24"/>
                <w:szCs w:val="24"/>
                <w:lang w:val="en-US" w:eastAsia="zh-CN" w:bidi="ar"/>
              </w:rPr>
              <w:t>养护架</w:t>
            </w:r>
            <w:r>
              <w:rPr>
                <w:rFonts w:hint="default" w:ascii="Times New Roman" w:hAnsi="Times New Roman" w:eastAsia="宋体" w:cs="Times New Roman"/>
                <w:color w:val="auto"/>
                <w:kern w:val="0"/>
                <w:sz w:val="24"/>
                <w:szCs w:val="24"/>
                <w:lang w:val="en-US" w:eastAsia="zh-CN" w:bidi="ar"/>
              </w:rPr>
              <w:t>上晾晒24h，常温下自然风干，夏季温度高于30°C时采用喷水养护，其他情况下不进行喷水养护</w:t>
            </w:r>
            <w:r>
              <w:rPr>
                <w:rFonts w:hint="eastAsia" w:ascii="Times New Roman" w:hAnsi="Times New Roman" w:eastAsia="宋体" w:cs="Times New Roman"/>
                <w:color w:val="auto"/>
                <w:kern w:val="0"/>
                <w:sz w:val="24"/>
                <w:szCs w:val="24"/>
                <w:lang w:val="en-US" w:eastAsia="zh-CN" w:bidi="ar"/>
              </w:rPr>
              <w:t>。</w:t>
            </w:r>
          </w:p>
          <w:p w14:paraId="62F389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lang w:val="en-US" w:eastAsia="zh-CN" w:bidi="ar"/>
              </w:rPr>
            </w:pPr>
            <w:r>
              <w:rPr>
                <w:rFonts w:hint="eastAsia" w:cs="Times New Roman"/>
                <w:color w:val="auto"/>
                <w:kern w:val="0"/>
                <w:sz w:val="24"/>
                <w:szCs w:val="24"/>
                <w:lang w:val="en-US" w:eastAsia="zh-CN" w:bidi="ar"/>
              </w:rPr>
              <w:t>（7）成品包装待售</w:t>
            </w:r>
          </w:p>
          <w:p w14:paraId="2539B5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lang w:val="en-US" w:eastAsia="zh-CN"/>
              </w:rPr>
            </w:pPr>
            <w:r>
              <w:rPr>
                <w:rFonts w:hint="default" w:ascii="Times New Roman" w:hAnsi="Times New Roman" w:eastAsia="宋体" w:cs="Times New Roman"/>
                <w:color w:val="auto"/>
                <w:kern w:val="0"/>
                <w:sz w:val="24"/>
                <w:szCs w:val="24"/>
                <w:lang w:val="en-US" w:eastAsia="zh-CN" w:bidi="ar"/>
              </w:rPr>
              <w:t>对半成品模板两端采用切割机进行修边处理，即为成品</w:t>
            </w:r>
            <w:r>
              <w:rPr>
                <w:rFonts w:hint="eastAsia" w:ascii="Times New Roman" w:hAnsi="Times New Roman" w:eastAsia="宋体" w:cs="Times New Roman"/>
                <w:color w:val="auto"/>
                <w:kern w:val="0"/>
                <w:sz w:val="24"/>
                <w:szCs w:val="24"/>
                <w:lang w:val="en-US" w:eastAsia="zh-CN" w:bidi="ar"/>
              </w:rPr>
              <w:t>入库。</w:t>
            </w:r>
          </w:p>
        </w:tc>
      </w:tr>
      <w:tr w14:paraId="35424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7" w:hRule="atLeast"/>
          <w:jc w:val="center"/>
        </w:trPr>
        <w:tc>
          <w:tcPr>
            <w:tcW w:w="571" w:type="dxa"/>
            <w:vAlign w:val="center"/>
          </w:tcPr>
          <w:p w14:paraId="76B46807">
            <w:pPr>
              <w:pStyle w:val="19"/>
              <w:adjustRightInd w:val="0"/>
              <w:snapToGrid w:val="0"/>
              <w:spacing w:before="0" w:beforeAutospacing="0" w:after="0" w:afterAutospacing="0"/>
              <w:jc w:val="center"/>
              <w:rPr>
                <w:rFonts w:cs="宋体"/>
                <w:color w:val="auto"/>
                <w:sz w:val="21"/>
                <w:szCs w:val="21"/>
              </w:rPr>
            </w:pPr>
            <w:r>
              <w:rPr>
                <w:rFonts w:hint="eastAsia" w:cs="宋体"/>
                <w:bCs/>
                <w:color w:val="auto"/>
                <w:kern w:val="2"/>
                <w:sz w:val="21"/>
                <w:szCs w:val="21"/>
              </w:rPr>
              <w:t>与项目有关的原有环境污染问题</w:t>
            </w:r>
          </w:p>
        </w:tc>
        <w:tc>
          <w:tcPr>
            <w:tcW w:w="8489" w:type="dxa"/>
            <w:vAlign w:val="top"/>
          </w:tcPr>
          <w:p w14:paraId="7B42189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本项目在</w:t>
            </w:r>
            <w:r>
              <w:rPr>
                <w:rFonts w:hint="default" w:ascii="Times New Roman" w:hAnsi="Times New Roman" w:cs="Times New Roman"/>
                <w:color w:val="auto"/>
                <w:kern w:val="0"/>
                <w:sz w:val="24"/>
                <w:szCs w:val="24"/>
                <w:highlight w:val="none"/>
                <w:lang w:val="en-US" w:eastAsia="zh-CN" w:bidi="ar"/>
              </w:rPr>
              <w:t>阜康市阜康产业</w:t>
            </w:r>
            <w:r>
              <w:rPr>
                <w:rFonts w:hint="default" w:ascii="Times New Roman" w:hAnsi="Times New Roman" w:eastAsia="宋体" w:cs="Times New Roman"/>
                <w:color w:val="auto"/>
                <w:kern w:val="0"/>
                <w:sz w:val="24"/>
                <w:szCs w:val="24"/>
                <w:highlight w:val="none"/>
                <w:lang w:val="en-US" w:eastAsia="zh-CN" w:bidi="ar"/>
              </w:rPr>
              <w:t>园阜西苏通小微创业园，项目属于新建项目，本项目租用</w:t>
            </w:r>
            <w:r>
              <w:rPr>
                <w:rFonts w:hint="eastAsia" w:ascii="Times New Roman" w:hAnsi="Times New Roman" w:eastAsia="宋体" w:cs="Times New Roman"/>
                <w:color w:val="auto"/>
                <w:kern w:val="2"/>
                <w:sz w:val="24"/>
                <w:szCs w:val="24"/>
                <w:lang w:val="en-US" w:eastAsia="zh-CN" w:bidi="zh-CN"/>
              </w:rPr>
              <w:t>新疆禄鼎锋包装有限公司</w:t>
            </w:r>
            <w:r>
              <w:rPr>
                <w:rFonts w:hint="default" w:ascii="Times New Roman" w:hAnsi="Times New Roman" w:eastAsia="宋体" w:cs="Times New Roman"/>
                <w:color w:val="auto"/>
                <w:kern w:val="0"/>
                <w:sz w:val="24"/>
                <w:szCs w:val="24"/>
                <w:highlight w:val="none"/>
                <w:lang w:val="en-US" w:eastAsia="zh-CN" w:bidi="ar"/>
              </w:rPr>
              <w:t>一座厂房。</w:t>
            </w:r>
            <w:r>
              <w:rPr>
                <w:rFonts w:hint="default" w:ascii="Times New Roman" w:hAnsi="Times New Roman" w:cs="Times New Roman"/>
                <w:color w:val="auto"/>
                <w:kern w:val="0"/>
                <w:sz w:val="24"/>
                <w:szCs w:val="24"/>
                <w:highlight w:val="none"/>
                <w:lang w:val="en-US" w:eastAsia="zh-CN" w:bidi="ar"/>
              </w:rPr>
              <w:t>根据现场勘察，项目区</w:t>
            </w:r>
            <w:r>
              <w:rPr>
                <w:rFonts w:hint="eastAsia" w:ascii="Times New Roman" w:hAnsi="Times New Roman" w:eastAsia="宋体" w:cs="Times New Roman"/>
                <w:color w:val="auto"/>
                <w:kern w:val="2"/>
                <w:sz w:val="24"/>
                <w:szCs w:val="24"/>
                <w:lang w:val="en-US" w:eastAsia="zh-CN" w:bidi="zh-CN"/>
              </w:rPr>
              <w:t>新疆禄鼎锋包装有限公司</w:t>
            </w:r>
            <w:r>
              <w:rPr>
                <w:rFonts w:hint="default" w:ascii="Times New Roman" w:hAnsi="Times New Roman" w:eastAsia="宋体" w:cs="Times New Roman"/>
                <w:color w:val="auto"/>
                <w:kern w:val="0"/>
                <w:sz w:val="24"/>
                <w:szCs w:val="24"/>
                <w:highlight w:val="none"/>
                <w:lang w:val="en-US" w:eastAsia="zh-CN" w:bidi="ar"/>
              </w:rPr>
              <w:t>厂房已建设完成，设施配套</w:t>
            </w:r>
            <w:r>
              <w:rPr>
                <w:rFonts w:hint="default" w:ascii="Times New Roman" w:hAnsi="Times New Roman" w:cs="Times New Roman"/>
                <w:color w:val="auto"/>
                <w:kern w:val="0"/>
                <w:sz w:val="24"/>
                <w:szCs w:val="24"/>
                <w:highlight w:val="none"/>
                <w:lang w:val="en-US" w:eastAsia="zh-CN" w:bidi="ar"/>
              </w:rPr>
              <w:t>完善</w:t>
            </w:r>
            <w:r>
              <w:rPr>
                <w:rFonts w:hint="default" w:ascii="Times New Roman" w:hAnsi="Times New Roman" w:eastAsia="宋体" w:cs="Times New Roman"/>
                <w:color w:val="auto"/>
                <w:kern w:val="0"/>
                <w:sz w:val="24"/>
                <w:szCs w:val="24"/>
                <w:highlight w:val="none"/>
                <w:lang w:val="en-US" w:eastAsia="zh-CN" w:bidi="ar"/>
              </w:rPr>
              <w:t>。</w:t>
            </w:r>
            <w:r>
              <w:rPr>
                <w:rFonts w:ascii="Times New Roman" w:hAnsi="Times New Roman" w:eastAsia="宋体" w:cs="Times New Roman"/>
                <w:color w:val="auto"/>
                <w:kern w:val="0"/>
                <w:sz w:val="24"/>
                <w:szCs w:val="24"/>
                <w:highlight w:val="none"/>
                <w:lang w:val="en-US" w:eastAsia="zh-CN" w:bidi="ar-SA"/>
              </w:rPr>
              <w:t>本项目为新建项目，</w:t>
            </w:r>
            <w:r>
              <w:rPr>
                <w:rFonts w:hint="eastAsia" w:ascii="Times New Roman" w:hAnsi="Times New Roman" w:eastAsia="宋体" w:cs="Times New Roman"/>
                <w:color w:val="auto"/>
                <w:kern w:val="0"/>
                <w:sz w:val="24"/>
                <w:szCs w:val="24"/>
                <w:highlight w:val="none"/>
                <w:lang w:val="en-US" w:eastAsia="zh-CN" w:bidi="ar-SA"/>
              </w:rPr>
              <w:t>不存在原有环境污染问题。</w:t>
            </w:r>
            <w:r>
              <w:rPr>
                <w:rFonts w:hint="default" w:ascii="Times New Roman" w:hAnsi="Times New Roman" w:eastAsia="宋体" w:cs="Times New Roman"/>
                <w:color w:val="auto"/>
                <w:kern w:val="0"/>
                <w:sz w:val="24"/>
                <w:szCs w:val="24"/>
                <w:highlight w:val="none"/>
                <w:lang w:val="en-US" w:eastAsia="zh-CN" w:bidi="ar"/>
              </w:rPr>
              <w:t>租用的厂房无遗留环境问题，不涉及拆除设备及场地恢复等工作。</w:t>
            </w:r>
          </w:p>
          <w:p w14:paraId="37B4F3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5369CE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A49ACD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46A0581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4AE25C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5FE4FCC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707B575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50F5AA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6E9D1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3B55AC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5BA80E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17BCB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lang w:val="en-US" w:eastAsia="zh-CN" w:bidi="ar"/>
              </w:rPr>
            </w:pPr>
          </w:p>
          <w:p w14:paraId="7B3976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71CFC8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7574E2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722B1A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223A7F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480891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476592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7EDB1BE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17BBBA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6BEF01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6D8F6C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23D198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p>
          <w:p w14:paraId="47B683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bCs/>
                <w:color w:val="auto"/>
                <w:szCs w:val="21"/>
                <w:lang w:val="en-US"/>
              </w:rPr>
            </w:pPr>
          </w:p>
        </w:tc>
      </w:tr>
    </w:tbl>
    <w:p w14:paraId="01486081">
      <w:pPr>
        <w:pStyle w:val="19"/>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B61F64A">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5D059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368405CB">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区域</w:t>
            </w:r>
          </w:p>
          <w:p w14:paraId="2A0F265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133E94D1">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质量</w:t>
            </w:r>
          </w:p>
          <w:p w14:paraId="737714F6">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vAlign w:val="top"/>
          </w:tcPr>
          <w:p w14:paraId="61CAC023">
            <w:pPr>
              <w:pStyle w:val="7"/>
              <w:spacing w:line="360" w:lineRule="auto"/>
              <w:jc w:val="both"/>
              <w:outlineLvl w:val="1"/>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rPr>
              <w:t>大气环境质量现状</w:t>
            </w:r>
          </w:p>
          <w:p w14:paraId="2335266F">
            <w:pPr>
              <w:widowControl/>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大气环境》(HJ2.2-2018)要求，采用“基于互联网的环境影响评价技术服务平台”提供的数据，由于离项目最近的天池站点位于风景区内，环境空气质量代表性不强，因此本次评价选择离本项目相对较近的</w:t>
            </w:r>
            <w:r>
              <w:rPr>
                <w:rFonts w:hint="default" w:ascii="Times New Roman" w:hAnsi="Times New Roman" w:eastAsia="宋体" w:cs="Times New Roman"/>
                <w:color w:val="auto"/>
                <w:sz w:val="24"/>
                <w:szCs w:val="24"/>
                <w:lang w:val="en-US" w:eastAsia="zh-CN"/>
              </w:rPr>
              <w:t>阜康市</w:t>
            </w:r>
            <w:r>
              <w:rPr>
                <w:rFonts w:hint="default" w:ascii="Times New Roman" w:hAnsi="Times New Roman" w:eastAsia="宋体" w:cs="Times New Roman"/>
                <w:color w:val="auto"/>
                <w:sz w:val="24"/>
                <w:szCs w:val="24"/>
              </w:rPr>
              <w:t>监测站站点的数据进行统计分析，作为本项目环境空气现状评价基本污染物SO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、CO和O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的数据来源。</w:t>
            </w:r>
          </w:p>
          <w:p w14:paraId="054D800A">
            <w:pPr>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根据新疆维吾尔自治区生态环境监测总站在《环境质量监测简报》中作202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年全区城市空气质量状况分析描述，202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年，阜康市优良天数比例为73.5%，PM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lang w:val="en-US" w:eastAsia="zh-CN"/>
              </w:rPr>
              <w:t>、PM</w:t>
            </w:r>
            <w:r>
              <w:rPr>
                <w:rFonts w:hint="default"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lang w:val="en-US" w:eastAsia="zh-CN"/>
              </w:rPr>
              <w:t>平均浓度分别为103mg/m³、65mg/m³。</w:t>
            </w:r>
          </w:p>
          <w:p w14:paraId="17F27CC7">
            <w:pPr>
              <w:pStyle w:val="8"/>
              <w:bidi w:val="0"/>
              <w:spacing w:line="360" w:lineRule="auto"/>
              <w:jc w:val="both"/>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.1项目所在预期环境质量达标情况</w:t>
            </w:r>
          </w:p>
          <w:p w14:paraId="693164B7">
            <w:pPr>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（1）评价标准</w:t>
            </w:r>
          </w:p>
          <w:p w14:paraId="7F43BB4F">
            <w:pPr>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根据本项目所在区域的环境功能区划，</w:t>
            </w:r>
            <w:r>
              <w:rPr>
                <w:rFonts w:hint="default" w:ascii="Times New Roman" w:hAnsi="Times New Roman" w:eastAsia="宋体" w:cs="Times New Roman"/>
                <w:color w:val="auto"/>
                <w:sz w:val="24"/>
                <w:szCs w:val="24"/>
                <w:lang w:val="en-US" w:eastAsia="zh-CN"/>
              </w:rPr>
              <w:t>基本因子</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、TSP、CO</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lang w:val="en-US" w:eastAsia="zh-CN"/>
              </w:rPr>
              <w:t>和特征因子TSP</w:t>
            </w:r>
            <w:r>
              <w:rPr>
                <w:rFonts w:hint="default" w:ascii="Times New Roman" w:hAnsi="Times New Roman" w:eastAsia="宋体" w:cs="Times New Roman"/>
                <w:color w:val="auto"/>
                <w:sz w:val="24"/>
                <w:szCs w:val="24"/>
              </w:rPr>
              <w:t>执行《环境空气质量标准》（GB3095-2012）中二级标准。</w:t>
            </w:r>
          </w:p>
          <w:p w14:paraId="20501307">
            <w:pPr>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（2）评价方法</w:t>
            </w:r>
          </w:p>
          <w:p w14:paraId="0A5426B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2"/>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基本污染物按照《环境空气质量评价技术规范（试行）》</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HJ663-2013</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中各评价项目的年评价指标进行判定。年评价指标中的年均浓度和相应百分位数24h平均或8h平均质量浓度满足GB3095中浓度限值要求的即为达标。对于超标的污染物，计算其超标倍数和超标率。</w:t>
            </w:r>
          </w:p>
          <w:p w14:paraId="43A5DCA4">
            <w:pPr>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空气质量达标区判定结果见表3-1。</w:t>
            </w:r>
          </w:p>
          <w:p w14:paraId="587E257D">
            <w:pPr>
              <w:pStyle w:val="42"/>
              <w:rPr>
                <w:b/>
                <w:bCs/>
                <w:color w:val="auto"/>
              </w:rPr>
            </w:pPr>
            <w:r>
              <w:rPr>
                <w:color w:val="auto"/>
              </w:rPr>
              <w:t>表</w:t>
            </w:r>
            <w:r>
              <w:rPr>
                <w:rFonts w:hint="eastAsia"/>
                <w:color w:val="auto"/>
              </w:rPr>
              <w:t>3</w:t>
            </w:r>
            <w:r>
              <w:rPr>
                <w:color w:val="auto"/>
              </w:rPr>
              <w:t>-1</w:t>
            </w:r>
            <w:r>
              <w:rPr>
                <w:rFonts w:hint="eastAsia"/>
                <w:color w:val="auto"/>
                <w:lang w:val="en-US" w:eastAsia="zh-CN"/>
              </w:rPr>
              <w:t xml:space="preserve">    </w:t>
            </w:r>
            <w:r>
              <w:rPr>
                <w:color w:val="auto"/>
              </w:rPr>
              <w:t>区域空气质量现状评价表</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78"/>
              <w:gridCol w:w="2166"/>
              <w:gridCol w:w="1865"/>
              <w:gridCol w:w="1782"/>
              <w:gridCol w:w="1080"/>
            </w:tblGrid>
            <w:tr w14:paraId="4BBCCF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676" w:type="pct"/>
                  <w:vMerge w:val="restart"/>
                  <w:tcBorders>
                    <w:tl2br w:val="nil"/>
                    <w:tr2bl w:val="nil"/>
                  </w:tcBorders>
                  <w:noWrap/>
                  <w:vAlign w:val="center"/>
                </w:tcPr>
                <w:p w14:paraId="5B53E078">
                  <w:pPr>
                    <w:pStyle w:val="43"/>
                    <w:spacing w:line="320" w:lineRule="exact"/>
                    <w:rPr>
                      <w:b/>
                      <w:bCs/>
                      <w:color w:val="auto"/>
                      <w:szCs w:val="21"/>
                    </w:rPr>
                  </w:pPr>
                  <w:r>
                    <w:rPr>
                      <w:rFonts w:hint="eastAsia"/>
                      <w:b/>
                      <w:bCs/>
                      <w:color w:val="auto"/>
                      <w:szCs w:val="21"/>
                    </w:rPr>
                    <w:t>评价因子</w:t>
                  </w:r>
                </w:p>
              </w:tc>
              <w:tc>
                <w:tcPr>
                  <w:tcW w:w="1358" w:type="pct"/>
                  <w:vMerge w:val="restart"/>
                  <w:tcBorders>
                    <w:tl2br w:val="nil"/>
                    <w:tr2bl w:val="nil"/>
                  </w:tcBorders>
                  <w:noWrap/>
                  <w:vAlign w:val="center"/>
                </w:tcPr>
                <w:p w14:paraId="3B80044A">
                  <w:pPr>
                    <w:pStyle w:val="43"/>
                    <w:spacing w:line="320" w:lineRule="exact"/>
                    <w:rPr>
                      <w:b/>
                      <w:bCs/>
                      <w:color w:val="auto"/>
                      <w:szCs w:val="21"/>
                    </w:rPr>
                  </w:pPr>
                  <w:r>
                    <w:rPr>
                      <w:rFonts w:hint="eastAsia"/>
                      <w:b/>
                      <w:bCs/>
                      <w:color w:val="auto"/>
                      <w:szCs w:val="21"/>
                    </w:rPr>
                    <w:t>平均时段</w:t>
                  </w:r>
                </w:p>
              </w:tc>
              <w:tc>
                <w:tcPr>
                  <w:tcW w:w="1169" w:type="pct"/>
                  <w:tcBorders>
                    <w:tl2br w:val="nil"/>
                    <w:tr2bl w:val="nil"/>
                  </w:tcBorders>
                  <w:noWrap/>
                  <w:vAlign w:val="center"/>
                </w:tcPr>
                <w:p w14:paraId="6575A489">
                  <w:pPr>
                    <w:pStyle w:val="43"/>
                    <w:spacing w:line="320" w:lineRule="exact"/>
                    <w:rPr>
                      <w:b/>
                      <w:bCs/>
                      <w:color w:val="auto"/>
                      <w:szCs w:val="21"/>
                    </w:rPr>
                  </w:pPr>
                  <w:r>
                    <w:rPr>
                      <w:rFonts w:hint="eastAsia"/>
                      <w:b/>
                      <w:bCs/>
                      <w:color w:val="auto"/>
                      <w:szCs w:val="21"/>
                    </w:rPr>
                    <w:t>现状浓度/</w:t>
                  </w:r>
                </w:p>
              </w:tc>
              <w:tc>
                <w:tcPr>
                  <w:tcW w:w="1117" w:type="pct"/>
                  <w:tcBorders>
                    <w:tl2br w:val="nil"/>
                    <w:tr2bl w:val="nil"/>
                  </w:tcBorders>
                  <w:noWrap/>
                  <w:vAlign w:val="center"/>
                </w:tcPr>
                <w:p w14:paraId="460865BD">
                  <w:pPr>
                    <w:pStyle w:val="43"/>
                    <w:spacing w:line="320" w:lineRule="exact"/>
                    <w:rPr>
                      <w:b/>
                      <w:bCs/>
                      <w:color w:val="auto"/>
                      <w:szCs w:val="21"/>
                    </w:rPr>
                  </w:pPr>
                  <w:r>
                    <w:rPr>
                      <w:rFonts w:hint="eastAsia"/>
                      <w:b/>
                      <w:bCs/>
                      <w:color w:val="auto"/>
                      <w:szCs w:val="21"/>
                    </w:rPr>
                    <w:t>标准限值/</w:t>
                  </w:r>
                </w:p>
              </w:tc>
              <w:tc>
                <w:tcPr>
                  <w:tcW w:w="677" w:type="pct"/>
                  <w:vMerge w:val="restart"/>
                  <w:tcBorders>
                    <w:tl2br w:val="nil"/>
                    <w:tr2bl w:val="nil"/>
                  </w:tcBorders>
                  <w:noWrap/>
                  <w:vAlign w:val="center"/>
                </w:tcPr>
                <w:p w14:paraId="675EC772">
                  <w:pPr>
                    <w:pStyle w:val="43"/>
                    <w:spacing w:line="320" w:lineRule="exact"/>
                    <w:rPr>
                      <w:b/>
                      <w:bCs/>
                      <w:color w:val="auto"/>
                      <w:szCs w:val="21"/>
                    </w:rPr>
                  </w:pPr>
                  <w:r>
                    <w:rPr>
                      <w:rFonts w:hint="eastAsia"/>
                      <w:b/>
                      <w:bCs/>
                      <w:color w:val="auto"/>
                      <w:szCs w:val="21"/>
                    </w:rPr>
                    <w:t>达标情况</w:t>
                  </w:r>
                </w:p>
              </w:tc>
            </w:tr>
            <w:tr w14:paraId="1B906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676" w:type="pct"/>
                  <w:vMerge w:val="continue"/>
                  <w:tcBorders>
                    <w:tl2br w:val="nil"/>
                    <w:tr2bl w:val="nil"/>
                  </w:tcBorders>
                  <w:noWrap/>
                  <w:vAlign w:val="center"/>
                </w:tcPr>
                <w:p w14:paraId="3205D82E">
                  <w:pPr>
                    <w:pStyle w:val="43"/>
                    <w:spacing w:line="320" w:lineRule="exact"/>
                    <w:rPr>
                      <w:color w:val="auto"/>
                      <w:szCs w:val="21"/>
                    </w:rPr>
                  </w:pPr>
                </w:p>
              </w:tc>
              <w:tc>
                <w:tcPr>
                  <w:tcW w:w="1358" w:type="pct"/>
                  <w:vMerge w:val="continue"/>
                  <w:tcBorders>
                    <w:tl2br w:val="nil"/>
                    <w:tr2bl w:val="nil"/>
                  </w:tcBorders>
                  <w:noWrap/>
                  <w:vAlign w:val="center"/>
                </w:tcPr>
                <w:p w14:paraId="72CECB84">
                  <w:pPr>
                    <w:pStyle w:val="43"/>
                    <w:spacing w:line="320" w:lineRule="exact"/>
                    <w:rPr>
                      <w:color w:val="auto"/>
                      <w:szCs w:val="21"/>
                    </w:rPr>
                  </w:pPr>
                </w:p>
              </w:tc>
              <w:tc>
                <w:tcPr>
                  <w:tcW w:w="1169" w:type="pct"/>
                  <w:tcBorders>
                    <w:tl2br w:val="nil"/>
                    <w:tr2bl w:val="nil"/>
                  </w:tcBorders>
                  <w:noWrap/>
                  <w:vAlign w:val="center"/>
                </w:tcPr>
                <w:p w14:paraId="7633C1CD">
                  <w:pPr>
                    <w:pStyle w:val="43"/>
                    <w:spacing w:line="320" w:lineRule="exact"/>
                    <w:rPr>
                      <w:b/>
                      <w:bCs/>
                      <w:color w:val="auto"/>
                      <w:szCs w:val="21"/>
                    </w:rPr>
                  </w:pPr>
                  <w:r>
                    <w:rPr>
                      <w:rFonts w:hint="eastAsia"/>
                      <w:b/>
                      <w:bCs/>
                      <w:color w:val="auto"/>
                      <w:szCs w:val="21"/>
                    </w:rPr>
                    <w:t>（μg/m³）</w:t>
                  </w:r>
                </w:p>
              </w:tc>
              <w:tc>
                <w:tcPr>
                  <w:tcW w:w="1117" w:type="pct"/>
                  <w:tcBorders>
                    <w:tl2br w:val="nil"/>
                    <w:tr2bl w:val="nil"/>
                  </w:tcBorders>
                  <w:noWrap/>
                  <w:vAlign w:val="center"/>
                </w:tcPr>
                <w:p w14:paraId="3C4C4AD9">
                  <w:pPr>
                    <w:pStyle w:val="43"/>
                    <w:spacing w:line="320" w:lineRule="exact"/>
                    <w:rPr>
                      <w:b/>
                      <w:bCs/>
                      <w:color w:val="auto"/>
                      <w:szCs w:val="21"/>
                    </w:rPr>
                  </w:pPr>
                  <w:r>
                    <w:rPr>
                      <w:rFonts w:hint="eastAsia"/>
                      <w:b/>
                      <w:bCs/>
                      <w:color w:val="auto"/>
                      <w:szCs w:val="21"/>
                    </w:rPr>
                    <w:t>（μg/m³）</w:t>
                  </w:r>
                </w:p>
              </w:tc>
              <w:tc>
                <w:tcPr>
                  <w:tcW w:w="677" w:type="pct"/>
                  <w:vMerge w:val="continue"/>
                  <w:tcBorders>
                    <w:tl2br w:val="nil"/>
                    <w:tr2bl w:val="nil"/>
                  </w:tcBorders>
                  <w:noWrap/>
                  <w:vAlign w:val="center"/>
                </w:tcPr>
                <w:p w14:paraId="5DCF53FA">
                  <w:pPr>
                    <w:pStyle w:val="43"/>
                    <w:spacing w:line="320" w:lineRule="exact"/>
                    <w:rPr>
                      <w:color w:val="auto"/>
                      <w:szCs w:val="21"/>
                    </w:rPr>
                  </w:pPr>
                </w:p>
              </w:tc>
            </w:tr>
            <w:tr w14:paraId="0E184D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6" w:type="pct"/>
                  <w:tcBorders>
                    <w:tl2br w:val="nil"/>
                    <w:tr2bl w:val="nil"/>
                  </w:tcBorders>
                  <w:noWrap/>
                  <w:vAlign w:val="center"/>
                </w:tcPr>
                <w:p w14:paraId="5EF32C7A">
                  <w:pPr>
                    <w:pStyle w:val="43"/>
                    <w:spacing w:line="320" w:lineRule="exact"/>
                    <w:rPr>
                      <w:color w:val="auto"/>
                      <w:szCs w:val="21"/>
                    </w:rPr>
                  </w:pPr>
                  <w:r>
                    <w:rPr>
                      <w:rFonts w:hint="eastAsia"/>
                      <w:color w:val="auto"/>
                      <w:szCs w:val="21"/>
                    </w:rPr>
                    <w:t>SO</w:t>
                  </w:r>
                  <w:r>
                    <w:rPr>
                      <w:rFonts w:hint="eastAsia"/>
                      <w:color w:val="auto"/>
                      <w:szCs w:val="21"/>
                      <w:vertAlign w:val="subscript"/>
                    </w:rPr>
                    <w:t>2</w:t>
                  </w:r>
                </w:p>
              </w:tc>
              <w:tc>
                <w:tcPr>
                  <w:tcW w:w="1358" w:type="pct"/>
                  <w:tcBorders>
                    <w:tl2br w:val="nil"/>
                    <w:tr2bl w:val="nil"/>
                  </w:tcBorders>
                  <w:noWrap/>
                  <w:vAlign w:val="center"/>
                </w:tcPr>
                <w:p w14:paraId="6AB5F4CA">
                  <w:pPr>
                    <w:pStyle w:val="43"/>
                    <w:spacing w:line="320" w:lineRule="exact"/>
                    <w:rPr>
                      <w:color w:val="auto"/>
                      <w:szCs w:val="21"/>
                    </w:rPr>
                  </w:pPr>
                  <w:r>
                    <w:rPr>
                      <w:rFonts w:hint="eastAsia"/>
                      <w:color w:val="auto"/>
                      <w:szCs w:val="21"/>
                    </w:rPr>
                    <w:t>年平均浓度</w:t>
                  </w:r>
                </w:p>
              </w:tc>
              <w:tc>
                <w:tcPr>
                  <w:tcW w:w="1169" w:type="pct"/>
                  <w:tcBorders>
                    <w:tl2br w:val="nil"/>
                    <w:tr2bl w:val="nil"/>
                  </w:tcBorders>
                  <w:noWrap/>
                  <w:vAlign w:val="center"/>
                </w:tcPr>
                <w:p w14:paraId="3EA7209E">
                  <w:pPr>
                    <w:pStyle w:val="43"/>
                    <w:spacing w:line="320" w:lineRule="exact"/>
                    <w:rPr>
                      <w:rFonts w:hint="eastAsia" w:eastAsia="宋体"/>
                      <w:color w:val="auto"/>
                      <w:szCs w:val="21"/>
                      <w:highlight w:val="none"/>
                      <w:lang w:val="en-US" w:eastAsia="zh-CN"/>
                    </w:rPr>
                  </w:pPr>
                  <w:r>
                    <w:rPr>
                      <w:rFonts w:hint="eastAsia"/>
                      <w:color w:val="auto"/>
                      <w:szCs w:val="21"/>
                      <w:highlight w:val="none"/>
                      <w:lang w:val="en-US" w:eastAsia="zh-CN"/>
                    </w:rPr>
                    <w:t>6</w:t>
                  </w:r>
                </w:p>
              </w:tc>
              <w:tc>
                <w:tcPr>
                  <w:tcW w:w="1117" w:type="pct"/>
                  <w:tcBorders>
                    <w:tl2br w:val="nil"/>
                    <w:tr2bl w:val="nil"/>
                  </w:tcBorders>
                  <w:noWrap/>
                  <w:vAlign w:val="center"/>
                </w:tcPr>
                <w:p w14:paraId="608995DE">
                  <w:pPr>
                    <w:pStyle w:val="43"/>
                    <w:spacing w:line="320" w:lineRule="exact"/>
                    <w:rPr>
                      <w:rFonts w:hint="default" w:eastAsia="宋体"/>
                      <w:color w:val="auto"/>
                      <w:szCs w:val="21"/>
                      <w:lang w:val="en-US" w:eastAsia="zh-CN"/>
                    </w:rPr>
                  </w:pPr>
                  <w:r>
                    <w:rPr>
                      <w:rFonts w:hint="eastAsia"/>
                      <w:color w:val="auto"/>
                      <w:szCs w:val="21"/>
                      <w:lang w:val="en-US" w:eastAsia="zh-CN"/>
                    </w:rPr>
                    <w:t>60</w:t>
                  </w:r>
                </w:p>
              </w:tc>
              <w:tc>
                <w:tcPr>
                  <w:tcW w:w="677" w:type="pct"/>
                  <w:tcBorders>
                    <w:tl2br w:val="nil"/>
                    <w:tr2bl w:val="nil"/>
                  </w:tcBorders>
                  <w:noWrap/>
                  <w:vAlign w:val="center"/>
                </w:tcPr>
                <w:p w14:paraId="2E19403B">
                  <w:pPr>
                    <w:pStyle w:val="43"/>
                    <w:spacing w:line="320" w:lineRule="exact"/>
                    <w:rPr>
                      <w:color w:val="auto"/>
                      <w:szCs w:val="21"/>
                    </w:rPr>
                  </w:pPr>
                  <w:r>
                    <w:rPr>
                      <w:rFonts w:hint="eastAsia"/>
                      <w:color w:val="auto"/>
                      <w:szCs w:val="21"/>
                    </w:rPr>
                    <w:t>达标</w:t>
                  </w:r>
                </w:p>
              </w:tc>
            </w:tr>
            <w:tr w14:paraId="24708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6" w:type="pct"/>
                  <w:tcBorders>
                    <w:tl2br w:val="nil"/>
                    <w:tr2bl w:val="nil"/>
                  </w:tcBorders>
                  <w:noWrap/>
                  <w:vAlign w:val="center"/>
                </w:tcPr>
                <w:p w14:paraId="432EA395">
                  <w:pPr>
                    <w:pStyle w:val="43"/>
                    <w:spacing w:line="320" w:lineRule="exact"/>
                    <w:rPr>
                      <w:color w:val="auto"/>
                      <w:szCs w:val="21"/>
                    </w:rPr>
                  </w:pPr>
                  <w:r>
                    <w:rPr>
                      <w:rFonts w:hint="eastAsia"/>
                      <w:color w:val="auto"/>
                      <w:szCs w:val="21"/>
                    </w:rPr>
                    <w:t>NO</w:t>
                  </w:r>
                  <w:r>
                    <w:rPr>
                      <w:rFonts w:hint="eastAsia"/>
                      <w:color w:val="auto"/>
                      <w:szCs w:val="21"/>
                      <w:vertAlign w:val="subscript"/>
                    </w:rPr>
                    <w:t>2</w:t>
                  </w:r>
                </w:p>
              </w:tc>
              <w:tc>
                <w:tcPr>
                  <w:tcW w:w="1358" w:type="pct"/>
                  <w:tcBorders>
                    <w:tl2br w:val="nil"/>
                    <w:tr2bl w:val="nil"/>
                  </w:tcBorders>
                  <w:noWrap/>
                  <w:vAlign w:val="center"/>
                </w:tcPr>
                <w:p w14:paraId="2B438AA5">
                  <w:pPr>
                    <w:pStyle w:val="43"/>
                    <w:spacing w:line="320" w:lineRule="exact"/>
                    <w:rPr>
                      <w:color w:val="auto"/>
                      <w:szCs w:val="21"/>
                    </w:rPr>
                  </w:pPr>
                  <w:r>
                    <w:rPr>
                      <w:rFonts w:hint="eastAsia"/>
                      <w:color w:val="auto"/>
                      <w:szCs w:val="21"/>
                    </w:rPr>
                    <w:t>年平均浓度</w:t>
                  </w:r>
                </w:p>
              </w:tc>
              <w:tc>
                <w:tcPr>
                  <w:tcW w:w="1169" w:type="pct"/>
                  <w:tcBorders>
                    <w:tl2br w:val="nil"/>
                    <w:tr2bl w:val="nil"/>
                  </w:tcBorders>
                  <w:noWrap/>
                  <w:vAlign w:val="center"/>
                </w:tcPr>
                <w:p w14:paraId="7172832A">
                  <w:pPr>
                    <w:pStyle w:val="43"/>
                    <w:spacing w:line="320" w:lineRule="exact"/>
                    <w:rPr>
                      <w:rFonts w:hint="default" w:eastAsia="宋体"/>
                      <w:color w:val="auto"/>
                      <w:szCs w:val="21"/>
                      <w:highlight w:val="none"/>
                      <w:lang w:val="en-US" w:eastAsia="zh-CN"/>
                    </w:rPr>
                  </w:pPr>
                  <w:r>
                    <w:rPr>
                      <w:rFonts w:hint="eastAsia"/>
                      <w:color w:val="auto"/>
                      <w:szCs w:val="21"/>
                      <w:highlight w:val="none"/>
                      <w:lang w:val="en-US" w:eastAsia="zh-CN"/>
                    </w:rPr>
                    <w:t>28</w:t>
                  </w:r>
                </w:p>
              </w:tc>
              <w:tc>
                <w:tcPr>
                  <w:tcW w:w="1117" w:type="pct"/>
                  <w:tcBorders>
                    <w:tl2br w:val="nil"/>
                    <w:tr2bl w:val="nil"/>
                  </w:tcBorders>
                  <w:noWrap/>
                  <w:vAlign w:val="center"/>
                </w:tcPr>
                <w:p w14:paraId="326712AC">
                  <w:pPr>
                    <w:pStyle w:val="43"/>
                    <w:spacing w:line="320" w:lineRule="exact"/>
                    <w:rPr>
                      <w:rFonts w:hint="default" w:eastAsia="宋体"/>
                      <w:color w:val="auto"/>
                      <w:szCs w:val="21"/>
                      <w:lang w:val="en-US" w:eastAsia="zh-CN"/>
                    </w:rPr>
                  </w:pPr>
                  <w:r>
                    <w:rPr>
                      <w:rFonts w:hint="eastAsia"/>
                      <w:color w:val="auto"/>
                      <w:szCs w:val="21"/>
                      <w:lang w:val="en-US" w:eastAsia="zh-CN"/>
                    </w:rPr>
                    <w:t>40</w:t>
                  </w:r>
                </w:p>
              </w:tc>
              <w:tc>
                <w:tcPr>
                  <w:tcW w:w="677" w:type="pct"/>
                  <w:tcBorders>
                    <w:tl2br w:val="nil"/>
                    <w:tr2bl w:val="nil"/>
                  </w:tcBorders>
                  <w:noWrap/>
                  <w:vAlign w:val="center"/>
                </w:tcPr>
                <w:p w14:paraId="22376529">
                  <w:pPr>
                    <w:pStyle w:val="43"/>
                    <w:spacing w:line="320" w:lineRule="exact"/>
                    <w:rPr>
                      <w:color w:val="auto"/>
                      <w:szCs w:val="21"/>
                    </w:rPr>
                  </w:pPr>
                  <w:r>
                    <w:rPr>
                      <w:rFonts w:hint="eastAsia"/>
                      <w:color w:val="auto"/>
                      <w:szCs w:val="21"/>
                    </w:rPr>
                    <w:t>达标</w:t>
                  </w:r>
                </w:p>
              </w:tc>
            </w:tr>
            <w:tr w14:paraId="18793A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76" w:type="pct"/>
                  <w:tcBorders>
                    <w:tl2br w:val="nil"/>
                    <w:tr2bl w:val="nil"/>
                  </w:tcBorders>
                  <w:noWrap/>
                  <w:vAlign w:val="center"/>
                </w:tcPr>
                <w:p w14:paraId="653443ED">
                  <w:pPr>
                    <w:pStyle w:val="43"/>
                    <w:spacing w:line="320" w:lineRule="exact"/>
                    <w:rPr>
                      <w:rFonts w:hint="eastAsia" w:eastAsia="宋体"/>
                      <w:color w:val="auto"/>
                      <w:szCs w:val="21"/>
                      <w:lang w:eastAsia="zh-CN"/>
                    </w:rPr>
                  </w:pPr>
                  <w:r>
                    <w:rPr>
                      <w:rFonts w:hint="eastAsia"/>
                      <w:color w:val="auto"/>
                      <w:szCs w:val="21"/>
                    </w:rPr>
                    <w:t>CO</w:t>
                  </w:r>
                </w:p>
              </w:tc>
              <w:tc>
                <w:tcPr>
                  <w:tcW w:w="1358" w:type="pct"/>
                  <w:tcBorders>
                    <w:tl2br w:val="nil"/>
                    <w:tr2bl w:val="nil"/>
                  </w:tcBorders>
                  <w:noWrap/>
                  <w:vAlign w:val="center"/>
                </w:tcPr>
                <w:p w14:paraId="55AE7430">
                  <w:pPr>
                    <w:pStyle w:val="43"/>
                    <w:spacing w:line="320" w:lineRule="exact"/>
                    <w:rPr>
                      <w:color w:val="auto"/>
                      <w:szCs w:val="21"/>
                    </w:rPr>
                  </w:pPr>
                  <w:r>
                    <w:rPr>
                      <w:rFonts w:hint="eastAsia"/>
                      <w:color w:val="auto"/>
                      <w:szCs w:val="21"/>
                    </w:rPr>
                    <w:t>年平均浓度</w:t>
                  </w:r>
                </w:p>
              </w:tc>
              <w:tc>
                <w:tcPr>
                  <w:tcW w:w="1169" w:type="pct"/>
                  <w:tcBorders>
                    <w:tl2br w:val="nil"/>
                    <w:tr2bl w:val="nil"/>
                  </w:tcBorders>
                  <w:noWrap/>
                  <w:vAlign w:val="center"/>
                </w:tcPr>
                <w:p w14:paraId="21972EB2">
                  <w:pPr>
                    <w:pStyle w:val="43"/>
                    <w:spacing w:line="320" w:lineRule="exact"/>
                    <w:rPr>
                      <w:rFonts w:hint="default" w:eastAsia="宋体"/>
                      <w:color w:val="auto"/>
                      <w:szCs w:val="21"/>
                      <w:highlight w:val="none"/>
                      <w:lang w:val="en-US" w:eastAsia="zh-CN"/>
                    </w:rPr>
                  </w:pPr>
                  <w:r>
                    <w:rPr>
                      <w:rFonts w:hint="eastAsia"/>
                      <w:color w:val="auto"/>
                      <w:szCs w:val="21"/>
                      <w:highlight w:val="none"/>
                      <w:lang w:val="en-US" w:eastAsia="zh-CN"/>
                    </w:rPr>
                    <w:t>1.0mg/m³</w:t>
                  </w:r>
                </w:p>
              </w:tc>
              <w:tc>
                <w:tcPr>
                  <w:tcW w:w="1117" w:type="pct"/>
                  <w:tcBorders>
                    <w:tl2br w:val="nil"/>
                    <w:tr2bl w:val="nil"/>
                  </w:tcBorders>
                  <w:noWrap/>
                  <w:vAlign w:val="center"/>
                </w:tcPr>
                <w:p w14:paraId="04670D4D">
                  <w:pPr>
                    <w:pStyle w:val="43"/>
                    <w:spacing w:line="320" w:lineRule="exact"/>
                    <w:rPr>
                      <w:rFonts w:hint="eastAsia" w:eastAsia="宋体"/>
                      <w:color w:val="auto"/>
                      <w:szCs w:val="21"/>
                      <w:lang w:val="en-US" w:eastAsia="zh-CN"/>
                    </w:rPr>
                  </w:pPr>
                  <w:r>
                    <w:rPr>
                      <w:rFonts w:hint="eastAsia"/>
                      <w:color w:val="auto"/>
                      <w:szCs w:val="21"/>
                      <w:lang w:val="en-US" w:eastAsia="zh-CN"/>
                    </w:rPr>
                    <w:t>4mg/m³</w:t>
                  </w:r>
                </w:p>
              </w:tc>
              <w:tc>
                <w:tcPr>
                  <w:tcW w:w="677" w:type="pct"/>
                  <w:tcBorders>
                    <w:tl2br w:val="nil"/>
                    <w:tr2bl w:val="nil"/>
                  </w:tcBorders>
                  <w:noWrap/>
                  <w:vAlign w:val="center"/>
                </w:tcPr>
                <w:p w14:paraId="744EA8D3">
                  <w:pPr>
                    <w:pStyle w:val="43"/>
                    <w:spacing w:line="320" w:lineRule="exact"/>
                    <w:rPr>
                      <w:color w:val="auto"/>
                      <w:szCs w:val="21"/>
                    </w:rPr>
                  </w:pPr>
                  <w:r>
                    <w:rPr>
                      <w:rFonts w:hint="eastAsia"/>
                      <w:color w:val="auto"/>
                      <w:szCs w:val="21"/>
                    </w:rPr>
                    <w:t>达标</w:t>
                  </w:r>
                </w:p>
              </w:tc>
            </w:tr>
            <w:tr w14:paraId="559F2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6" w:type="pct"/>
                  <w:tcBorders>
                    <w:tl2br w:val="nil"/>
                    <w:tr2bl w:val="nil"/>
                  </w:tcBorders>
                  <w:noWrap/>
                  <w:vAlign w:val="center"/>
                </w:tcPr>
                <w:p w14:paraId="7FDAB579">
                  <w:pPr>
                    <w:pStyle w:val="43"/>
                    <w:spacing w:line="320" w:lineRule="exact"/>
                    <w:rPr>
                      <w:color w:val="auto"/>
                      <w:szCs w:val="21"/>
                    </w:rPr>
                  </w:pPr>
                  <w:r>
                    <w:rPr>
                      <w:rFonts w:hint="eastAsia"/>
                      <w:color w:val="auto"/>
                      <w:szCs w:val="21"/>
                    </w:rPr>
                    <w:t>O</w:t>
                  </w:r>
                  <w:r>
                    <w:rPr>
                      <w:rFonts w:hint="eastAsia"/>
                      <w:color w:val="auto"/>
                      <w:szCs w:val="21"/>
                      <w:vertAlign w:val="subscript"/>
                    </w:rPr>
                    <w:t>3</w:t>
                  </w:r>
                </w:p>
              </w:tc>
              <w:tc>
                <w:tcPr>
                  <w:tcW w:w="1358" w:type="pct"/>
                  <w:tcBorders>
                    <w:tl2br w:val="nil"/>
                    <w:tr2bl w:val="nil"/>
                  </w:tcBorders>
                  <w:noWrap/>
                  <w:vAlign w:val="center"/>
                </w:tcPr>
                <w:p w14:paraId="36D7F9D3">
                  <w:pPr>
                    <w:pStyle w:val="43"/>
                    <w:spacing w:line="320" w:lineRule="exact"/>
                    <w:rPr>
                      <w:rFonts w:hint="default" w:eastAsia="宋体"/>
                      <w:color w:val="auto"/>
                      <w:szCs w:val="21"/>
                      <w:lang w:val="en-US" w:eastAsia="zh-CN"/>
                    </w:rPr>
                  </w:pPr>
                  <w:r>
                    <w:rPr>
                      <w:rFonts w:hint="eastAsia"/>
                      <w:color w:val="auto"/>
                      <w:szCs w:val="21"/>
                      <w:lang w:val="en-US" w:eastAsia="zh-CN"/>
                    </w:rPr>
                    <w:t>日最大8小时平均</w:t>
                  </w:r>
                </w:p>
              </w:tc>
              <w:tc>
                <w:tcPr>
                  <w:tcW w:w="1169" w:type="pct"/>
                  <w:tcBorders>
                    <w:tl2br w:val="nil"/>
                    <w:tr2bl w:val="nil"/>
                  </w:tcBorders>
                  <w:noWrap/>
                  <w:vAlign w:val="center"/>
                </w:tcPr>
                <w:p w14:paraId="0CA6A0F3">
                  <w:pPr>
                    <w:pStyle w:val="43"/>
                    <w:spacing w:line="320" w:lineRule="exact"/>
                    <w:rPr>
                      <w:rFonts w:hint="default" w:eastAsia="宋体"/>
                      <w:color w:val="auto"/>
                      <w:szCs w:val="21"/>
                      <w:highlight w:val="none"/>
                      <w:lang w:val="en-US" w:eastAsia="zh-CN"/>
                    </w:rPr>
                  </w:pPr>
                  <w:r>
                    <w:rPr>
                      <w:rFonts w:hint="eastAsia"/>
                      <w:color w:val="auto"/>
                      <w:szCs w:val="21"/>
                      <w:highlight w:val="none"/>
                      <w:lang w:val="en-US" w:eastAsia="zh-CN"/>
                    </w:rPr>
                    <w:t>70</w:t>
                  </w:r>
                </w:p>
              </w:tc>
              <w:tc>
                <w:tcPr>
                  <w:tcW w:w="1117" w:type="pct"/>
                  <w:tcBorders>
                    <w:tl2br w:val="nil"/>
                    <w:tr2bl w:val="nil"/>
                  </w:tcBorders>
                  <w:noWrap/>
                  <w:vAlign w:val="center"/>
                </w:tcPr>
                <w:p w14:paraId="27609156">
                  <w:pPr>
                    <w:pStyle w:val="43"/>
                    <w:spacing w:line="320" w:lineRule="exact"/>
                    <w:rPr>
                      <w:rFonts w:hint="default" w:eastAsia="宋体"/>
                      <w:color w:val="auto"/>
                      <w:szCs w:val="21"/>
                      <w:lang w:val="en-US" w:eastAsia="zh-CN"/>
                    </w:rPr>
                  </w:pPr>
                  <w:r>
                    <w:rPr>
                      <w:rFonts w:hint="eastAsia"/>
                      <w:color w:val="auto"/>
                      <w:szCs w:val="21"/>
                      <w:lang w:val="en-US" w:eastAsia="zh-CN"/>
                    </w:rPr>
                    <w:t>160</w:t>
                  </w:r>
                </w:p>
              </w:tc>
              <w:tc>
                <w:tcPr>
                  <w:tcW w:w="677" w:type="pct"/>
                  <w:tcBorders>
                    <w:tl2br w:val="nil"/>
                    <w:tr2bl w:val="nil"/>
                  </w:tcBorders>
                  <w:noWrap/>
                  <w:vAlign w:val="center"/>
                </w:tcPr>
                <w:p w14:paraId="601EFD8D">
                  <w:pPr>
                    <w:pStyle w:val="43"/>
                    <w:spacing w:line="320" w:lineRule="exact"/>
                    <w:rPr>
                      <w:color w:val="auto"/>
                      <w:szCs w:val="21"/>
                    </w:rPr>
                  </w:pPr>
                  <w:r>
                    <w:rPr>
                      <w:rFonts w:hint="eastAsia"/>
                      <w:color w:val="auto"/>
                      <w:szCs w:val="21"/>
                    </w:rPr>
                    <w:t>达标</w:t>
                  </w:r>
                </w:p>
              </w:tc>
            </w:tr>
            <w:tr w14:paraId="070434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6" w:type="pct"/>
                  <w:tcBorders>
                    <w:tl2br w:val="nil"/>
                    <w:tr2bl w:val="nil"/>
                  </w:tcBorders>
                  <w:noWrap/>
                  <w:vAlign w:val="center"/>
                </w:tcPr>
                <w:p w14:paraId="75BF3F79">
                  <w:pPr>
                    <w:pStyle w:val="43"/>
                    <w:spacing w:line="320" w:lineRule="exact"/>
                    <w:rPr>
                      <w:color w:val="auto"/>
                      <w:szCs w:val="21"/>
                    </w:rPr>
                  </w:pPr>
                  <w:r>
                    <w:rPr>
                      <w:rFonts w:hint="eastAsia"/>
                      <w:color w:val="auto"/>
                      <w:szCs w:val="21"/>
                    </w:rPr>
                    <w:t>PM</w:t>
                  </w:r>
                  <w:r>
                    <w:rPr>
                      <w:rFonts w:hint="eastAsia"/>
                      <w:color w:val="auto"/>
                      <w:szCs w:val="21"/>
                      <w:vertAlign w:val="subscript"/>
                    </w:rPr>
                    <w:t>2.5</w:t>
                  </w:r>
                </w:p>
              </w:tc>
              <w:tc>
                <w:tcPr>
                  <w:tcW w:w="1358" w:type="pct"/>
                  <w:tcBorders>
                    <w:tl2br w:val="nil"/>
                    <w:tr2bl w:val="nil"/>
                  </w:tcBorders>
                  <w:noWrap/>
                  <w:vAlign w:val="center"/>
                </w:tcPr>
                <w:p w14:paraId="51CA654C">
                  <w:pPr>
                    <w:pStyle w:val="43"/>
                    <w:spacing w:line="320" w:lineRule="exact"/>
                    <w:rPr>
                      <w:color w:val="auto"/>
                      <w:szCs w:val="21"/>
                    </w:rPr>
                  </w:pPr>
                  <w:r>
                    <w:rPr>
                      <w:rFonts w:hint="eastAsia"/>
                      <w:color w:val="auto"/>
                      <w:szCs w:val="21"/>
                    </w:rPr>
                    <w:t>年平均浓度</w:t>
                  </w:r>
                </w:p>
              </w:tc>
              <w:tc>
                <w:tcPr>
                  <w:tcW w:w="1169" w:type="pct"/>
                  <w:tcBorders>
                    <w:tl2br w:val="nil"/>
                    <w:tr2bl w:val="nil"/>
                  </w:tcBorders>
                  <w:noWrap/>
                  <w:vAlign w:val="center"/>
                </w:tcPr>
                <w:p w14:paraId="6836505C">
                  <w:pPr>
                    <w:pStyle w:val="43"/>
                    <w:spacing w:line="320" w:lineRule="exact"/>
                    <w:rPr>
                      <w:rFonts w:hint="default" w:eastAsia="宋体"/>
                      <w:color w:val="auto"/>
                      <w:szCs w:val="21"/>
                      <w:highlight w:val="none"/>
                      <w:lang w:val="en-US" w:eastAsia="zh-CN"/>
                    </w:rPr>
                  </w:pPr>
                  <w:r>
                    <w:rPr>
                      <w:rFonts w:hint="eastAsia"/>
                      <w:color w:val="auto"/>
                      <w:szCs w:val="21"/>
                      <w:highlight w:val="none"/>
                      <w:lang w:val="en-US" w:eastAsia="zh-CN"/>
                    </w:rPr>
                    <w:t>65</w:t>
                  </w:r>
                </w:p>
              </w:tc>
              <w:tc>
                <w:tcPr>
                  <w:tcW w:w="1117" w:type="pct"/>
                  <w:tcBorders>
                    <w:tl2br w:val="nil"/>
                    <w:tr2bl w:val="nil"/>
                  </w:tcBorders>
                  <w:noWrap/>
                  <w:vAlign w:val="center"/>
                </w:tcPr>
                <w:p w14:paraId="5BF184E5">
                  <w:pPr>
                    <w:pStyle w:val="43"/>
                    <w:spacing w:line="320" w:lineRule="exact"/>
                    <w:rPr>
                      <w:rFonts w:hint="default" w:eastAsia="宋体"/>
                      <w:color w:val="auto"/>
                      <w:szCs w:val="21"/>
                      <w:lang w:val="en-US" w:eastAsia="zh-CN"/>
                    </w:rPr>
                  </w:pPr>
                  <w:r>
                    <w:rPr>
                      <w:rFonts w:hint="eastAsia"/>
                      <w:color w:val="auto"/>
                      <w:szCs w:val="21"/>
                      <w:lang w:val="en-US" w:eastAsia="zh-CN"/>
                    </w:rPr>
                    <w:t>35</w:t>
                  </w:r>
                </w:p>
              </w:tc>
              <w:tc>
                <w:tcPr>
                  <w:tcW w:w="677" w:type="pct"/>
                  <w:tcBorders>
                    <w:tl2br w:val="nil"/>
                    <w:tr2bl w:val="nil"/>
                  </w:tcBorders>
                  <w:noWrap/>
                  <w:vAlign w:val="center"/>
                </w:tcPr>
                <w:p w14:paraId="13B86D6F">
                  <w:pPr>
                    <w:pStyle w:val="43"/>
                    <w:spacing w:line="320" w:lineRule="exact"/>
                    <w:rPr>
                      <w:color w:val="auto"/>
                      <w:szCs w:val="21"/>
                    </w:rPr>
                  </w:pPr>
                  <w:r>
                    <w:rPr>
                      <w:rFonts w:hint="eastAsia"/>
                      <w:color w:val="auto"/>
                      <w:szCs w:val="21"/>
                    </w:rPr>
                    <w:t>超标</w:t>
                  </w:r>
                </w:p>
              </w:tc>
            </w:tr>
            <w:tr w14:paraId="4116F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6" w:type="pct"/>
                  <w:tcBorders>
                    <w:tl2br w:val="nil"/>
                    <w:tr2bl w:val="nil"/>
                  </w:tcBorders>
                  <w:noWrap/>
                  <w:vAlign w:val="center"/>
                </w:tcPr>
                <w:p w14:paraId="7586144B">
                  <w:pPr>
                    <w:pStyle w:val="43"/>
                    <w:spacing w:line="320" w:lineRule="exact"/>
                    <w:rPr>
                      <w:color w:val="auto"/>
                      <w:szCs w:val="21"/>
                    </w:rPr>
                  </w:pPr>
                  <w:r>
                    <w:rPr>
                      <w:rFonts w:hint="eastAsia"/>
                      <w:color w:val="auto"/>
                      <w:szCs w:val="21"/>
                    </w:rPr>
                    <w:t>PM</w:t>
                  </w:r>
                  <w:r>
                    <w:rPr>
                      <w:rFonts w:hint="eastAsia"/>
                      <w:color w:val="auto"/>
                      <w:szCs w:val="21"/>
                      <w:vertAlign w:val="subscript"/>
                    </w:rPr>
                    <w:t>10</w:t>
                  </w:r>
                </w:p>
              </w:tc>
              <w:tc>
                <w:tcPr>
                  <w:tcW w:w="1358" w:type="pct"/>
                  <w:tcBorders>
                    <w:tl2br w:val="nil"/>
                    <w:tr2bl w:val="nil"/>
                  </w:tcBorders>
                  <w:noWrap/>
                  <w:vAlign w:val="center"/>
                </w:tcPr>
                <w:p w14:paraId="6EE1CB23">
                  <w:pPr>
                    <w:pStyle w:val="43"/>
                    <w:spacing w:line="320" w:lineRule="exact"/>
                    <w:rPr>
                      <w:color w:val="auto"/>
                      <w:szCs w:val="21"/>
                    </w:rPr>
                  </w:pPr>
                  <w:r>
                    <w:rPr>
                      <w:rFonts w:hint="eastAsia"/>
                      <w:color w:val="auto"/>
                      <w:szCs w:val="21"/>
                    </w:rPr>
                    <w:t>年平均浓度</w:t>
                  </w:r>
                </w:p>
              </w:tc>
              <w:tc>
                <w:tcPr>
                  <w:tcW w:w="1169" w:type="pct"/>
                  <w:tcBorders>
                    <w:tl2br w:val="nil"/>
                    <w:tr2bl w:val="nil"/>
                  </w:tcBorders>
                  <w:noWrap/>
                  <w:vAlign w:val="center"/>
                </w:tcPr>
                <w:p w14:paraId="725605B9">
                  <w:pPr>
                    <w:pStyle w:val="43"/>
                    <w:spacing w:line="320" w:lineRule="exact"/>
                    <w:rPr>
                      <w:rFonts w:hint="default" w:eastAsia="宋体"/>
                      <w:color w:val="auto"/>
                      <w:szCs w:val="21"/>
                      <w:lang w:val="en-US" w:eastAsia="zh-CN"/>
                    </w:rPr>
                  </w:pPr>
                  <w:r>
                    <w:rPr>
                      <w:rFonts w:hint="eastAsia"/>
                      <w:color w:val="auto"/>
                      <w:szCs w:val="21"/>
                      <w:lang w:val="en-US" w:eastAsia="zh-CN"/>
                    </w:rPr>
                    <w:t>103</w:t>
                  </w:r>
                </w:p>
              </w:tc>
              <w:tc>
                <w:tcPr>
                  <w:tcW w:w="1117" w:type="pct"/>
                  <w:tcBorders>
                    <w:tl2br w:val="nil"/>
                    <w:tr2bl w:val="nil"/>
                  </w:tcBorders>
                  <w:noWrap/>
                  <w:vAlign w:val="center"/>
                </w:tcPr>
                <w:p w14:paraId="36161540">
                  <w:pPr>
                    <w:pStyle w:val="43"/>
                    <w:spacing w:line="320" w:lineRule="exact"/>
                    <w:rPr>
                      <w:rFonts w:hint="default" w:eastAsia="宋体"/>
                      <w:color w:val="auto"/>
                      <w:szCs w:val="21"/>
                      <w:lang w:val="en-US" w:eastAsia="zh-CN"/>
                    </w:rPr>
                  </w:pPr>
                  <w:r>
                    <w:rPr>
                      <w:rFonts w:hint="eastAsia"/>
                      <w:color w:val="auto"/>
                      <w:szCs w:val="21"/>
                      <w:lang w:val="en-US" w:eastAsia="zh-CN"/>
                    </w:rPr>
                    <w:t>70</w:t>
                  </w:r>
                </w:p>
              </w:tc>
              <w:tc>
                <w:tcPr>
                  <w:tcW w:w="677" w:type="pct"/>
                  <w:tcBorders>
                    <w:tl2br w:val="nil"/>
                    <w:tr2bl w:val="nil"/>
                  </w:tcBorders>
                  <w:noWrap/>
                  <w:vAlign w:val="center"/>
                </w:tcPr>
                <w:p w14:paraId="0E4ABD64">
                  <w:pPr>
                    <w:pStyle w:val="43"/>
                    <w:spacing w:line="320" w:lineRule="exact"/>
                    <w:rPr>
                      <w:color w:val="auto"/>
                      <w:szCs w:val="21"/>
                    </w:rPr>
                  </w:pPr>
                  <w:r>
                    <w:rPr>
                      <w:rFonts w:hint="eastAsia"/>
                      <w:color w:val="auto"/>
                      <w:szCs w:val="21"/>
                    </w:rPr>
                    <w:t>超标</w:t>
                  </w:r>
                </w:p>
              </w:tc>
            </w:tr>
          </w:tbl>
          <w:p w14:paraId="22E033ED">
            <w:pPr>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根据表3.1-1对基本污染物的年评价指标的分析结果，本项目所在区域SO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、CO年评价和O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lang w:val="en-US" w:eastAsia="zh-CN"/>
              </w:rPr>
              <w:t>日最大8小时平均</w:t>
            </w:r>
            <w:r>
              <w:rPr>
                <w:rFonts w:hint="default" w:ascii="Times New Roman" w:hAnsi="Times New Roman" w:eastAsia="宋体" w:cs="Times New Roman"/>
                <w:color w:val="auto"/>
                <w:sz w:val="24"/>
                <w:szCs w:val="24"/>
              </w:rPr>
              <w:t>的指标为达标；PM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的年评价指标均为超标。</w:t>
            </w:r>
            <w:r>
              <w:rPr>
                <w:rFonts w:hint="default" w:ascii="Times New Roman" w:hAnsi="Times New Roman" w:eastAsia="宋体" w:cs="Times New Roman"/>
                <w:color w:val="auto"/>
                <w:sz w:val="24"/>
                <w:szCs w:val="24"/>
                <w:lang w:val="en-US" w:eastAsia="zh-CN"/>
              </w:rPr>
              <w:t>判定项目所在区域为非达标区。</w:t>
            </w:r>
          </w:p>
          <w:p w14:paraId="094BB4F4">
            <w:pPr>
              <w:spacing w:line="360" w:lineRule="auto"/>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rPr>
              <w:t>1.2其他污染物补充监测</w:t>
            </w:r>
          </w:p>
          <w:p w14:paraId="076BDD29">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snapToGrid w:val="0"/>
                <w:color w:val="auto"/>
                <w:kern w:val="0"/>
                <w:sz w:val="24"/>
                <w:szCs w:val="24"/>
                <w:highlight w:val="none"/>
              </w:rPr>
              <w:t>本项目涉及的大气污染物评价因子为</w:t>
            </w:r>
            <w:r>
              <w:rPr>
                <w:rFonts w:hint="default"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，根据《建设项目环境影响报告表编制技术指南（污染影响类）》（试行）中相关规定及本项目厂址周围情况，</w:t>
            </w:r>
            <w:r>
              <w:rPr>
                <w:rFonts w:hint="default" w:ascii="Times New Roman" w:hAnsi="Times New Roman" w:eastAsia="宋体" w:cs="Times New Roman"/>
                <w:color w:val="auto"/>
                <w:sz w:val="24"/>
              </w:rPr>
              <w:t>本次评价大气现状监测数据</w:t>
            </w:r>
            <w:r>
              <w:rPr>
                <w:rFonts w:hint="default" w:ascii="Times New Roman" w:hAnsi="Times New Roman" w:cs="Times New Roman"/>
                <w:color w:val="auto"/>
                <w:sz w:val="24"/>
                <w:lang w:val="en-US" w:eastAsia="zh-CN"/>
              </w:rPr>
              <w:t>颗粒物数据来源于</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新</w:t>
            </w:r>
            <w:r>
              <w:rPr>
                <w:rFonts w:hint="default" w:ascii="Times New Roman" w:hAnsi="Times New Roman" w:cs="Times New Roman"/>
                <w:color w:val="auto"/>
                <w:sz w:val="24"/>
                <w:lang w:val="en-US" w:eastAsia="zh-CN"/>
              </w:rPr>
              <w:t>疆</w:t>
            </w:r>
            <w:r>
              <w:rPr>
                <w:rFonts w:hint="default" w:ascii="Times New Roman" w:hAnsi="Times New Roman" w:eastAsia="宋体" w:cs="Times New Roman"/>
                <w:color w:val="auto"/>
                <w:sz w:val="24"/>
              </w:rPr>
              <w:t>新高丽环保材料有限公司</w:t>
            </w:r>
            <w:r>
              <w:rPr>
                <w:rFonts w:hint="default" w:ascii="Times New Roman" w:hAnsi="Times New Roman" w:cs="Times New Roman"/>
                <w:color w:val="auto"/>
                <w:sz w:val="24"/>
                <w:lang w:eastAsia="zh-CN"/>
              </w:rPr>
              <w:t>年产1.05万吨热固</w:t>
            </w:r>
            <w:r>
              <w:rPr>
                <w:rFonts w:hint="default" w:ascii="Times New Roman" w:hAnsi="Times New Roman" w:cs="Times New Roman"/>
                <w:color w:val="auto"/>
                <w:sz w:val="24"/>
                <w:szCs w:val="24"/>
                <w:lang w:eastAsia="zh-CN"/>
              </w:rPr>
              <w:t>性粉末涂料项目》</w:t>
            </w:r>
            <w:r>
              <w:rPr>
                <w:rFonts w:hint="default" w:ascii="Times New Roman" w:hAnsi="Times New Roman" w:eastAsia="宋体" w:cs="Times New Roman"/>
                <w:color w:val="auto"/>
                <w:sz w:val="24"/>
                <w:szCs w:val="24"/>
              </w:rPr>
              <w:t>于202</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年</w:t>
            </w:r>
            <w:r>
              <w:rPr>
                <w:rFonts w:hint="default" w:ascii="Times New Roman" w:hAnsi="Times New Roman"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rPr>
              <w:t>日</w:t>
            </w:r>
            <w:r>
              <w:rPr>
                <w:rFonts w:hint="eastAsia" w:cs="Times New Roman"/>
                <w:color w:val="auto"/>
                <w:sz w:val="24"/>
                <w:szCs w:val="24"/>
                <w:lang w:eastAsia="zh-CN"/>
              </w:rPr>
              <w:t>～</w:t>
            </w:r>
            <w:r>
              <w:rPr>
                <w:rFonts w:hint="default" w:ascii="Times New Roman" w:hAnsi="Times New Roman"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default" w:ascii="Times New Roman" w:hAnsi="Times New Roman" w:cs="Times New Roman"/>
                <w:color w:val="auto"/>
                <w:sz w:val="24"/>
                <w:szCs w:val="24"/>
                <w:lang w:val="en-US" w:eastAsia="zh-CN"/>
              </w:rPr>
              <w:t>17</w:t>
            </w:r>
            <w:r>
              <w:rPr>
                <w:rFonts w:hint="default" w:ascii="Times New Roman" w:hAnsi="Times New Roman" w:eastAsia="宋体" w:cs="Times New Roman"/>
                <w:color w:val="auto"/>
                <w:sz w:val="24"/>
                <w:szCs w:val="24"/>
              </w:rPr>
              <w:t>日</w:t>
            </w:r>
            <w:r>
              <w:rPr>
                <w:rFonts w:hint="default" w:ascii="Times New Roman" w:hAnsi="Times New Roman" w:cs="Times New Roman"/>
                <w:color w:val="auto"/>
                <w:sz w:val="24"/>
                <w:szCs w:val="24"/>
                <w:lang w:val="en-US" w:eastAsia="zh-CN"/>
              </w:rPr>
              <w:t>的</w:t>
            </w:r>
            <w:r>
              <w:rPr>
                <w:rFonts w:hint="default" w:ascii="Times New Roman" w:hAnsi="Times New Roman" w:eastAsia="宋体" w:cs="Times New Roman"/>
                <w:color w:val="auto"/>
                <w:sz w:val="24"/>
                <w:szCs w:val="24"/>
              </w:rPr>
              <w:t>监测数据，</w:t>
            </w:r>
            <w:r>
              <w:rPr>
                <w:rFonts w:hint="eastAsia" w:cs="Times New Roman"/>
                <w:color w:val="auto"/>
                <w:sz w:val="24"/>
                <w:szCs w:val="24"/>
                <w:lang w:val="en-US" w:eastAsia="zh-CN"/>
              </w:rPr>
              <w:t>距离</w:t>
            </w:r>
            <w:r>
              <w:rPr>
                <w:rFonts w:hint="default" w:ascii="Times New Roman" w:hAnsi="Times New Roman" w:cs="Times New Roman"/>
                <w:color w:val="auto"/>
                <w:sz w:val="24"/>
                <w:szCs w:val="24"/>
                <w:lang w:val="en-US" w:eastAsia="zh-CN"/>
              </w:rPr>
              <w:t>本</w:t>
            </w:r>
            <w:r>
              <w:rPr>
                <w:rFonts w:hint="default" w:ascii="Times New Roman" w:hAnsi="Times New Roman" w:eastAsia="宋体" w:cs="Times New Roman"/>
                <w:color w:val="auto"/>
                <w:sz w:val="24"/>
                <w:szCs w:val="24"/>
              </w:rPr>
              <w:t>项目区</w:t>
            </w:r>
            <w:r>
              <w:rPr>
                <w:rFonts w:hint="eastAsia" w:cs="Times New Roman"/>
                <w:color w:val="auto"/>
                <w:sz w:val="24"/>
                <w:szCs w:val="24"/>
                <w:lang w:val="en-US" w:eastAsia="zh-CN"/>
              </w:rPr>
              <w:t>约3.0</w:t>
            </w:r>
            <w:r>
              <w:rPr>
                <w:rFonts w:hint="default" w:ascii="Times New Roman" w:hAnsi="Times New Roman" w:cs="Times New Roman"/>
                <w:color w:val="auto"/>
                <w:sz w:val="24"/>
                <w:szCs w:val="24"/>
                <w:lang w:val="en-US" w:eastAsia="zh-CN"/>
              </w:rPr>
              <w:t>k</w:t>
            </w:r>
            <w:r>
              <w:rPr>
                <w:rFonts w:hint="default" w:ascii="Times New Roman" w:hAnsi="Times New Roman" w:eastAsia="宋体" w:cs="Times New Roman"/>
                <w:color w:val="auto"/>
                <w:sz w:val="24"/>
                <w:szCs w:val="24"/>
              </w:rPr>
              <w:t>m处</w:t>
            </w:r>
            <w:r>
              <w:rPr>
                <w:rFonts w:hint="eastAsia" w:cs="Times New Roman"/>
                <w:color w:val="auto"/>
                <w:sz w:val="24"/>
                <w:szCs w:val="24"/>
                <w:lang w:eastAsia="zh-CN"/>
              </w:rPr>
              <w:t>，</w:t>
            </w:r>
            <w:r>
              <w:rPr>
                <w:rFonts w:hint="eastAsia" w:cs="Times New Roman"/>
                <w:color w:val="auto"/>
                <w:sz w:val="24"/>
                <w:szCs w:val="24"/>
                <w:lang w:val="en-US" w:eastAsia="zh-CN"/>
              </w:rPr>
              <w:t>符合区域环境质量现状要求中引用建设项目周边5km范围内近3年的现有监测数据。</w:t>
            </w:r>
            <w:r>
              <w:rPr>
                <w:rFonts w:hint="default" w:ascii="Times New Roman" w:hAnsi="Times New Roman" w:cs="Times New Roman"/>
                <w:color w:val="auto"/>
                <w:sz w:val="24"/>
                <w:szCs w:val="24"/>
                <w:lang w:val="en-US" w:eastAsia="zh-CN"/>
              </w:rPr>
              <w:t>监测</w:t>
            </w:r>
            <w:r>
              <w:rPr>
                <w:rFonts w:hint="default" w:ascii="Times New Roman" w:hAnsi="Times New Roman" w:cs="Times New Roman"/>
                <w:color w:val="auto"/>
                <w:sz w:val="24"/>
                <w:lang w:val="en-US" w:eastAsia="zh-CN"/>
              </w:rPr>
              <w:t>报告见附件</w:t>
            </w:r>
            <w:r>
              <w:rPr>
                <w:rFonts w:hint="eastAsia" w:cs="Times New Roman"/>
                <w:color w:val="auto"/>
                <w:sz w:val="24"/>
                <w:lang w:val="en-US" w:eastAsia="zh-CN"/>
              </w:rPr>
              <w:t>。</w:t>
            </w:r>
          </w:p>
          <w:p w14:paraId="0542881B">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监测项目：</w:t>
            </w:r>
            <w:r>
              <w:rPr>
                <w:rFonts w:hint="eastAsia" w:ascii="Times New Roman" w:hAnsi="Times New Roman" w:cs="Times New Roman"/>
                <w:b w:val="0"/>
                <w:bCs w:val="0"/>
                <w:color w:val="auto"/>
                <w:sz w:val="24"/>
                <w:highlight w:val="none"/>
                <w:lang w:val="en-US" w:eastAsia="zh-CN"/>
              </w:rPr>
              <w:t>总悬浮</w:t>
            </w:r>
            <w:r>
              <w:rPr>
                <w:rFonts w:hint="default" w:ascii="Times New Roman" w:hAnsi="Times New Roman" w:cs="Times New Roman"/>
                <w:b w:val="0"/>
                <w:bCs w:val="0"/>
                <w:color w:val="auto"/>
                <w:sz w:val="24"/>
                <w:highlight w:val="none"/>
                <w:lang w:val="en-US" w:eastAsia="zh-CN"/>
              </w:rPr>
              <w:t>颗粒物</w:t>
            </w:r>
          </w:p>
          <w:p w14:paraId="10E9A1E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各项目的采样及分析方法均按照国家环保局颁布的《空气和废气监测分析方法</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环境监测技术规范》中的有关规定执行。</w:t>
            </w:r>
          </w:p>
          <w:p w14:paraId="0C29E6FD">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3-3</w:t>
            </w:r>
            <w:r>
              <w:rPr>
                <w:rFonts w:hint="default" w:ascii="Times New Roman" w:hAnsi="Times New Roman" w:eastAsia="宋体" w:cs="Times New Roman"/>
                <w:b/>
                <w:bCs/>
                <w:color w:val="auto"/>
                <w:sz w:val="21"/>
                <w:szCs w:val="21"/>
                <w:highlight w:val="none"/>
              </w:rPr>
              <w:t xml:space="preserve">     大气监测采样及分析方法</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58"/>
              <w:gridCol w:w="3930"/>
              <w:gridCol w:w="1753"/>
            </w:tblGrid>
            <w:tr w14:paraId="33A3A5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58" w:type="pct"/>
                  <w:tcBorders>
                    <w:bottom w:val="single" w:color="auto" w:sz="12" w:space="0"/>
                  </w:tcBorders>
                  <w:noWrap w:val="0"/>
                  <w:vAlign w:val="center"/>
                </w:tcPr>
                <w:p w14:paraId="319B7DA9">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编号</w:t>
                  </w:r>
                </w:p>
              </w:tc>
              <w:tc>
                <w:tcPr>
                  <w:tcW w:w="977" w:type="pct"/>
                  <w:tcBorders>
                    <w:bottom w:val="single" w:color="auto" w:sz="12" w:space="0"/>
                  </w:tcBorders>
                  <w:noWrap w:val="0"/>
                  <w:vAlign w:val="center"/>
                </w:tcPr>
                <w:p w14:paraId="64689691">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项目名称</w:t>
                  </w:r>
                </w:p>
              </w:tc>
              <w:tc>
                <w:tcPr>
                  <w:tcW w:w="2464" w:type="pct"/>
                  <w:tcBorders>
                    <w:bottom w:val="single" w:color="auto" w:sz="12" w:space="0"/>
                  </w:tcBorders>
                  <w:noWrap w:val="0"/>
                  <w:vAlign w:val="center"/>
                </w:tcPr>
                <w:p w14:paraId="34EEEC01">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分析方法</w:t>
                  </w:r>
                </w:p>
              </w:tc>
              <w:tc>
                <w:tcPr>
                  <w:tcW w:w="1099" w:type="pct"/>
                  <w:tcBorders>
                    <w:bottom w:val="single" w:color="auto" w:sz="12" w:space="0"/>
                  </w:tcBorders>
                  <w:noWrap w:val="0"/>
                  <w:vAlign w:val="center"/>
                </w:tcPr>
                <w:p w14:paraId="0F6F4BB8">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方法来源</w:t>
                  </w:r>
                </w:p>
              </w:tc>
            </w:tr>
            <w:tr w14:paraId="6E69F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12" w:space="0"/>
                  </w:tcBorders>
                  <w:noWrap w:val="0"/>
                  <w:vAlign w:val="center"/>
                </w:tcPr>
                <w:p w14:paraId="6DF3FC6C">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977" w:type="pct"/>
                  <w:tcBorders>
                    <w:top w:val="single" w:color="auto" w:sz="12" w:space="0"/>
                  </w:tcBorders>
                  <w:noWrap w:val="0"/>
                  <w:vAlign w:val="center"/>
                </w:tcPr>
                <w:p w14:paraId="2D2D6F13">
                  <w:pPr>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b w:val="0"/>
                      <w:bCs w:val="0"/>
                      <w:color w:val="auto"/>
                      <w:sz w:val="21"/>
                      <w:szCs w:val="21"/>
                      <w:highlight w:val="none"/>
                      <w:lang w:val="en-US" w:eastAsia="zh-CN"/>
                    </w:rPr>
                    <w:t>总悬浮</w:t>
                  </w:r>
                  <w:r>
                    <w:rPr>
                      <w:rFonts w:hint="default" w:ascii="Times New Roman" w:hAnsi="Times New Roman" w:cs="Times New Roman"/>
                      <w:b w:val="0"/>
                      <w:bCs w:val="0"/>
                      <w:color w:val="auto"/>
                      <w:sz w:val="21"/>
                      <w:szCs w:val="21"/>
                      <w:highlight w:val="none"/>
                      <w:lang w:val="en-US" w:eastAsia="zh-CN"/>
                    </w:rPr>
                    <w:t>颗粒物</w:t>
                  </w:r>
                </w:p>
              </w:tc>
              <w:tc>
                <w:tcPr>
                  <w:tcW w:w="2464" w:type="pct"/>
                  <w:tcBorders>
                    <w:top w:val="single" w:color="auto" w:sz="12" w:space="0"/>
                  </w:tcBorders>
                  <w:noWrap w:val="0"/>
                  <w:vAlign w:val="center"/>
                </w:tcPr>
                <w:p w14:paraId="3419CCC5">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环境空气 总悬浮颗粒物的测定 重量法</w:t>
                  </w:r>
                </w:p>
              </w:tc>
              <w:tc>
                <w:tcPr>
                  <w:tcW w:w="1099" w:type="pct"/>
                  <w:tcBorders>
                    <w:top w:val="single" w:color="auto" w:sz="12" w:space="0"/>
                  </w:tcBorders>
                  <w:noWrap w:val="0"/>
                  <w:vAlign w:val="center"/>
                </w:tcPr>
                <w:p w14:paraId="5B77732F">
                  <w:pPr>
                    <w:spacing w:line="240" w:lineRule="auto"/>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GB/T15432-1995</w:t>
                  </w:r>
                </w:p>
              </w:tc>
            </w:tr>
          </w:tbl>
          <w:p w14:paraId="238EE257">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1.2.1评价标准</w:t>
            </w:r>
          </w:p>
          <w:p w14:paraId="5B5427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根据本项目所在区域的环境功能区划，执行《环境空气质量标准》 （GB3095-2012）中的二级标准。（</w:t>
            </w:r>
            <w:r>
              <w:rPr>
                <w:rFonts w:hint="default"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lang w:val="en-US" w:eastAsia="zh-CN" w:bidi="ar"/>
              </w:rPr>
              <w:t>环境空气质量标准限值见表 3-4。</w:t>
            </w:r>
          </w:p>
          <w:p w14:paraId="242E384B">
            <w:pPr>
              <w:keepNext w:val="0"/>
              <w:keepLines w:val="0"/>
              <w:widowControl/>
              <w:suppressLineNumbers w:val="0"/>
              <w:jc w:val="center"/>
              <w:rPr>
                <w:rFonts w:hint="default" w:ascii="Times New Roman" w:hAnsi="Times New Roman" w:cs="Times New Roman"/>
                <w:color w:val="auto"/>
              </w:rPr>
            </w:pPr>
            <w:r>
              <w:rPr>
                <w:rFonts w:hint="default" w:ascii="Times New Roman" w:hAnsi="Times New Roman" w:eastAsia="宋体" w:cs="Times New Roman"/>
                <w:b/>
                <w:bCs/>
                <w:color w:val="auto"/>
                <w:kern w:val="0"/>
                <w:sz w:val="20"/>
                <w:szCs w:val="20"/>
                <w:lang w:val="en-US" w:eastAsia="zh-CN" w:bidi="ar"/>
              </w:rPr>
              <w:t>表 3-4   《环境空气质量标准》（GB3095-2012）中的二级标准</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3987"/>
            </w:tblGrid>
            <w:tr w14:paraId="09385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9" w:type="pct"/>
                  <w:tcBorders>
                    <w:tl2br w:val="nil"/>
                    <w:tr2bl w:val="nil"/>
                  </w:tcBorders>
                  <w:noWrap w:val="0"/>
                  <w:vAlign w:val="center"/>
                </w:tcPr>
                <w:p w14:paraId="5BD95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2500" w:type="pct"/>
                  <w:tcBorders>
                    <w:tl2br w:val="nil"/>
                    <w:tr2bl w:val="nil"/>
                  </w:tcBorders>
                  <w:noWrap w:val="0"/>
                  <w:vAlign w:val="center"/>
                </w:tcPr>
                <w:p w14:paraId="0157D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w:t>
                  </w:r>
                  <w:r>
                    <w:rPr>
                      <w:rFonts w:hint="default" w:ascii="Times New Roman" w:hAnsi="Times New Roman"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14:paraId="57611B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99" w:type="pct"/>
                  <w:tcBorders>
                    <w:tl2br w:val="nil"/>
                    <w:tr2bl w:val="nil"/>
                  </w:tcBorders>
                  <w:noWrap w:val="0"/>
                  <w:vAlign w:val="center"/>
                </w:tcPr>
                <w:p w14:paraId="0D8C12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2500" w:type="pct"/>
                  <w:tcBorders>
                    <w:tl2br w:val="nil"/>
                    <w:tr2bl w:val="nil"/>
                  </w:tcBorders>
                  <w:noWrap w:val="0"/>
                  <w:vAlign w:val="center"/>
                </w:tcPr>
                <w:p w14:paraId="3BBFE2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r>
          </w:tbl>
          <w:p w14:paraId="797A3129">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1.2.2评价方法</w:t>
            </w:r>
          </w:p>
          <w:p w14:paraId="1BAC252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本次环境空气质量现状评价采用各取值时间最大占标率和超标率评价达标情况，最大占标率计算公式为：</w:t>
            </w:r>
          </w:p>
          <w:p w14:paraId="5A645F1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计算公式为：</w:t>
            </w:r>
          </w:p>
          <w:p w14:paraId="0ECB4133">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4"/>
                <w:highlight w:val="none"/>
              </w:rPr>
              <w:object>
                <v:shape id="_x0000_i1025" o:spt="75" type="#_x0000_t75" style="height:33.35pt;width:89.05pt;" o:ole="t" filled="f" o:preferrelative="t" stroked="f" coordsize="21600,21600">
                  <v:path/>
                  <v:fill on="f" focussize="0,0"/>
                  <v:stroke on="f"/>
                  <v:imagedata r:id="rId10" o:title=""/>
                  <o:lock v:ext="edit" aspectratio="t"/>
                  <w10:wrap type="none"/>
                  <w10:anchorlock/>
                </v:shape>
                <o:OLEObject Type="Embed" ProgID="Equation.AxMath" ShapeID="_x0000_i1025" DrawAspect="Content" ObjectID="_1468075725" r:id="rId9">
                  <o:LockedField>false</o:LockedField>
                </o:OLEObject>
              </w:object>
            </w:r>
          </w:p>
          <w:p w14:paraId="7672AE1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—污染物i的单项污染指数；</w:t>
            </w:r>
          </w:p>
          <w:p w14:paraId="127963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—污染物i的实测浓度值（mg/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w:t>
            </w:r>
          </w:p>
          <w:p w14:paraId="0ED8FB2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oi</w:t>
            </w:r>
            <w:r>
              <w:rPr>
                <w:rFonts w:hint="default" w:ascii="Times New Roman" w:hAnsi="Times New Roman" w:eastAsia="宋体" w:cs="Times New Roman"/>
                <w:color w:val="auto"/>
                <w:sz w:val="24"/>
                <w:highlight w:val="none"/>
              </w:rPr>
              <w:t>—污染物i的评价标准（mg/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w:t>
            </w:r>
          </w:p>
          <w:p w14:paraId="6302DAC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根据评价计算，可以得出浓度占标率（P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），依照P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值的大小，分别确定其污染程度。当P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 xml:space="preserve"> ＜100%时，表示大气中该污染物浓度不超标；当P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≥100%时，表示大气中该污染物浓度超过评价标准。</w:t>
            </w:r>
          </w:p>
          <w:p w14:paraId="254603B1">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1.2.3监测结果及分析</w:t>
            </w:r>
          </w:p>
          <w:p w14:paraId="334405C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本次监测</w:t>
            </w:r>
            <w:r>
              <w:rPr>
                <w:rFonts w:hint="eastAsia" w:cs="Times New Roman"/>
                <w:color w:val="auto"/>
                <w:sz w:val="24"/>
                <w:highlight w:val="none"/>
                <w:lang w:val="en-US" w:eastAsia="zh-CN"/>
              </w:rPr>
              <w:t>总悬浮</w:t>
            </w:r>
            <w:r>
              <w:rPr>
                <w:rFonts w:hint="default" w:ascii="Times New Roman" w:hAnsi="Times New Roman" w:cs="Times New Roman"/>
                <w:color w:val="auto"/>
                <w:sz w:val="24"/>
                <w:highlight w:val="none"/>
                <w:lang w:val="en-US" w:eastAsia="zh-CN"/>
              </w:rPr>
              <w:t>颗粒物</w:t>
            </w:r>
            <w:r>
              <w:rPr>
                <w:rFonts w:hint="default" w:ascii="Times New Roman" w:hAnsi="Times New Roman" w:eastAsia="宋体" w:cs="Times New Roman"/>
                <w:color w:val="auto"/>
                <w:sz w:val="24"/>
                <w:highlight w:val="none"/>
              </w:rPr>
              <w:t>小时平均浓度统计结果见表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w:t>
            </w:r>
          </w:p>
          <w:p w14:paraId="0A85DBCE">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3-5</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颗粒物</w:t>
            </w:r>
            <w:r>
              <w:rPr>
                <w:rFonts w:hint="default" w:ascii="Times New Roman" w:hAnsi="Times New Roman" w:eastAsia="宋体" w:cs="Times New Roman"/>
                <w:b/>
                <w:bCs/>
                <w:color w:val="auto"/>
                <w:sz w:val="21"/>
                <w:szCs w:val="21"/>
                <w:highlight w:val="none"/>
              </w:rPr>
              <w:t>环境空气质量现状监测结果       单位：mg/</w:t>
            </w:r>
            <w:r>
              <w:rPr>
                <w:rFonts w:hint="default" w:ascii="Times New Roman" w:hAnsi="Times New Roman" w:eastAsia="宋体" w:cs="Times New Roman"/>
                <w:color w:val="auto"/>
                <w:sz w:val="22"/>
                <w:szCs w:val="22"/>
                <w:highlight w:val="none"/>
              </w:rPr>
              <w:t>m</w:t>
            </w:r>
            <w:r>
              <w:rPr>
                <w:rFonts w:hint="default" w:ascii="Times New Roman" w:hAnsi="Times New Roman" w:eastAsia="宋体" w:cs="Times New Roman"/>
                <w:color w:val="auto"/>
                <w:sz w:val="22"/>
                <w:szCs w:val="22"/>
                <w:highlight w:val="none"/>
                <w:vertAlign w:val="superscript"/>
              </w:rPr>
              <w:t>3</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937"/>
              <w:gridCol w:w="2197"/>
              <w:gridCol w:w="1989"/>
            </w:tblGrid>
            <w:tr w14:paraId="72681F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noWrap w:val="0"/>
                  <w:vAlign w:val="center"/>
                </w:tcPr>
                <w:p w14:paraId="51DAC382">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监测点位名称</w:t>
                  </w:r>
                </w:p>
              </w:tc>
              <w:tc>
                <w:tcPr>
                  <w:tcW w:w="1215" w:type="pct"/>
                  <w:vMerge w:val="restart"/>
                  <w:noWrap w:val="0"/>
                  <w:vAlign w:val="center"/>
                </w:tcPr>
                <w:p w14:paraId="52973CF2">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监测时间</w:t>
                  </w:r>
                </w:p>
              </w:tc>
              <w:tc>
                <w:tcPr>
                  <w:tcW w:w="2625" w:type="pct"/>
                  <w:gridSpan w:val="2"/>
                  <w:noWrap w:val="0"/>
                  <w:vAlign w:val="center"/>
                </w:tcPr>
                <w:p w14:paraId="77FD5740">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监测项目结果</w:t>
                  </w:r>
                </w:p>
              </w:tc>
            </w:tr>
            <w:tr w14:paraId="38D5B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bottom w:val="single" w:color="auto" w:sz="12" w:space="0"/>
                  </w:tcBorders>
                  <w:noWrap w:val="0"/>
                  <w:vAlign w:val="center"/>
                </w:tcPr>
                <w:p w14:paraId="29B445B7">
                  <w:pPr>
                    <w:spacing w:line="240" w:lineRule="atLeast"/>
                    <w:jc w:val="center"/>
                    <w:rPr>
                      <w:rFonts w:hint="default" w:ascii="Times New Roman" w:hAnsi="Times New Roman" w:eastAsia="宋体" w:cs="Times New Roman"/>
                      <w:b/>
                      <w:color w:val="auto"/>
                      <w:highlight w:val="none"/>
                    </w:rPr>
                  </w:pPr>
                </w:p>
              </w:tc>
              <w:tc>
                <w:tcPr>
                  <w:tcW w:w="1215" w:type="pct"/>
                  <w:vMerge w:val="continue"/>
                  <w:tcBorders>
                    <w:bottom w:val="single" w:color="auto" w:sz="12" w:space="0"/>
                  </w:tcBorders>
                  <w:noWrap w:val="0"/>
                  <w:vAlign w:val="center"/>
                </w:tcPr>
                <w:p w14:paraId="0BEAF67B">
                  <w:pPr>
                    <w:spacing w:line="240" w:lineRule="atLeast"/>
                    <w:jc w:val="center"/>
                    <w:rPr>
                      <w:rFonts w:hint="default" w:ascii="Times New Roman" w:hAnsi="Times New Roman" w:eastAsia="宋体" w:cs="Times New Roman"/>
                      <w:b/>
                      <w:color w:val="auto"/>
                      <w:highlight w:val="none"/>
                    </w:rPr>
                  </w:pPr>
                </w:p>
              </w:tc>
              <w:tc>
                <w:tcPr>
                  <w:tcW w:w="1378" w:type="pct"/>
                  <w:tcBorders>
                    <w:bottom w:val="single" w:color="auto" w:sz="12" w:space="0"/>
                  </w:tcBorders>
                  <w:noWrap w:val="0"/>
                  <w:vAlign w:val="center"/>
                </w:tcPr>
                <w:p w14:paraId="004C4FD0">
                  <w:pPr>
                    <w:spacing w:line="240" w:lineRule="atLeast"/>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val="en-US" w:eastAsia="zh-CN"/>
                    </w:rPr>
                    <w:t>颗粒物</w:t>
                  </w:r>
                </w:p>
              </w:tc>
              <w:tc>
                <w:tcPr>
                  <w:tcW w:w="1247" w:type="pct"/>
                  <w:tcBorders>
                    <w:bottom w:val="single" w:color="auto" w:sz="12" w:space="0"/>
                  </w:tcBorders>
                  <w:noWrap w:val="0"/>
                  <w:vAlign w:val="center"/>
                </w:tcPr>
                <w:p w14:paraId="3559332E">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r>
            <w:tr w14:paraId="6AAA3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op w:val="single" w:color="auto" w:sz="12" w:space="0"/>
                  </w:tcBorders>
                  <w:noWrap w:val="0"/>
                  <w:vAlign w:val="center"/>
                </w:tcPr>
                <w:p w14:paraId="7633C985">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1#项目区上风向</w:t>
                  </w:r>
                </w:p>
              </w:tc>
              <w:tc>
                <w:tcPr>
                  <w:tcW w:w="1215" w:type="pct"/>
                  <w:tcBorders>
                    <w:top w:val="single" w:color="auto" w:sz="12" w:space="0"/>
                  </w:tcBorders>
                  <w:noWrap w:val="0"/>
                  <w:vAlign w:val="center"/>
                </w:tcPr>
                <w:p w14:paraId="595E5CAB">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2021.9.15</w:t>
                  </w:r>
                </w:p>
              </w:tc>
              <w:tc>
                <w:tcPr>
                  <w:tcW w:w="1378" w:type="pct"/>
                  <w:tcBorders>
                    <w:top w:val="single" w:color="auto" w:sz="12" w:space="0"/>
                  </w:tcBorders>
                  <w:noWrap w:val="0"/>
                  <w:vAlign w:val="center"/>
                </w:tcPr>
                <w:p w14:paraId="0092C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0.037</w:t>
                  </w:r>
                </w:p>
              </w:tc>
              <w:tc>
                <w:tcPr>
                  <w:tcW w:w="1247" w:type="pct"/>
                  <w:tcBorders>
                    <w:top w:val="single" w:color="auto" w:sz="12" w:space="0"/>
                  </w:tcBorders>
                  <w:noWrap w:val="0"/>
                  <w:vAlign w:val="center"/>
                </w:tcPr>
                <w:p w14:paraId="11D03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12.3</w:t>
                  </w:r>
                </w:p>
              </w:tc>
            </w:tr>
            <w:tr w14:paraId="67388A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14:paraId="051E3E4C">
                  <w:pPr>
                    <w:spacing w:line="240" w:lineRule="atLeast"/>
                    <w:jc w:val="center"/>
                    <w:rPr>
                      <w:rFonts w:hint="default" w:ascii="Times New Roman" w:hAnsi="Times New Roman" w:eastAsia="宋体" w:cs="Times New Roman"/>
                      <w:color w:val="auto"/>
                      <w:highlight w:val="none"/>
                    </w:rPr>
                  </w:pPr>
                </w:p>
              </w:tc>
              <w:tc>
                <w:tcPr>
                  <w:tcW w:w="1215" w:type="pct"/>
                  <w:noWrap w:val="0"/>
                  <w:vAlign w:val="center"/>
                </w:tcPr>
                <w:p w14:paraId="7BE66792">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2021.9.16</w:t>
                  </w:r>
                </w:p>
              </w:tc>
              <w:tc>
                <w:tcPr>
                  <w:tcW w:w="1378" w:type="pct"/>
                  <w:noWrap w:val="0"/>
                  <w:vAlign w:val="center"/>
                </w:tcPr>
                <w:p w14:paraId="3773B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0.051</w:t>
                  </w:r>
                </w:p>
              </w:tc>
              <w:tc>
                <w:tcPr>
                  <w:tcW w:w="1247" w:type="pct"/>
                  <w:noWrap w:val="0"/>
                  <w:vAlign w:val="center"/>
                </w:tcPr>
                <w:p w14:paraId="461D2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cs="Times New Roman"/>
                      <w:i w:val="0"/>
                      <w:iCs w:val="0"/>
                      <w:color w:val="auto"/>
                      <w:kern w:val="0"/>
                      <w:sz w:val="21"/>
                      <w:szCs w:val="21"/>
                      <w:highlight w:val="none"/>
                      <w:u w:val="none"/>
                      <w:lang w:val="en-US" w:eastAsia="zh-CN" w:bidi="ar"/>
                    </w:rPr>
                    <w:t>17</w:t>
                  </w:r>
                </w:p>
              </w:tc>
            </w:tr>
            <w:tr w14:paraId="390A8D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14:paraId="16B5F418">
                  <w:pPr>
                    <w:spacing w:line="240" w:lineRule="atLeast"/>
                    <w:jc w:val="center"/>
                    <w:rPr>
                      <w:rFonts w:hint="default" w:ascii="Times New Roman" w:hAnsi="Times New Roman" w:eastAsia="宋体" w:cs="Times New Roman"/>
                      <w:color w:val="auto"/>
                      <w:highlight w:val="none"/>
                    </w:rPr>
                  </w:pPr>
                </w:p>
              </w:tc>
              <w:tc>
                <w:tcPr>
                  <w:tcW w:w="1215" w:type="pct"/>
                  <w:noWrap w:val="0"/>
                  <w:vAlign w:val="center"/>
                </w:tcPr>
                <w:p w14:paraId="1757347B">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2021.9.17</w:t>
                  </w:r>
                </w:p>
              </w:tc>
              <w:tc>
                <w:tcPr>
                  <w:tcW w:w="1378" w:type="pct"/>
                  <w:noWrap w:val="0"/>
                  <w:vAlign w:val="center"/>
                </w:tcPr>
                <w:p w14:paraId="4A0757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0.067</w:t>
                  </w:r>
                </w:p>
              </w:tc>
              <w:tc>
                <w:tcPr>
                  <w:tcW w:w="1247" w:type="pct"/>
                  <w:noWrap w:val="0"/>
                  <w:vAlign w:val="center"/>
                </w:tcPr>
                <w:p w14:paraId="13CE3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cs="Times New Roman"/>
                      <w:i w:val="0"/>
                      <w:iCs w:val="0"/>
                      <w:color w:val="auto"/>
                      <w:kern w:val="0"/>
                      <w:sz w:val="21"/>
                      <w:szCs w:val="21"/>
                      <w:highlight w:val="none"/>
                      <w:u w:val="none"/>
                      <w:lang w:val="en-US" w:eastAsia="zh-CN" w:bidi="ar"/>
                    </w:rPr>
                    <w:t>22.33</w:t>
                  </w:r>
                </w:p>
              </w:tc>
            </w:tr>
            <w:tr w14:paraId="0017A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101D4B32">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标准值</w:t>
                  </w:r>
                </w:p>
              </w:tc>
              <w:tc>
                <w:tcPr>
                  <w:tcW w:w="2625" w:type="pct"/>
                  <w:gridSpan w:val="2"/>
                  <w:noWrap w:val="0"/>
                  <w:vAlign w:val="center"/>
                </w:tcPr>
                <w:p w14:paraId="0B1E27C5">
                  <w:pPr>
                    <w:spacing w:line="240" w:lineRule="atLeast"/>
                    <w:jc w:val="center"/>
                    <w:rPr>
                      <w:rFonts w:hint="default" w:ascii="Times New Roman" w:hAnsi="Times New Roman" w:eastAsia="宋体" w:cs="Times New Roman"/>
                      <w:color w:val="auto"/>
                      <w:highlight w:val="none"/>
                      <w:lang w:val="en-US"/>
                    </w:rPr>
                  </w:pPr>
                  <w:r>
                    <w:rPr>
                      <w:rFonts w:hint="default" w:ascii="Times New Roman" w:hAnsi="Times New Roman" w:cs="Times New Roman"/>
                      <w:color w:val="auto"/>
                      <w:highlight w:val="none"/>
                      <w:lang w:val="en-US" w:eastAsia="zh-CN"/>
                    </w:rPr>
                    <w:t>0.3</w:t>
                  </w:r>
                </w:p>
              </w:tc>
            </w:tr>
            <w:tr w14:paraId="4FCFD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5F4633C3">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日均值超标率（%）</w:t>
                  </w:r>
                </w:p>
              </w:tc>
              <w:tc>
                <w:tcPr>
                  <w:tcW w:w="2625" w:type="pct"/>
                  <w:gridSpan w:val="2"/>
                  <w:noWrap w:val="0"/>
                  <w:vAlign w:val="center"/>
                </w:tcPr>
                <w:p w14:paraId="6D0D06CB">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w:t>
                  </w:r>
                </w:p>
              </w:tc>
            </w:tr>
            <w:tr w14:paraId="393787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1C44C27A">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最大浓度值占标率（%）</w:t>
                  </w:r>
                </w:p>
              </w:tc>
              <w:tc>
                <w:tcPr>
                  <w:tcW w:w="2625" w:type="pct"/>
                  <w:gridSpan w:val="2"/>
                  <w:noWrap w:val="0"/>
                  <w:vAlign w:val="center"/>
                </w:tcPr>
                <w:p w14:paraId="3E5446EC">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val="en-US" w:eastAsia="zh-CN"/>
                    </w:rPr>
                    <w:t>0</w:t>
                  </w:r>
                </w:p>
              </w:tc>
            </w:tr>
          </w:tbl>
          <w:p w14:paraId="5E79EBBF">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1.2.4现状监测结果分析</w:t>
            </w:r>
          </w:p>
          <w:p w14:paraId="43397015">
            <w:pPr>
              <w:spacing w:line="360" w:lineRule="auto"/>
              <w:ind w:firstLine="480" w:firstLineChars="200"/>
              <w:rPr>
                <w:rFonts w:hint="default" w:ascii="Times New Roman" w:hAnsi="Times New Roman" w:eastAsia="宋体"/>
                <w:color w:val="auto"/>
                <w:sz w:val="24"/>
                <w:lang w:val="en-US" w:eastAsia="zh-CN"/>
              </w:rPr>
            </w:pPr>
            <w:r>
              <w:rPr>
                <w:rFonts w:hint="default" w:ascii="Times New Roman" w:hAnsi="Times New Roman" w:eastAsia="宋体" w:cs="Times New Roman"/>
                <w:color w:val="auto"/>
                <w:sz w:val="24"/>
                <w:highlight w:val="none"/>
              </w:rPr>
              <w:t>对照表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环境空气质量标准，由表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看出：评价区域内大气环境监测结果表明，</w:t>
            </w:r>
            <w:r>
              <w:rPr>
                <w:rFonts w:hint="eastAsia" w:cs="Times New Roman"/>
                <w:color w:val="auto"/>
                <w:sz w:val="24"/>
                <w:highlight w:val="none"/>
                <w:lang w:val="en-US" w:eastAsia="zh-CN"/>
              </w:rPr>
              <w:t>总悬浮</w:t>
            </w:r>
            <w:r>
              <w:rPr>
                <w:rFonts w:hint="default" w:ascii="Times New Roman" w:hAnsi="Times New Roman" w:eastAsia="宋体" w:cs="Times New Roman"/>
                <w:color w:val="auto"/>
                <w:sz w:val="24"/>
                <w:highlight w:val="none"/>
                <w:lang w:val="en-US" w:eastAsia="zh-CN"/>
              </w:rPr>
              <w:t>颗粒物符合</w:t>
            </w:r>
            <w:r>
              <w:rPr>
                <w:rFonts w:hint="default" w:ascii="Times New Roman" w:hAnsi="Times New Roman" w:eastAsia="宋体" w:cs="Times New Roman"/>
                <w:color w:val="auto"/>
                <w:sz w:val="24"/>
                <w:highlight w:val="none"/>
              </w:rPr>
              <w:t>《环境空气质量标准》（GB3095-2012）中二级标准质量标准日均值</w:t>
            </w:r>
            <w:r>
              <w:rPr>
                <w:rFonts w:hint="default" w:ascii="Times New Roman" w:hAnsi="Times New Roman" w:cs="Times New Roman"/>
                <w:color w:val="auto"/>
                <w:sz w:val="24"/>
                <w:highlight w:val="none"/>
                <w:lang w:val="en-US" w:eastAsia="zh-CN"/>
              </w:rPr>
              <w:t>0.3</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。其污染物有一定环境容量，本项目实施后在落实各项环保措施情况下，对区域环境质量影响不大。</w:t>
            </w:r>
          </w:p>
          <w:p w14:paraId="3481FA7A">
            <w:pPr>
              <w:pStyle w:val="7"/>
              <w:spacing w:line="360" w:lineRule="auto"/>
              <w:jc w:val="both"/>
              <w:outlineLvl w:val="1"/>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rPr>
              <w:t>水环境质量现状调查与评价</w:t>
            </w:r>
          </w:p>
          <w:p w14:paraId="1ED0893A">
            <w:pPr>
              <w:keepNext/>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outlineLvl w:val="2"/>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本项目北侧</w:t>
            </w:r>
            <w:r>
              <w:rPr>
                <w:rFonts w:hint="eastAsia" w:cs="Times New Roman"/>
                <w:b w:val="0"/>
                <w:bCs/>
                <w:color w:val="auto"/>
                <w:kern w:val="2"/>
                <w:sz w:val="24"/>
                <w:szCs w:val="24"/>
                <w:highlight w:val="none"/>
                <w:lang w:val="en-US" w:eastAsia="zh-CN" w:bidi="ar-SA"/>
              </w:rPr>
              <w:t>1.7</w:t>
            </w:r>
            <w:r>
              <w:rPr>
                <w:rFonts w:hint="default" w:ascii="Times New Roman" w:hAnsi="Times New Roman" w:eastAsia="宋体" w:cs="Times New Roman"/>
                <w:b w:val="0"/>
                <w:bCs/>
                <w:color w:val="auto"/>
                <w:kern w:val="2"/>
                <w:sz w:val="24"/>
                <w:szCs w:val="24"/>
                <w:highlight w:val="none"/>
                <w:lang w:val="en-US" w:eastAsia="zh-CN" w:bidi="ar-SA"/>
              </w:rPr>
              <w:t>km处为“500水库”，厂界500m范围内无地表水环境敏感目标。本项目生产废水不外排，生活废水排入园区污水管网，与地表水体无水力联系，且本项目生活污水排放为间接排放，根据《环境影响评价技术导则</w:t>
            </w:r>
            <w:r>
              <w:rPr>
                <w:rFonts w:hint="eastAsia"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b w:val="0"/>
                <w:bCs/>
                <w:color w:val="auto"/>
                <w:kern w:val="2"/>
                <w:sz w:val="24"/>
                <w:szCs w:val="24"/>
                <w:highlight w:val="none"/>
                <w:lang w:val="en-US" w:eastAsia="zh-CN" w:bidi="ar-SA"/>
              </w:rPr>
              <w:t>地表水环境》（HJ2.3-2018），因此本项目地表水环境影响评价工作等级确定为三级B，可不开展区域污染源调查。因此本项目不对地表水环境现状进行调查及分析。</w:t>
            </w:r>
          </w:p>
          <w:p w14:paraId="04359A5E">
            <w:pPr>
              <w:pStyle w:val="7"/>
              <w:spacing w:line="360" w:lineRule="auto"/>
              <w:jc w:val="both"/>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w:t>
            </w:r>
            <w:r>
              <w:rPr>
                <w:rFonts w:hint="eastAsia" w:cs="Times New Roman"/>
                <w:b/>
                <w:bCs/>
                <w:color w:val="auto"/>
                <w:sz w:val="24"/>
                <w:szCs w:val="24"/>
                <w:lang w:val="en-US" w:eastAsia="zh-CN"/>
              </w:rPr>
              <w:t>.</w:t>
            </w:r>
            <w:r>
              <w:rPr>
                <w:rFonts w:hint="default" w:ascii="Times New Roman" w:hAnsi="Times New Roman" w:eastAsia="宋体" w:cs="Times New Roman"/>
                <w:b/>
                <w:bCs/>
                <w:color w:val="auto"/>
                <w:sz w:val="24"/>
                <w:szCs w:val="24"/>
              </w:rPr>
              <w:t>噪声环境质量现状与评价</w:t>
            </w:r>
          </w:p>
          <w:p w14:paraId="454BA0BF">
            <w:pPr>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本项目属于《声环境质量标准》（GB3096-2008）中的3类声功能区。</w:t>
            </w:r>
            <w:r>
              <w:rPr>
                <w:rFonts w:hint="default" w:ascii="Times New Roman" w:hAnsi="Times New Roman" w:eastAsia="宋体" w:cs="Times New Roman"/>
                <w:color w:val="auto"/>
                <w:sz w:val="24"/>
                <w:szCs w:val="24"/>
              </w:rPr>
              <w:t>本项目厂界外50米，无</w:t>
            </w:r>
            <w:r>
              <w:rPr>
                <w:rFonts w:hint="default" w:ascii="Times New Roman" w:hAnsi="Times New Roman" w:eastAsia="宋体" w:cs="Times New Roman"/>
                <w:color w:val="auto"/>
                <w:sz w:val="24"/>
                <w:szCs w:val="24"/>
                <w:lang w:val="en-US" w:eastAsia="zh-CN"/>
              </w:rPr>
              <w:t>声</w:t>
            </w:r>
            <w:r>
              <w:rPr>
                <w:rFonts w:hint="default" w:ascii="Times New Roman" w:hAnsi="Times New Roman" w:eastAsia="宋体" w:cs="Times New Roman"/>
                <w:color w:val="auto"/>
                <w:sz w:val="24"/>
                <w:szCs w:val="24"/>
              </w:rPr>
              <w:t>环境敏感目标分布，项目位于</w:t>
            </w:r>
            <w:r>
              <w:rPr>
                <w:rFonts w:hint="default" w:ascii="Times New Roman" w:hAnsi="Times New Roman" w:eastAsia="宋体" w:cs="Times New Roman"/>
                <w:color w:val="auto"/>
                <w:sz w:val="24"/>
                <w:szCs w:val="24"/>
                <w:lang w:val="en-US" w:eastAsia="zh-CN"/>
              </w:rPr>
              <w:t>工业</w:t>
            </w:r>
            <w:r>
              <w:rPr>
                <w:rFonts w:hint="default" w:ascii="Times New Roman" w:hAnsi="Times New Roman" w:eastAsia="宋体" w:cs="Times New Roman"/>
                <w:color w:val="auto"/>
                <w:sz w:val="24"/>
                <w:szCs w:val="24"/>
              </w:rPr>
              <w:t>园区，因此，本项目不进行声环境现状调查。</w:t>
            </w:r>
          </w:p>
          <w:p w14:paraId="6EF68F2E">
            <w:pPr>
              <w:pStyle w:val="7"/>
              <w:pageBreakBefore w:val="0"/>
              <w:widowControl w:val="0"/>
              <w:kinsoku/>
              <w:wordWrap/>
              <w:overflowPunct/>
              <w:topLinePunct w:val="0"/>
              <w:autoSpaceDE/>
              <w:autoSpaceDN/>
              <w:bidi w:val="0"/>
              <w:adjustRightInd/>
              <w:snapToGrid/>
              <w:spacing w:beforeLines="0" w:afterLines="0" w:line="360" w:lineRule="auto"/>
              <w:jc w:val="both"/>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w:t>
            </w:r>
            <w:r>
              <w:rPr>
                <w:rFonts w:hint="eastAsia" w:cs="Times New Roman"/>
                <w:b/>
                <w:bCs/>
                <w:color w:val="auto"/>
                <w:sz w:val="24"/>
                <w:szCs w:val="24"/>
                <w:lang w:val="en-US" w:eastAsia="zh-CN"/>
              </w:rPr>
              <w:t>.</w:t>
            </w:r>
            <w:r>
              <w:rPr>
                <w:rFonts w:hint="default" w:ascii="Times New Roman" w:hAnsi="Times New Roman" w:eastAsia="宋体" w:cs="Times New Roman"/>
                <w:b/>
                <w:bCs/>
                <w:color w:val="auto"/>
                <w:sz w:val="24"/>
                <w:szCs w:val="24"/>
              </w:rPr>
              <w:t>生态环境</w:t>
            </w:r>
          </w:p>
          <w:p w14:paraId="653EFFFE">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本项目建设位于工业用地，在产业园区内，不新增用地范围，且不含有生态环境保护目标。项目为租赁已建生产车间，位于工业园区内，生态环境具有一定的稳定性及可持续发展性，具有一定的承受干扰的能力及生态完整性。因此，本项目不进行生态环境现状调查。</w:t>
            </w:r>
          </w:p>
          <w:p w14:paraId="0E7024A8">
            <w:pPr>
              <w:pageBreakBefore w:val="0"/>
              <w:widowControl w:val="0"/>
              <w:kinsoku/>
              <w:wordWrap/>
              <w:overflowPunct/>
              <w:topLinePunct w:val="0"/>
              <w:autoSpaceDE/>
              <w:autoSpaceDN/>
              <w:bidi w:val="0"/>
              <w:adjustRightInd/>
              <w:snapToGrid/>
              <w:spacing w:line="360" w:lineRule="auto"/>
              <w:jc w:val="both"/>
              <w:textAlignment w:val="auto"/>
              <w:rPr>
                <w:b/>
                <w:bCs w:val="0"/>
                <w:color w:val="auto"/>
                <w:sz w:val="24"/>
                <w:szCs w:val="24"/>
              </w:rPr>
            </w:pPr>
            <w:r>
              <w:rPr>
                <w:rFonts w:hint="eastAsia" w:cs="Times New Roman"/>
                <w:b/>
                <w:bCs w:val="0"/>
                <w:color w:val="auto"/>
                <w:kern w:val="2"/>
                <w:sz w:val="24"/>
                <w:szCs w:val="24"/>
                <w:highlight w:val="none"/>
                <w:lang w:val="en-US" w:eastAsia="zh-CN" w:bidi="ar-SA"/>
              </w:rPr>
              <w:t>5.</w:t>
            </w:r>
            <w:r>
              <w:rPr>
                <w:rFonts w:hint="eastAsia"/>
                <w:b/>
                <w:bCs w:val="0"/>
                <w:color w:val="auto"/>
                <w:sz w:val="24"/>
                <w:szCs w:val="24"/>
              </w:rPr>
              <w:t>地下水</w:t>
            </w:r>
            <w:r>
              <w:rPr>
                <w:rFonts w:hint="eastAsia"/>
                <w:b/>
                <w:bCs w:val="0"/>
                <w:color w:val="auto"/>
                <w:sz w:val="24"/>
                <w:szCs w:val="24"/>
                <w:lang w:val="en-US" w:eastAsia="zh-CN"/>
              </w:rPr>
              <w:t>、</w:t>
            </w:r>
            <w:r>
              <w:rPr>
                <w:rFonts w:hint="eastAsia"/>
                <w:b/>
                <w:bCs w:val="0"/>
                <w:color w:val="auto"/>
                <w:sz w:val="24"/>
                <w:szCs w:val="24"/>
              </w:rPr>
              <w:t>土壤环境</w:t>
            </w:r>
          </w:p>
          <w:p w14:paraId="63C3E03D">
            <w:pPr>
              <w:pStyle w:val="14"/>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0"/>
                <w:szCs w:val="21"/>
                <w:lang w:val="en-US" w:eastAsia="zh-CN"/>
              </w:rPr>
            </w:pPr>
            <w:r>
              <w:rPr>
                <w:color w:val="auto"/>
                <w:sz w:val="24"/>
                <w:szCs w:val="24"/>
              </w:rPr>
              <w:t>根据《建设项目环境影响报告表编制技术指南（污染影响类）（试行）》，地下水与土壤环境原则上不进行现状调查，本项目不存在地下水与土壤污染途径，故不进行现状监测。</w:t>
            </w:r>
            <w:r>
              <w:rPr>
                <w:rFonts w:hint="eastAsia"/>
                <w:color w:val="auto"/>
                <w:sz w:val="24"/>
                <w:szCs w:val="24"/>
              </w:rPr>
              <w:t>不进行地下水环境影响评价。</w:t>
            </w:r>
          </w:p>
        </w:tc>
      </w:tr>
      <w:tr w14:paraId="35A41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3" w:hRule="atLeast"/>
          <w:jc w:val="center"/>
        </w:trPr>
        <w:tc>
          <w:tcPr>
            <w:tcW w:w="800" w:type="dxa"/>
            <w:vAlign w:val="center"/>
          </w:tcPr>
          <w:p w14:paraId="6743A4E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环境</w:t>
            </w:r>
          </w:p>
          <w:p w14:paraId="0B536D5F">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保护</w:t>
            </w:r>
          </w:p>
          <w:p w14:paraId="058989E0">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目标</w:t>
            </w:r>
          </w:p>
        </w:tc>
        <w:tc>
          <w:tcPr>
            <w:tcW w:w="8190" w:type="dxa"/>
            <w:vAlign w:val="top"/>
          </w:tcPr>
          <w:p w14:paraId="79352FBE">
            <w:pPr>
              <w:pStyle w:val="7"/>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大气环境</w:t>
            </w:r>
          </w:p>
          <w:p w14:paraId="1BC1ED37">
            <w:pPr>
              <w:pStyle w:val="18"/>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根据现场调查，本项目</w:t>
            </w:r>
            <w:r>
              <w:rPr>
                <w:rFonts w:hint="default" w:ascii="Times New Roman" w:hAnsi="Times New Roman" w:eastAsia="宋体" w:cs="Times New Roman"/>
                <w:color w:val="auto"/>
                <w:sz w:val="24"/>
                <w:szCs w:val="24"/>
              </w:rPr>
              <w:t>厂界外</w:t>
            </w:r>
            <w:r>
              <w:rPr>
                <w:rFonts w:hint="default" w:ascii="Times New Roman" w:hAnsi="Times New Roman" w:eastAsia="宋体" w:cs="Times New Roman"/>
                <w:color w:val="auto"/>
                <w:sz w:val="24"/>
                <w:szCs w:val="24"/>
                <w:lang w:val="en-US" w:eastAsia="zh-CN"/>
              </w:rPr>
              <w:t>500m范围内无自然保护区、风景名胜区、居住区、文化区和农村地区中人群较集中的区域等环境敏感区。</w:t>
            </w:r>
          </w:p>
          <w:p w14:paraId="484765CB">
            <w:pPr>
              <w:pStyle w:val="18"/>
              <w:pageBreakBefore w:val="0"/>
              <w:widowControl w:val="0"/>
              <w:kinsoku/>
              <w:wordWrap/>
              <w:overflowPunct/>
              <w:topLinePunct w:val="0"/>
              <w:bidi w:val="0"/>
              <w:snapToGrid/>
              <w:spacing w:line="360" w:lineRule="auto"/>
              <w:ind w:left="0" w:leftChars="0" w:firstLine="0" w:firstLineChars="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声环境</w:t>
            </w:r>
          </w:p>
          <w:p w14:paraId="5AB54CF7">
            <w:pPr>
              <w:pStyle w:val="18"/>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本项目厂界外50m范围内无声环境保护目标。</w:t>
            </w:r>
          </w:p>
          <w:p w14:paraId="09E5213C">
            <w:pPr>
              <w:pStyle w:val="7"/>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地下水环境</w:t>
            </w:r>
          </w:p>
          <w:p w14:paraId="68DDBEA4">
            <w:pPr>
              <w:pStyle w:val="18"/>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本项目厂界外500米范围内无地下水集中式饮用水水源和热水、矿泉水、温泉等特殊地下水资源。</w:t>
            </w:r>
          </w:p>
          <w:p w14:paraId="77B480D9">
            <w:pPr>
              <w:pStyle w:val="7"/>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生态环境</w:t>
            </w:r>
          </w:p>
          <w:p w14:paraId="0CE2146E">
            <w:pPr>
              <w:pStyle w:val="26"/>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cs="宋体"/>
                <w:color w:val="auto"/>
                <w:kern w:val="0"/>
                <w:szCs w:val="21"/>
                <w:lang w:val="en-US"/>
              </w:rPr>
            </w:pPr>
            <w:r>
              <w:rPr>
                <w:rFonts w:hint="default" w:ascii="Times New Roman" w:hAnsi="Times New Roman" w:eastAsia="宋体" w:cs="Times New Roman"/>
                <w:color w:val="auto"/>
                <w:sz w:val="24"/>
                <w:szCs w:val="24"/>
                <w:lang w:val="en-US" w:eastAsia="zh-CN"/>
              </w:rPr>
              <w:t>本项目位于</w:t>
            </w:r>
            <w:r>
              <w:rPr>
                <w:rFonts w:hint="default" w:ascii="Times New Roman" w:hAnsi="Times New Roman" w:eastAsia="宋体" w:cs="Times New Roman"/>
                <w:color w:val="auto"/>
                <w:sz w:val="24"/>
                <w:szCs w:val="24"/>
                <w:highlight w:val="none"/>
                <w:lang w:val="en-US" w:eastAsia="zh-CN"/>
              </w:rPr>
              <w:t>昌吉回族自治州阜康产业园阜西区苏通小微创业园内</w:t>
            </w:r>
            <w:r>
              <w:rPr>
                <w:rFonts w:hint="default" w:ascii="Times New Roman" w:hAnsi="Times New Roman" w:eastAsia="宋体" w:cs="Times New Roman"/>
                <w:color w:val="auto"/>
                <w:sz w:val="24"/>
                <w:szCs w:val="24"/>
                <w:lang w:val="en-US" w:eastAsia="zh-CN"/>
              </w:rPr>
              <w:t>，故不涉及生态环境保护目标。</w:t>
            </w:r>
          </w:p>
        </w:tc>
      </w:tr>
      <w:tr w14:paraId="62DE4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800" w:type="dxa"/>
            <w:tcMar>
              <w:left w:w="28" w:type="dxa"/>
              <w:right w:w="28" w:type="dxa"/>
            </w:tcMar>
            <w:vAlign w:val="center"/>
          </w:tcPr>
          <w:p w14:paraId="2497C480">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污染</w:t>
            </w:r>
          </w:p>
          <w:p w14:paraId="31AAED36">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物排</w:t>
            </w:r>
          </w:p>
          <w:p w14:paraId="0A9A089D">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放控</w:t>
            </w:r>
          </w:p>
          <w:p w14:paraId="46F67514">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制标</w:t>
            </w:r>
          </w:p>
          <w:p w14:paraId="1EFEC528">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vAlign w:val="center"/>
          </w:tcPr>
          <w:p w14:paraId="2B2980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kern w:val="0"/>
                <w:sz w:val="24"/>
                <w:szCs w:val="24"/>
                <w:lang w:val="en-US" w:eastAsia="zh-CN" w:bidi="ar"/>
              </w:rPr>
              <w:t>1.</w:t>
            </w:r>
            <w:r>
              <w:rPr>
                <w:rFonts w:hint="default" w:ascii="Times New Roman" w:hAnsi="Times New Roman" w:eastAsia="宋体" w:cs="Times New Roman"/>
                <w:b/>
                <w:bCs/>
                <w:color w:val="auto"/>
                <w:kern w:val="0"/>
                <w:sz w:val="24"/>
                <w:szCs w:val="24"/>
                <w:lang w:val="en-US" w:eastAsia="zh-CN" w:bidi="ar"/>
              </w:rPr>
              <w:t>大气污染物排放标准</w:t>
            </w:r>
          </w:p>
          <w:p w14:paraId="61370CE6">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（1）有组织粉尘排放浓度执行</w:t>
            </w:r>
            <w:r>
              <w:rPr>
                <w:rFonts w:hint="default" w:ascii="Times New Roman" w:hAnsi="Times New Roman" w:eastAsia="宋体" w:cs="Times New Roman"/>
                <w:color w:val="auto"/>
                <w:kern w:val="21"/>
                <w:sz w:val="24"/>
                <w:szCs w:val="24"/>
                <w:highlight w:val="none"/>
                <w:lang w:val="en-US" w:eastAsia="zh-CN" w:bidi="ar"/>
              </w:rPr>
              <w:t>《水泥工业大气污染物排放标准》（GB4915-2013）表2中大气污染物特别排放限值</w:t>
            </w:r>
            <w:r>
              <w:rPr>
                <w:rFonts w:hint="default" w:ascii="Times New Roman" w:hAnsi="Times New Roman" w:eastAsia="宋体" w:cs="Times New Roman"/>
                <w:color w:val="auto"/>
                <w:kern w:val="2"/>
                <w:sz w:val="24"/>
                <w:szCs w:val="24"/>
                <w:highlight w:val="none"/>
                <w:lang w:val="en-US" w:eastAsia="zh-CN" w:bidi="ar-SA"/>
              </w:rPr>
              <w:t>。</w:t>
            </w:r>
          </w:p>
          <w:p w14:paraId="7AA05FD2">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（2）无组织粉尘厂界浓度执行</w:t>
            </w:r>
            <w:r>
              <w:rPr>
                <w:rFonts w:hint="default" w:ascii="Times New Roman" w:hAnsi="Times New Roman" w:eastAsia="宋体" w:cs="Times New Roman"/>
                <w:color w:val="auto"/>
                <w:kern w:val="21"/>
                <w:sz w:val="24"/>
                <w:szCs w:val="24"/>
                <w:highlight w:val="none"/>
                <w:lang w:val="en-US" w:eastAsia="zh-CN" w:bidi="ar"/>
              </w:rPr>
              <w:t>《水泥工业大气污染物排放标准》（GB4915-2013）表3大气污染物无组织排放限值</w:t>
            </w:r>
            <w:r>
              <w:rPr>
                <w:rFonts w:hint="default" w:ascii="Times New Roman" w:hAnsi="Times New Roman" w:eastAsia="宋体" w:cs="Times New Roman"/>
                <w:color w:val="auto"/>
                <w:kern w:val="2"/>
                <w:sz w:val="24"/>
                <w:szCs w:val="24"/>
                <w:highlight w:val="none"/>
                <w:lang w:val="en-US" w:eastAsia="zh-CN" w:bidi="ar-SA"/>
              </w:rPr>
              <w:t>。</w:t>
            </w:r>
          </w:p>
          <w:p w14:paraId="623F99F5">
            <w:pPr>
              <w:pStyle w:val="38"/>
              <w:tabs>
                <w:tab w:val="left" w:pos="360"/>
                <w:tab w:val="left" w:pos="1620"/>
              </w:tabs>
              <w:spacing w:line="24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表3-</w:t>
            </w:r>
            <w:r>
              <w:rPr>
                <w:rFonts w:hint="default"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 xml:space="preserve">    大气污染物排放限值标准</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55"/>
              <w:gridCol w:w="1129"/>
              <w:gridCol w:w="4705"/>
              <w:gridCol w:w="1182"/>
            </w:tblGrid>
            <w:tr w14:paraId="2832E2C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99" w:type="pct"/>
                  <w:tcBorders>
                    <w:bottom w:val="single" w:color="000000" w:sz="12" w:space="0"/>
                  </w:tcBorders>
                  <w:vAlign w:val="center"/>
                </w:tcPr>
                <w:p w14:paraId="33EAA4AC">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708" w:type="pct"/>
                  <w:tcBorders>
                    <w:bottom w:val="single" w:color="000000" w:sz="12" w:space="0"/>
                  </w:tcBorders>
                  <w:vAlign w:val="center"/>
                </w:tcPr>
                <w:p w14:paraId="7C7F87BE">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排放形式</w:t>
                  </w:r>
                </w:p>
              </w:tc>
              <w:tc>
                <w:tcPr>
                  <w:tcW w:w="2950" w:type="pct"/>
                  <w:tcBorders>
                    <w:bottom w:val="single" w:color="000000" w:sz="12" w:space="0"/>
                  </w:tcBorders>
                  <w:vAlign w:val="center"/>
                </w:tcPr>
                <w:p w14:paraId="3DCDB340">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标准</w:t>
                  </w:r>
                </w:p>
              </w:tc>
              <w:tc>
                <w:tcPr>
                  <w:tcW w:w="741" w:type="pct"/>
                  <w:tcBorders>
                    <w:bottom w:val="single" w:color="000000" w:sz="12" w:space="0"/>
                  </w:tcBorders>
                  <w:vAlign w:val="center"/>
                </w:tcPr>
                <w:p w14:paraId="6C687C9E">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限值</w:t>
                  </w:r>
                </w:p>
              </w:tc>
            </w:tr>
            <w:tr w14:paraId="466654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599" w:type="pct"/>
                  <w:vMerge w:val="restart"/>
                  <w:tcBorders>
                    <w:top w:val="single" w:color="000000" w:sz="12" w:space="0"/>
                  </w:tcBorders>
                  <w:vAlign w:val="center"/>
                </w:tcPr>
                <w:p w14:paraId="5E22CEF0">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708" w:type="pct"/>
                  <w:tcBorders>
                    <w:top w:val="single" w:color="000000" w:sz="12" w:space="0"/>
                  </w:tcBorders>
                  <w:vAlign w:val="center"/>
                </w:tcPr>
                <w:p w14:paraId="2118E7A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有组织</w:t>
                  </w:r>
                </w:p>
              </w:tc>
              <w:tc>
                <w:tcPr>
                  <w:tcW w:w="2950" w:type="pct"/>
                  <w:tcBorders>
                    <w:top w:val="single" w:color="000000" w:sz="12" w:space="0"/>
                  </w:tcBorders>
                  <w:vAlign w:val="center"/>
                </w:tcPr>
                <w:p w14:paraId="28AB4424">
                  <w:pPr>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《水泥工业大气污染物排放标准》（GB4915-2013）表2中大气污染物特别排放限值</w:t>
                  </w:r>
                </w:p>
              </w:tc>
              <w:tc>
                <w:tcPr>
                  <w:tcW w:w="741" w:type="pct"/>
                  <w:tcBorders>
                    <w:top w:val="single" w:color="000000" w:sz="12" w:space="0"/>
                  </w:tcBorders>
                  <w:vAlign w:val="center"/>
                </w:tcPr>
                <w:p w14:paraId="0DA189F8">
                  <w:pPr>
                    <w:jc w:val="center"/>
                    <w:rPr>
                      <w:rFonts w:hint="default" w:ascii="Times New Roman" w:hAnsi="Times New Roman" w:eastAsia="宋体" w:cs="Times New Roman"/>
                      <w:color w:val="auto"/>
                      <w:highlight w:val="none"/>
                    </w:rPr>
                  </w:pPr>
                  <w:r>
                    <w:rPr>
                      <w:rFonts w:hint="eastAsia" w:cs="Times New Roman"/>
                      <w:color w:val="auto"/>
                      <w:highlight w:val="none"/>
                      <w:lang w:val="en-US" w:eastAsia="zh-CN"/>
                    </w:rPr>
                    <w:t>1</w:t>
                  </w:r>
                  <w:r>
                    <w:rPr>
                      <w:rFonts w:hint="default" w:ascii="Times New Roman" w:hAnsi="Times New Roman" w:eastAsia="宋体" w:cs="Times New Roman"/>
                      <w:color w:val="auto"/>
                      <w:highlight w:val="none"/>
                    </w:rPr>
                    <w:t>0mg/m</w:t>
                  </w:r>
                  <w:r>
                    <w:rPr>
                      <w:rFonts w:hint="default" w:ascii="Times New Roman" w:hAnsi="Times New Roman" w:eastAsia="宋体" w:cs="Times New Roman"/>
                      <w:color w:val="auto"/>
                      <w:highlight w:val="none"/>
                      <w:vertAlign w:val="superscript"/>
                    </w:rPr>
                    <w:t>3</w:t>
                  </w:r>
                </w:p>
              </w:tc>
            </w:tr>
            <w:tr w14:paraId="516041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599" w:type="pct"/>
                  <w:vMerge w:val="continue"/>
                  <w:vAlign w:val="center"/>
                </w:tcPr>
                <w:p w14:paraId="57EA7B45">
                  <w:pPr>
                    <w:jc w:val="center"/>
                    <w:rPr>
                      <w:rFonts w:hint="default" w:ascii="Times New Roman" w:hAnsi="Times New Roman" w:eastAsia="宋体" w:cs="Times New Roman"/>
                      <w:color w:val="auto"/>
                      <w:highlight w:val="none"/>
                    </w:rPr>
                  </w:pPr>
                </w:p>
              </w:tc>
              <w:tc>
                <w:tcPr>
                  <w:tcW w:w="708" w:type="pct"/>
                  <w:vAlign w:val="center"/>
                </w:tcPr>
                <w:p w14:paraId="38AA3EB2">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厂界无组织</w:t>
                  </w:r>
                </w:p>
              </w:tc>
              <w:tc>
                <w:tcPr>
                  <w:tcW w:w="2950" w:type="pct"/>
                  <w:vAlign w:val="center"/>
                </w:tcPr>
                <w:p w14:paraId="5714DC9B">
                  <w:pPr>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《水泥工业大气污染物排放标准》（GB4915-2013）表3大气污染物无组织排放限值</w:t>
                  </w:r>
                </w:p>
              </w:tc>
              <w:tc>
                <w:tcPr>
                  <w:tcW w:w="741" w:type="pct"/>
                  <w:vAlign w:val="center"/>
                </w:tcPr>
                <w:p w14:paraId="5AD0D995">
                  <w:pPr>
                    <w:jc w:val="center"/>
                    <w:rPr>
                      <w:rFonts w:hint="default" w:ascii="Times New Roman" w:hAnsi="Times New Roman" w:eastAsia="宋体" w:cs="Times New Roman"/>
                      <w:color w:val="auto"/>
                      <w:highlight w:val="none"/>
                    </w:rPr>
                  </w:pPr>
                  <w:r>
                    <w:rPr>
                      <w:rFonts w:hint="eastAsia" w:cs="Times New Roman"/>
                      <w:color w:val="auto"/>
                      <w:highlight w:val="none"/>
                      <w:lang w:val="en-US" w:eastAsia="zh-CN"/>
                    </w:rPr>
                    <w:t>0.5m</w:t>
                  </w:r>
                  <w:r>
                    <w:rPr>
                      <w:rFonts w:hint="default" w:ascii="Times New Roman" w:hAnsi="Times New Roman" w:eastAsia="宋体" w:cs="Times New Roman"/>
                      <w:color w:val="auto"/>
                      <w:highlight w:val="none"/>
                    </w:rPr>
                    <w:t>g/m</w:t>
                  </w:r>
                  <w:r>
                    <w:rPr>
                      <w:rFonts w:hint="default" w:ascii="Times New Roman" w:hAnsi="Times New Roman" w:eastAsia="宋体" w:cs="Times New Roman"/>
                      <w:color w:val="auto"/>
                      <w:highlight w:val="none"/>
                      <w:vertAlign w:val="superscript"/>
                    </w:rPr>
                    <w:t>3</w:t>
                  </w:r>
                </w:p>
              </w:tc>
            </w:tr>
          </w:tbl>
          <w:p w14:paraId="0CC4660F">
            <w:pPr>
              <w:spacing w:line="360" w:lineRule="auto"/>
              <w:jc w:val="both"/>
              <w:rPr>
                <w:rFonts w:hint="default"/>
                <w:b/>
                <w:bCs/>
                <w:color w:val="auto"/>
                <w:sz w:val="24"/>
                <w:szCs w:val="32"/>
              </w:rPr>
            </w:pPr>
          </w:p>
          <w:p w14:paraId="3485B4E5">
            <w:pPr>
              <w:spacing w:line="360" w:lineRule="auto"/>
              <w:jc w:val="both"/>
              <w:rPr>
                <w:b/>
                <w:bCs/>
                <w:color w:val="auto"/>
                <w:sz w:val="24"/>
                <w:szCs w:val="32"/>
              </w:rPr>
            </w:pPr>
            <w:r>
              <w:rPr>
                <w:rFonts w:hint="default"/>
                <w:b/>
                <w:bCs/>
                <w:color w:val="auto"/>
                <w:sz w:val="24"/>
                <w:szCs w:val="32"/>
              </w:rPr>
              <w:t>2.</w:t>
            </w:r>
            <w:r>
              <w:rPr>
                <w:rFonts w:hint="eastAsia"/>
                <w:b/>
                <w:bCs/>
                <w:color w:val="auto"/>
                <w:sz w:val="24"/>
                <w:szCs w:val="32"/>
              </w:rPr>
              <w:t>废水排放执行标准</w:t>
            </w:r>
          </w:p>
          <w:p w14:paraId="43CCFCC5">
            <w:pPr>
              <w:spacing w:line="360" w:lineRule="auto"/>
              <w:ind w:firstLine="480"/>
              <w:jc w:val="both"/>
              <w:rPr>
                <w:rFonts w:hint="eastAsia"/>
                <w:color w:val="auto"/>
                <w:sz w:val="24"/>
                <w:szCs w:val="32"/>
              </w:rPr>
            </w:pPr>
            <w:r>
              <w:rPr>
                <w:rFonts w:hint="eastAsia"/>
                <w:color w:val="auto"/>
                <w:sz w:val="24"/>
                <w:szCs w:val="32"/>
                <w:lang w:val="en-US" w:eastAsia="zh-CN"/>
              </w:rPr>
              <w:t>生活污水满足</w:t>
            </w:r>
            <w:r>
              <w:rPr>
                <w:rFonts w:hint="eastAsia"/>
                <w:color w:val="auto"/>
                <w:sz w:val="24"/>
                <w:szCs w:val="32"/>
              </w:rPr>
              <w:t>《污水综合排放标准》（GB8978-1996）表4中的三级标准。</w:t>
            </w:r>
          </w:p>
          <w:p w14:paraId="22F2A4C5">
            <w:pPr>
              <w:pStyle w:val="30"/>
              <w:keepNext w:val="0"/>
              <w:keepLines w:val="0"/>
              <w:pageBreakBefore w:val="0"/>
              <w:widowControl w:val="0"/>
              <w:kinsoku/>
              <w:wordWrap w:val="0"/>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pacing w:val="0"/>
                <w:sz w:val="21"/>
                <w:szCs w:val="21"/>
              </w:rPr>
            </w:pPr>
            <w:r>
              <w:rPr>
                <w:rFonts w:hint="default" w:ascii="Times New Roman" w:hAnsi="Times New Roman" w:eastAsia="宋体" w:cs="Times New Roman"/>
                <w:b/>
                <w:bCs/>
                <w:color w:val="auto"/>
                <w:spacing w:val="0"/>
                <w:sz w:val="21"/>
                <w:szCs w:val="21"/>
              </w:rPr>
              <w:t>表 3-</w:t>
            </w:r>
            <w:r>
              <w:rPr>
                <w:rFonts w:hint="eastAsia" w:ascii="Times New Roman" w:hAnsi="Times New Roman" w:eastAsia="宋体" w:cs="Times New Roman"/>
                <w:b/>
                <w:bCs/>
                <w:color w:val="auto"/>
                <w:spacing w:val="0"/>
                <w:sz w:val="21"/>
                <w:szCs w:val="21"/>
                <w:lang w:val="en-US" w:eastAsia="zh-CN"/>
              </w:rPr>
              <w:t xml:space="preserve">4    </w:t>
            </w:r>
            <w:r>
              <w:rPr>
                <w:rFonts w:hint="default" w:ascii="Times New Roman" w:hAnsi="Times New Roman" w:eastAsia="宋体" w:cs="Times New Roman"/>
                <w:b/>
                <w:bCs/>
                <w:color w:val="auto"/>
                <w:spacing w:val="0"/>
                <w:sz w:val="21"/>
                <w:szCs w:val="21"/>
              </w:rPr>
              <w:t>《污水综合排放标准》表</w:t>
            </w:r>
            <w:r>
              <w:rPr>
                <w:rFonts w:hint="eastAsia" w:ascii="Times New Roman" w:hAnsi="Times New Roman" w:eastAsia="宋体" w:cs="Times New Roman"/>
                <w:b/>
                <w:bCs/>
                <w:color w:val="auto"/>
                <w:spacing w:val="0"/>
                <w:sz w:val="21"/>
                <w:szCs w:val="21"/>
                <w:lang w:val="en-US" w:eastAsia="zh-CN"/>
              </w:rPr>
              <w:t>4</w:t>
            </w:r>
            <w:r>
              <w:rPr>
                <w:rFonts w:hint="default" w:ascii="Times New Roman" w:hAnsi="Times New Roman" w:eastAsia="宋体" w:cs="Times New Roman"/>
                <w:b/>
                <w:bCs/>
                <w:color w:val="auto"/>
                <w:spacing w:val="0"/>
                <w:sz w:val="21"/>
                <w:szCs w:val="21"/>
              </w:rPr>
              <w:t>中三级标准（单位：mg/L）</w:t>
            </w: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019"/>
              <w:gridCol w:w="1820"/>
              <w:gridCol w:w="2220"/>
              <w:gridCol w:w="1885"/>
            </w:tblGrid>
            <w:tr w14:paraId="5A17C5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2026" w:type="dxa"/>
                  <w:tcBorders>
                    <w:left w:val="nil"/>
                    <w:bottom w:val="single" w:color="000000" w:sz="4" w:space="0"/>
                    <w:right w:val="single" w:color="000000" w:sz="4" w:space="0"/>
                  </w:tcBorders>
                  <w:noWrap w:val="0"/>
                  <w:vAlign w:val="center"/>
                </w:tcPr>
                <w:p w14:paraId="686D4201">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COD</w:t>
                  </w:r>
                </w:p>
              </w:tc>
              <w:tc>
                <w:tcPr>
                  <w:tcW w:w="1826" w:type="dxa"/>
                  <w:tcBorders>
                    <w:left w:val="single" w:color="000000" w:sz="4" w:space="0"/>
                    <w:bottom w:val="single" w:color="000000" w:sz="4" w:space="0"/>
                    <w:right w:val="single" w:color="000000" w:sz="4" w:space="0"/>
                  </w:tcBorders>
                  <w:noWrap w:val="0"/>
                  <w:vAlign w:val="center"/>
                </w:tcPr>
                <w:p w14:paraId="500B3BD8">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position w:val="2"/>
                      <w:sz w:val="21"/>
                      <w:szCs w:val="21"/>
                    </w:rPr>
                    <w:t>BOD</w:t>
                  </w:r>
                  <w:r>
                    <w:rPr>
                      <w:rFonts w:hint="default" w:ascii="Times New Roman" w:hAnsi="Times New Roman" w:eastAsia="宋体" w:cs="Times New Roman"/>
                      <w:b/>
                      <w:color w:val="auto"/>
                      <w:spacing w:val="0"/>
                      <w:position w:val="2"/>
                      <w:sz w:val="21"/>
                      <w:szCs w:val="21"/>
                      <w:vertAlign w:val="subscript"/>
                    </w:rPr>
                    <w:t>5</w:t>
                  </w:r>
                </w:p>
              </w:tc>
              <w:tc>
                <w:tcPr>
                  <w:tcW w:w="2228" w:type="dxa"/>
                  <w:tcBorders>
                    <w:left w:val="single" w:color="000000" w:sz="4" w:space="0"/>
                    <w:bottom w:val="single" w:color="000000" w:sz="4" w:space="0"/>
                    <w:right w:val="single" w:color="000000" w:sz="4" w:space="0"/>
                  </w:tcBorders>
                  <w:noWrap w:val="0"/>
                  <w:vAlign w:val="center"/>
                </w:tcPr>
                <w:p w14:paraId="459A2031">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氨氮</w:t>
                  </w:r>
                </w:p>
              </w:tc>
              <w:tc>
                <w:tcPr>
                  <w:tcW w:w="1892" w:type="dxa"/>
                  <w:tcBorders>
                    <w:left w:val="single" w:color="000000" w:sz="4" w:space="0"/>
                    <w:bottom w:val="single" w:color="000000" w:sz="4" w:space="0"/>
                    <w:right w:val="nil"/>
                  </w:tcBorders>
                  <w:noWrap w:val="0"/>
                  <w:vAlign w:val="center"/>
                </w:tcPr>
                <w:p w14:paraId="63D1F7B2">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sz w:val="21"/>
                      <w:szCs w:val="21"/>
                    </w:rPr>
                  </w:pPr>
                  <w:r>
                    <w:rPr>
                      <w:rFonts w:hint="default" w:ascii="Times New Roman" w:hAnsi="Times New Roman" w:eastAsia="宋体" w:cs="Times New Roman"/>
                      <w:b/>
                      <w:color w:val="auto"/>
                      <w:spacing w:val="0"/>
                      <w:sz w:val="21"/>
                      <w:szCs w:val="21"/>
                    </w:rPr>
                    <w:t>SS</w:t>
                  </w:r>
                </w:p>
              </w:tc>
            </w:tr>
            <w:tr w14:paraId="4AD9FB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2026" w:type="dxa"/>
                  <w:tcBorders>
                    <w:top w:val="single" w:color="000000" w:sz="4" w:space="0"/>
                    <w:left w:val="nil"/>
                    <w:right w:val="single" w:color="000000" w:sz="4" w:space="0"/>
                  </w:tcBorders>
                  <w:noWrap w:val="0"/>
                  <w:vAlign w:val="center"/>
                </w:tcPr>
                <w:p w14:paraId="60FA5646">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500</w:t>
                  </w:r>
                </w:p>
              </w:tc>
              <w:tc>
                <w:tcPr>
                  <w:tcW w:w="1826" w:type="dxa"/>
                  <w:tcBorders>
                    <w:top w:val="single" w:color="000000" w:sz="4" w:space="0"/>
                    <w:left w:val="single" w:color="000000" w:sz="4" w:space="0"/>
                    <w:right w:val="single" w:color="000000" w:sz="4" w:space="0"/>
                  </w:tcBorders>
                  <w:noWrap w:val="0"/>
                  <w:vAlign w:val="center"/>
                </w:tcPr>
                <w:p w14:paraId="58EFBD4D">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300</w:t>
                  </w:r>
                </w:p>
              </w:tc>
              <w:tc>
                <w:tcPr>
                  <w:tcW w:w="2228" w:type="dxa"/>
                  <w:tcBorders>
                    <w:top w:val="single" w:color="000000" w:sz="4" w:space="0"/>
                    <w:left w:val="single" w:color="000000" w:sz="4" w:space="0"/>
                    <w:right w:val="single" w:color="000000" w:sz="4" w:space="0"/>
                  </w:tcBorders>
                  <w:noWrap w:val="0"/>
                  <w:vAlign w:val="center"/>
                </w:tcPr>
                <w:p w14:paraId="2A3201DC">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eastAsia" w:ascii="Times New Roman" w:hAnsi="Times New Roman" w:eastAsia="宋体" w:cs="Times New Roman"/>
                      <w:color w:val="auto"/>
                      <w:spacing w:val="0"/>
                      <w:sz w:val="21"/>
                      <w:szCs w:val="21"/>
                      <w:lang w:eastAsia="zh-CN"/>
                    </w:rPr>
                  </w:pPr>
                  <w:r>
                    <w:rPr>
                      <w:rFonts w:hint="eastAsia" w:ascii="Times New Roman" w:hAnsi="Times New Roman" w:cs="Times New Roman"/>
                      <w:color w:val="auto"/>
                      <w:spacing w:val="0"/>
                      <w:sz w:val="21"/>
                      <w:szCs w:val="21"/>
                      <w:lang w:val="en-US" w:eastAsia="zh-CN"/>
                    </w:rPr>
                    <w:t>-</w:t>
                  </w:r>
                </w:p>
              </w:tc>
              <w:tc>
                <w:tcPr>
                  <w:tcW w:w="1892" w:type="dxa"/>
                  <w:tcBorders>
                    <w:top w:val="single" w:color="000000" w:sz="4" w:space="0"/>
                    <w:left w:val="single" w:color="000000" w:sz="4" w:space="0"/>
                    <w:right w:val="nil"/>
                  </w:tcBorders>
                  <w:noWrap w:val="0"/>
                  <w:vAlign w:val="center"/>
                </w:tcPr>
                <w:p w14:paraId="52147A13">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400</w:t>
                  </w:r>
                </w:p>
              </w:tc>
            </w:tr>
          </w:tbl>
          <w:p w14:paraId="7F2FE0E1">
            <w:pPr>
              <w:pStyle w:val="4"/>
              <w:rPr>
                <w:rFonts w:hint="default"/>
                <w:color w:val="auto"/>
                <w:lang w:val="en-US" w:eastAsia="zh-CN"/>
              </w:rPr>
            </w:pPr>
          </w:p>
          <w:p w14:paraId="7F7549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rPr>
            </w:pPr>
            <w:r>
              <w:rPr>
                <w:rFonts w:hint="default" w:cs="Times New Roman"/>
                <w:b/>
                <w:bCs/>
                <w:color w:val="auto"/>
                <w:kern w:val="0"/>
                <w:sz w:val="24"/>
                <w:szCs w:val="24"/>
                <w:lang w:eastAsia="zh-CN" w:bidi="ar"/>
              </w:rPr>
              <w:t>3</w:t>
            </w:r>
            <w:r>
              <w:rPr>
                <w:rFonts w:hint="eastAsia" w:ascii="Times New Roman" w:hAnsi="Times New Roman" w:eastAsia="宋体"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噪声排放标准</w:t>
            </w:r>
          </w:p>
          <w:p w14:paraId="592A53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运营期执行《工业企业厂界环境噪声排放标准》（GB12348-2008）3类的标准限值，具体标准值见表3-</w:t>
            </w: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w:t>
            </w:r>
          </w:p>
          <w:p w14:paraId="7376C287">
            <w:pPr>
              <w:pStyle w:val="26"/>
              <w:rPr>
                <w:rFonts w:hint="default"/>
                <w:b/>
                <w:bCs/>
                <w:color w:val="auto"/>
                <w:sz w:val="21"/>
                <w:szCs w:val="21"/>
                <w:lang w:val="en-US"/>
              </w:rPr>
            </w:pPr>
            <w:r>
              <w:rPr>
                <w:rFonts w:hint="eastAsia" w:ascii="Times New Roman" w:cs="Times New Roman"/>
                <w:b/>
                <w:bCs/>
                <w:color w:val="auto"/>
                <w:kern w:val="0"/>
                <w:sz w:val="21"/>
                <w:szCs w:val="21"/>
                <w:lang w:val="en-US" w:eastAsia="zh-CN" w:bidi="ar"/>
              </w:rPr>
              <w:t xml:space="preserve">表3-5    </w:t>
            </w:r>
            <w:r>
              <w:rPr>
                <w:rFonts w:hint="eastAsia"/>
                <w:b/>
                <w:bCs/>
                <w:color w:val="auto"/>
                <w:sz w:val="21"/>
                <w:szCs w:val="21"/>
                <w:lang w:val="en-US" w:eastAsia="zh-CN"/>
              </w:rPr>
              <w:t>噪声排放限值标准</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4426"/>
              <w:gridCol w:w="2462"/>
            </w:tblGrid>
            <w:tr w14:paraId="23D3A4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bottom w:val="single" w:color="auto" w:sz="12" w:space="0"/>
                  </w:tcBorders>
                  <w:noWrap w:val="0"/>
                  <w:vAlign w:val="center"/>
                </w:tcPr>
                <w:p w14:paraId="7D94F8AC">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时期</w:t>
                  </w:r>
                </w:p>
              </w:tc>
              <w:tc>
                <w:tcPr>
                  <w:tcW w:w="2775" w:type="pct"/>
                  <w:tcBorders>
                    <w:bottom w:val="single" w:color="auto" w:sz="12" w:space="0"/>
                  </w:tcBorders>
                  <w:noWrap w:val="0"/>
                  <w:vAlign w:val="center"/>
                </w:tcPr>
                <w:p w14:paraId="5FB68C39">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w:t>
                  </w:r>
                </w:p>
              </w:tc>
              <w:tc>
                <w:tcPr>
                  <w:tcW w:w="1544" w:type="pct"/>
                  <w:tcBorders>
                    <w:bottom w:val="single" w:color="auto" w:sz="12" w:space="0"/>
                  </w:tcBorders>
                  <w:noWrap w:val="0"/>
                  <w:vAlign w:val="center"/>
                </w:tcPr>
                <w:p w14:paraId="777F2632">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限值</w:t>
                  </w:r>
                </w:p>
              </w:tc>
            </w:tr>
            <w:tr w14:paraId="19BB84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tcBorders>
                  <w:noWrap w:val="0"/>
                  <w:vAlign w:val="center"/>
                </w:tcPr>
                <w:p w14:paraId="3D466C5F">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运营期</w:t>
                  </w:r>
                </w:p>
              </w:tc>
              <w:tc>
                <w:tcPr>
                  <w:tcW w:w="2775" w:type="pct"/>
                  <w:tcBorders>
                    <w:top w:val="single" w:color="auto" w:sz="4" w:space="0"/>
                  </w:tcBorders>
                  <w:noWrap w:val="0"/>
                  <w:vAlign w:val="center"/>
                </w:tcPr>
                <w:p w14:paraId="3153263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《工业企业厂界环境噪声排放标准》（GB12348-2008）3类</w:t>
                  </w:r>
                </w:p>
              </w:tc>
              <w:tc>
                <w:tcPr>
                  <w:tcW w:w="1544" w:type="pct"/>
                  <w:tcBorders>
                    <w:top w:val="single" w:color="auto" w:sz="4" w:space="0"/>
                  </w:tcBorders>
                  <w:noWrap w:val="0"/>
                  <w:vAlign w:val="center"/>
                </w:tcPr>
                <w:p w14:paraId="195CCDD3">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昼间65dB(A)</w:t>
                  </w:r>
                </w:p>
                <w:p w14:paraId="1CB4FF44">
                  <w:pPr>
                    <w:pStyle w:val="3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夜间55dB(A)</w:t>
                  </w:r>
                </w:p>
              </w:tc>
            </w:tr>
          </w:tbl>
          <w:p w14:paraId="6AC7F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p>
          <w:p w14:paraId="47807D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rPr>
            </w:pPr>
            <w:r>
              <w:rPr>
                <w:rFonts w:hint="default" w:cs="Times New Roman"/>
                <w:b/>
                <w:bCs/>
                <w:color w:val="auto"/>
                <w:kern w:val="0"/>
                <w:sz w:val="24"/>
                <w:szCs w:val="24"/>
                <w:lang w:eastAsia="zh-CN" w:bidi="ar"/>
              </w:rPr>
              <w:t>4</w:t>
            </w:r>
            <w:r>
              <w:rPr>
                <w:rFonts w:hint="default" w:ascii="Times New Roman" w:hAnsi="Times New Roman" w:eastAsia="宋体" w:cs="Times New Roman"/>
                <w:b/>
                <w:bCs/>
                <w:color w:val="auto"/>
                <w:kern w:val="0"/>
                <w:sz w:val="24"/>
                <w:szCs w:val="24"/>
                <w:lang w:val="en-US" w:eastAsia="zh-CN" w:bidi="ar"/>
              </w:rPr>
              <w:t>.固体废物</w:t>
            </w:r>
          </w:p>
          <w:p w14:paraId="24732A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一般工业固体废物执行《一般工业固体废物贮存和填埋污染控制标准》(GB18599-2020)。</w:t>
            </w:r>
          </w:p>
          <w:p w14:paraId="076CCF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Cs w:val="21"/>
              </w:rPr>
            </w:pP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危险废物贮存应符合《危险废物贮存污染控制标准》（GB18597-20</w:t>
            </w:r>
            <w:r>
              <w:rPr>
                <w:rFonts w:hint="default" w:ascii="Times New Roman" w:hAnsi="Times New Roman" w:cs="Times New Roman"/>
                <w:color w:val="auto"/>
                <w:kern w:val="0"/>
                <w:sz w:val="24"/>
                <w:szCs w:val="24"/>
                <w:highlight w:val="none"/>
                <w:lang w:val="en-US" w:eastAsia="zh-CN" w:bidi="ar"/>
              </w:rPr>
              <w:t>23）</w:t>
            </w:r>
            <w:r>
              <w:rPr>
                <w:rFonts w:hint="default" w:ascii="Times New Roman" w:hAnsi="Times New Roman" w:eastAsia="宋体" w:cs="Times New Roman"/>
                <w:color w:val="auto"/>
                <w:kern w:val="0"/>
                <w:sz w:val="24"/>
                <w:szCs w:val="24"/>
                <w:highlight w:val="none"/>
                <w:lang w:val="en-US" w:eastAsia="zh-CN" w:bidi="ar"/>
              </w:rPr>
              <w:t>中要求</w:t>
            </w:r>
            <w:r>
              <w:rPr>
                <w:rFonts w:hint="eastAsia" w:cs="Times New Roman"/>
                <w:color w:val="auto"/>
                <w:kern w:val="0"/>
                <w:sz w:val="24"/>
                <w:szCs w:val="24"/>
                <w:highlight w:val="none"/>
                <w:lang w:val="en-US" w:eastAsia="zh-CN" w:bidi="ar"/>
              </w:rPr>
              <w:t>执行</w:t>
            </w:r>
            <w:r>
              <w:rPr>
                <w:rFonts w:hint="default" w:ascii="Times New Roman" w:hAnsi="Times New Roman" w:eastAsia="宋体" w:cs="Times New Roman"/>
                <w:color w:val="auto"/>
                <w:kern w:val="0"/>
                <w:sz w:val="24"/>
                <w:szCs w:val="24"/>
                <w:highlight w:val="none"/>
                <w:lang w:val="en-US" w:eastAsia="zh-CN" w:bidi="ar"/>
              </w:rPr>
              <w:t>。</w:t>
            </w:r>
          </w:p>
        </w:tc>
      </w:tr>
      <w:tr w14:paraId="7DA87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00" w:type="dxa"/>
            <w:vAlign w:val="center"/>
          </w:tcPr>
          <w:p w14:paraId="752B96AC">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总量</w:t>
            </w:r>
          </w:p>
          <w:p w14:paraId="1557402D">
            <w:pPr>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控制</w:t>
            </w:r>
          </w:p>
          <w:p w14:paraId="0470B714">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vAlign w:val="center"/>
          </w:tcPr>
          <w:p w14:paraId="7B3FD6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废水总量控制因子：项目生活污水排入阜康市西部城区污水处理厂，排放的水污染物总量应计入污水处理厂总量，项目不单独申请水污染物总量指标。</w:t>
            </w:r>
          </w:p>
          <w:p w14:paraId="61A44C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lang w:val="en-US" w:eastAsia="zh-CN" w:bidi="ar"/>
              </w:rPr>
              <w:t>2</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废气总量控制因子：</w:t>
            </w:r>
            <w:r>
              <w:rPr>
                <w:rFonts w:hint="default" w:ascii="Times New Roman" w:hAnsi="Times New Roman" w:eastAsia="宋体" w:cs="Times New Roman"/>
                <w:color w:val="auto"/>
                <w:kern w:val="0"/>
                <w:sz w:val="24"/>
                <w:szCs w:val="24"/>
                <w:highlight w:val="none"/>
                <w:lang w:val="en-US" w:eastAsia="zh-CN" w:bidi="ar"/>
              </w:rPr>
              <w:t>根据《自治区打赢蓝天保卫战三年行动计划（2018—2020年）》文件指出：“‘乌－昌－石’区域和‘奎－独－乌’区域所有新（改、扩）建设项目应执行最严格的大气污染物排放标准；PM2.5年平均浓度不达标的城市禁止新建（改、扩）建未落实SO</w:t>
            </w:r>
            <w:r>
              <w:rPr>
                <w:rFonts w:hint="default" w:ascii="Times New Roman" w:hAnsi="Times New Roman" w:eastAsia="宋体" w:cs="Times New Roman"/>
                <w:color w:val="auto"/>
                <w:kern w:val="0"/>
                <w:sz w:val="24"/>
                <w:szCs w:val="24"/>
                <w:highlight w:val="none"/>
                <w:vertAlign w:val="sub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、NOx、烟粉尘、挥发性有机物（VOCs）等四项大气污染物总量指标倍量替代的项目”。</w:t>
            </w:r>
          </w:p>
          <w:p w14:paraId="7D255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本项目主要</w:t>
            </w:r>
            <w:r>
              <w:rPr>
                <w:rFonts w:hint="eastAsia" w:cs="Times New Roman"/>
                <w:color w:val="auto"/>
                <w:kern w:val="0"/>
                <w:sz w:val="24"/>
                <w:szCs w:val="24"/>
                <w:highlight w:val="none"/>
                <w:lang w:val="en-US" w:eastAsia="zh-CN" w:bidi="ar"/>
              </w:rPr>
              <w:t>大气</w:t>
            </w:r>
            <w:r>
              <w:rPr>
                <w:rFonts w:hint="default" w:ascii="Times New Roman" w:hAnsi="Times New Roman" w:eastAsia="宋体" w:cs="Times New Roman"/>
                <w:color w:val="auto"/>
                <w:kern w:val="0"/>
                <w:sz w:val="24"/>
                <w:szCs w:val="24"/>
                <w:highlight w:val="none"/>
                <w:lang w:val="en-US" w:eastAsia="zh-CN" w:bidi="ar"/>
              </w:rPr>
              <w:t>污染物颗粒物排放总量为</w:t>
            </w:r>
            <w:r>
              <w:rPr>
                <w:rFonts w:hint="eastAsia" w:cs="Times New Roman"/>
                <w:color w:val="auto"/>
                <w:kern w:val="0"/>
                <w:sz w:val="24"/>
                <w:szCs w:val="24"/>
                <w:highlight w:val="none"/>
                <w:lang w:val="en-US" w:eastAsia="zh-CN" w:bidi="ar"/>
              </w:rPr>
              <w:t>0.00</w:t>
            </w:r>
            <w:r>
              <w:rPr>
                <w:rFonts w:hint="default" w:ascii="Times New Roman" w:hAnsi="Times New Roman" w:eastAsia="宋体" w:cs="Times New Roman"/>
                <w:color w:val="auto"/>
                <w:kern w:val="0"/>
                <w:sz w:val="24"/>
                <w:szCs w:val="24"/>
                <w:highlight w:val="none"/>
                <w:lang w:val="en-US" w:eastAsia="zh-CN" w:bidi="ar"/>
              </w:rPr>
              <w:t>8t/a，本项目提出颗粒物总量控制指标，由当地环保部门调控进行倍量替代，替代总量为颗粒物：</w:t>
            </w:r>
            <w:r>
              <w:rPr>
                <w:rFonts w:hint="eastAsia" w:cs="Times New Roman"/>
                <w:color w:val="auto"/>
                <w:kern w:val="0"/>
                <w:sz w:val="24"/>
                <w:szCs w:val="24"/>
                <w:highlight w:val="none"/>
                <w:lang w:val="en-US" w:eastAsia="zh-CN" w:bidi="ar"/>
              </w:rPr>
              <w:t>0.01</w:t>
            </w:r>
            <w:r>
              <w:rPr>
                <w:rFonts w:hint="default" w:ascii="Times New Roman" w:hAnsi="Times New Roman" w:eastAsia="宋体" w:cs="Times New Roman"/>
                <w:color w:val="auto"/>
                <w:kern w:val="0"/>
                <w:sz w:val="24"/>
                <w:szCs w:val="24"/>
                <w:highlight w:val="none"/>
                <w:lang w:val="en-US" w:eastAsia="zh-CN" w:bidi="ar"/>
              </w:rPr>
              <w:t>6t/a</w:t>
            </w:r>
            <w:r>
              <w:rPr>
                <w:rFonts w:hint="eastAsia" w:cs="Times New Roman"/>
                <w:color w:val="auto"/>
                <w:kern w:val="0"/>
                <w:sz w:val="24"/>
                <w:szCs w:val="24"/>
                <w:highlight w:val="none"/>
                <w:lang w:val="en-US" w:eastAsia="zh-CN" w:bidi="ar"/>
              </w:rPr>
              <w:t>。</w:t>
            </w:r>
          </w:p>
          <w:p w14:paraId="5B2BB0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29D5CA96">
            <w:pPr>
              <w:pStyle w:val="6"/>
              <w:rPr>
                <w:rFonts w:hint="default" w:ascii="Times New Roman" w:hAnsi="Times New Roman" w:eastAsia="宋体" w:cs="Times New Roman"/>
                <w:color w:val="auto"/>
                <w:kern w:val="0"/>
                <w:sz w:val="24"/>
                <w:szCs w:val="24"/>
                <w:highlight w:val="none"/>
                <w:lang w:val="en-US" w:eastAsia="zh-CN" w:bidi="ar"/>
              </w:rPr>
            </w:pPr>
          </w:p>
          <w:p w14:paraId="573E7966">
            <w:pPr>
              <w:rPr>
                <w:rFonts w:hint="default" w:ascii="Times New Roman" w:hAnsi="Times New Roman" w:eastAsia="宋体" w:cs="Times New Roman"/>
                <w:color w:val="auto"/>
                <w:kern w:val="0"/>
                <w:sz w:val="24"/>
                <w:szCs w:val="24"/>
                <w:highlight w:val="none"/>
                <w:lang w:val="en-US" w:eastAsia="zh-CN" w:bidi="ar"/>
              </w:rPr>
            </w:pPr>
          </w:p>
          <w:p w14:paraId="36DB5349">
            <w:pPr>
              <w:pStyle w:val="6"/>
              <w:rPr>
                <w:rFonts w:hint="default" w:ascii="Times New Roman" w:hAnsi="Times New Roman" w:eastAsia="宋体" w:cs="Times New Roman"/>
                <w:color w:val="auto"/>
                <w:kern w:val="0"/>
                <w:sz w:val="24"/>
                <w:szCs w:val="24"/>
                <w:highlight w:val="none"/>
                <w:lang w:val="en-US" w:eastAsia="zh-CN" w:bidi="ar"/>
              </w:rPr>
            </w:pPr>
          </w:p>
          <w:p w14:paraId="39F7A2E1">
            <w:pPr>
              <w:rPr>
                <w:rFonts w:hint="default"/>
                <w:lang w:val="en-US" w:eastAsia="zh-CN"/>
              </w:rPr>
            </w:pPr>
          </w:p>
          <w:p w14:paraId="5FB97F2F">
            <w:pPr>
              <w:pStyle w:val="7"/>
              <w:rPr>
                <w:rFonts w:hint="default"/>
                <w:color w:val="auto"/>
              </w:rPr>
            </w:pPr>
          </w:p>
          <w:p w14:paraId="0DB08A15">
            <w:pPr>
              <w:adjustRightInd w:val="0"/>
              <w:snapToGrid w:val="0"/>
              <w:jc w:val="both"/>
              <w:rPr>
                <w:rFonts w:hint="eastAsia" w:ascii="宋体" w:hAnsi="宋体" w:eastAsia="宋体" w:cs="宋体"/>
                <w:color w:val="auto"/>
                <w:kern w:val="0"/>
                <w:szCs w:val="21"/>
                <w:lang w:val="en-US" w:eastAsia="zh-CN"/>
              </w:rPr>
            </w:pPr>
          </w:p>
        </w:tc>
      </w:tr>
    </w:tbl>
    <w:p w14:paraId="6399BEB4">
      <w:pPr>
        <w:pStyle w:val="19"/>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1"/>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8388"/>
      </w:tblGrid>
      <w:tr w14:paraId="061DD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653" w:type="dxa"/>
            <w:tcMar>
              <w:left w:w="28" w:type="dxa"/>
              <w:right w:w="28" w:type="dxa"/>
            </w:tcMar>
            <w:vAlign w:val="center"/>
          </w:tcPr>
          <w:p w14:paraId="6E0EA210">
            <w:pPr>
              <w:pStyle w:val="1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施工</w:t>
            </w:r>
          </w:p>
          <w:p w14:paraId="7CCE10D6">
            <w:pPr>
              <w:pStyle w:val="1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期环</w:t>
            </w:r>
          </w:p>
          <w:p w14:paraId="79DC462D">
            <w:pPr>
              <w:pStyle w:val="1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境保</w:t>
            </w:r>
          </w:p>
          <w:p w14:paraId="737A41CD">
            <w:pPr>
              <w:pStyle w:val="19"/>
              <w:adjustRightInd w:val="0"/>
              <w:snapToGrid w:val="0"/>
              <w:spacing w:before="0" w:beforeAutospacing="0" w:after="0" w:afterAutospacing="0"/>
              <w:jc w:val="center"/>
              <w:rPr>
                <w:rFonts w:hint="eastAsia" w:cs="宋体"/>
                <w:color w:val="auto"/>
                <w:kern w:val="2"/>
                <w:sz w:val="21"/>
                <w:szCs w:val="21"/>
              </w:rPr>
            </w:pPr>
            <w:r>
              <w:rPr>
                <w:rFonts w:hint="eastAsia" w:cs="宋体"/>
                <w:color w:val="auto"/>
                <w:kern w:val="2"/>
                <w:sz w:val="21"/>
                <w:szCs w:val="21"/>
              </w:rPr>
              <w:t>护措</w:t>
            </w:r>
          </w:p>
          <w:p w14:paraId="10E98E8C">
            <w:pPr>
              <w:pStyle w:val="19"/>
              <w:adjustRightInd w:val="0"/>
              <w:snapToGrid w:val="0"/>
              <w:spacing w:before="0" w:beforeAutospacing="0" w:after="0" w:afterAutospacing="0"/>
              <w:jc w:val="center"/>
              <w:rPr>
                <w:rFonts w:hint="eastAsia" w:cs="宋体"/>
                <w:bCs/>
                <w:color w:val="auto"/>
                <w:kern w:val="2"/>
                <w:sz w:val="21"/>
                <w:szCs w:val="21"/>
              </w:rPr>
            </w:pPr>
            <w:r>
              <w:rPr>
                <w:rFonts w:hint="eastAsia" w:cs="宋体"/>
                <w:color w:val="auto"/>
                <w:kern w:val="2"/>
                <w:sz w:val="21"/>
                <w:szCs w:val="21"/>
              </w:rPr>
              <w:t>施</w:t>
            </w:r>
          </w:p>
        </w:tc>
        <w:tc>
          <w:tcPr>
            <w:tcW w:w="8328" w:type="dxa"/>
            <w:vAlign w:val="center"/>
          </w:tcPr>
          <w:p w14:paraId="506F4E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1</w:t>
            </w:r>
            <w:r>
              <w:rPr>
                <w:rFonts w:hint="eastAsia"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施工期大气影响分析</w:t>
            </w:r>
          </w:p>
          <w:p w14:paraId="3269036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w:t>
            </w:r>
            <w:r>
              <w:rPr>
                <w:rFonts w:hint="default" w:ascii="Times New Roman" w:hAnsi="Times New Roman" w:cs="Times New Roman"/>
                <w:color w:val="auto"/>
                <w:sz w:val="24"/>
                <w:szCs w:val="32"/>
                <w:highlight w:val="none"/>
              </w:rPr>
              <w:t>项目建设</w:t>
            </w:r>
            <w:r>
              <w:rPr>
                <w:rFonts w:hint="default" w:ascii="Times New Roman" w:hAnsi="Times New Roman" w:cs="Times New Roman"/>
                <w:color w:val="auto"/>
                <w:sz w:val="24"/>
                <w:szCs w:val="32"/>
                <w:highlight w:val="none"/>
                <w:lang w:val="en-US" w:eastAsia="zh-CN"/>
              </w:rPr>
              <w:t>租用空置厂房</w:t>
            </w:r>
            <w:r>
              <w:rPr>
                <w:rFonts w:hint="default" w:ascii="Times New Roman" w:hAnsi="Times New Roman" w:cs="Times New Roman"/>
                <w:color w:val="auto"/>
                <w:sz w:val="24"/>
                <w:szCs w:val="32"/>
                <w:highlight w:val="none"/>
              </w:rPr>
              <w:t>，不存在土建施工内容</w:t>
            </w:r>
            <w:r>
              <w:rPr>
                <w:rFonts w:hint="default" w:ascii="Times New Roman" w:hAnsi="Times New Roman" w:eastAsia="宋体" w:cs="Times New Roman"/>
                <w:color w:val="auto"/>
                <w:kern w:val="0"/>
                <w:sz w:val="24"/>
                <w:szCs w:val="24"/>
                <w:lang w:val="en-US" w:eastAsia="zh-CN" w:bidi="ar"/>
              </w:rPr>
              <w:t>，只进行车间改造和机械设备安装，工程量较小，不产生较大的污染。废气污染主要为施工机械产生的废气。鉴于项目施工期较短，废气排放均为临时性且排放量甚微，因此不会对周围大气环境产生明显不利影响。</w:t>
            </w:r>
          </w:p>
          <w:p w14:paraId="487949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2</w:t>
            </w:r>
            <w:r>
              <w:rPr>
                <w:rFonts w:hint="eastAsia"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施工期废水影响分析</w:t>
            </w:r>
          </w:p>
          <w:p w14:paraId="004083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本项目改造现有厂房进行生产，无土建施工内容，施工期废水主要为施工人员的生活污水。</w:t>
            </w:r>
          </w:p>
          <w:p w14:paraId="558F03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本项目施工不设置施工营地，生活用水量较少。生活污水排入园区污水管网由污水处理厂统一处理。</w:t>
            </w:r>
          </w:p>
          <w:p w14:paraId="09E0E66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综上所述，施工期废水不会对周围环境产生明显影响。</w:t>
            </w:r>
          </w:p>
          <w:p w14:paraId="4BE154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3</w:t>
            </w:r>
            <w:r>
              <w:rPr>
                <w:rFonts w:hint="eastAsia"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施工期噪声影响分析</w:t>
            </w:r>
          </w:p>
          <w:p w14:paraId="27914C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本项目不对</w:t>
            </w:r>
            <w:r>
              <w:rPr>
                <w:rFonts w:hint="eastAsia" w:cs="Times New Roman"/>
                <w:color w:val="auto"/>
                <w:kern w:val="0"/>
                <w:sz w:val="24"/>
                <w:szCs w:val="24"/>
                <w:lang w:val="en-US" w:eastAsia="zh-CN" w:bidi="ar"/>
              </w:rPr>
              <w:t>现有厂房进行</w:t>
            </w:r>
            <w:r>
              <w:rPr>
                <w:rFonts w:hint="default" w:ascii="Times New Roman" w:hAnsi="Times New Roman" w:eastAsia="宋体" w:cs="Times New Roman"/>
                <w:color w:val="auto"/>
                <w:kern w:val="0"/>
                <w:sz w:val="24"/>
                <w:szCs w:val="24"/>
                <w:lang w:val="en-US" w:eastAsia="zh-CN" w:bidi="ar"/>
              </w:rPr>
              <w:t>改动，施工期噪声主要为起重机、叉车等机械噪声和设备安装过程的瞬间噪声。噪声源强为100～105dB。针对施工产生的噪声，采取的措施如下：</w:t>
            </w:r>
          </w:p>
          <w:p w14:paraId="611E9D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①合理安排施工时间，将产生高噪声的施工作业安排在不敏感的时段。</w:t>
            </w:r>
          </w:p>
          <w:p w14:paraId="498DF3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②禁止在北京时间00:00至次日10:00进行施工，如需施工必须经过相关部门的审批。</w:t>
            </w:r>
          </w:p>
          <w:p w14:paraId="065674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在实行以上措施后，施工场界噪声可满足《建筑施工场界环境噪声排放标准》（GB12523-2011）中昼间≤70dB(A)，夜间≤55dB（A）的标准限值。</w:t>
            </w:r>
          </w:p>
          <w:p w14:paraId="417C3C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综上所述，本项目施工噪声对周围环境的影响较小。</w:t>
            </w:r>
          </w:p>
          <w:p w14:paraId="10070B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4</w:t>
            </w:r>
            <w:r>
              <w:rPr>
                <w:rFonts w:hint="eastAsia"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施工期固体废物影响分析</w:t>
            </w:r>
          </w:p>
          <w:p w14:paraId="251E85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施工中产生的固体废物主要是建筑垃圾、施工人员生活垃圾，均为一般固体废物。施工期间，对产生的固体废物主要采取以下措施：</w:t>
            </w:r>
          </w:p>
          <w:p w14:paraId="318C54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①项目产生的固废分类堆放，严密遮盖，施工垃圾及时</w:t>
            </w:r>
            <w:r>
              <w:rPr>
                <w:rFonts w:hint="eastAsia" w:cs="Times New Roman"/>
                <w:color w:val="auto"/>
                <w:kern w:val="0"/>
                <w:sz w:val="24"/>
                <w:szCs w:val="24"/>
                <w:lang w:val="en-US" w:eastAsia="zh-CN" w:bidi="ar"/>
              </w:rPr>
              <w:t>清理</w:t>
            </w:r>
            <w:r>
              <w:rPr>
                <w:rFonts w:hint="default" w:ascii="Times New Roman" w:hAnsi="Times New Roman" w:eastAsia="宋体" w:cs="Times New Roman"/>
                <w:color w:val="auto"/>
                <w:kern w:val="0"/>
                <w:sz w:val="24"/>
                <w:szCs w:val="24"/>
                <w:lang w:val="en-US" w:eastAsia="zh-CN" w:bidi="ar"/>
              </w:rPr>
              <w:t>运送指定地点堆存，外运过程中运输车辆均以苫布遮盖。</w:t>
            </w:r>
          </w:p>
          <w:p w14:paraId="07A325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②建筑垃圾主要为废铁等一般工业固体废物，可出售给废品回收站。</w:t>
            </w:r>
          </w:p>
          <w:p w14:paraId="5DBD52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③项目不设置施工营地，施工人员生活垃圾产生量较小，收集后交环卫部门统一处理。</w:t>
            </w:r>
          </w:p>
          <w:p w14:paraId="0D7CFB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pacing w:val="-10"/>
                <w:szCs w:val="21"/>
              </w:rPr>
            </w:pPr>
            <w:r>
              <w:rPr>
                <w:rFonts w:hint="default" w:ascii="Times New Roman" w:hAnsi="Times New Roman" w:eastAsia="宋体" w:cs="Times New Roman"/>
                <w:color w:val="auto"/>
                <w:kern w:val="0"/>
                <w:sz w:val="24"/>
                <w:szCs w:val="24"/>
                <w:lang w:val="en-US" w:eastAsia="zh-CN" w:bidi="ar"/>
              </w:rPr>
              <w:t>综上所述，施工期间虽然会对环境产生一些不利的影响，但在落实环保措施并加强施工管理的前提下，可使施工期对环境的影响降低到最小程度，且施工过程是短暂的，其影响将随着施工结束而消失。</w:t>
            </w:r>
          </w:p>
        </w:tc>
      </w:tr>
      <w:tr w14:paraId="489BB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Mar>
              <w:left w:w="28" w:type="dxa"/>
              <w:right w:w="28" w:type="dxa"/>
            </w:tcMar>
            <w:vAlign w:val="center"/>
          </w:tcPr>
          <w:p w14:paraId="0E0533DD">
            <w:pPr>
              <w:adjustRightInd w:val="0"/>
              <w:snapToGrid w:val="0"/>
              <w:jc w:val="center"/>
              <w:rPr>
                <w:rFonts w:hint="eastAsia" w:ascii="宋体" w:hAnsi="宋体" w:cs="宋体"/>
                <w:bCs/>
                <w:color w:val="auto"/>
                <w:szCs w:val="21"/>
              </w:rPr>
            </w:pPr>
            <w:r>
              <w:rPr>
                <w:rFonts w:hint="eastAsia" w:ascii="宋体" w:hAnsi="宋体" w:cs="宋体"/>
                <w:bCs/>
                <w:color w:val="auto"/>
                <w:szCs w:val="21"/>
              </w:rPr>
              <w:t>运营</w:t>
            </w:r>
          </w:p>
          <w:p w14:paraId="06F468F4">
            <w:pPr>
              <w:adjustRightInd w:val="0"/>
              <w:snapToGrid w:val="0"/>
              <w:jc w:val="center"/>
              <w:rPr>
                <w:rFonts w:hint="eastAsia" w:ascii="宋体" w:hAnsi="宋体" w:cs="宋体"/>
                <w:bCs/>
                <w:color w:val="auto"/>
                <w:szCs w:val="21"/>
              </w:rPr>
            </w:pPr>
            <w:r>
              <w:rPr>
                <w:rFonts w:hint="eastAsia" w:ascii="宋体" w:hAnsi="宋体" w:cs="宋体"/>
                <w:bCs/>
                <w:color w:val="auto"/>
                <w:szCs w:val="21"/>
              </w:rPr>
              <w:t>期环</w:t>
            </w:r>
          </w:p>
          <w:p w14:paraId="6E335B6F">
            <w:pPr>
              <w:adjustRightInd w:val="0"/>
              <w:snapToGrid w:val="0"/>
              <w:jc w:val="center"/>
              <w:rPr>
                <w:rFonts w:hint="eastAsia" w:ascii="宋体" w:hAnsi="宋体" w:cs="宋体"/>
                <w:bCs/>
                <w:color w:val="auto"/>
                <w:szCs w:val="21"/>
              </w:rPr>
            </w:pPr>
            <w:r>
              <w:rPr>
                <w:rFonts w:hint="eastAsia" w:ascii="宋体" w:hAnsi="宋体" w:cs="宋体"/>
                <w:bCs/>
                <w:color w:val="auto"/>
                <w:szCs w:val="21"/>
              </w:rPr>
              <w:t>境影</w:t>
            </w:r>
          </w:p>
          <w:p w14:paraId="31D30038">
            <w:pPr>
              <w:adjustRightInd w:val="0"/>
              <w:snapToGrid w:val="0"/>
              <w:jc w:val="center"/>
              <w:rPr>
                <w:rFonts w:hint="eastAsia" w:ascii="宋体" w:hAnsi="宋体" w:cs="宋体"/>
                <w:bCs/>
                <w:color w:val="auto"/>
                <w:szCs w:val="21"/>
              </w:rPr>
            </w:pPr>
            <w:r>
              <w:rPr>
                <w:rFonts w:hint="eastAsia" w:ascii="宋体" w:hAnsi="宋体" w:cs="宋体"/>
                <w:bCs/>
                <w:color w:val="auto"/>
                <w:szCs w:val="21"/>
              </w:rPr>
              <w:t>响和</w:t>
            </w:r>
          </w:p>
          <w:p w14:paraId="5A2BBB53">
            <w:pPr>
              <w:adjustRightInd w:val="0"/>
              <w:snapToGrid w:val="0"/>
              <w:jc w:val="center"/>
              <w:rPr>
                <w:rFonts w:hint="eastAsia" w:ascii="宋体" w:hAnsi="宋体" w:cs="宋体"/>
                <w:bCs/>
                <w:color w:val="auto"/>
                <w:szCs w:val="21"/>
              </w:rPr>
            </w:pPr>
            <w:r>
              <w:rPr>
                <w:rFonts w:hint="eastAsia" w:ascii="宋体" w:hAnsi="宋体" w:cs="宋体"/>
                <w:bCs/>
                <w:color w:val="auto"/>
                <w:szCs w:val="21"/>
              </w:rPr>
              <w:t>保护</w:t>
            </w:r>
          </w:p>
          <w:p w14:paraId="0C37CC48">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8328" w:type="dxa"/>
            <w:vAlign w:val="center"/>
          </w:tcPr>
          <w:p w14:paraId="3B71B63F">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1.废气</w:t>
            </w:r>
          </w:p>
          <w:p w14:paraId="49694276">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bCs/>
                <w:color w:val="auto"/>
                <w:sz w:val="24"/>
                <w:szCs w:val="24"/>
                <w:highlight w:val="none"/>
              </w:rPr>
              <w:t>本项目原料输送均采用密闭输送，</w:t>
            </w:r>
            <w:r>
              <w:rPr>
                <w:rFonts w:hint="default" w:ascii="Times New Roman" w:hAnsi="Times New Roman" w:eastAsia="宋体" w:cs="Times New Roman"/>
                <w:color w:val="auto"/>
                <w:sz w:val="24"/>
                <w:szCs w:val="24"/>
                <w:highlight w:val="none"/>
                <w:lang w:val="en-US" w:eastAsia="zh-CN"/>
              </w:rPr>
              <w:t>产生的废气主要有物料存储废气，混合搅拌废气。</w:t>
            </w:r>
          </w:p>
          <w:p w14:paraId="65020F2E">
            <w:pPr>
              <w:pStyle w:val="11"/>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1.1废气源强分析</w:t>
            </w:r>
          </w:p>
          <w:p w14:paraId="679D528D">
            <w:pPr>
              <w:pStyle w:val="11"/>
              <w:spacing w:before="0" w:after="0"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本项目原料输送均采用密闭输送，大气污染物主要为</w:t>
            </w:r>
            <w:r>
              <w:rPr>
                <w:rFonts w:hint="eastAsia" w:ascii="Times New Roman" w:hAnsi="Times New Roman" w:cs="Times New Roman"/>
                <w:bCs/>
                <w:color w:val="auto"/>
                <w:sz w:val="24"/>
                <w:szCs w:val="24"/>
                <w:highlight w:val="none"/>
                <w:lang w:val="en-US" w:eastAsia="zh-CN"/>
              </w:rPr>
              <w:t>筒仓</w:t>
            </w:r>
            <w:r>
              <w:rPr>
                <w:rFonts w:hint="default" w:ascii="Times New Roman" w:hAnsi="Times New Roman" w:cs="Times New Roman"/>
                <w:bCs/>
                <w:color w:val="auto"/>
                <w:sz w:val="24"/>
                <w:szCs w:val="24"/>
                <w:highlight w:val="none"/>
              </w:rPr>
              <w:t>粉尘、搅拌粉尘。</w:t>
            </w:r>
          </w:p>
          <w:p w14:paraId="2D0A19CE">
            <w:pPr>
              <w:pStyle w:val="47"/>
              <w:adjustRightInd/>
              <w:snapToGrid/>
              <w:spacing w:line="360" w:lineRule="auto"/>
              <w:jc w:val="both"/>
              <w:rPr>
                <w:rFonts w:hint="default" w:ascii="Times New Roman" w:hAnsi="Times New Roman" w:cs="Times New Roman"/>
                <w:bCs/>
                <w:color w:val="auto"/>
                <w:kern w:val="0"/>
                <w:highlight w:val="none"/>
              </w:rPr>
            </w:pPr>
            <w:r>
              <w:rPr>
                <w:rFonts w:hint="default" w:ascii="Times New Roman" w:hAnsi="Times New Roman" w:cs="Times New Roman"/>
                <w:bCs/>
                <w:color w:val="auto"/>
                <w:kern w:val="0"/>
                <w:highlight w:val="none"/>
              </w:rPr>
              <w:t>（1）</w:t>
            </w:r>
            <w:r>
              <w:rPr>
                <w:rFonts w:hint="eastAsia" w:cs="Times New Roman"/>
                <w:bCs/>
                <w:color w:val="auto"/>
                <w:kern w:val="0"/>
                <w:highlight w:val="none"/>
                <w:lang w:val="en-US" w:eastAsia="zh-CN"/>
              </w:rPr>
              <w:t>筒仓</w:t>
            </w:r>
            <w:r>
              <w:rPr>
                <w:rFonts w:hint="default" w:ascii="Times New Roman" w:hAnsi="Times New Roman" w:cs="Times New Roman"/>
                <w:bCs/>
                <w:color w:val="auto"/>
                <w:kern w:val="0"/>
                <w:highlight w:val="none"/>
              </w:rPr>
              <w:t>粉尘</w:t>
            </w:r>
          </w:p>
          <w:p w14:paraId="069D3BF0">
            <w:pPr>
              <w:pStyle w:val="47"/>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highlight w:val="none"/>
              </w:rPr>
              <w:t>本项目水泥采用粉料筒仓储存，项目</w:t>
            </w:r>
            <w:r>
              <w:rPr>
                <w:rFonts w:hint="eastAsia" w:ascii="Times New Roman" w:hAnsi="Times New Roman" w:eastAsia="宋体" w:cs="Times New Roman"/>
                <w:color w:val="auto"/>
                <w:kern w:val="0"/>
                <w:sz w:val="24"/>
                <w:szCs w:val="24"/>
                <w:lang w:val="en-US" w:eastAsia="zh-CN" w:bidi="ar"/>
              </w:rPr>
              <w:t>共建设</w:t>
            </w:r>
            <w:r>
              <w:rPr>
                <w:rFonts w:hint="eastAsia" w:cs="Times New Roman"/>
                <w:color w:val="auto"/>
                <w:kern w:val="0"/>
                <w:sz w:val="24"/>
                <w:szCs w:val="24"/>
                <w:lang w:val="en-US" w:eastAsia="zh-CN" w:bidi="ar"/>
              </w:rPr>
              <w:t>1</w:t>
            </w:r>
            <w:r>
              <w:rPr>
                <w:rFonts w:hint="eastAsia" w:ascii="Times New Roman" w:hAnsi="Times New Roman" w:eastAsia="宋体" w:cs="Times New Roman"/>
                <w:color w:val="auto"/>
                <w:kern w:val="0"/>
                <w:sz w:val="24"/>
                <w:szCs w:val="24"/>
                <w:lang w:val="en-US" w:eastAsia="zh-CN" w:bidi="ar"/>
              </w:rPr>
              <w:t>个</w:t>
            </w:r>
            <w:r>
              <w:rPr>
                <w:rFonts w:hint="eastAsia" w:cs="Times New Roman"/>
                <w:color w:val="auto"/>
                <w:kern w:val="0"/>
                <w:sz w:val="24"/>
                <w:szCs w:val="24"/>
                <w:lang w:val="en-US" w:eastAsia="zh-CN" w:bidi="ar"/>
              </w:rPr>
              <w:t>水泥筒仓</w:t>
            </w:r>
            <w:r>
              <w:rPr>
                <w:rFonts w:hint="default" w:ascii="Times New Roman" w:hAnsi="Times New Roman" w:cs="Times New Roman"/>
                <w:bCs/>
                <w:color w:val="auto"/>
                <w:kern w:val="0"/>
                <w:highlight w:val="none"/>
              </w:rPr>
              <w:t>。运输车通过气动压力方式将</w:t>
            </w:r>
            <w:r>
              <w:rPr>
                <w:rFonts w:hint="eastAsia" w:cs="Times New Roman"/>
                <w:bCs/>
                <w:color w:val="auto"/>
                <w:kern w:val="0"/>
                <w:highlight w:val="none"/>
                <w:lang w:val="en-US" w:eastAsia="zh-CN"/>
              </w:rPr>
              <w:t>水泥</w:t>
            </w:r>
            <w:r>
              <w:rPr>
                <w:rFonts w:hint="default" w:ascii="Times New Roman" w:hAnsi="Times New Roman" w:cs="Times New Roman"/>
                <w:bCs/>
                <w:color w:val="auto"/>
                <w:kern w:val="0"/>
                <w:highlight w:val="none"/>
              </w:rPr>
              <w:t>压入</w:t>
            </w:r>
            <w:r>
              <w:rPr>
                <w:rFonts w:hint="eastAsia" w:cs="Times New Roman"/>
                <w:bCs/>
                <w:color w:val="auto"/>
                <w:kern w:val="0"/>
                <w:highlight w:val="none"/>
                <w:lang w:val="en-US" w:eastAsia="zh-CN"/>
              </w:rPr>
              <w:t>水泥</w:t>
            </w:r>
            <w:r>
              <w:rPr>
                <w:rFonts w:hint="default" w:ascii="Times New Roman" w:hAnsi="Times New Roman" w:cs="Times New Roman"/>
                <w:bCs/>
                <w:color w:val="auto"/>
                <w:kern w:val="0"/>
                <w:highlight w:val="none"/>
              </w:rPr>
              <w:t>筒仓内，在水泥的罐装过程中，由于</w:t>
            </w:r>
            <w:r>
              <w:rPr>
                <w:rFonts w:hint="default" w:ascii="Times New Roman" w:hAnsi="Times New Roman" w:cs="Times New Roman"/>
                <w:bCs/>
                <w:color w:val="auto"/>
                <w:kern w:val="0"/>
                <w:sz w:val="24"/>
                <w:szCs w:val="24"/>
                <w:highlight w:val="none"/>
              </w:rPr>
              <w:t>进料口在筒仓下方，罐装车通过压力将水泥压入筒仓，</w:t>
            </w:r>
            <w:r>
              <w:rPr>
                <w:rFonts w:hint="eastAsia" w:cs="Times New Roman"/>
                <w:bCs/>
                <w:color w:val="auto"/>
                <w:kern w:val="0"/>
                <w:sz w:val="24"/>
                <w:szCs w:val="24"/>
                <w:highlight w:val="none"/>
                <w:lang w:val="en-US" w:eastAsia="zh-CN"/>
              </w:rPr>
              <w:t>筒仓进料时呼吸孔会产生粉尘，经筒仓自带袋式除尘器处理后通过排气筒排放。</w:t>
            </w:r>
          </w:p>
          <w:p w14:paraId="23BE01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0"/>
                <w:sz w:val="24"/>
                <w:szCs w:val="24"/>
                <w:highlight w:val="none"/>
                <w:lang w:val="en-US" w:eastAsia="zh-CN" w:bidi="ar-SA"/>
              </w:rPr>
            </w:pPr>
            <w:r>
              <w:rPr>
                <w:rFonts w:hint="eastAsia" w:ascii="Times New Roman" w:hAnsi="Times New Roman" w:eastAsia="宋体" w:cs="Times New Roman"/>
                <w:bCs/>
                <w:color w:val="auto"/>
                <w:kern w:val="0"/>
                <w:sz w:val="24"/>
                <w:szCs w:val="24"/>
                <w:highlight w:val="none"/>
                <w:lang w:val="en-US" w:eastAsia="zh-CN" w:bidi="ar-SA"/>
              </w:rPr>
              <w:t>本项目年储存水泥</w:t>
            </w:r>
            <w:r>
              <w:rPr>
                <w:rFonts w:hint="eastAsia" w:cs="Times New Roman"/>
                <w:bCs/>
                <w:color w:val="auto"/>
                <w:kern w:val="0"/>
                <w:sz w:val="24"/>
                <w:szCs w:val="24"/>
                <w:highlight w:val="none"/>
                <w:lang w:val="en-US" w:eastAsia="zh-CN" w:bidi="ar-SA"/>
              </w:rPr>
              <w:t>3</w:t>
            </w:r>
            <w:r>
              <w:rPr>
                <w:rFonts w:hint="eastAsia" w:ascii="Times New Roman" w:hAnsi="Times New Roman" w:eastAsia="宋体" w:cs="Times New Roman"/>
                <w:bCs/>
                <w:color w:val="auto"/>
                <w:kern w:val="0"/>
                <w:sz w:val="24"/>
                <w:szCs w:val="24"/>
                <w:highlight w:val="none"/>
                <w:lang w:val="en-US" w:eastAsia="zh-CN" w:bidi="ar-SA"/>
              </w:rPr>
              <w:t>0</w:t>
            </w:r>
            <w:r>
              <w:rPr>
                <w:rFonts w:hint="eastAsia" w:cs="Times New Roman"/>
                <w:bCs/>
                <w:color w:val="auto"/>
                <w:kern w:val="0"/>
                <w:sz w:val="24"/>
                <w:szCs w:val="24"/>
                <w:highlight w:val="none"/>
                <w:lang w:val="en-US" w:eastAsia="zh-CN" w:bidi="ar-SA"/>
              </w:rPr>
              <w:t>0</w:t>
            </w:r>
            <w:r>
              <w:rPr>
                <w:rFonts w:hint="eastAsia" w:ascii="Times New Roman" w:hAnsi="Times New Roman" w:eastAsia="宋体" w:cs="Times New Roman"/>
                <w:bCs/>
                <w:color w:val="auto"/>
                <w:kern w:val="0"/>
                <w:sz w:val="24"/>
                <w:szCs w:val="24"/>
                <w:highlight w:val="none"/>
                <w:lang w:val="en-US" w:eastAsia="zh-CN" w:bidi="ar-SA"/>
              </w:rPr>
              <w:t>0t/a，根据《排放源统计调查产排污核算方法和系数手册》（</w:t>
            </w:r>
            <w:r>
              <w:rPr>
                <w:rFonts w:hint="default" w:ascii="Times New Roman" w:hAnsi="Times New Roman" w:eastAsia="宋体" w:cs="Times New Roman"/>
                <w:bCs/>
                <w:color w:val="auto"/>
                <w:kern w:val="0"/>
                <w:sz w:val="24"/>
                <w:szCs w:val="24"/>
                <w:highlight w:val="none"/>
                <w:lang w:val="en-US" w:eastAsia="zh-CN" w:bidi="ar-SA"/>
              </w:rPr>
              <w:t>3021</w:t>
            </w:r>
            <w:r>
              <w:rPr>
                <w:rFonts w:hint="eastAsia" w:ascii="Times New Roman" w:hAnsi="Times New Roman" w:eastAsia="宋体" w:cs="Times New Roman"/>
                <w:bCs/>
                <w:color w:val="auto"/>
                <w:kern w:val="0"/>
                <w:sz w:val="24"/>
                <w:szCs w:val="24"/>
                <w:highlight w:val="none"/>
                <w:lang w:val="en-US" w:eastAsia="zh-CN" w:bidi="ar-SA"/>
              </w:rPr>
              <w:t>水泥制品制造（含</w:t>
            </w:r>
            <w:r>
              <w:rPr>
                <w:rFonts w:hint="default" w:ascii="Times New Roman" w:hAnsi="Times New Roman" w:eastAsia="宋体" w:cs="Times New Roman"/>
                <w:bCs/>
                <w:color w:val="auto"/>
                <w:kern w:val="0"/>
                <w:sz w:val="24"/>
                <w:szCs w:val="24"/>
                <w:highlight w:val="none"/>
                <w:lang w:val="en-US" w:eastAsia="zh-CN" w:bidi="ar-SA"/>
              </w:rPr>
              <w:t>3022</w:t>
            </w:r>
            <w:r>
              <w:rPr>
                <w:rFonts w:hint="eastAsia" w:ascii="Times New Roman" w:hAnsi="Times New Roman" w:eastAsia="宋体" w:cs="Times New Roman"/>
                <w:bCs/>
                <w:color w:val="auto"/>
                <w:kern w:val="0"/>
                <w:sz w:val="24"/>
                <w:szCs w:val="24"/>
                <w:highlight w:val="none"/>
                <w:lang w:val="en-US" w:eastAsia="zh-CN" w:bidi="ar-SA"/>
              </w:rPr>
              <w:t>砼结构构件制造、</w:t>
            </w:r>
            <w:r>
              <w:rPr>
                <w:rFonts w:hint="default" w:ascii="Times New Roman" w:hAnsi="Times New Roman" w:eastAsia="宋体" w:cs="Times New Roman"/>
                <w:bCs/>
                <w:color w:val="auto"/>
                <w:kern w:val="0"/>
                <w:sz w:val="24"/>
                <w:szCs w:val="24"/>
                <w:highlight w:val="none"/>
                <w:lang w:val="en-US" w:eastAsia="zh-CN" w:bidi="ar-SA"/>
              </w:rPr>
              <w:t>3029</w:t>
            </w:r>
            <w:r>
              <w:rPr>
                <w:rFonts w:hint="eastAsia" w:ascii="Times New Roman" w:hAnsi="Times New Roman" w:eastAsia="宋体" w:cs="Times New Roman"/>
                <w:bCs/>
                <w:color w:val="auto"/>
                <w:kern w:val="0"/>
                <w:sz w:val="24"/>
                <w:szCs w:val="24"/>
                <w:highlight w:val="none"/>
                <w:lang w:val="en-US" w:eastAsia="zh-CN" w:bidi="ar-SA"/>
              </w:rPr>
              <w:t>其他水泥类似制品制造）行业系数手册）</w:t>
            </w:r>
            <w:r>
              <w:rPr>
                <w:rFonts w:hint="default" w:ascii="Times New Roman" w:hAnsi="Times New Roman" w:eastAsia="宋体" w:cs="Times New Roman"/>
                <w:bCs/>
                <w:color w:val="auto"/>
                <w:kern w:val="0"/>
                <w:sz w:val="24"/>
                <w:szCs w:val="24"/>
                <w:highlight w:val="none"/>
                <w:lang w:val="en-US" w:eastAsia="zh-CN" w:bidi="ar-SA"/>
              </w:rPr>
              <w:t>28</w:t>
            </w:r>
            <w:r>
              <w:rPr>
                <w:rFonts w:hint="eastAsia" w:ascii="Times New Roman" w:hAnsi="Times New Roman" w:eastAsia="宋体" w:cs="Times New Roman"/>
                <w:bCs/>
                <w:color w:val="auto"/>
                <w:kern w:val="0"/>
                <w:sz w:val="24"/>
                <w:szCs w:val="24"/>
                <w:highlight w:val="none"/>
                <w:lang w:val="en-US" w:eastAsia="zh-CN" w:bidi="ar-SA"/>
              </w:rPr>
              <w:t>中</w:t>
            </w:r>
            <w:r>
              <w:rPr>
                <w:rFonts w:hint="default" w:ascii="Times New Roman" w:hAnsi="Times New Roman" w:eastAsia="宋体" w:cs="Times New Roman"/>
                <w:bCs/>
                <w:color w:val="auto"/>
                <w:kern w:val="0"/>
                <w:sz w:val="24"/>
                <w:szCs w:val="24"/>
                <w:highlight w:val="none"/>
                <w:lang w:val="en-US" w:eastAsia="zh-CN" w:bidi="ar-SA"/>
              </w:rPr>
              <w:t>“3021</w:t>
            </w:r>
            <w:r>
              <w:rPr>
                <w:rFonts w:hint="eastAsia" w:ascii="Times New Roman" w:hAnsi="Times New Roman" w:eastAsia="宋体" w:cs="Times New Roman"/>
                <w:bCs/>
                <w:color w:val="auto"/>
                <w:kern w:val="0"/>
                <w:sz w:val="24"/>
                <w:szCs w:val="24"/>
                <w:highlight w:val="none"/>
                <w:lang w:val="en-US" w:eastAsia="zh-CN" w:bidi="ar-SA"/>
              </w:rPr>
              <w:t>水泥制品制造（含</w:t>
            </w:r>
            <w:r>
              <w:rPr>
                <w:rFonts w:hint="default" w:ascii="Times New Roman" w:hAnsi="Times New Roman" w:eastAsia="宋体" w:cs="Times New Roman"/>
                <w:bCs/>
                <w:color w:val="auto"/>
                <w:kern w:val="0"/>
                <w:sz w:val="24"/>
                <w:szCs w:val="24"/>
                <w:highlight w:val="none"/>
                <w:lang w:val="en-US" w:eastAsia="zh-CN" w:bidi="ar-SA"/>
              </w:rPr>
              <w:t>3022</w:t>
            </w:r>
            <w:r>
              <w:rPr>
                <w:rFonts w:hint="eastAsia" w:ascii="Times New Roman" w:hAnsi="Times New Roman" w:eastAsia="宋体" w:cs="Times New Roman"/>
                <w:bCs/>
                <w:color w:val="auto"/>
                <w:kern w:val="0"/>
                <w:sz w:val="24"/>
                <w:szCs w:val="24"/>
                <w:highlight w:val="none"/>
                <w:lang w:val="en-US" w:eastAsia="zh-CN" w:bidi="ar-SA"/>
              </w:rPr>
              <w:t>砼结构构件、</w:t>
            </w:r>
            <w:r>
              <w:rPr>
                <w:rFonts w:hint="default" w:ascii="Times New Roman" w:hAnsi="Times New Roman" w:eastAsia="宋体" w:cs="Times New Roman"/>
                <w:bCs/>
                <w:color w:val="auto"/>
                <w:kern w:val="0"/>
                <w:sz w:val="24"/>
                <w:szCs w:val="24"/>
                <w:highlight w:val="none"/>
                <w:lang w:val="en-US" w:eastAsia="zh-CN" w:bidi="ar-SA"/>
              </w:rPr>
              <w:t>3029</w:t>
            </w:r>
            <w:r>
              <w:rPr>
                <w:rFonts w:hint="eastAsia" w:ascii="Times New Roman" w:hAnsi="Times New Roman" w:eastAsia="宋体" w:cs="Times New Roman"/>
                <w:bCs/>
                <w:color w:val="auto"/>
                <w:kern w:val="0"/>
                <w:sz w:val="24"/>
                <w:szCs w:val="24"/>
                <w:highlight w:val="none"/>
                <w:lang w:val="en-US" w:eastAsia="zh-CN" w:bidi="ar-SA"/>
              </w:rPr>
              <w:t>其他水泥类似制品制造）行业系数表</w:t>
            </w:r>
            <w:r>
              <w:rPr>
                <w:rFonts w:hint="default" w:ascii="Times New Roman" w:hAnsi="Times New Roman" w:eastAsia="宋体" w:cs="Times New Roman"/>
                <w:bCs/>
                <w:color w:val="auto"/>
                <w:kern w:val="0"/>
                <w:sz w:val="24"/>
                <w:szCs w:val="24"/>
                <w:highlight w:val="none"/>
                <w:lang w:val="en-US" w:eastAsia="zh-CN" w:bidi="ar-SA"/>
              </w:rPr>
              <w:t>”</w:t>
            </w:r>
            <w:r>
              <w:rPr>
                <w:rFonts w:hint="eastAsia" w:ascii="Times New Roman" w:hAnsi="Times New Roman" w:eastAsia="宋体" w:cs="Times New Roman"/>
                <w:bCs/>
                <w:color w:val="auto"/>
                <w:kern w:val="0"/>
                <w:sz w:val="24"/>
                <w:szCs w:val="24"/>
                <w:highlight w:val="none"/>
                <w:lang w:val="en-US" w:eastAsia="zh-CN" w:bidi="ar-SA"/>
              </w:rPr>
              <w:t>，颗粒物产污系数为</w:t>
            </w:r>
            <w:r>
              <w:rPr>
                <w:rFonts w:hint="default" w:ascii="Times New Roman" w:hAnsi="Times New Roman" w:eastAsia="宋体" w:cs="Times New Roman"/>
                <w:bCs/>
                <w:color w:val="auto"/>
                <w:kern w:val="0"/>
                <w:sz w:val="24"/>
                <w:szCs w:val="24"/>
                <w:highlight w:val="none"/>
                <w:lang w:val="en-US" w:eastAsia="zh-CN" w:bidi="ar-SA"/>
              </w:rPr>
              <w:t>0.12</w:t>
            </w:r>
            <w:r>
              <w:rPr>
                <w:rFonts w:hint="eastAsia" w:ascii="Times New Roman" w:hAnsi="Times New Roman" w:eastAsia="宋体" w:cs="Times New Roman"/>
                <w:bCs/>
                <w:color w:val="auto"/>
                <w:kern w:val="0"/>
                <w:sz w:val="24"/>
                <w:szCs w:val="24"/>
                <w:highlight w:val="none"/>
                <w:lang w:val="en-US" w:eastAsia="zh-CN" w:bidi="ar-SA"/>
              </w:rPr>
              <w:t>千克</w:t>
            </w:r>
            <w:r>
              <w:rPr>
                <w:rFonts w:hint="default" w:ascii="Times New Roman" w:hAnsi="Times New Roman" w:eastAsia="宋体" w:cs="Times New Roman"/>
                <w:bCs/>
                <w:color w:val="auto"/>
                <w:kern w:val="0"/>
                <w:sz w:val="24"/>
                <w:szCs w:val="24"/>
                <w:highlight w:val="none"/>
                <w:lang w:val="en-US" w:eastAsia="zh-CN" w:bidi="ar-SA"/>
              </w:rPr>
              <w:t>/</w:t>
            </w:r>
            <w:r>
              <w:rPr>
                <w:rFonts w:hint="eastAsia" w:ascii="Times New Roman" w:hAnsi="Times New Roman" w:eastAsia="宋体" w:cs="Times New Roman"/>
                <w:bCs/>
                <w:color w:val="auto"/>
                <w:kern w:val="0"/>
                <w:sz w:val="24"/>
                <w:szCs w:val="24"/>
                <w:highlight w:val="none"/>
                <w:lang w:val="en-US" w:eastAsia="zh-CN" w:bidi="ar-SA"/>
              </w:rPr>
              <w:t>吨</w:t>
            </w:r>
            <w:r>
              <w:rPr>
                <w:rFonts w:hint="default" w:ascii="Times New Roman" w:hAnsi="Times New Roman" w:eastAsia="宋体" w:cs="Times New Roman"/>
                <w:bCs/>
                <w:color w:val="auto"/>
                <w:kern w:val="0"/>
                <w:sz w:val="24"/>
                <w:szCs w:val="24"/>
                <w:highlight w:val="none"/>
                <w:lang w:val="en-US" w:eastAsia="zh-CN" w:bidi="ar-SA"/>
              </w:rPr>
              <w:t>-</w:t>
            </w:r>
            <w:r>
              <w:rPr>
                <w:rFonts w:hint="eastAsia" w:ascii="Times New Roman" w:hAnsi="Times New Roman" w:eastAsia="宋体" w:cs="Times New Roman"/>
                <w:bCs/>
                <w:color w:val="auto"/>
                <w:kern w:val="0"/>
                <w:sz w:val="24"/>
                <w:szCs w:val="24"/>
                <w:highlight w:val="none"/>
                <w:lang w:val="en-US" w:eastAsia="zh-CN" w:bidi="ar-SA"/>
              </w:rPr>
              <w:t>产品。</w:t>
            </w:r>
            <w:r>
              <w:rPr>
                <w:rFonts w:hint="default" w:ascii="Times New Roman" w:hAnsi="Times New Roman" w:cs="Times New Roman"/>
                <w:bCs/>
                <w:color w:val="auto"/>
                <w:kern w:val="0"/>
                <w:sz w:val="24"/>
                <w:highlight w:val="none"/>
              </w:rPr>
              <w:t>本项目</w:t>
            </w:r>
            <w:r>
              <w:rPr>
                <w:rFonts w:hint="default" w:ascii="Times New Roman" w:hAnsi="Times New Roman" w:cs="Times New Roman"/>
                <w:bCs/>
                <w:color w:val="auto"/>
                <w:kern w:val="0"/>
                <w:sz w:val="24"/>
                <w:highlight w:val="none"/>
                <w:lang w:val="en-US" w:eastAsia="zh-CN"/>
              </w:rPr>
              <w:t>年产30万平方米节能型复合保温免拆一体板</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保温聚合物</w:t>
            </w:r>
            <w:r>
              <w:rPr>
                <w:rFonts w:hint="default" w:ascii="Times New Roman" w:hAnsi="Times New Roman" w:cs="Times New Roman"/>
                <w:color w:val="auto"/>
                <w:sz w:val="24"/>
                <w:highlight w:val="none"/>
              </w:rPr>
              <w:t>重量约</w:t>
            </w:r>
            <w:r>
              <w:rPr>
                <w:rFonts w:hint="eastAsia" w:cs="Times New Roman"/>
                <w:color w:val="auto"/>
                <w:sz w:val="24"/>
                <w:highlight w:val="none"/>
                <w:lang w:val="en-US" w:eastAsia="zh-CN"/>
              </w:rPr>
              <w:t>10750</w:t>
            </w:r>
            <w:r>
              <w:rPr>
                <w:rFonts w:hint="default" w:ascii="Times New Roman" w:hAnsi="Times New Roman" w:cs="Times New Roman"/>
                <w:color w:val="auto"/>
                <w:sz w:val="24"/>
                <w:highlight w:val="none"/>
              </w:rPr>
              <w:t>t/a，</w:t>
            </w:r>
            <w:r>
              <w:rPr>
                <w:rFonts w:hint="eastAsia" w:eastAsia="宋体" w:cs="Times New Roman"/>
                <w:bCs/>
                <w:color w:val="auto"/>
                <w:kern w:val="0"/>
                <w:sz w:val="24"/>
                <w:szCs w:val="24"/>
                <w:highlight w:val="none"/>
                <w:lang w:val="en-US" w:eastAsia="zh-CN" w:bidi="ar-SA"/>
              </w:rPr>
              <w:t>则水泥筒仓年产生颗粒物：</w:t>
            </w:r>
            <w:r>
              <w:rPr>
                <w:rFonts w:hint="eastAsia" w:cs="Times New Roman"/>
                <w:bCs/>
                <w:color w:val="auto"/>
                <w:kern w:val="0"/>
                <w:sz w:val="24"/>
                <w:szCs w:val="24"/>
                <w:highlight w:val="none"/>
                <w:lang w:val="en-US" w:eastAsia="zh-CN" w:bidi="ar-SA"/>
              </w:rPr>
              <w:t>1.29</w:t>
            </w:r>
            <w:r>
              <w:rPr>
                <w:rFonts w:hint="eastAsia" w:eastAsia="宋体" w:cs="Times New Roman"/>
                <w:bCs/>
                <w:color w:val="auto"/>
                <w:kern w:val="0"/>
                <w:sz w:val="24"/>
                <w:szCs w:val="24"/>
                <w:highlight w:val="none"/>
                <w:lang w:val="en-US" w:eastAsia="zh-CN" w:bidi="ar-SA"/>
              </w:rPr>
              <w:t>t/a</w:t>
            </w:r>
            <w:r>
              <w:rPr>
                <w:rFonts w:hint="eastAsia" w:cs="Times New Roman"/>
                <w:bCs/>
                <w:color w:val="auto"/>
                <w:kern w:val="0"/>
                <w:sz w:val="24"/>
                <w:szCs w:val="24"/>
                <w:highlight w:val="none"/>
                <w:lang w:val="en-US" w:eastAsia="zh-CN" w:bidi="ar-SA"/>
              </w:rPr>
              <w:t>，</w:t>
            </w:r>
            <w:r>
              <w:rPr>
                <w:rFonts w:hint="eastAsia" w:eastAsia="宋体" w:cs="Times New Roman"/>
                <w:bCs/>
                <w:color w:val="auto"/>
                <w:kern w:val="0"/>
                <w:sz w:val="24"/>
                <w:szCs w:val="24"/>
                <w:highlight w:val="none"/>
                <w:lang w:val="en-US" w:eastAsia="zh-CN" w:bidi="ar-SA"/>
              </w:rPr>
              <w:t>产生速率：</w:t>
            </w:r>
            <w:r>
              <w:rPr>
                <w:rFonts w:hint="eastAsia" w:cs="Times New Roman"/>
                <w:bCs/>
                <w:color w:val="auto"/>
                <w:kern w:val="0"/>
                <w:sz w:val="24"/>
                <w:szCs w:val="24"/>
                <w:highlight w:val="none"/>
                <w:lang w:val="en-US" w:eastAsia="zh-CN" w:bidi="ar-SA"/>
              </w:rPr>
              <w:t>0.77</w:t>
            </w:r>
            <w:r>
              <w:rPr>
                <w:rFonts w:hint="eastAsia" w:eastAsia="宋体" w:cs="Times New Roman"/>
                <w:bCs/>
                <w:color w:val="auto"/>
                <w:kern w:val="0"/>
                <w:sz w:val="24"/>
                <w:szCs w:val="24"/>
                <w:highlight w:val="none"/>
                <w:lang w:val="en-US" w:eastAsia="zh-CN" w:bidi="ar-SA"/>
              </w:rPr>
              <w:t>kg/h</w:t>
            </w:r>
            <w:r>
              <w:rPr>
                <w:rFonts w:hint="eastAsia" w:cs="Times New Roman"/>
                <w:bCs/>
                <w:color w:val="auto"/>
                <w:kern w:val="0"/>
                <w:sz w:val="24"/>
                <w:szCs w:val="24"/>
                <w:highlight w:val="none"/>
                <w:lang w:val="en-US" w:eastAsia="zh-CN" w:bidi="ar-SA"/>
              </w:rPr>
              <w:t>，</w:t>
            </w:r>
            <w:r>
              <w:rPr>
                <w:rFonts w:hint="default" w:ascii="Times New Roman" w:hAnsi="Times New Roman" w:eastAsia="宋体" w:cs="Times New Roman"/>
                <w:color w:val="auto"/>
                <w:kern w:val="0"/>
                <w:sz w:val="24"/>
              </w:rPr>
              <w:t>筒仓粉尘经布袋除尘器（</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99.7%）处理后</w:t>
            </w:r>
            <w:r>
              <w:rPr>
                <w:rFonts w:hint="eastAsia" w:ascii="Times New Roman" w:hAnsi="Times New Roman" w:eastAsia="宋体" w:cs="Times New Roman"/>
                <w:color w:val="auto"/>
                <w:kern w:val="0"/>
                <w:sz w:val="24"/>
                <w:lang w:eastAsia="zh-CN"/>
              </w:rPr>
              <w:t>，</w:t>
            </w:r>
            <w:r>
              <w:rPr>
                <w:rFonts w:hint="eastAsia" w:eastAsia="宋体" w:cs="Times New Roman"/>
                <w:color w:val="auto"/>
                <w:kern w:val="0"/>
                <w:sz w:val="24"/>
                <w:szCs w:val="24"/>
                <w:lang w:val="en-US" w:eastAsia="zh-CN" w:bidi="ar"/>
              </w:rPr>
              <w:t>经1根15m高排气筒（DA001）</w:t>
            </w:r>
            <w:r>
              <w:rPr>
                <w:rFonts w:hint="default" w:ascii="Times New Roman" w:hAnsi="Times New Roman" w:eastAsia="宋体" w:cs="Times New Roman"/>
                <w:color w:val="auto"/>
                <w:kern w:val="0"/>
                <w:sz w:val="24"/>
              </w:rPr>
              <w:t>排放</w:t>
            </w:r>
            <w:r>
              <w:rPr>
                <w:rFonts w:hint="eastAsia" w:ascii="宋体" w:hAnsi="宋体" w:eastAsia="宋体" w:cs="宋体"/>
                <w:color w:val="auto"/>
                <w:kern w:val="0"/>
                <w:sz w:val="24"/>
                <w:szCs w:val="24"/>
                <w:lang w:val="en-US" w:eastAsia="zh-CN" w:bidi="ar"/>
              </w:rPr>
              <w:t>，则水泥筒仓颗粒物的排放量为</w:t>
            </w:r>
            <w:r>
              <w:rPr>
                <w:rFonts w:hint="default" w:ascii="Times New Roman" w:hAnsi="Times New Roman" w:cs="Times New Roman"/>
                <w:color w:val="auto"/>
                <w:kern w:val="0"/>
                <w:sz w:val="24"/>
                <w:szCs w:val="24"/>
                <w:lang w:val="en-US" w:eastAsia="zh-CN" w:bidi="ar"/>
              </w:rPr>
              <w:t>0.004</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，排放速率为</w:t>
            </w:r>
            <w:r>
              <w:rPr>
                <w:rFonts w:hint="default" w:ascii="Times New Roman" w:hAnsi="Times New Roman" w:eastAsia="宋体" w:cs="Times New Roman"/>
                <w:color w:val="auto"/>
                <w:kern w:val="0"/>
                <w:sz w:val="24"/>
                <w:szCs w:val="24"/>
                <w:highlight w:val="none"/>
                <w:lang w:val="en-US" w:eastAsia="zh-CN" w:bidi="ar"/>
              </w:rPr>
              <w:t>0.0</w:t>
            </w:r>
            <w:r>
              <w:rPr>
                <w:rFonts w:hint="eastAsia" w:eastAsia="宋体" w:cs="Times New Roman"/>
                <w:color w:val="auto"/>
                <w:kern w:val="0"/>
                <w:sz w:val="24"/>
                <w:szCs w:val="24"/>
                <w:highlight w:val="none"/>
                <w:lang w:val="en-US" w:eastAsia="zh-CN" w:bidi="ar"/>
              </w:rPr>
              <w:t>02</w:t>
            </w:r>
            <w:r>
              <w:rPr>
                <w:rFonts w:hint="default" w:ascii="Times New Roman" w:hAnsi="Times New Roman" w:eastAsia="宋体" w:cs="Times New Roman"/>
                <w:color w:val="auto"/>
                <w:kern w:val="0"/>
                <w:sz w:val="24"/>
                <w:szCs w:val="24"/>
                <w:lang w:val="en-US" w:eastAsia="zh-CN" w:bidi="ar"/>
              </w:rPr>
              <w:t>kg/h</w:t>
            </w:r>
            <w:r>
              <w:rPr>
                <w:rFonts w:hint="eastAsia" w:ascii="宋体" w:hAnsi="宋体" w:eastAsia="宋体" w:cs="宋体"/>
                <w:color w:val="auto"/>
                <w:kern w:val="0"/>
                <w:sz w:val="24"/>
                <w:szCs w:val="24"/>
                <w:lang w:val="en-US" w:eastAsia="zh-CN" w:bidi="ar"/>
              </w:rPr>
              <w:t>，排放浓度为</w:t>
            </w:r>
            <w:r>
              <w:rPr>
                <w:rFonts w:hint="eastAsia" w:eastAsia="宋体" w:cs="Times New Roman"/>
                <w:color w:val="auto"/>
                <w:kern w:val="0"/>
                <w:sz w:val="24"/>
                <w:szCs w:val="24"/>
                <w:highlight w:val="none"/>
                <w:lang w:val="en-US" w:eastAsia="zh-CN" w:bidi="ar"/>
              </w:rPr>
              <w:t>0.3</w:t>
            </w:r>
            <w:r>
              <w:rPr>
                <w:rFonts w:hint="default" w:ascii="Times New Roman" w:hAnsi="Times New Roman" w:eastAsia="宋体" w:cs="Times New Roman"/>
                <w:color w:val="auto"/>
                <w:kern w:val="0"/>
                <w:sz w:val="24"/>
                <w:szCs w:val="24"/>
                <w:lang w:val="en-US" w:eastAsia="zh-CN" w:bidi="ar"/>
              </w:rPr>
              <w:t>mg/m</w:t>
            </w:r>
            <w:r>
              <w:rPr>
                <w:rFonts w:hint="default" w:ascii="Times New Roman" w:hAnsi="Times New Roman" w:eastAsia="宋体" w:cs="Times New Roman"/>
                <w:color w:val="auto"/>
                <w:kern w:val="0"/>
                <w:sz w:val="24"/>
                <w:szCs w:val="24"/>
                <w:vertAlign w:val="superscript"/>
                <w:lang w:val="en-US" w:eastAsia="zh-CN" w:bidi="ar"/>
              </w:rPr>
              <w:t>3</w:t>
            </w:r>
            <w:r>
              <w:rPr>
                <w:rFonts w:hint="eastAsia" w:ascii="Times New Roman" w:hAnsi="Times New Roman" w:eastAsia="宋体" w:cs="Times New Roman"/>
                <w:color w:val="auto"/>
                <w:kern w:val="0"/>
                <w:sz w:val="24"/>
                <w:highlight w:val="none"/>
                <w:lang w:eastAsia="zh-CN"/>
              </w:rPr>
              <w:t>。</w:t>
            </w:r>
          </w:p>
          <w:p w14:paraId="5123BE2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kern w:val="0"/>
                <w:sz w:val="24"/>
                <w:highlight w:val="none"/>
                <w:lang w:val="en-US" w:eastAsia="zh-CN"/>
              </w:rPr>
              <w:t>2</w:t>
            </w:r>
            <w:r>
              <w:rPr>
                <w:rFonts w:hint="default" w:ascii="Times New Roman" w:hAnsi="Times New Roman" w:cs="Times New Roman"/>
                <w:bCs/>
                <w:color w:val="auto"/>
                <w:kern w:val="0"/>
                <w:sz w:val="24"/>
                <w:highlight w:val="none"/>
              </w:rPr>
              <w:t>）搅拌粉尘</w:t>
            </w:r>
          </w:p>
          <w:p w14:paraId="7E217A26">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项目混合搅拌工序中，砂石料、水泥、聚苯颗粒熟化料、胶粉通过密闭管道进入搅拌机，物料搅拌过程中产生少量的粉尘，本项目参考</w:t>
            </w:r>
            <w:r>
              <w:rPr>
                <w:rFonts w:hint="default" w:ascii="Times New Roman" w:hAnsi="Times New Roman" w:cs="Times New Roman"/>
                <w:color w:val="auto"/>
                <w:sz w:val="24"/>
                <w:highlight w:val="none"/>
              </w:rPr>
              <w:t>《排放源统计调查产排污核算方法和系数手册》——3021水泥制品制造（含3022砼结构构件制造、3029其他水泥类似制品制造）行业系数手册，</w:t>
            </w:r>
            <w:r>
              <w:rPr>
                <w:rFonts w:hint="default" w:ascii="Times New Roman" w:hAnsi="Times New Roman" w:cs="Times New Roman"/>
                <w:bCs/>
                <w:color w:val="auto"/>
                <w:kern w:val="0"/>
                <w:sz w:val="24"/>
                <w:highlight w:val="none"/>
              </w:rPr>
              <w:t>本项目</w:t>
            </w:r>
            <w:r>
              <w:rPr>
                <w:rFonts w:hint="default" w:ascii="Times New Roman" w:hAnsi="Times New Roman" w:cs="Times New Roman"/>
                <w:bCs/>
                <w:color w:val="auto"/>
                <w:kern w:val="0"/>
                <w:sz w:val="24"/>
                <w:highlight w:val="none"/>
                <w:lang w:val="en-US" w:eastAsia="zh-CN"/>
              </w:rPr>
              <w:t>年产30万平方米节能型复合保温免拆一体板</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保温聚合物</w:t>
            </w:r>
            <w:r>
              <w:rPr>
                <w:rFonts w:hint="default" w:ascii="Times New Roman" w:hAnsi="Times New Roman" w:cs="Times New Roman"/>
                <w:color w:val="auto"/>
                <w:sz w:val="24"/>
                <w:highlight w:val="none"/>
              </w:rPr>
              <w:t>重量约</w:t>
            </w:r>
            <w:r>
              <w:rPr>
                <w:rFonts w:hint="eastAsia" w:cs="Times New Roman"/>
                <w:color w:val="auto"/>
                <w:sz w:val="24"/>
                <w:highlight w:val="none"/>
                <w:lang w:val="en-US" w:eastAsia="zh-CN"/>
              </w:rPr>
              <w:t>10750</w:t>
            </w:r>
            <w:r>
              <w:rPr>
                <w:rFonts w:hint="default" w:ascii="Times New Roman" w:hAnsi="Times New Roman" w:cs="Times New Roman"/>
                <w:color w:val="auto"/>
                <w:sz w:val="24"/>
                <w:highlight w:val="none"/>
              </w:rPr>
              <w:t>t/a，采用集气罩（集气罩收集效率为90%）收集后经布袋除尘设备处理后排放。</w:t>
            </w:r>
            <w:r>
              <w:rPr>
                <w:rFonts w:hint="default" w:ascii="Times New Roman" w:hAnsi="Times New Roman" w:cs="Times New Roman"/>
                <w:bCs/>
                <w:color w:val="auto"/>
                <w:kern w:val="0"/>
                <w:sz w:val="24"/>
                <w:highlight w:val="none"/>
              </w:rPr>
              <w:t>搅拌粉尘</w:t>
            </w:r>
            <w:r>
              <w:rPr>
                <w:rFonts w:hint="default" w:ascii="Times New Roman" w:hAnsi="Times New Roman" w:cs="Times New Roman"/>
                <w:bCs/>
                <w:color w:val="auto"/>
                <w:kern w:val="0"/>
                <w:sz w:val="24"/>
                <w:highlight w:val="none"/>
                <w:lang w:val="en-US" w:eastAsia="zh-CN"/>
              </w:rPr>
              <w:t>参考</w:t>
            </w:r>
            <w:r>
              <w:rPr>
                <w:rFonts w:hint="default" w:ascii="Times New Roman" w:hAnsi="Times New Roman" w:cs="Times New Roman"/>
                <w:color w:val="auto"/>
                <w:kern w:val="0"/>
                <w:sz w:val="24"/>
                <w:highlight w:val="none"/>
              </w:rPr>
              <w:t>3021水泥制品制造（含3022砼结构构件、3029其他水泥类似制品制造）行业（续1）中物料搅拌产污系数，废气量</w:t>
            </w:r>
            <w:r>
              <w:rPr>
                <w:rFonts w:hint="default" w:ascii="Times New Roman" w:hAnsi="Times New Roman" w:cs="Times New Roman"/>
                <w:color w:val="auto"/>
                <w:sz w:val="24"/>
                <w:highlight w:val="none"/>
              </w:rPr>
              <w:t>和颗粒物产污系数取0.</w:t>
            </w:r>
            <w:r>
              <w:rPr>
                <w:rFonts w:hint="eastAsia" w:cs="Times New Roman"/>
                <w:color w:val="auto"/>
                <w:sz w:val="24"/>
                <w:highlight w:val="none"/>
                <w:lang w:val="en-US" w:eastAsia="zh-CN"/>
              </w:rPr>
              <w:t>13</w:t>
            </w:r>
            <w:r>
              <w:rPr>
                <w:rFonts w:hint="default" w:ascii="Times New Roman" w:hAnsi="Times New Roman" w:cs="Times New Roman"/>
                <w:color w:val="auto"/>
                <w:sz w:val="24"/>
                <w:highlight w:val="none"/>
              </w:rPr>
              <w:t>千克/吨-产品。</w:t>
            </w:r>
          </w:p>
          <w:p w14:paraId="45656DFF">
            <w:pPr>
              <w:ind w:firstLine="422" w:firstLineChars="20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w:t>
            </w:r>
            <w:r>
              <w:rPr>
                <w:rFonts w:hint="default" w:ascii="Times New Roman" w:hAnsi="Times New Roman" w:cs="Times New Roman"/>
                <w:b/>
                <w:bCs/>
                <w:color w:val="auto"/>
                <w:szCs w:val="21"/>
                <w:highlight w:val="none"/>
                <w:lang w:val="en-US" w:eastAsia="zh-CN"/>
              </w:rPr>
              <w:t>-1</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节能型复合保温免拆一体板生产线</w:t>
            </w:r>
            <w:r>
              <w:rPr>
                <w:rFonts w:hint="default" w:ascii="Times New Roman" w:hAnsi="Times New Roman" w:cs="Times New Roman"/>
                <w:b/>
                <w:bCs/>
                <w:color w:val="auto"/>
                <w:szCs w:val="21"/>
                <w:highlight w:val="none"/>
              </w:rPr>
              <w:t>搅拌废气污染物产生量</w:t>
            </w:r>
          </w:p>
          <w:tbl>
            <w:tblPr>
              <w:tblStyle w:val="22"/>
              <w:tblW w:w="81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547"/>
              <w:gridCol w:w="1695"/>
              <w:gridCol w:w="1447"/>
              <w:gridCol w:w="1169"/>
              <w:gridCol w:w="1169"/>
            </w:tblGrid>
            <w:tr w14:paraId="40943B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pct"/>
                  <w:tcBorders>
                    <w:tl2br w:val="nil"/>
                    <w:tr2bl w:val="nil"/>
                  </w:tcBorders>
                  <w:vAlign w:val="center"/>
                </w:tcPr>
                <w:p w14:paraId="73E07AD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工段名称</w:t>
                  </w:r>
                </w:p>
              </w:tc>
              <w:tc>
                <w:tcPr>
                  <w:tcW w:w="946" w:type="pct"/>
                  <w:tcBorders>
                    <w:tl2br w:val="nil"/>
                    <w:tr2bl w:val="nil"/>
                  </w:tcBorders>
                  <w:vAlign w:val="center"/>
                </w:tcPr>
                <w:p w14:paraId="7487510D">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污染物名称</w:t>
                  </w:r>
                </w:p>
              </w:tc>
              <w:tc>
                <w:tcPr>
                  <w:tcW w:w="1037" w:type="pct"/>
                  <w:tcBorders>
                    <w:tl2br w:val="nil"/>
                    <w:tr2bl w:val="nil"/>
                  </w:tcBorders>
                  <w:vAlign w:val="center"/>
                </w:tcPr>
                <w:p w14:paraId="6BB867CA">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产污系数</w:t>
                  </w:r>
                </w:p>
              </w:tc>
              <w:tc>
                <w:tcPr>
                  <w:tcW w:w="885" w:type="pct"/>
                  <w:tcBorders>
                    <w:tl2br w:val="nil"/>
                    <w:tr2bl w:val="nil"/>
                  </w:tcBorders>
                  <w:vAlign w:val="center"/>
                </w:tcPr>
                <w:p w14:paraId="7942E0EE">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rPr>
                    <w:t>产生量</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t/a</w:t>
                  </w:r>
                  <w:r>
                    <w:rPr>
                      <w:rFonts w:hint="default" w:ascii="Times New Roman" w:hAnsi="Times New Roman" w:cs="Times New Roman"/>
                      <w:b/>
                      <w:bCs/>
                      <w:color w:val="auto"/>
                      <w:szCs w:val="21"/>
                      <w:highlight w:val="none"/>
                      <w:lang w:eastAsia="zh-CN"/>
                    </w:rPr>
                    <w:t>）</w:t>
                  </w:r>
                </w:p>
              </w:tc>
              <w:tc>
                <w:tcPr>
                  <w:tcW w:w="715" w:type="pct"/>
                  <w:tcBorders>
                    <w:tl2br w:val="nil"/>
                    <w:tr2bl w:val="nil"/>
                  </w:tcBorders>
                  <w:vAlign w:val="center"/>
                </w:tcPr>
                <w:p w14:paraId="24FC2C74">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rPr>
                    <w:t>收集量</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t/a</w:t>
                  </w:r>
                  <w:r>
                    <w:rPr>
                      <w:rFonts w:hint="default" w:ascii="Times New Roman" w:hAnsi="Times New Roman" w:cs="Times New Roman"/>
                      <w:b/>
                      <w:bCs/>
                      <w:color w:val="auto"/>
                      <w:szCs w:val="21"/>
                      <w:highlight w:val="none"/>
                      <w:lang w:eastAsia="zh-CN"/>
                    </w:rPr>
                    <w:t>）</w:t>
                  </w:r>
                </w:p>
              </w:tc>
              <w:tc>
                <w:tcPr>
                  <w:tcW w:w="715" w:type="pct"/>
                  <w:tcBorders>
                    <w:tl2br w:val="nil"/>
                    <w:tr2bl w:val="nil"/>
                  </w:tcBorders>
                  <w:vAlign w:val="center"/>
                </w:tcPr>
                <w:p w14:paraId="6252AD97">
                  <w:pPr>
                    <w:jc w:val="center"/>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产生速率</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kg/h</w:t>
                  </w:r>
                  <w:r>
                    <w:rPr>
                      <w:rFonts w:hint="default" w:ascii="Times New Roman" w:hAnsi="Times New Roman" w:cs="Times New Roman"/>
                      <w:b/>
                      <w:bCs/>
                      <w:color w:val="auto"/>
                      <w:szCs w:val="21"/>
                      <w:highlight w:val="none"/>
                      <w:lang w:eastAsia="zh-CN"/>
                    </w:rPr>
                    <w:t>）</w:t>
                  </w:r>
                </w:p>
              </w:tc>
            </w:tr>
            <w:tr w14:paraId="6346BE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pct"/>
                  <w:tcBorders>
                    <w:tl2br w:val="nil"/>
                    <w:tr2bl w:val="nil"/>
                  </w:tcBorders>
                  <w:vAlign w:val="center"/>
                </w:tcPr>
                <w:p w14:paraId="0E45D1A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物料搅拌</w:t>
                  </w:r>
                </w:p>
              </w:tc>
              <w:tc>
                <w:tcPr>
                  <w:tcW w:w="946" w:type="pct"/>
                  <w:tcBorders>
                    <w:tl2br w:val="nil"/>
                    <w:tr2bl w:val="nil"/>
                  </w:tcBorders>
                  <w:vAlign w:val="center"/>
                </w:tcPr>
                <w:p w14:paraId="2DEF7B8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1037" w:type="pct"/>
                  <w:tcBorders>
                    <w:tl2br w:val="nil"/>
                    <w:tr2bl w:val="nil"/>
                  </w:tcBorders>
                  <w:vAlign w:val="center"/>
                </w:tcPr>
                <w:p w14:paraId="5654341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13</w:t>
                  </w:r>
                  <w:r>
                    <w:rPr>
                      <w:rFonts w:hint="default" w:ascii="Times New Roman" w:hAnsi="Times New Roman" w:cs="Times New Roman"/>
                      <w:color w:val="auto"/>
                      <w:szCs w:val="21"/>
                      <w:highlight w:val="none"/>
                    </w:rPr>
                    <w:t>kg/吨-产品</w:t>
                  </w:r>
                </w:p>
              </w:tc>
              <w:tc>
                <w:tcPr>
                  <w:tcW w:w="885" w:type="pct"/>
                  <w:tcBorders>
                    <w:tl2br w:val="nil"/>
                    <w:tr2bl w:val="nil"/>
                  </w:tcBorders>
                  <w:vAlign w:val="center"/>
                </w:tcPr>
                <w:p w14:paraId="72828842">
                  <w:pPr>
                    <w:jc w:val="center"/>
                    <w:rPr>
                      <w:rFonts w:hint="default" w:ascii="Times New Roman" w:hAnsi="Times New Roman" w:cs="Times New Roman"/>
                      <w:color w:val="auto"/>
                      <w:szCs w:val="21"/>
                      <w:highlight w:val="none"/>
                      <w:lang w:val="en-US"/>
                    </w:rPr>
                  </w:pPr>
                  <w:r>
                    <w:rPr>
                      <w:rFonts w:hint="eastAsia" w:cs="Times New Roman"/>
                      <w:color w:val="auto"/>
                      <w:szCs w:val="21"/>
                      <w:highlight w:val="none"/>
                      <w:lang w:val="en-US" w:eastAsia="zh-CN"/>
                    </w:rPr>
                    <w:t>1.398</w:t>
                  </w:r>
                </w:p>
              </w:tc>
              <w:tc>
                <w:tcPr>
                  <w:tcW w:w="715" w:type="pct"/>
                  <w:tcBorders>
                    <w:tl2br w:val="nil"/>
                    <w:tr2bl w:val="nil"/>
                  </w:tcBorders>
                  <w:vAlign w:val="center"/>
                </w:tcPr>
                <w:p w14:paraId="3C2D6C0D">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1.258</w:t>
                  </w:r>
                </w:p>
              </w:tc>
              <w:tc>
                <w:tcPr>
                  <w:tcW w:w="715" w:type="pct"/>
                  <w:tcBorders>
                    <w:tl2br w:val="nil"/>
                    <w:tr2bl w:val="nil"/>
                  </w:tcBorders>
                  <w:vAlign w:val="center"/>
                </w:tcPr>
                <w:p w14:paraId="314C03BD">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0.832</w:t>
                  </w:r>
                </w:p>
              </w:tc>
            </w:tr>
          </w:tbl>
          <w:p w14:paraId="5FC66C2F">
            <w:pPr>
              <w:spacing w:line="360" w:lineRule="auto"/>
              <w:ind w:firstLine="480" w:firstLineChars="200"/>
              <w:rPr>
                <w:rFonts w:hint="default" w:ascii="Times New Roman" w:hAnsi="Times New Roman" w:cs="Times New Roman"/>
                <w:color w:val="auto"/>
                <w:sz w:val="24"/>
                <w:highlight w:val="none"/>
                <w:lang w:eastAsia="zh-CN"/>
              </w:rPr>
            </w:pPr>
            <w:r>
              <w:rPr>
                <w:rFonts w:hint="default" w:ascii="Times New Roman" w:hAnsi="Times New Roman" w:cs="Times New Roman"/>
                <w:bCs/>
                <w:color w:val="auto"/>
                <w:kern w:val="0"/>
                <w:sz w:val="24"/>
                <w:highlight w:val="none"/>
                <w:lang w:val="en-US" w:eastAsia="zh-CN"/>
              </w:rPr>
              <w:t>保温免拆一体板</w:t>
            </w:r>
            <w:r>
              <w:rPr>
                <w:rFonts w:hint="default" w:ascii="Times New Roman" w:hAnsi="Times New Roman" w:cs="Times New Roman"/>
                <w:color w:val="auto"/>
                <w:sz w:val="24"/>
                <w:highlight w:val="none"/>
                <w:lang w:val="en-US" w:eastAsia="zh-CN"/>
              </w:rPr>
              <w:t>生产线</w:t>
            </w:r>
            <w:r>
              <w:rPr>
                <w:rFonts w:hint="default" w:ascii="Times New Roman" w:hAnsi="Times New Roman" w:cs="Times New Roman"/>
                <w:color w:val="auto"/>
                <w:sz w:val="24"/>
                <w:highlight w:val="none"/>
              </w:rPr>
              <w:t>搅拌机设置1套布袋除尘器（除尘效率99.7%），</w:t>
            </w:r>
            <w:r>
              <w:rPr>
                <w:rFonts w:hint="default" w:ascii="Times New Roman" w:hAnsi="Times New Roman" w:cs="Times New Roman"/>
                <w:color w:val="auto"/>
                <w:sz w:val="24"/>
                <w:highlight w:val="none"/>
                <w:lang w:val="en-US" w:eastAsia="zh-CN"/>
              </w:rPr>
              <w:t>风机风量：</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lang w:val="en-US" w:eastAsia="zh-CN"/>
              </w:rPr>
              <w:t>000m</w:t>
            </w:r>
            <w:r>
              <w:rPr>
                <w:rFonts w:hint="default" w:ascii="Times New Roman" w:hAnsi="Times New Roman" w:cs="Times New Roman"/>
                <w:color w:val="auto"/>
                <w:sz w:val="24"/>
                <w:highlight w:val="none"/>
                <w:vertAlign w:val="superscript"/>
                <w:lang w:val="en-US" w:eastAsia="zh-CN"/>
              </w:rPr>
              <w:t>3</w:t>
            </w:r>
            <w:r>
              <w:rPr>
                <w:rFonts w:hint="default" w:ascii="Times New Roman" w:hAnsi="Times New Roman" w:cs="Times New Roman"/>
                <w:color w:val="auto"/>
                <w:sz w:val="24"/>
                <w:highlight w:val="none"/>
                <w:lang w:val="en-US" w:eastAsia="zh-CN"/>
              </w:rPr>
              <w:t>/h，</w:t>
            </w:r>
            <w:r>
              <w:rPr>
                <w:rFonts w:hint="default" w:ascii="Times New Roman" w:hAnsi="Times New Roman" w:cs="Times New Roman"/>
                <w:color w:val="auto"/>
                <w:sz w:val="24"/>
                <w:highlight w:val="none"/>
              </w:rPr>
              <w:t>处理后的粉尘通过除尘器经15m排气筒（DA00</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rPr>
              <w:t>）高空排放</w:t>
            </w:r>
            <w:r>
              <w:rPr>
                <w:rFonts w:hint="default" w:ascii="Times New Roman" w:hAnsi="Times New Roman" w:cs="Times New Roman"/>
                <w:color w:val="auto"/>
                <w:sz w:val="24"/>
                <w:highlight w:val="none"/>
                <w:lang w:eastAsia="zh-CN"/>
              </w:rPr>
              <w:t>；</w:t>
            </w:r>
          </w:p>
          <w:p w14:paraId="0B2CCC68">
            <w:pPr>
              <w:spacing w:line="360" w:lineRule="auto"/>
              <w:ind w:firstLine="480" w:firstLineChars="200"/>
              <w:rPr>
                <w:rFonts w:hint="default" w:cs="Times New Roman"/>
                <w:color w:val="auto"/>
                <w:sz w:val="24"/>
                <w:highlight w:val="none"/>
                <w:lang w:val="en-US" w:eastAsia="zh-CN"/>
              </w:rPr>
            </w:pPr>
            <w:r>
              <w:rPr>
                <w:rFonts w:hint="eastAsia" w:cs="Times New Roman"/>
                <w:color w:val="auto"/>
                <w:sz w:val="24"/>
                <w:highlight w:val="none"/>
                <w:lang w:val="en-US" w:eastAsia="zh-CN"/>
              </w:rPr>
              <w:t>本项目有组织颗粒物排放量为0.008t/a，分为筒仓粉尘和搅拌粉尘，其中筒仓粉尘排放量0.004t/a，主要为筒仓进料时的呼吸废气，且间歇排放，经筒仓自带布袋除尘器（处理效率99.7%）处理后通过集气管道通向15m高排气筒（DA001）达标排放；搅拌粉尘排放量0.004t/a，主要为搅拌机进料时产生的粉尘，由集气罩（收集效率90%）收集至脉冲布袋除尘器（处理效率99.7%）处理后通过15m高排气筒（DA001）达标排放。筒仓粉尘和搅拌粉尘处理后的废气通向同一个排气筒，经核算，粉尘排放浓度能够满足《水泥工业大气污染物排放标准》（GB4915-2013）表2中大气污染物特别排放限值。</w:t>
            </w:r>
          </w:p>
          <w:p w14:paraId="20C02CB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sz w:val="24"/>
                <w:lang w:val="en-US" w:eastAsia="zh-CN"/>
              </w:rPr>
              <w:t>本项目</w:t>
            </w:r>
            <w:r>
              <w:rPr>
                <w:rFonts w:hint="default" w:ascii="Times New Roman" w:hAnsi="Times New Roman" w:cs="Times New Roman"/>
                <w:bCs/>
                <w:color w:val="auto"/>
                <w:sz w:val="24"/>
              </w:rPr>
              <w:t>无组织颗粒物排放量为</w:t>
            </w:r>
            <w:r>
              <w:rPr>
                <w:rFonts w:hint="eastAsia" w:cs="Times New Roman"/>
                <w:bCs/>
                <w:color w:val="auto"/>
                <w:sz w:val="24"/>
                <w:lang w:val="en-US" w:eastAsia="zh-CN"/>
              </w:rPr>
              <w:t>0.14</w:t>
            </w:r>
            <w:r>
              <w:rPr>
                <w:rFonts w:hint="default" w:ascii="Times New Roman" w:hAnsi="Times New Roman" w:cs="Times New Roman"/>
                <w:bCs/>
                <w:color w:val="auto"/>
                <w:sz w:val="24"/>
              </w:rPr>
              <w:t>t/a，</w:t>
            </w:r>
            <w:r>
              <w:rPr>
                <w:rFonts w:hint="eastAsia" w:cs="Times New Roman"/>
                <w:bCs/>
                <w:color w:val="auto"/>
                <w:sz w:val="24"/>
                <w:lang w:val="en-US" w:eastAsia="zh-CN"/>
              </w:rPr>
              <w:t>为集气罩未收集到的粉尘（搅拌粉尘产生量10%），</w:t>
            </w:r>
            <w:r>
              <w:rPr>
                <w:rFonts w:hint="default" w:ascii="Times New Roman" w:hAnsi="Times New Roman" w:cs="Times New Roman"/>
                <w:bCs/>
                <w:color w:val="auto"/>
                <w:sz w:val="24"/>
              </w:rPr>
              <w:t>以无组织形式在车间内排放，</w:t>
            </w:r>
            <w:r>
              <w:rPr>
                <w:rFonts w:hint="eastAsia" w:cs="Times New Roman"/>
                <w:bCs/>
                <w:color w:val="auto"/>
                <w:sz w:val="24"/>
                <w:lang w:val="en-US" w:eastAsia="zh-CN"/>
              </w:rPr>
              <w:t>人工洒水降尘后在</w:t>
            </w:r>
            <w:r>
              <w:rPr>
                <w:rFonts w:hint="default" w:ascii="Times New Roman" w:hAnsi="Times New Roman" w:cs="Times New Roman"/>
                <w:bCs/>
                <w:color w:val="auto"/>
                <w:sz w:val="24"/>
              </w:rPr>
              <w:t>重力的作用下会沉降在生产车间内，车间为全封闭车间，</w:t>
            </w:r>
            <w:r>
              <w:rPr>
                <w:rFonts w:hint="default" w:ascii="Times New Roman" w:hAnsi="Times New Roman" w:cs="Times New Roman"/>
                <w:bCs/>
                <w:color w:val="auto"/>
                <w:sz w:val="24"/>
                <w:lang w:val="en-US" w:eastAsia="zh-CN"/>
              </w:rPr>
              <w:t>80</w:t>
            </w:r>
            <w:r>
              <w:rPr>
                <w:rFonts w:hint="default" w:ascii="Times New Roman" w:hAnsi="Times New Roman" w:cs="Times New Roman"/>
                <w:bCs/>
                <w:color w:val="auto"/>
                <w:sz w:val="24"/>
              </w:rPr>
              <w:t>%</w:t>
            </w:r>
            <w:r>
              <w:rPr>
                <w:rFonts w:hint="eastAsia" w:cs="Times New Roman"/>
                <w:bCs/>
                <w:color w:val="auto"/>
                <w:sz w:val="24"/>
                <w:lang w:eastAsia="zh-CN"/>
              </w:rPr>
              <w:t>粉尘</w:t>
            </w:r>
            <w:r>
              <w:rPr>
                <w:rFonts w:hint="default" w:ascii="Times New Roman" w:hAnsi="Times New Roman" w:cs="Times New Roman"/>
                <w:bCs/>
                <w:color w:val="auto"/>
                <w:sz w:val="24"/>
              </w:rPr>
              <w:t>会通过重力作用沉降在车间内</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lang w:val="en-US" w:eastAsia="zh-CN"/>
              </w:rPr>
              <w:t>本次环评</w:t>
            </w:r>
            <w:r>
              <w:rPr>
                <w:rFonts w:hint="default" w:ascii="Times New Roman" w:hAnsi="Times New Roman" w:cs="Times New Roman"/>
                <w:bCs/>
                <w:color w:val="auto"/>
                <w:sz w:val="24"/>
              </w:rPr>
              <w:t>要求建设单位</w:t>
            </w:r>
            <w:r>
              <w:rPr>
                <w:rFonts w:hint="eastAsia" w:cs="Times New Roman"/>
                <w:bCs/>
                <w:color w:val="auto"/>
                <w:sz w:val="24"/>
                <w:lang w:val="en-US" w:eastAsia="zh-CN"/>
              </w:rPr>
              <w:t>定期进行人工洒水降尘，并</w:t>
            </w:r>
            <w:r>
              <w:rPr>
                <w:rFonts w:hint="default" w:ascii="Times New Roman" w:hAnsi="Times New Roman" w:cs="Times New Roman"/>
                <w:bCs/>
                <w:color w:val="auto"/>
                <w:sz w:val="24"/>
              </w:rPr>
              <w:t>及时清扫沉降的无组织粉尘，因此无组织粉尘最终排放量约为</w:t>
            </w:r>
            <w:r>
              <w:rPr>
                <w:rFonts w:hint="default" w:ascii="Times New Roman" w:hAnsi="Times New Roman" w:cs="Times New Roman"/>
                <w:bCs/>
                <w:color w:val="auto"/>
                <w:sz w:val="24"/>
                <w:lang w:val="en-US" w:eastAsia="zh-CN"/>
              </w:rPr>
              <w:t>0.</w:t>
            </w:r>
            <w:r>
              <w:rPr>
                <w:rFonts w:hint="eastAsia" w:cs="Times New Roman"/>
                <w:bCs/>
                <w:color w:val="auto"/>
                <w:sz w:val="24"/>
                <w:lang w:val="en-US" w:eastAsia="zh-CN"/>
              </w:rPr>
              <w:t>028</w:t>
            </w:r>
            <w:r>
              <w:rPr>
                <w:rFonts w:hint="default" w:ascii="Times New Roman" w:hAnsi="Times New Roman" w:cs="Times New Roman"/>
                <w:bCs/>
                <w:color w:val="auto"/>
                <w:sz w:val="24"/>
              </w:rPr>
              <w:t>t/a，做到以上措施后颗粒物对环境影响较小。</w:t>
            </w:r>
            <w:r>
              <w:rPr>
                <w:rFonts w:hint="default" w:ascii="Times New Roman" w:hAnsi="Times New Roman" w:cs="Times New Roman"/>
                <w:color w:val="auto"/>
                <w:sz w:val="24"/>
                <w:highlight w:val="none"/>
              </w:rPr>
              <w:t>本项目</w:t>
            </w:r>
            <w:r>
              <w:rPr>
                <w:rFonts w:hint="default" w:ascii="Times New Roman" w:hAnsi="Times New Roman" w:cs="Times New Roman"/>
                <w:bCs/>
                <w:color w:val="auto"/>
                <w:kern w:val="0"/>
                <w:sz w:val="24"/>
                <w:highlight w:val="none"/>
                <w:lang w:val="en-US" w:eastAsia="zh-CN"/>
              </w:rPr>
              <w:t>复合保温免拆一体板</w:t>
            </w:r>
            <w:r>
              <w:rPr>
                <w:rFonts w:hint="default" w:ascii="Times New Roman" w:hAnsi="Times New Roman" w:cs="Times New Roman"/>
                <w:color w:val="auto"/>
                <w:sz w:val="24"/>
                <w:highlight w:val="none"/>
              </w:rPr>
              <w:t>搅拌废气排放情况如下：</w:t>
            </w:r>
          </w:p>
          <w:p w14:paraId="18EFF7E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w:t>
            </w: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 xml:space="preserve">  </w:t>
            </w:r>
            <w:r>
              <w:rPr>
                <w:rFonts w:hint="default" w:ascii="Times New Roman" w:hAnsi="Times New Roman" w:cs="Times New Roman"/>
                <w:b/>
                <w:bCs/>
                <w:color w:val="auto"/>
                <w:szCs w:val="21"/>
                <w:highlight w:val="none"/>
              </w:rPr>
              <w:t xml:space="preserve"> </w:t>
            </w:r>
            <w:r>
              <w:rPr>
                <w:rFonts w:hint="default" w:ascii="Times New Roman" w:hAnsi="Times New Roman" w:cs="Times New Roman"/>
                <w:b/>
                <w:bCs/>
                <w:color w:val="auto"/>
                <w:szCs w:val="21"/>
                <w:highlight w:val="none"/>
                <w:lang w:val="en-US" w:eastAsia="zh-CN"/>
              </w:rPr>
              <w:t>节能型复合保温免拆一体板生产线</w:t>
            </w:r>
            <w:r>
              <w:rPr>
                <w:rFonts w:hint="default" w:ascii="Times New Roman" w:hAnsi="Times New Roman" w:cs="Times New Roman"/>
                <w:b/>
                <w:bCs/>
                <w:color w:val="auto"/>
                <w:szCs w:val="21"/>
                <w:highlight w:val="none"/>
              </w:rPr>
              <w:t>搅拌废气污染物排放量</w:t>
            </w:r>
          </w:p>
          <w:tbl>
            <w:tblPr>
              <w:tblStyle w:val="22"/>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70"/>
              <w:gridCol w:w="908"/>
              <w:gridCol w:w="871"/>
              <w:gridCol w:w="889"/>
              <w:gridCol w:w="922"/>
              <w:gridCol w:w="871"/>
              <w:gridCol w:w="1123"/>
              <w:gridCol w:w="1220"/>
            </w:tblGrid>
            <w:tr w14:paraId="2AFF9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32" w:type="pct"/>
                  <w:tcBorders>
                    <w:bottom w:val="single" w:color="auto" w:sz="12" w:space="0"/>
                  </w:tcBorders>
                  <w:vAlign w:val="center"/>
                </w:tcPr>
                <w:p w14:paraId="619F095A">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工段</w:t>
                  </w:r>
                </w:p>
                <w:p w14:paraId="45385C29">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419" w:type="pct"/>
                  <w:tcBorders>
                    <w:bottom w:val="single" w:color="auto" w:sz="12" w:space="0"/>
                  </w:tcBorders>
                  <w:vAlign w:val="center"/>
                </w:tcPr>
                <w:p w14:paraId="2C110425">
                  <w:pPr>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排放方式</w:t>
                  </w:r>
                </w:p>
              </w:tc>
              <w:tc>
                <w:tcPr>
                  <w:tcW w:w="565" w:type="pct"/>
                  <w:tcBorders>
                    <w:bottom w:val="single" w:color="auto" w:sz="12" w:space="0"/>
                  </w:tcBorders>
                  <w:vAlign w:val="center"/>
                </w:tcPr>
                <w:p w14:paraId="56F78951">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p w14:paraId="752BC0DE">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528" w:type="pct"/>
                  <w:tcBorders>
                    <w:bottom w:val="single" w:color="auto" w:sz="12" w:space="0"/>
                  </w:tcBorders>
                  <w:vAlign w:val="center"/>
                </w:tcPr>
                <w:p w14:paraId="40C2FDE1">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p w14:paraId="38E7F999">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（t/a）</w:t>
                  </w:r>
                </w:p>
              </w:tc>
              <w:tc>
                <w:tcPr>
                  <w:tcW w:w="553" w:type="pct"/>
                  <w:tcBorders>
                    <w:bottom w:val="single" w:color="auto" w:sz="12" w:space="0"/>
                  </w:tcBorders>
                  <w:vAlign w:val="center"/>
                </w:tcPr>
                <w:p w14:paraId="7454634F">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收集量（t/a）</w:t>
                  </w:r>
                </w:p>
              </w:tc>
              <w:tc>
                <w:tcPr>
                  <w:tcW w:w="573" w:type="pct"/>
                  <w:tcBorders>
                    <w:bottom w:val="single" w:color="auto" w:sz="12" w:space="0"/>
                  </w:tcBorders>
                  <w:vAlign w:val="center"/>
                </w:tcPr>
                <w:p w14:paraId="0728DB70">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处理</w:t>
                  </w:r>
                </w:p>
                <w:p w14:paraId="4F44D7AD">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效率（%）</w:t>
                  </w:r>
                </w:p>
              </w:tc>
              <w:tc>
                <w:tcPr>
                  <w:tcW w:w="537" w:type="pct"/>
                  <w:tcBorders>
                    <w:bottom w:val="single" w:color="auto" w:sz="12" w:space="0"/>
                  </w:tcBorders>
                  <w:vAlign w:val="center"/>
                </w:tcPr>
                <w:p w14:paraId="2C4737FA">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排放量</w:t>
                  </w:r>
                </w:p>
                <w:p w14:paraId="0CDDE6BA">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（t/a）</w:t>
                  </w:r>
                </w:p>
              </w:tc>
              <w:tc>
                <w:tcPr>
                  <w:tcW w:w="701" w:type="pct"/>
                  <w:tcBorders>
                    <w:bottom w:val="single" w:color="auto" w:sz="12" w:space="0"/>
                  </w:tcBorders>
                  <w:vAlign w:val="center"/>
                </w:tcPr>
                <w:p w14:paraId="751363FA">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排放速率</w:t>
                  </w:r>
                </w:p>
                <w:p w14:paraId="68F20724">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（kg/h）</w:t>
                  </w:r>
                </w:p>
              </w:tc>
              <w:tc>
                <w:tcPr>
                  <w:tcW w:w="688" w:type="pct"/>
                  <w:tcBorders>
                    <w:bottom w:val="single" w:color="auto" w:sz="12" w:space="0"/>
                  </w:tcBorders>
                  <w:vAlign w:val="center"/>
                </w:tcPr>
                <w:p w14:paraId="3548F1D6">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排放浓度</w:t>
                  </w:r>
                </w:p>
                <w:p w14:paraId="6EDB2D47">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r>
            <w:tr w14:paraId="5015CA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32" w:type="pct"/>
                  <w:vMerge w:val="restart"/>
                  <w:tcBorders>
                    <w:top w:val="single" w:color="auto" w:sz="12" w:space="0"/>
                    <w:tl2br w:val="nil"/>
                    <w:tr2bl w:val="nil"/>
                  </w:tcBorders>
                  <w:vAlign w:val="center"/>
                </w:tcPr>
                <w:p w14:paraId="019C58B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物料搅拌</w:t>
                  </w:r>
                </w:p>
              </w:tc>
              <w:tc>
                <w:tcPr>
                  <w:tcW w:w="419" w:type="pct"/>
                  <w:tcBorders>
                    <w:top w:val="single" w:color="auto" w:sz="12" w:space="0"/>
                    <w:tl2br w:val="nil"/>
                    <w:tr2bl w:val="nil"/>
                  </w:tcBorders>
                  <w:vAlign w:val="center"/>
                </w:tcPr>
                <w:p w14:paraId="2A3ABCB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有组织</w:t>
                  </w:r>
                </w:p>
              </w:tc>
              <w:tc>
                <w:tcPr>
                  <w:tcW w:w="565" w:type="pct"/>
                  <w:tcBorders>
                    <w:top w:val="single" w:color="auto" w:sz="12" w:space="0"/>
                    <w:tl2br w:val="nil"/>
                    <w:tr2bl w:val="nil"/>
                  </w:tcBorders>
                  <w:vAlign w:val="center"/>
                </w:tcPr>
                <w:p w14:paraId="6D5934D8">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528" w:type="pct"/>
                  <w:tcBorders>
                    <w:top w:val="single" w:color="auto" w:sz="12" w:space="0"/>
                    <w:tl2br w:val="nil"/>
                    <w:tr2bl w:val="nil"/>
                  </w:tcBorders>
                  <w:vAlign w:val="center"/>
                </w:tcPr>
                <w:p w14:paraId="39F6D39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1.258</w:t>
                  </w:r>
                </w:p>
              </w:tc>
              <w:tc>
                <w:tcPr>
                  <w:tcW w:w="553" w:type="pct"/>
                  <w:tcBorders>
                    <w:top w:val="single" w:color="auto" w:sz="12" w:space="0"/>
                    <w:tl2br w:val="nil"/>
                    <w:tr2bl w:val="nil"/>
                  </w:tcBorders>
                  <w:vAlign w:val="center"/>
                </w:tcPr>
                <w:p w14:paraId="4304862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1.254</w:t>
                  </w:r>
                </w:p>
              </w:tc>
              <w:tc>
                <w:tcPr>
                  <w:tcW w:w="573" w:type="pct"/>
                  <w:tcBorders>
                    <w:top w:val="single" w:color="auto" w:sz="12" w:space="0"/>
                    <w:tl2br w:val="nil"/>
                    <w:tr2bl w:val="nil"/>
                  </w:tcBorders>
                  <w:vAlign w:val="center"/>
                </w:tcPr>
                <w:p w14:paraId="36D7AE1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99.7</w:t>
                  </w:r>
                </w:p>
              </w:tc>
              <w:tc>
                <w:tcPr>
                  <w:tcW w:w="537" w:type="pct"/>
                  <w:tcBorders>
                    <w:top w:val="single" w:color="auto" w:sz="12" w:space="0"/>
                    <w:tl2br w:val="nil"/>
                    <w:tr2bl w:val="nil"/>
                  </w:tcBorders>
                  <w:vAlign w:val="center"/>
                </w:tcPr>
                <w:p w14:paraId="0625E75C">
                  <w:pPr>
                    <w:widowControl/>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04</w:t>
                  </w:r>
                </w:p>
              </w:tc>
              <w:tc>
                <w:tcPr>
                  <w:tcW w:w="701" w:type="pct"/>
                  <w:tcBorders>
                    <w:top w:val="single" w:color="auto" w:sz="12" w:space="0"/>
                    <w:tl2br w:val="nil"/>
                    <w:tr2bl w:val="nil"/>
                  </w:tcBorders>
                  <w:vAlign w:val="center"/>
                </w:tcPr>
                <w:p w14:paraId="36498B43">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2</w:t>
                  </w:r>
                </w:p>
              </w:tc>
              <w:tc>
                <w:tcPr>
                  <w:tcW w:w="688" w:type="pct"/>
                  <w:tcBorders>
                    <w:top w:val="single" w:color="auto" w:sz="12" w:space="0"/>
                    <w:tl2br w:val="nil"/>
                    <w:tr2bl w:val="nil"/>
                  </w:tcBorders>
                  <w:vAlign w:val="center"/>
                </w:tcPr>
                <w:p w14:paraId="60E89529">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0.450</w:t>
                  </w:r>
                </w:p>
              </w:tc>
            </w:tr>
            <w:tr w14:paraId="2AD818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32" w:type="pct"/>
                  <w:vMerge w:val="continue"/>
                  <w:tcBorders>
                    <w:tl2br w:val="nil"/>
                    <w:tr2bl w:val="nil"/>
                  </w:tcBorders>
                  <w:vAlign w:val="center"/>
                </w:tcPr>
                <w:p w14:paraId="771A8138">
                  <w:pPr>
                    <w:jc w:val="center"/>
                    <w:rPr>
                      <w:rFonts w:hint="default" w:ascii="Times New Roman" w:hAnsi="Times New Roman" w:cs="Times New Roman"/>
                      <w:color w:val="auto"/>
                      <w:sz w:val="21"/>
                      <w:szCs w:val="21"/>
                      <w:highlight w:val="none"/>
                    </w:rPr>
                  </w:pPr>
                </w:p>
              </w:tc>
              <w:tc>
                <w:tcPr>
                  <w:tcW w:w="419" w:type="pct"/>
                  <w:tcBorders>
                    <w:tl2br w:val="nil"/>
                    <w:tr2bl w:val="nil"/>
                  </w:tcBorders>
                  <w:vAlign w:val="center"/>
                </w:tcPr>
                <w:p w14:paraId="2506BEBC">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无组织</w:t>
                  </w:r>
                </w:p>
              </w:tc>
              <w:tc>
                <w:tcPr>
                  <w:tcW w:w="565" w:type="pct"/>
                  <w:tcBorders>
                    <w:tl2br w:val="nil"/>
                    <w:tr2bl w:val="nil"/>
                  </w:tcBorders>
                  <w:vAlign w:val="center"/>
                </w:tcPr>
                <w:p w14:paraId="5A9A13F1">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528" w:type="pct"/>
                  <w:tcBorders>
                    <w:tl2br w:val="nil"/>
                    <w:tr2bl w:val="nil"/>
                  </w:tcBorders>
                  <w:vAlign w:val="center"/>
                </w:tcPr>
                <w:p w14:paraId="4DCD1F7D">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0.14</w:t>
                  </w:r>
                </w:p>
              </w:tc>
              <w:tc>
                <w:tcPr>
                  <w:tcW w:w="553" w:type="pct"/>
                  <w:tcBorders>
                    <w:tl2br w:val="nil"/>
                    <w:tr2bl w:val="nil"/>
                  </w:tcBorders>
                  <w:vAlign w:val="center"/>
                </w:tcPr>
                <w:p w14:paraId="0191EBF9">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0.112</w:t>
                  </w:r>
                </w:p>
              </w:tc>
              <w:tc>
                <w:tcPr>
                  <w:tcW w:w="573" w:type="pct"/>
                  <w:tcBorders>
                    <w:tl2br w:val="nil"/>
                    <w:tr2bl w:val="nil"/>
                  </w:tcBorders>
                  <w:vAlign w:val="center"/>
                </w:tcPr>
                <w:p w14:paraId="113A684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537" w:type="pct"/>
                  <w:tcBorders>
                    <w:tl2br w:val="nil"/>
                    <w:tr2bl w:val="nil"/>
                  </w:tcBorders>
                  <w:vAlign w:val="center"/>
                </w:tcPr>
                <w:p w14:paraId="7E16FFFD">
                  <w:pPr>
                    <w:widowControl/>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Cs/>
                      <w:color w:val="auto"/>
                      <w:sz w:val="21"/>
                      <w:szCs w:val="21"/>
                      <w:lang w:val="en-US" w:eastAsia="zh-CN"/>
                    </w:rPr>
                    <w:t>0.</w:t>
                  </w:r>
                  <w:r>
                    <w:rPr>
                      <w:rFonts w:hint="eastAsia" w:cs="Times New Roman"/>
                      <w:bCs/>
                      <w:color w:val="auto"/>
                      <w:sz w:val="21"/>
                      <w:szCs w:val="21"/>
                      <w:lang w:val="en-US" w:eastAsia="zh-CN"/>
                    </w:rPr>
                    <w:t>028</w:t>
                  </w:r>
                </w:p>
              </w:tc>
              <w:tc>
                <w:tcPr>
                  <w:tcW w:w="701" w:type="pct"/>
                  <w:tcBorders>
                    <w:tl2br w:val="nil"/>
                    <w:tr2bl w:val="nil"/>
                  </w:tcBorders>
                  <w:vAlign w:val="center"/>
                </w:tcPr>
                <w:p w14:paraId="440EBD12">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017</w:t>
                  </w:r>
                </w:p>
              </w:tc>
              <w:tc>
                <w:tcPr>
                  <w:tcW w:w="688" w:type="pct"/>
                  <w:tcBorders>
                    <w:tl2br w:val="nil"/>
                    <w:tr2bl w:val="nil"/>
                  </w:tcBorders>
                  <w:vAlign w:val="center"/>
                </w:tcPr>
                <w:p w14:paraId="7DF0087C">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14:paraId="4C302C03">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default" w:ascii="Times New Roman" w:hAnsi="Times New Roman" w:cs="Times New Roman"/>
                <w:b/>
                <w:bCs/>
                <w:color w:val="auto"/>
                <w:highlight w:val="none"/>
                <w:lang w:val="en-US" w:eastAsia="zh-CN"/>
              </w:rPr>
              <w:t>3</w:t>
            </w:r>
            <w:r>
              <w:rPr>
                <w:rFonts w:hint="default" w:ascii="Times New Roman" w:hAnsi="Times New Roman" w:cs="Times New Roman"/>
                <w:b/>
                <w:bCs/>
                <w:color w:val="auto"/>
                <w:highlight w:val="none"/>
              </w:rPr>
              <w:t xml:space="preserve">  </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大气污染物有组织排放量核算表</w:t>
            </w:r>
          </w:p>
          <w:tbl>
            <w:tblPr>
              <w:tblStyle w:val="22"/>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317"/>
              <w:gridCol w:w="1100"/>
              <w:gridCol w:w="1696"/>
              <w:gridCol w:w="1369"/>
              <w:gridCol w:w="1526"/>
            </w:tblGrid>
            <w:tr w14:paraId="1D8B5F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11" w:type="pct"/>
                  <w:tcBorders>
                    <w:bottom w:val="single" w:color="auto" w:sz="12" w:space="0"/>
                  </w:tcBorders>
                  <w:vAlign w:val="center"/>
                </w:tcPr>
                <w:p w14:paraId="209019F9">
                  <w:pPr>
                    <w:adjustRightInd w:val="0"/>
                    <w:snapToGrid w:val="0"/>
                    <w:jc w:val="center"/>
                    <w:rPr>
                      <w:rFonts w:hint="eastAsia" w:ascii="Times New Roman" w:hAnsi="Times New Roman" w:eastAsia="宋体" w:cs="Times New Roman"/>
                      <w:b/>
                      <w:bCs/>
                      <w:color w:val="auto"/>
                      <w:kern w:val="0"/>
                      <w:szCs w:val="21"/>
                      <w:highlight w:val="none"/>
                      <w:lang w:val="en-US" w:eastAsia="zh-CN"/>
                    </w:rPr>
                  </w:pPr>
                  <w:r>
                    <w:rPr>
                      <w:rFonts w:hint="eastAsia" w:cs="Times New Roman"/>
                      <w:b/>
                      <w:bCs/>
                      <w:color w:val="auto"/>
                      <w:kern w:val="0"/>
                      <w:szCs w:val="21"/>
                      <w:highlight w:val="none"/>
                      <w:lang w:val="en-US" w:eastAsia="zh-CN"/>
                    </w:rPr>
                    <w:t>来源</w:t>
                  </w:r>
                </w:p>
              </w:tc>
              <w:tc>
                <w:tcPr>
                  <w:tcW w:w="806" w:type="pct"/>
                  <w:tcBorders>
                    <w:bottom w:val="single" w:color="auto" w:sz="12" w:space="0"/>
                  </w:tcBorders>
                  <w:vAlign w:val="center"/>
                </w:tcPr>
                <w:p w14:paraId="7F13A582">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排放口编号</w:t>
                  </w:r>
                </w:p>
              </w:tc>
              <w:tc>
                <w:tcPr>
                  <w:tcW w:w="673" w:type="pct"/>
                  <w:tcBorders>
                    <w:bottom w:val="single" w:color="auto" w:sz="12" w:space="0"/>
                  </w:tcBorders>
                  <w:vAlign w:val="center"/>
                </w:tcPr>
                <w:p w14:paraId="6E46FB4F">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污染物</w:t>
                  </w:r>
                </w:p>
              </w:tc>
              <w:tc>
                <w:tcPr>
                  <w:tcW w:w="1038" w:type="pct"/>
                  <w:tcBorders>
                    <w:bottom w:val="single" w:color="auto" w:sz="12" w:space="0"/>
                  </w:tcBorders>
                  <w:vAlign w:val="center"/>
                </w:tcPr>
                <w:p w14:paraId="1C5D9EB3">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核算排放浓度/</w:t>
                  </w:r>
                  <w:r>
                    <w:rPr>
                      <w:rFonts w:hint="default" w:ascii="Times New Roman" w:hAnsi="Times New Roman" w:cs="Times New Roman"/>
                      <w:b/>
                      <w:bCs/>
                      <w:color w:val="auto"/>
                      <w:spacing w:val="-11"/>
                      <w:kern w:val="0"/>
                      <w:szCs w:val="21"/>
                      <w:highlight w:val="none"/>
                    </w:rPr>
                    <w:t>（mg/m</w:t>
                  </w:r>
                  <w:r>
                    <w:rPr>
                      <w:rFonts w:hint="default" w:ascii="Times New Roman" w:hAnsi="Times New Roman" w:cs="Times New Roman"/>
                      <w:b/>
                      <w:bCs/>
                      <w:color w:val="auto"/>
                      <w:spacing w:val="-11"/>
                      <w:kern w:val="0"/>
                      <w:szCs w:val="21"/>
                      <w:highlight w:val="none"/>
                      <w:vertAlign w:val="superscript"/>
                    </w:rPr>
                    <w:t>3</w:t>
                  </w:r>
                  <w:r>
                    <w:rPr>
                      <w:rFonts w:hint="default" w:ascii="Times New Roman" w:hAnsi="Times New Roman" w:cs="Times New Roman"/>
                      <w:b/>
                      <w:bCs/>
                      <w:color w:val="auto"/>
                      <w:spacing w:val="-11"/>
                      <w:kern w:val="0"/>
                      <w:szCs w:val="21"/>
                      <w:highlight w:val="none"/>
                    </w:rPr>
                    <w:t>）</w:t>
                  </w:r>
                </w:p>
              </w:tc>
              <w:tc>
                <w:tcPr>
                  <w:tcW w:w="837" w:type="pct"/>
                  <w:tcBorders>
                    <w:bottom w:val="single" w:color="auto" w:sz="12" w:space="0"/>
                  </w:tcBorders>
                  <w:vAlign w:val="center"/>
                </w:tcPr>
                <w:p w14:paraId="61248923">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spacing w:val="-11"/>
                      <w:kern w:val="0"/>
                      <w:szCs w:val="21"/>
                      <w:highlight w:val="none"/>
                    </w:rPr>
                    <w:t>核算排放速率/（kg/h）</w:t>
                  </w:r>
                </w:p>
              </w:tc>
              <w:tc>
                <w:tcPr>
                  <w:tcW w:w="932" w:type="pct"/>
                  <w:tcBorders>
                    <w:bottom w:val="single" w:color="auto" w:sz="12" w:space="0"/>
                  </w:tcBorders>
                  <w:vAlign w:val="center"/>
                </w:tcPr>
                <w:p w14:paraId="306DE1FE">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核算年排放量/（t/a）</w:t>
                  </w:r>
                </w:p>
              </w:tc>
            </w:tr>
            <w:tr w14:paraId="3754AB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6"/>
                  <w:tcBorders>
                    <w:top w:val="single" w:color="auto" w:sz="12" w:space="0"/>
                    <w:tl2br w:val="nil"/>
                    <w:tr2bl w:val="nil"/>
                  </w:tcBorders>
                  <w:vAlign w:val="center"/>
                </w:tcPr>
                <w:p w14:paraId="50ABD596">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一般排放口</w:t>
                  </w:r>
                </w:p>
              </w:tc>
            </w:tr>
            <w:tr w14:paraId="3BEFA8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1" w:type="pct"/>
                  <w:tcBorders>
                    <w:tl2br w:val="nil"/>
                    <w:tr2bl w:val="nil"/>
                  </w:tcBorders>
                  <w:vAlign w:val="center"/>
                </w:tcPr>
                <w:p w14:paraId="72714B7B">
                  <w:pPr>
                    <w:adjustRightInd w:val="0"/>
                    <w:snapToGrid w:val="0"/>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筒仓</w:t>
                  </w:r>
                </w:p>
              </w:tc>
              <w:tc>
                <w:tcPr>
                  <w:tcW w:w="806" w:type="pct"/>
                  <w:tcBorders>
                    <w:tl2br w:val="nil"/>
                    <w:tr2bl w:val="nil"/>
                  </w:tcBorders>
                  <w:vAlign w:val="center"/>
                </w:tcPr>
                <w:p w14:paraId="08742792">
                  <w:pPr>
                    <w:widowControl/>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DA001</w:t>
                  </w:r>
                </w:p>
              </w:tc>
              <w:tc>
                <w:tcPr>
                  <w:tcW w:w="673" w:type="pct"/>
                  <w:tcBorders>
                    <w:tl2br w:val="nil"/>
                    <w:tr2bl w:val="nil"/>
                  </w:tcBorders>
                  <w:vAlign w:val="center"/>
                </w:tcPr>
                <w:p w14:paraId="4F777EB9">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颗粒物</w:t>
                  </w:r>
                </w:p>
              </w:tc>
              <w:tc>
                <w:tcPr>
                  <w:tcW w:w="1038" w:type="pct"/>
                  <w:tcBorders>
                    <w:tl2br w:val="nil"/>
                    <w:tr2bl w:val="nil"/>
                  </w:tcBorders>
                  <w:vAlign w:val="center"/>
                </w:tcPr>
                <w:p w14:paraId="5BD61E89">
                  <w:pPr>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lang w:val="en-US" w:eastAsia="zh-CN"/>
                    </w:rPr>
                    <w:t>0.3</w:t>
                  </w:r>
                </w:p>
              </w:tc>
              <w:tc>
                <w:tcPr>
                  <w:tcW w:w="837" w:type="pct"/>
                  <w:tcBorders>
                    <w:tl2br w:val="nil"/>
                    <w:tr2bl w:val="nil"/>
                  </w:tcBorders>
                  <w:vAlign w:val="center"/>
                </w:tcPr>
                <w:p w14:paraId="3CECEA89">
                  <w:pPr>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lang w:val="en-US" w:eastAsia="zh-CN"/>
                    </w:rPr>
                    <w:t>0.</w:t>
                  </w:r>
                  <w:r>
                    <w:rPr>
                      <w:rFonts w:hint="eastAsia" w:cs="Times New Roman"/>
                      <w:color w:val="auto"/>
                      <w:szCs w:val="21"/>
                      <w:highlight w:val="none"/>
                      <w:lang w:val="en-US" w:eastAsia="zh-CN"/>
                    </w:rPr>
                    <w:t>002</w:t>
                  </w:r>
                </w:p>
              </w:tc>
              <w:tc>
                <w:tcPr>
                  <w:tcW w:w="932" w:type="pct"/>
                  <w:tcBorders>
                    <w:tl2br w:val="nil"/>
                    <w:tr2bl w:val="nil"/>
                  </w:tcBorders>
                  <w:vAlign w:val="center"/>
                </w:tcPr>
                <w:p w14:paraId="7C84BD5E">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04</w:t>
                  </w:r>
                </w:p>
              </w:tc>
            </w:tr>
            <w:tr w14:paraId="17A440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1" w:type="pct"/>
                  <w:tcBorders>
                    <w:tl2br w:val="nil"/>
                    <w:tr2bl w:val="nil"/>
                  </w:tcBorders>
                  <w:vAlign w:val="center"/>
                </w:tcPr>
                <w:p w14:paraId="21580826">
                  <w:pPr>
                    <w:adjustRightInd w:val="0"/>
                    <w:snapToGrid w:val="0"/>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搅拌</w:t>
                  </w:r>
                </w:p>
              </w:tc>
              <w:tc>
                <w:tcPr>
                  <w:tcW w:w="806" w:type="pct"/>
                  <w:tcBorders>
                    <w:tl2br w:val="nil"/>
                    <w:tr2bl w:val="nil"/>
                  </w:tcBorders>
                  <w:vAlign w:val="center"/>
                </w:tcPr>
                <w:p w14:paraId="6CAE09A2">
                  <w:pPr>
                    <w:widowControl/>
                    <w:jc w:val="center"/>
                    <w:textAlignment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DA00</w:t>
                  </w:r>
                  <w:r>
                    <w:rPr>
                      <w:rFonts w:hint="eastAsia" w:cs="Times New Roman"/>
                      <w:color w:val="auto"/>
                      <w:szCs w:val="21"/>
                      <w:highlight w:val="none"/>
                      <w:lang w:val="en-US" w:eastAsia="zh-CN"/>
                    </w:rPr>
                    <w:t>1</w:t>
                  </w:r>
                </w:p>
              </w:tc>
              <w:tc>
                <w:tcPr>
                  <w:tcW w:w="673" w:type="pct"/>
                  <w:tcBorders>
                    <w:tl2br w:val="nil"/>
                    <w:tr2bl w:val="nil"/>
                  </w:tcBorders>
                  <w:vAlign w:val="center"/>
                </w:tcPr>
                <w:p w14:paraId="40B6AAA6">
                  <w:pPr>
                    <w:adjustRightInd w:val="0"/>
                    <w:snapToGrid w:val="0"/>
                    <w:jc w:val="center"/>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颗粒物</w:t>
                  </w:r>
                </w:p>
              </w:tc>
              <w:tc>
                <w:tcPr>
                  <w:tcW w:w="1038" w:type="pct"/>
                  <w:tcBorders>
                    <w:tl2br w:val="nil"/>
                    <w:tr2bl w:val="nil"/>
                  </w:tcBorders>
                  <w:vAlign w:val="center"/>
                </w:tcPr>
                <w:p w14:paraId="41F789E0">
                  <w:pPr>
                    <w:jc w:val="center"/>
                    <w:rPr>
                      <w:rFonts w:hint="default" w:ascii="Times New Roman" w:hAnsi="Times New Roman" w:cs="Times New Roman"/>
                      <w:color w:val="auto"/>
                      <w:lang w:val="en-US" w:eastAsia="zh-CN"/>
                    </w:rPr>
                  </w:pPr>
                  <w:r>
                    <w:rPr>
                      <w:rFonts w:hint="eastAsia" w:cs="Times New Roman"/>
                      <w:color w:val="auto"/>
                      <w:lang w:val="en-US" w:eastAsia="zh-CN"/>
                    </w:rPr>
                    <w:t>0.45</w:t>
                  </w:r>
                </w:p>
              </w:tc>
              <w:tc>
                <w:tcPr>
                  <w:tcW w:w="837" w:type="pct"/>
                  <w:tcBorders>
                    <w:tl2br w:val="nil"/>
                    <w:tr2bl w:val="nil"/>
                  </w:tcBorders>
                  <w:vAlign w:val="center"/>
                </w:tcPr>
                <w:p w14:paraId="1A076826">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w:t>
                  </w:r>
                  <w:r>
                    <w:rPr>
                      <w:rFonts w:hint="eastAsia" w:cs="Times New Roman"/>
                      <w:color w:val="auto"/>
                      <w:szCs w:val="21"/>
                      <w:highlight w:val="none"/>
                      <w:lang w:val="en-US" w:eastAsia="zh-CN"/>
                    </w:rPr>
                    <w:t>002</w:t>
                  </w:r>
                </w:p>
              </w:tc>
              <w:tc>
                <w:tcPr>
                  <w:tcW w:w="932" w:type="pct"/>
                  <w:tcBorders>
                    <w:tl2br w:val="nil"/>
                    <w:tr2bl w:val="nil"/>
                  </w:tcBorders>
                  <w:vAlign w:val="center"/>
                </w:tcPr>
                <w:p w14:paraId="5BC5EA33">
                  <w:pPr>
                    <w:adjustRightInd w:val="0"/>
                    <w:snapToGrid w:val="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04</w:t>
                  </w:r>
                </w:p>
              </w:tc>
            </w:tr>
            <w:tr w14:paraId="0E9E19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17" w:type="pct"/>
                  <w:gridSpan w:val="2"/>
                  <w:tcBorders>
                    <w:tl2br w:val="nil"/>
                    <w:tr2bl w:val="nil"/>
                  </w:tcBorders>
                  <w:vAlign w:val="center"/>
                </w:tcPr>
                <w:p w14:paraId="343E8655">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一般排放口合计</w:t>
                  </w:r>
                </w:p>
              </w:tc>
              <w:tc>
                <w:tcPr>
                  <w:tcW w:w="673" w:type="pct"/>
                  <w:tcBorders>
                    <w:tl2br w:val="nil"/>
                    <w:tr2bl w:val="nil"/>
                  </w:tcBorders>
                  <w:vAlign w:val="center"/>
                </w:tcPr>
                <w:p w14:paraId="2D111725">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颗粒物</w:t>
                  </w:r>
                </w:p>
              </w:tc>
              <w:tc>
                <w:tcPr>
                  <w:tcW w:w="1038" w:type="pct"/>
                  <w:tcBorders>
                    <w:tl2br w:val="nil"/>
                    <w:tr2bl w:val="nil"/>
                  </w:tcBorders>
                  <w:vAlign w:val="center"/>
                </w:tcPr>
                <w:p w14:paraId="2A054E7D">
                  <w:pPr>
                    <w:adjustRightInd w:val="0"/>
                    <w:snapToGrid w:val="0"/>
                    <w:jc w:val="center"/>
                    <w:rPr>
                      <w:rFonts w:hint="default" w:ascii="Times New Roman" w:hAnsi="Times New Roman" w:cs="Times New Roman"/>
                      <w:color w:val="auto"/>
                      <w:kern w:val="0"/>
                      <w:szCs w:val="21"/>
                      <w:highlight w:val="none"/>
                      <w:lang w:val="en-US" w:eastAsia="zh-CN"/>
                    </w:rPr>
                  </w:pPr>
                  <w:r>
                    <w:rPr>
                      <w:rFonts w:hint="eastAsia" w:cs="Times New Roman"/>
                      <w:color w:val="auto"/>
                      <w:kern w:val="0"/>
                      <w:szCs w:val="21"/>
                      <w:highlight w:val="none"/>
                      <w:lang w:val="en-US" w:eastAsia="zh-CN"/>
                    </w:rPr>
                    <w:t>0.75</w:t>
                  </w:r>
                </w:p>
              </w:tc>
              <w:tc>
                <w:tcPr>
                  <w:tcW w:w="837" w:type="pct"/>
                  <w:tcBorders>
                    <w:tl2br w:val="nil"/>
                    <w:tr2bl w:val="nil"/>
                  </w:tcBorders>
                  <w:vAlign w:val="center"/>
                </w:tcPr>
                <w:p w14:paraId="6ECE8860">
                  <w:pPr>
                    <w:adjustRightInd w:val="0"/>
                    <w:snapToGrid w:val="0"/>
                    <w:jc w:val="center"/>
                    <w:rPr>
                      <w:rFonts w:hint="default" w:ascii="Times New Roman" w:hAnsi="Times New Roman"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c>
                <w:tcPr>
                  <w:tcW w:w="932" w:type="pct"/>
                  <w:tcBorders>
                    <w:tl2br w:val="nil"/>
                    <w:tr2bl w:val="nil"/>
                  </w:tcBorders>
                  <w:vAlign w:val="center"/>
                </w:tcPr>
                <w:p w14:paraId="4F55CCFC">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08</w:t>
                  </w:r>
                </w:p>
              </w:tc>
            </w:tr>
            <w:tr w14:paraId="1257B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5000" w:type="pct"/>
                  <w:gridSpan w:val="6"/>
                  <w:tcBorders>
                    <w:tl2br w:val="nil"/>
                    <w:tr2bl w:val="nil"/>
                  </w:tcBorders>
                  <w:vAlign w:val="center"/>
                </w:tcPr>
                <w:p w14:paraId="5B1ED227">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有组织排放总计</w:t>
                  </w:r>
                </w:p>
              </w:tc>
            </w:tr>
            <w:tr w14:paraId="4DEA40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17" w:type="pct"/>
                  <w:gridSpan w:val="2"/>
                  <w:tcBorders>
                    <w:tl2br w:val="nil"/>
                    <w:tr2bl w:val="nil"/>
                  </w:tcBorders>
                  <w:vAlign w:val="center"/>
                </w:tcPr>
                <w:p w14:paraId="76067E7A">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有组织排放总计</w:t>
                  </w:r>
                </w:p>
              </w:tc>
              <w:tc>
                <w:tcPr>
                  <w:tcW w:w="2549" w:type="pct"/>
                  <w:gridSpan w:val="3"/>
                  <w:tcBorders>
                    <w:tl2br w:val="nil"/>
                    <w:tr2bl w:val="nil"/>
                  </w:tcBorders>
                  <w:vAlign w:val="center"/>
                </w:tcPr>
                <w:p w14:paraId="7F5E4D06">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颗粒物</w:t>
                  </w:r>
                </w:p>
              </w:tc>
              <w:tc>
                <w:tcPr>
                  <w:tcW w:w="932" w:type="pct"/>
                  <w:tcBorders>
                    <w:tl2br w:val="nil"/>
                    <w:tr2bl w:val="nil"/>
                  </w:tcBorders>
                  <w:vAlign w:val="center"/>
                </w:tcPr>
                <w:p w14:paraId="625D810D">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08</w:t>
                  </w:r>
                </w:p>
              </w:tc>
            </w:tr>
          </w:tbl>
          <w:p w14:paraId="78A6FB7C">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default" w:ascii="Times New Roman" w:hAnsi="Times New Roman" w:cs="Times New Roman"/>
                <w:b/>
                <w:bCs/>
                <w:color w:val="auto"/>
                <w:highlight w:val="none"/>
                <w:lang w:val="en-US" w:eastAsia="zh-CN"/>
              </w:rPr>
              <w:t>4</w:t>
            </w:r>
            <w:r>
              <w:rPr>
                <w:rFonts w:hint="default" w:ascii="Times New Roman" w:hAnsi="Times New Roman" w:cs="Times New Roman"/>
                <w:b/>
                <w:bCs/>
                <w:color w:val="auto"/>
                <w:highlight w:val="none"/>
              </w:rPr>
              <w:t xml:space="preserve">   </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大气污染物无组织排放量核算表</w:t>
            </w:r>
          </w:p>
          <w:tbl>
            <w:tblPr>
              <w:tblStyle w:val="22"/>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793"/>
              <w:gridCol w:w="677"/>
              <w:gridCol w:w="717"/>
              <w:gridCol w:w="1388"/>
              <w:gridCol w:w="1943"/>
              <w:gridCol w:w="1120"/>
              <w:gridCol w:w="978"/>
            </w:tblGrid>
            <w:tr w14:paraId="239542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36" w:type="pct"/>
                  <w:tcBorders>
                    <w:bottom w:val="single" w:color="auto" w:sz="12" w:space="0"/>
                  </w:tcBorders>
                  <w:vAlign w:val="center"/>
                </w:tcPr>
                <w:p w14:paraId="26A58C4E">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486" w:type="pct"/>
                  <w:tcBorders>
                    <w:bottom w:val="single" w:color="auto" w:sz="12" w:space="0"/>
                  </w:tcBorders>
                  <w:vAlign w:val="center"/>
                </w:tcPr>
                <w:p w14:paraId="03E69E31">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排放口编号</w:t>
                  </w:r>
                </w:p>
              </w:tc>
              <w:tc>
                <w:tcPr>
                  <w:tcW w:w="415" w:type="pct"/>
                  <w:tcBorders>
                    <w:bottom w:val="single" w:color="auto" w:sz="12" w:space="0"/>
                  </w:tcBorders>
                  <w:vAlign w:val="center"/>
                </w:tcPr>
                <w:p w14:paraId="6A10095F">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产污环节</w:t>
                  </w:r>
                </w:p>
              </w:tc>
              <w:tc>
                <w:tcPr>
                  <w:tcW w:w="437" w:type="pct"/>
                  <w:tcBorders>
                    <w:bottom w:val="single" w:color="auto" w:sz="12" w:space="0"/>
                  </w:tcBorders>
                  <w:vAlign w:val="center"/>
                </w:tcPr>
                <w:p w14:paraId="598916DE">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污染物</w:t>
                  </w:r>
                </w:p>
              </w:tc>
              <w:tc>
                <w:tcPr>
                  <w:tcW w:w="850" w:type="pct"/>
                  <w:tcBorders>
                    <w:bottom w:val="single" w:color="auto" w:sz="12" w:space="0"/>
                  </w:tcBorders>
                  <w:vAlign w:val="center"/>
                </w:tcPr>
                <w:p w14:paraId="604EF3D3">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spacing w:val="-11"/>
                      <w:kern w:val="0"/>
                      <w:szCs w:val="21"/>
                      <w:highlight w:val="none"/>
                    </w:rPr>
                    <w:t>主要污染防治措施</w:t>
                  </w:r>
                </w:p>
              </w:tc>
              <w:tc>
                <w:tcPr>
                  <w:tcW w:w="1189" w:type="pct"/>
                  <w:tcBorders>
                    <w:bottom w:val="single" w:color="auto" w:sz="12" w:space="0"/>
                  </w:tcBorders>
                  <w:vAlign w:val="center"/>
                </w:tcPr>
                <w:p w14:paraId="0C877CEB">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标准名称</w:t>
                  </w:r>
                </w:p>
              </w:tc>
              <w:tc>
                <w:tcPr>
                  <w:tcW w:w="685" w:type="pct"/>
                  <w:tcBorders>
                    <w:bottom w:val="single" w:color="auto" w:sz="12" w:space="0"/>
                  </w:tcBorders>
                  <w:vAlign w:val="center"/>
                </w:tcPr>
                <w:p w14:paraId="4B40AC9D">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浓度限值/</w:t>
                  </w:r>
                  <w:r>
                    <w:rPr>
                      <w:rFonts w:hint="default" w:ascii="Times New Roman" w:hAnsi="Times New Roman" w:cs="Times New Roman"/>
                      <w:b/>
                      <w:bCs/>
                      <w:color w:val="auto"/>
                      <w:spacing w:val="-11"/>
                      <w:kern w:val="0"/>
                      <w:szCs w:val="21"/>
                      <w:highlight w:val="none"/>
                    </w:rPr>
                    <w:t>（mg/m</w:t>
                  </w:r>
                  <w:r>
                    <w:rPr>
                      <w:rFonts w:hint="default" w:ascii="Times New Roman" w:hAnsi="Times New Roman" w:cs="Times New Roman"/>
                      <w:b/>
                      <w:bCs/>
                      <w:color w:val="auto"/>
                      <w:spacing w:val="-11"/>
                      <w:kern w:val="0"/>
                      <w:szCs w:val="21"/>
                      <w:highlight w:val="none"/>
                      <w:vertAlign w:val="superscript"/>
                    </w:rPr>
                    <w:t>3</w:t>
                  </w:r>
                  <w:r>
                    <w:rPr>
                      <w:rFonts w:hint="default" w:ascii="Times New Roman" w:hAnsi="Times New Roman" w:cs="Times New Roman"/>
                      <w:b/>
                      <w:bCs/>
                      <w:color w:val="auto"/>
                      <w:spacing w:val="-11"/>
                      <w:kern w:val="0"/>
                      <w:szCs w:val="21"/>
                      <w:highlight w:val="none"/>
                    </w:rPr>
                    <w:t>）</w:t>
                  </w:r>
                </w:p>
              </w:tc>
              <w:tc>
                <w:tcPr>
                  <w:tcW w:w="597" w:type="pct"/>
                  <w:tcBorders>
                    <w:bottom w:val="single" w:color="auto" w:sz="12" w:space="0"/>
                  </w:tcBorders>
                  <w:vAlign w:val="center"/>
                </w:tcPr>
                <w:p w14:paraId="06A4CA8F">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年排放量/（t/a）</w:t>
                  </w:r>
                </w:p>
              </w:tc>
            </w:tr>
            <w:tr w14:paraId="23A559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36" w:type="pct"/>
                  <w:tcBorders>
                    <w:tl2br w:val="nil"/>
                    <w:tr2bl w:val="nil"/>
                  </w:tcBorders>
                  <w:vAlign w:val="center"/>
                </w:tcPr>
                <w:p w14:paraId="179F555C">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w:t>
                  </w:r>
                </w:p>
              </w:tc>
              <w:tc>
                <w:tcPr>
                  <w:tcW w:w="486" w:type="pct"/>
                  <w:tcBorders>
                    <w:tl2br w:val="nil"/>
                    <w:tr2bl w:val="nil"/>
                  </w:tcBorders>
                  <w:vAlign w:val="center"/>
                </w:tcPr>
                <w:p w14:paraId="7E1E0327">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w:t>
                  </w:r>
                </w:p>
              </w:tc>
              <w:tc>
                <w:tcPr>
                  <w:tcW w:w="415" w:type="pct"/>
                  <w:tcBorders>
                    <w:tl2br w:val="nil"/>
                    <w:tr2bl w:val="nil"/>
                  </w:tcBorders>
                  <w:vAlign w:val="center"/>
                </w:tcPr>
                <w:p w14:paraId="1C81C1E8">
                  <w:pPr>
                    <w:jc w:val="center"/>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物料搅拌</w:t>
                  </w:r>
                </w:p>
              </w:tc>
              <w:tc>
                <w:tcPr>
                  <w:tcW w:w="437" w:type="pct"/>
                  <w:tcBorders>
                    <w:tl2br w:val="nil"/>
                    <w:tr2bl w:val="nil"/>
                  </w:tcBorders>
                  <w:vAlign w:val="center"/>
                </w:tcPr>
                <w:p w14:paraId="6020D992">
                  <w:pPr>
                    <w:adjustRightInd w:val="0"/>
                    <w:snapToGrid w:val="0"/>
                    <w:jc w:val="center"/>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颗粒物</w:t>
                  </w:r>
                </w:p>
              </w:tc>
              <w:tc>
                <w:tcPr>
                  <w:tcW w:w="850" w:type="pct"/>
                  <w:tcBorders>
                    <w:tl2br w:val="nil"/>
                    <w:tr2bl w:val="nil"/>
                  </w:tcBorders>
                  <w:vAlign w:val="center"/>
                </w:tcPr>
                <w:p w14:paraId="27AE2293">
                  <w:pPr>
                    <w:adjustRightInd w:val="0"/>
                    <w:snapToGrid w:val="0"/>
                    <w:jc w:val="center"/>
                    <w:rPr>
                      <w:rFonts w:hint="default" w:ascii="Times New Roman" w:hAnsi="Times New Roman" w:eastAsia="宋体" w:cs="Times New Roman"/>
                      <w:color w:val="auto"/>
                      <w:spacing w:val="-11"/>
                      <w:kern w:val="0"/>
                      <w:szCs w:val="21"/>
                      <w:highlight w:val="none"/>
                      <w:lang w:val="en-US" w:eastAsia="zh-CN"/>
                    </w:rPr>
                  </w:pPr>
                  <w:r>
                    <w:rPr>
                      <w:rFonts w:hint="default" w:ascii="Times New Roman" w:hAnsi="Times New Roman" w:cs="Times New Roman"/>
                      <w:bCs/>
                      <w:color w:val="auto"/>
                      <w:sz w:val="21"/>
                      <w:szCs w:val="21"/>
                    </w:rPr>
                    <w:t>全封闭车间</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及时清扫</w:t>
                  </w:r>
                </w:p>
              </w:tc>
              <w:tc>
                <w:tcPr>
                  <w:tcW w:w="1189" w:type="pct"/>
                  <w:tcBorders>
                    <w:tl2br w:val="nil"/>
                    <w:tr2bl w:val="nil"/>
                  </w:tcBorders>
                  <w:vAlign w:val="center"/>
                </w:tcPr>
                <w:p w14:paraId="11849484">
                  <w:pPr>
                    <w:adjustRightInd w:val="0"/>
                    <w:snapToGrid w:val="0"/>
                    <w:jc w:val="center"/>
                    <w:rPr>
                      <w:rFonts w:hint="default" w:ascii="Times New Roman" w:hAnsi="Times New Roman" w:cs="Times New Roman"/>
                      <w:color w:val="auto"/>
                      <w:kern w:val="0"/>
                      <w:szCs w:val="21"/>
                      <w:highlight w:val="none"/>
                    </w:rPr>
                  </w:pPr>
                  <w:r>
                    <w:rPr>
                      <w:rFonts w:hint="eastAsia" w:ascii="Times New Roman" w:hAnsi="Times New Roman" w:eastAsia="宋体" w:cs="Times New Roman"/>
                      <w:color w:val="auto"/>
                      <w:highlight w:val="none"/>
                      <w:lang w:val="en-US" w:eastAsia="zh-CN"/>
                    </w:rPr>
                    <w:t>《水泥工业大气污染物排放标准》（GB4915-2013）</w:t>
                  </w:r>
                </w:p>
              </w:tc>
              <w:tc>
                <w:tcPr>
                  <w:tcW w:w="685" w:type="pct"/>
                  <w:tcBorders>
                    <w:tl2br w:val="nil"/>
                    <w:tr2bl w:val="nil"/>
                  </w:tcBorders>
                  <w:vAlign w:val="center"/>
                </w:tcPr>
                <w:p w14:paraId="724B4253">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0.5</w:t>
                  </w:r>
                </w:p>
              </w:tc>
              <w:tc>
                <w:tcPr>
                  <w:tcW w:w="597" w:type="pct"/>
                  <w:tcBorders>
                    <w:tl2br w:val="nil"/>
                    <w:tr2bl w:val="nil"/>
                  </w:tcBorders>
                  <w:vAlign w:val="center"/>
                </w:tcPr>
                <w:p w14:paraId="2AFFFBBD">
                  <w:pPr>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bCs/>
                      <w:color w:val="auto"/>
                      <w:sz w:val="21"/>
                      <w:szCs w:val="21"/>
                      <w:lang w:val="en-US" w:eastAsia="zh-CN"/>
                    </w:rPr>
                    <w:t>0.</w:t>
                  </w:r>
                  <w:r>
                    <w:rPr>
                      <w:rFonts w:hint="eastAsia" w:cs="Times New Roman"/>
                      <w:bCs/>
                      <w:color w:val="auto"/>
                      <w:sz w:val="21"/>
                      <w:szCs w:val="21"/>
                      <w:lang w:val="en-US" w:eastAsia="zh-CN"/>
                    </w:rPr>
                    <w:t>028</w:t>
                  </w:r>
                </w:p>
              </w:tc>
            </w:tr>
            <w:tr w14:paraId="297E92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000" w:type="pct"/>
                  <w:gridSpan w:val="8"/>
                  <w:tcBorders>
                    <w:tl2br w:val="nil"/>
                    <w:tr2bl w:val="nil"/>
                  </w:tcBorders>
                  <w:vAlign w:val="center"/>
                </w:tcPr>
                <w:p w14:paraId="4BD2A5C9">
                  <w:pPr>
                    <w:jc w:val="center"/>
                    <w:textAlignment w:val="baseline"/>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无组织排放总计</w:t>
                  </w:r>
                </w:p>
              </w:tc>
            </w:tr>
            <w:tr w14:paraId="4102E1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676" w:type="pct"/>
                  <w:gridSpan w:val="4"/>
                  <w:tcBorders>
                    <w:tl2br w:val="nil"/>
                    <w:tr2bl w:val="nil"/>
                  </w:tcBorders>
                  <w:vAlign w:val="center"/>
                </w:tcPr>
                <w:p w14:paraId="6F8767DD">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无组织排放总计</w:t>
                  </w:r>
                </w:p>
              </w:tc>
              <w:tc>
                <w:tcPr>
                  <w:tcW w:w="2040" w:type="pct"/>
                  <w:gridSpan w:val="2"/>
                  <w:tcBorders>
                    <w:tl2br w:val="nil"/>
                    <w:tr2bl w:val="nil"/>
                  </w:tcBorders>
                  <w:vAlign w:val="center"/>
                </w:tcPr>
                <w:p w14:paraId="6B6A5F64">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颗粒物</w:t>
                  </w:r>
                </w:p>
              </w:tc>
              <w:tc>
                <w:tcPr>
                  <w:tcW w:w="1283" w:type="pct"/>
                  <w:gridSpan w:val="2"/>
                  <w:tcBorders>
                    <w:tl2br w:val="nil"/>
                    <w:tr2bl w:val="nil"/>
                  </w:tcBorders>
                  <w:vAlign w:val="center"/>
                </w:tcPr>
                <w:p w14:paraId="04E2967C">
                  <w:pPr>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bCs/>
                      <w:color w:val="auto"/>
                      <w:sz w:val="21"/>
                      <w:szCs w:val="21"/>
                      <w:lang w:val="en-US" w:eastAsia="zh-CN"/>
                    </w:rPr>
                    <w:t>0.</w:t>
                  </w:r>
                  <w:r>
                    <w:rPr>
                      <w:rFonts w:hint="eastAsia" w:cs="Times New Roman"/>
                      <w:bCs/>
                      <w:color w:val="auto"/>
                      <w:sz w:val="21"/>
                      <w:szCs w:val="21"/>
                      <w:lang w:val="en-US" w:eastAsia="zh-CN"/>
                    </w:rPr>
                    <w:t>028</w:t>
                  </w:r>
                </w:p>
              </w:tc>
            </w:tr>
          </w:tbl>
          <w:p w14:paraId="4316B877">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default" w:ascii="Times New Roman" w:hAnsi="Times New Roman" w:cs="Times New Roman"/>
                <w:b/>
                <w:bCs/>
                <w:color w:val="auto"/>
                <w:highlight w:val="none"/>
                <w:lang w:val="en-US" w:eastAsia="zh-CN"/>
              </w:rPr>
              <w:t xml:space="preserve">5 </w:t>
            </w:r>
            <w:r>
              <w:rPr>
                <w:rFonts w:hint="default" w:ascii="Times New Roman" w:hAnsi="Times New Roman" w:cs="Times New Roman"/>
                <w:b/>
                <w:bCs/>
                <w:color w:val="auto"/>
                <w:highlight w:val="none"/>
              </w:rPr>
              <w:t xml:space="preserve">   大气污染物年排放量核算表</w:t>
            </w:r>
          </w:p>
          <w:tbl>
            <w:tblPr>
              <w:tblStyle w:val="22"/>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2054"/>
              <w:gridCol w:w="2054"/>
              <w:gridCol w:w="2246"/>
            </w:tblGrid>
            <w:tr w14:paraId="03436B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tcBorders>
                    <w:bottom w:val="single" w:color="auto" w:sz="12" w:space="0"/>
                  </w:tcBorders>
                  <w:vAlign w:val="center"/>
                </w:tcPr>
                <w:p w14:paraId="542577A8">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1256" w:type="pct"/>
                  <w:tcBorders>
                    <w:bottom w:val="single" w:color="auto" w:sz="12" w:space="0"/>
                  </w:tcBorders>
                  <w:vAlign w:val="center"/>
                </w:tcPr>
                <w:p w14:paraId="6ABAE4BD">
                  <w:pPr>
                    <w:adjustRightInd w:val="0"/>
                    <w:snapToGrid w:val="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排放方式</w:t>
                  </w:r>
                </w:p>
              </w:tc>
              <w:tc>
                <w:tcPr>
                  <w:tcW w:w="1256" w:type="pct"/>
                  <w:tcBorders>
                    <w:bottom w:val="single" w:color="auto" w:sz="12" w:space="0"/>
                  </w:tcBorders>
                  <w:vAlign w:val="center"/>
                </w:tcPr>
                <w:p w14:paraId="66716B05">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污染物</w:t>
                  </w:r>
                </w:p>
              </w:tc>
              <w:tc>
                <w:tcPr>
                  <w:tcW w:w="1374" w:type="pct"/>
                  <w:tcBorders>
                    <w:bottom w:val="single" w:color="auto" w:sz="12" w:space="0"/>
                  </w:tcBorders>
                  <w:vAlign w:val="center"/>
                </w:tcPr>
                <w:p w14:paraId="5AD4F67F">
                  <w:pPr>
                    <w:adjustRightInd w:val="0"/>
                    <w:snapToGri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年排放量/（t/a）</w:t>
                  </w:r>
                </w:p>
              </w:tc>
            </w:tr>
            <w:tr w14:paraId="5F3482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tcBorders>
                    <w:top w:val="single" w:color="auto" w:sz="12" w:space="0"/>
                    <w:tl2br w:val="nil"/>
                    <w:tr2bl w:val="nil"/>
                  </w:tcBorders>
                  <w:vAlign w:val="center"/>
                </w:tcPr>
                <w:p w14:paraId="33997741">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256" w:type="pct"/>
                  <w:tcBorders>
                    <w:top w:val="single" w:color="auto" w:sz="12" w:space="0"/>
                    <w:tl2br w:val="nil"/>
                    <w:tr2bl w:val="nil"/>
                  </w:tcBorders>
                  <w:vAlign w:val="center"/>
                </w:tcPr>
                <w:p w14:paraId="64AF981D">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有组织</w:t>
                  </w:r>
                </w:p>
              </w:tc>
              <w:tc>
                <w:tcPr>
                  <w:tcW w:w="1256" w:type="pct"/>
                  <w:tcBorders>
                    <w:top w:val="single" w:color="auto" w:sz="12" w:space="0"/>
                    <w:tl2br w:val="nil"/>
                    <w:tr2bl w:val="nil"/>
                  </w:tcBorders>
                  <w:vAlign w:val="center"/>
                </w:tcPr>
                <w:p w14:paraId="20385CD2">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颗粒物</w:t>
                  </w:r>
                </w:p>
              </w:tc>
              <w:tc>
                <w:tcPr>
                  <w:tcW w:w="1374" w:type="pct"/>
                  <w:tcBorders>
                    <w:top w:val="single" w:color="auto" w:sz="12" w:space="0"/>
                    <w:tl2br w:val="nil"/>
                    <w:tr2bl w:val="nil"/>
                  </w:tcBorders>
                  <w:vAlign w:val="center"/>
                </w:tcPr>
                <w:p w14:paraId="3EC8DCF8">
                  <w:pPr>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08</w:t>
                  </w:r>
                </w:p>
              </w:tc>
            </w:tr>
            <w:tr w14:paraId="62E72E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tcBorders>
                    <w:tl2br w:val="nil"/>
                    <w:tr2bl w:val="nil"/>
                  </w:tcBorders>
                  <w:vAlign w:val="center"/>
                </w:tcPr>
                <w:p w14:paraId="7DDC9B20">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2</w:t>
                  </w:r>
                </w:p>
              </w:tc>
              <w:tc>
                <w:tcPr>
                  <w:tcW w:w="1256" w:type="pct"/>
                  <w:tcBorders>
                    <w:tl2br w:val="nil"/>
                    <w:tr2bl w:val="nil"/>
                  </w:tcBorders>
                  <w:vAlign w:val="center"/>
                </w:tcPr>
                <w:p w14:paraId="41ED17E5">
                  <w:pPr>
                    <w:adjustRightInd w:val="0"/>
                    <w:snapToGrid w:val="0"/>
                    <w:jc w:val="center"/>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无组织</w:t>
                  </w:r>
                </w:p>
              </w:tc>
              <w:tc>
                <w:tcPr>
                  <w:tcW w:w="1256" w:type="pct"/>
                  <w:tcBorders>
                    <w:tl2br w:val="nil"/>
                    <w:tr2bl w:val="nil"/>
                  </w:tcBorders>
                  <w:vAlign w:val="center"/>
                </w:tcPr>
                <w:p w14:paraId="5AC62583">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颗粒物</w:t>
                  </w:r>
                </w:p>
              </w:tc>
              <w:tc>
                <w:tcPr>
                  <w:tcW w:w="1374" w:type="pct"/>
                  <w:tcBorders>
                    <w:tl2br w:val="nil"/>
                    <w:tr2bl w:val="nil"/>
                  </w:tcBorders>
                  <w:vAlign w:val="center"/>
                </w:tcPr>
                <w:p w14:paraId="0308DC8B">
                  <w:pPr>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0.</w:t>
                  </w:r>
                  <w:r>
                    <w:rPr>
                      <w:rFonts w:hint="eastAsia" w:cs="Times New Roman"/>
                      <w:color w:val="auto"/>
                      <w:szCs w:val="21"/>
                      <w:highlight w:val="none"/>
                      <w:lang w:val="en-US" w:eastAsia="zh-CN"/>
                    </w:rPr>
                    <w:t>028</w:t>
                  </w:r>
                </w:p>
              </w:tc>
            </w:tr>
          </w:tbl>
          <w:p w14:paraId="1D4A6CA0">
            <w:pPr>
              <w:keepNext w:val="0"/>
              <w:keepLines w:val="0"/>
              <w:pageBreakBefore w:val="0"/>
              <w:widowControl w:val="0"/>
              <w:kinsoku/>
              <w:wordWrap/>
              <w:overflowPunct w:val="0"/>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kern w:val="0"/>
                <w:sz w:val="24"/>
                <w:szCs w:val="22"/>
                <w:highlight w:val="none"/>
                <w:lang w:val="en-US" w:eastAsia="zh-CN"/>
              </w:rPr>
            </w:pPr>
            <w:r>
              <w:rPr>
                <w:rFonts w:hint="default" w:ascii="Times New Roman" w:hAnsi="Times New Roman" w:cs="Times New Roman"/>
                <w:bCs/>
                <w:color w:val="auto"/>
                <w:kern w:val="0"/>
                <w:sz w:val="24"/>
                <w:szCs w:val="22"/>
                <w:highlight w:val="none"/>
              </w:rPr>
              <w:t>（</w:t>
            </w:r>
            <w:r>
              <w:rPr>
                <w:rFonts w:hint="default" w:ascii="Times New Roman" w:hAnsi="Times New Roman" w:cs="Times New Roman"/>
                <w:bCs/>
                <w:color w:val="auto"/>
                <w:kern w:val="0"/>
                <w:sz w:val="24"/>
                <w:szCs w:val="22"/>
                <w:highlight w:val="none"/>
                <w:lang w:val="en-US" w:eastAsia="zh-CN"/>
              </w:rPr>
              <w:t>3</w:t>
            </w:r>
            <w:r>
              <w:rPr>
                <w:rFonts w:hint="default" w:ascii="Times New Roman" w:hAnsi="Times New Roman" w:cs="Times New Roman"/>
                <w:bCs/>
                <w:color w:val="auto"/>
                <w:kern w:val="0"/>
                <w:sz w:val="24"/>
                <w:szCs w:val="22"/>
                <w:highlight w:val="none"/>
              </w:rPr>
              <w:t>）</w:t>
            </w:r>
            <w:r>
              <w:rPr>
                <w:rFonts w:hint="default" w:ascii="Times New Roman" w:hAnsi="Times New Roman" w:cs="Times New Roman"/>
                <w:bCs/>
                <w:color w:val="auto"/>
                <w:kern w:val="0"/>
                <w:sz w:val="24"/>
                <w:szCs w:val="22"/>
                <w:highlight w:val="none"/>
                <w:lang w:val="en-US" w:eastAsia="zh-CN"/>
              </w:rPr>
              <w:t>切割粉尘</w:t>
            </w:r>
          </w:p>
          <w:p w14:paraId="0D8D4F5F">
            <w:pPr>
              <w:keepNext w:val="0"/>
              <w:keepLines w:val="0"/>
              <w:pageBreakBefore w:val="0"/>
              <w:widowControl w:val="0"/>
              <w:kinsoku/>
              <w:wordWrap/>
              <w:overflowPunct w:val="0"/>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bCs/>
                <w:color w:val="auto"/>
                <w:kern w:val="0"/>
                <w:sz w:val="24"/>
                <w:szCs w:val="22"/>
                <w:highlight w:val="none"/>
                <w:lang w:val="en-US" w:eastAsia="zh-CN"/>
              </w:rPr>
            </w:pPr>
            <w:r>
              <w:rPr>
                <w:rFonts w:hint="default" w:ascii="Times New Roman" w:hAnsi="Times New Roman" w:eastAsia="宋体" w:cs="Times New Roman"/>
                <w:bCs/>
                <w:color w:val="auto"/>
                <w:kern w:val="0"/>
                <w:sz w:val="24"/>
                <w:szCs w:val="22"/>
                <w:highlight w:val="none"/>
                <w:lang w:val="en-US" w:eastAsia="zh-CN"/>
              </w:rPr>
              <w:t>保温</w:t>
            </w:r>
            <w:r>
              <w:rPr>
                <w:rFonts w:hint="eastAsia" w:cs="Times New Roman"/>
                <w:bCs/>
                <w:color w:val="auto"/>
                <w:kern w:val="0"/>
                <w:sz w:val="24"/>
                <w:szCs w:val="22"/>
                <w:highlight w:val="none"/>
                <w:lang w:val="en-US" w:eastAsia="zh-CN"/>
              </w:rPr>
              <w:t>免拆一体板</w:t>
            </w:r>
            <w:r>
              <w:rPr>
                <w:rFonts w:hint="default" w:ascii="Times New Roman" w:hAnsi="Times New Roman" w:eastAsia="宋体" w:cs="Times New Roman"/>
                <w:bCs/>
                <w:color w:val="auto"/>
                <w:kern w:val="0"/>
                <w:sz w:val="24"/>
                <w:szCs w:val="22"/>
                <w:highlight w:val="none"/>
                <w:lang w:val="en-US" w:eastAsia="zh-CN"/>
              </w:rPr>
              <w:t>经</w:t>
            </w:r>
            <w:r>
              <w:rPr>
                <w:rFonts w:hint="eastAsia" w:cs="Times New Roman"/>
                <w:bCs/>
                <w:color w:val="auto"/>
                <w:kern w:val="0"/>
                <w:sz w:val="24"/>
                <w:szCs w:val="22"/>
                <w:highlight w:val="none"/>
                <w:lang w:val="en-US" w:eastAsia="zh-CN"/>
              </w:rPr>
              <w:t>复合</w:t>
            </w:r>
            <w:r>
              <w:rPr>
                <w:rFonts w:hint="default" w:ascii="Times New Roman" w:hAnsi="Times New Roman" w:eastAsia="宋体" w:cs="Times New Roman"/>
                <w:bCs/>
                <w:color w:val="auto"/>
                <w:kern w:val="0"/>
                <w:sz w:val="24"/>
                <w:szCs w:val="22"/>
                <w:highlight w:val="none"/>
                <w:lang w:val="en-US" w:eastAsia="zh-CN"/>
              </w:rPr>
              <w:t>后转运至切割</w:t>
            </w:r>
            <w:r>
              <w:rPr>
                <w:rFonts w:hint="eastAsia" w:cs="Times New Roman"/>
                <w:bCs/>
                <w:color w:val="auto"/>
                <w:kern w:val="0"/>
                <w:sz w:val="24"/>
                <w:szCs w:val="22"/>
                <w:highlight w:val="none"/>
                <w:lang w:val="en-US" w:eastAsia="zh-CN"/>
              </w:rPr>
              <w:t>工序</w:t>
            </w:r>
            <w:r>
              <w:rPr>
                <w:rFonts w:hint="default" w:ascii="Times New Roman" w:hAnsi="Times New Roman" w:eastAsia="宋体" w:cs="Times New Roman"/>
                <w:bCs/>
                <w:color w:val="auto"/>
                <w:kern w:val="0"/>
                <w:sz w:val="24"/>
                <w:szCs w:val="22"/>
                <w:highlight w:val="none"/>
                <w:lang w:val="en-US" w:eastAsia="zh-CN"/>
              </w:rPr>
              <w:t>，经</w:t>
            </w:r>
            <w:r>
              <w:rPr>
                <w:rFonts w:hint="default" w:ascii="Times New Roman" w:hAnsi="Times New Roman" w:cs="Times New Roman"/>
                <w:bCs/>
                <w:color w:val="auto"/>
                <w:kern w:val="0"/>
                <w:sz w:val="24"/>
                <w:szCs w:val="22"/>
                <w:highlight w:val="none"/>
                <w:lang w:val="en-US" w:eastAsia="zh-CN"/>
              </w:rPr>
              <w:t>横</w:t>
            </w:r>
            <w:r>
              <w:rPr>
                <w:rFonts w:hint="default" w:ascii="Times New Roman" w:hAnsi="Times New Roman" w:eastAsia="宋体" w:cs="Times New Roman"/>
                <w:bCs/>
                <w:color w:val="auto"/>
                <w:kern w:val="0"/>
                <w:sz w:val="24"/>
                <w:szCs w:val="22"/>
                <w:highlight w:val="none"/>
                <w:lang w:val="en-US" w:eastAsia="zh-CN"/>
              </w:rPr>
              <w:t>向切割机、纵向切割机切割成订单的规格尺寸，切割后的产品检验合格后入库。</w:t>
            </w:r>
          </w:p>
          <w:p w14:paraId="470EFE5C">
            <w:pPr>
              <w:pStyle w:val="11"/>
              <w:keepNext w:val="0"/>
              <w:keepLines w:val="0"/>
              <w:pageBreakBefore w:val="0"/>
              <w:widowControl w:val="0"/>
              <w:kinsoku/>
              <w:wordWrap/>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w:t>
            </w:r>
            <w:r>
              <w:rPr>
                <w:rFonts w:hint="default" w:ascii="Times New Roman" w:hAnsi="Times New Roman" w:eastAsia="宋体" w:cs="Times New Roman"/>
                <w:bCs/>
                <w:color w:val="auto"/>
                <w:kern w:val="0"/>
                <w:sz w:val="24"/>
                <w:szCs w:val="22"/>
                <w:highlight w:val="none"/>
                <w:lang w:val="en-US" w:eastAsia="zh-CN"/>
              </w:rPr>
              <w:t>保温</w:t>
            </w:r>
            <w:r>
              <w:rPr>
                <w:rFonts w:hint="eastAsia" w:cs="Times New Roman"/>
                <w:bCs/>
                <w:color w:val="auto"/>
                <w:kern w:val="0"/>
                <w:sz w:val="24"/>
                <w:szCs w:val="22"/>
                <w:highlight w:val="none"/>
                <w:lang w:val="en-US" w:eastAsia="zh-CN"/>
              </w:rPr>
              <w:t>免拆一体板</w:t>
            </w:r>
            <w:r>
              <w:rPr>
                <w:rFonts w:hint="default" w:ascii="Times New Roman" w:hAnsi="Times New Roman" w:cs="Times New Roman"/>
                <w:color w:val="auto"/>
                <w:highlight w:val="none"/>
                <w:lang w:val="en-US" w:eastAsia="zh-CN"/>
              </w:rPr>
              <w:t>采用湿法切割的方式进行，产生的切割粉尘极少，本次环评不做定量分析。</w:t>
            </w:r>
          </w:p>
          <w:p w14:paraId="7F25F07B">
            <w:pPr>
              <w:widowControl/>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1.3废气处理措施及其可行性分析</w:t>
            </w:r>
          </w:p>
          <w:p w14:paraId="6BEF7CA1">
            <w:pPr>
              <w:keepNext w:val="0"/>
              <w:keepLines w:val="0"/>
              <w:pageBreakBefore w:val="0"/>
              <w:widowControl/>
              <w:suppressLineNumbers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本项目的废气污染物主要为颗粒物，根据《排污许可证申请与核发技术规范总则》（HJ953-2018）、《排污许可证申请与合法技术规范</w:t>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水泥工业》（HJ847-2017）要求，生产过程中采取袋</w:t>
            </w:r>
            <w:r>
              <w:rPr>
                <w:rFonts w:hint="eastAsia" w:cs="Times New Roman"/>
                <w:color w:val="auto"/>
                <w:sz w:val="24"/>
                <w:szCs w:val="24"/>
                <w:highlight w:val="none"/>
                <w:lang w:val="en-US" w:eastAsia="zh-CN"/>
              </w:rPr>
              <w:t>式</w:t>
            </w:r>
            <w:r>
              <w:rPr>
                <w:rFonts w:hint="default" w:ascii="Times New Roman" w:hAnsi="Times New Roman" w:eastAsia="宋体" w:cs="Times New Roman"/>
                <w:color w:val="auto"/>
                <w:sz w:val="24"/>
                <w:szCs w:val="24"/>
                <w:highlight w:val="none"/>
                <w:lang w:val="en-US" w:eastAsia="zh-CN"/>
              </w:rPr>
              <w:t>除尘器处理的废气治理措施为可行性技术，可有效去除污染物，使其达标排放。</w:t>
            </w:r>
          </w:p>
          <w:p w14:paraId="2C9CDDCD">
            <w:pPr>
              <w:keepNext w:val="0"/>
              <w:keepLines w:val="0"/>
              <w:pageBreakBefore w:val="0"/>
              <w:widowControl/>
              <w:suppressLineNumbers w:val="0"/>
              <w:kinsoku/>
              <w:wordWrap/>
              <w:overflowPunct/>
              <w:topLinePunct w:val="0"/>
              <w:autoSpaceDE/>
              <w:autoSpaceDN/>
              <w:bidi w:val="0"/>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lang w:val="en-US" w:eastAsia="zh-CN"/>
              </w:rPr>
              <w:t>水泥</w:t>
            </w:r>
            <w:r>
              <w:rPr>
                <w:rFonts w:hint="eastAsia" w:cs="Times New Roman"/>
                <w:color w:val="auto"/>
                <w:sz w:val="24"/>
                <w:szCs w:val="24"/>
                <w:highlight w:val="none"/>
                <w:lang w:val="en-US" w:eastAsia="zh-CN"/>
              </w:rPr>
              <w:t>以筒仓形式</w:t>
            </w:r>
            <w:r>
              <w:rPr>
                <w:rFonts w:hint="default" w:ascii="Times New Roman" w:hAnsi="Times New Roman" w:cs="Times New Roman"/>
                <w:color w:val="auto"/>
                <w:sz w:val="24"/>
                <w:szCs w:val="24"/>
                <w:highlight w:val="none"/>
                <w:lang w:val="en-US" w:eastAsia="zh-CN"/>
              </w:rPr>
              <w:t>储存</w:t>
            </w:r>
            <w:r>
              <w:rPr>
                <w:rFonts w:hint="eastAsia" w:cs="Times New Roman"/>
                <w:color w:val="auto"/>
                <w:sz w:val="24"/>
                <w:szCs w:val="24"/>
                <w:highlight w:val="none"/>
                <w:lang w:val="en-US" w:eastAsia="zh-CN"/>
              </w:rPr>
              <w:t>，筒</w:t>
            </w:r>
            <w:r>
              <w:rPr>
                <w:rFonts w:hint="default" w:ascii="Times New Roman" w:hAnsi="Times New Roman" w:eastAsia="宋体" w:cs="Times New Roman"/>
                <w:color w:val="auto"/>
                <w:sz w:val="24"/>
                <w:szCs w:val="24"/>
                <w:highlight w:val="none"/>
                <w:lang w:val="en-US" w:eastAsia="zh-CN"/>
              </w:rPr>
              <w:t>仓为封闭结构；厂区内道路必须全部硬化，每天洒水，可大量减少车辆运输粉尘。经源强核算后粉尘排放均</w:t>
            </w:r>
            <w:r>
              <w:rPr>
                <w:rFonts w:hint="eastAsia" w:cs="Times New Roman"/>
                <w:color w:val="auto"/>
                <w:sz w:val="24"/>
                <w:szCs w:val="24"/>
                <w:highlight w:val="none"/>
                <w:lang w:val="en-US" w:eastAsia="zh-CN"/>
              </w:rPr>
              <w:t>满足</w:t>
            </w:r>
            <w:r>
              <w:rPr>
                <w:rFonts w:hint="default" w:ascii="Times New Roman" w:hAnsi="Times New Roman" w:eastAsia="宋体" w:cs="Times New Roman"/>
                <w:color w:val="auto"/>
                <w:sz w:val="24"/>
                <w:szCs w:val="24"/>
                <w:highlight w:val="none"/>
                <w:lang w:val="en-US" w:eastAsia="zh-CN"/>
              </w:rPr>
              <w:t>《水泥工业大气污染物排放标准》（GB4915-2013）中相应的排放标准要求。因此本项目采取的污染治理措施可行</w:t>
            </w:r>
            <w:r>
              <w:rPr>
                <w:rFonts w:hint="default" w:ascii="Times New Roman" w:hAnsi="Times New Roman" w:cs="Times New Roman"/>
                <w:color w:val="auto"/>
                <w:sz w:val="24"/>
                <w:szCs w:val="24"/>
                <w:highlight w:val="none"/>
                <w:lang w:val="en-US" w:eastAsia="zh-CN"/>
              </w:rPr>
              <w:t>。</w:t>
            </w:r>
          </w:p>
          <w:p w14:paraId="491B4A89">
            <w:pPr>
              <w:keepNext w:val="0"/>
              <w:keepLines w:val="0"/>
              <w:pageBreakBefore w:val="0"/>
              <w:widowControl/>
              <w:suppressLineNumbers w:val="0"/>
              <w:kinsoku/>
              <w:wordWrap/>
              <w:overflowPunct/>
              <w:topLinePunct w:val="0"/>
              <w:autoSpaceDE/>
              <w:autoSpaceDN/>
              <w:bidi w:val="0"/>
              <w:spacing w:line="360" w:lineRule="auto"/>
              <w:ind w:right="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非正常工况</w:t>
            </w:r>
          </w:p>
          <w:p w14:paraId="70F6393B">
            <w:pPr>
              <w:keepNext w:val="0"/>
              <w:keepLines w:val="0"/>
              <w:widowControl/>
              <w:suppressLineNumbers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根据《环境影响评价技术导则大气环境》（HJ2.2-2018），非正常排放包括设备检修、污染物排放控制措施达不到应有效率、工艺设备运转异常等。</w:t>
            </w:r>
            <w:r>
              <w:rPr>
                <w:rFonts w:hint="eastAsia" w:ascii="宋体" w:hAnsi="宋体" w:eastAsia="宋体" w:cs="宋体"/>
                <w:color w:val="auto"/>
                <w:kern w:val="0"/>
                <w:sz w:val="24"/>
                <w:szCs w:val="24"/>
                <w:lang w:val="en-US" w:eastAsia="zh-CN" w:bidi="ar"/>
              </w:rPr>
              <w:t>本项目非正常工况主要为</w:t>
            </w:r>
            <w:r>
              <w:rPr>
                <w:rFonts w:hint="eastAsia" w:ascii="宋体" w:hAnsi="宋体" w:cs="宋体"/>
                <w:color w:val="auto"/>
                <w:kern w:val="0"/>
                <w:sz w:val="24"/>
                <w:szCs w:val="24"/>
                <w:lang w:val="en-US" w:eastAsia="zh-CN" w:bidi="ar"/>
              </w:rPr>
              <w:t>设备检修、袋式</w:t>
            </w:r>
            <w:r>
              <w:rPr>
                <w:rFonts w:hint="eastAsia" w:ascii="宋体" w:hAnsi="宋体" w:eastAsia="宋体" w:cs="宋体"/>
                <w:color w:val="auto"/>
                <w:kern w:val="0"/>
                <w:sz w:val="24"/>
                <w:szCs w:val="24"/>
                <w:lang w:val="en-US" w:eastAsia="zh-CN" w:bidi="ar"/>
              </w:rPr>
              <w:t>除尘器破损，</w:t>
            </w:r>
            <w:r>
              <w:rPr>
                <w:rFonts w:hint="eastAsia" w:ascii="宋体" w:hAnsi="宋体" w:cs="宋体"/>
                <w:color w:val="auto"/>
                <w:kern w:val="0"/>
                <w:sz w:val="24"/>
                <w:szCs w:val="24"/>
                <w:lang w:val="en-US" w:eastAsia="zh-CN" w:bidi="ar"/>
              </w:rPr>
              <w:t>设备检修、</w:t>
            </w:r>
            <w:r>
              <w:rPr>
                <w:rFonts w:hint="eastAsia" w:ascii="宋体" w:hAnsi="宋体" w:eastAsia="宋体" w:cs="宋体"/>
                <w:color w:val="auto"/>
                <w:kern w:val="0"/>
                <w:sz w:val="24"/>
                <w:szCs w:val="24"/>
                <w:lang w:val="en-US" w:eastAsia="zh-CN" w:bidi="ar"/>
              </w:rPr>
              <w:t>袋式除尘装置发生故障时处理效率为</w:t>
            </w:r>
            <w:r>
              <w:rPr>
                <w:rFonts w:hint="default" w:ascii="Times New Roman" w:hAnsi="Times New Roman" w:eastAsia="宋体" w:cs="Times New Roman"/>
                <w:color w:val="auto"/>
                <w:kern w:val="0"/>
                <w:sz w:val="24"/>
                <w:szCs w:val="24"/>
                <w:lang w:val="en-US" w:eastAsia="zh-CN" w:bidi="ar"/>
              </w:rPr>
              <w:t>0</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sz w:val="24"/>
                <w:szCs w:val="24"/>
                <w:highlight w:val="none"/>
                <w:lang w:val="en-US" w:eastAsia="zh-CN"/>
              </w:rPr>
              <w:t>在此情景下，本项目废气污染物产生情况及排放情况，具体见表</w:t>
            </w:r>
            <w:r>
              <w:rPr>
                <w:rFonts w:hint="default" w:ascii="Times New Roman" w:hAnsi="Times New Roman"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lang w:val="en-US" w:eastAsia="zh-CN"/>
              </w:rPr>
              <w:t>。</w:t>
            </w:r>
          </w:p>
          <w:p w14:paraId="6B2E2A1E">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cs="Times New Roman"/>
                <w:b/>
                <w:bCs/>
                <w:color w:val="auto"/>
                <w:sz w:val="21"/>
                <w:szCs w:val="21"/>
                <w:highlight w:val="none"/>
                <w:lang w:val="en-US" w:eastAsia="zh-CN"/>
              </w:rPr>
              <w:t xml:space="preserve">6    </w:t>
            </w:r>
            <w:r>
              <w:rPr>
                <w:rFonts w:hint="default" w:ascii="Times New Roman" w:hAnsi="Times New Roman" w:eastAsia="宋体" w:cs="Times New Roman"/>
                <w:b/>
                <w:bCs/>
                <w:color w:val="auto"/>
                <w:sz w:val="21"/>
                <w:szCs w:val="21"/>
                <w:highlight w:val="none"/>
              </w:rPr>
              <w:t>本项目</w:t>
            </w:r>
            <w:r>
              <w:rPr>
                <w:rFonts w:hint="eastAsia" w:cs="Times New Roman"/>
                <w:b/>
                <w:bCs/>
                <w:color w:val="auto"/>
                <w:sz w:val="21"/>
                <w:szCs w:val="21"/>
                <w:highlight w:val="none"/>
                <w:lang w:val="en-US" w:eastAsia="zh-CN"/>
              </w:rPr>
              <w:t>非正常工况</w:t>
            </w:r>
            <w:r>
              <w:rPr>
                <w:rFonts w:hint="default" w:ascii="Times New Roman" w:hAnsi="Times New Roman" w:eastAsia="宋体" w:cs="Times New Roman"/>
                <w:b/>
                <w:bCs/>
                <w:color w:val="auto"/>
                <w:sz w:val="21"/>
                <w:szCs w:val="21"/>
                <w:highlight w:val="none"/>
              </w:rPr>
              <w:t>废气产生、排放情况表</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78"/>
              <w:gridCol w:w="969"/>
              <w:gridCol w:w="1826"/>
              <w:gridCol w:w="1433"/>
              <w:gridCol w:w="1013"/>
              <w:gridCol w:w="543"/>
              <w:gridCol w:w="528"/>
              <w:gridCol w:w="979"/>
            </w:tblGrid>
            <w:tr w14:paraId="6EF856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7" w:type="pct"/>
                  <w:vMerge w:val="restart"/>
                  <w:tcBorders>
                    <w:tl2br w:val="nil"/>
                    <w:tr2bl w:val="nil"/>
                  </w:tcBorders>
                  <w:vAlign w:val="center"/>
                </w:tcPr>
                <w:p w14:paraId="44FDC1B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污染</w:t>
                  </w:r>
                  <w:r>
                    <w:rPr>
                      <w:rFonts w:hint="eastAsia" w:ascii="Times New Roman" w:hAnsi="Times New Roman" w:cs="Times New Roman"/>
                      <w:b/>
                      <w:bCs/>
                      <w:color w:val="auto"/>
                      <w:sz w:val="21"/>
                      <w:szCs w:val="21"/>
                      <w:highlight w:val="none"/>
                      <w:lang w:val="en-US" w:eastAsia="zh-CN"/>
                    </w:rPr>
                    <w:t>物</w:t>
                  </w:r>
                </w:p>
              </w:tc>
              <w:tc>
                <w:tcPr>
                  <w:tcW w:w="593" w:type="pct"/>
                  <w:vMerge w:val="restart"/>
                  <w:tcBorders>
                    <w:tl2br w:val="nil"/>
                    <w:tr2bl w:val="nil"/>
                  </w:tcBorders>
                  <w:vAlign w:val="center"/>
                </w:tcPr>
                <w:p w14:paraId="2B047A8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排放方式</w:t>
                  </w:r>
                </w:p>
              </w:tc>
              <w:tc>
                <w:tcPr>
                  <w:tcW w:w="1994" w:type="pct"/>
                  <w:gridSpan w:val="2"/>
                  <w:tcBorders>
                    <w:tl2br w:val="nil"/>
                    <w:tr2bl w:val="nil"/>
                  </w:tcBorders>
                  <w:vAlign w:val="center"/>
                </w:tcPr>
                <w:p w14:paraId="057DA39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污染物产生</w:t>
                  </w:r>
                </w:p>
              </w:tc>
              <w:tc>
                <w:tcPr>
                  <w:tcW w:w="620" w:type="pct"/>
                  <w:tcBorders>
                    <w:tl2br w:val="nil"/>
                    <w:tr2bl w:val="nil"/>
                  </w:tcBorders>
                  <w:vAlign w:val="center"/>
                </w:tcPr>
                <w:p w14:paraId="4187491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排放标准</w:t>
                  </w:r>
                </w:p>
              </w:tc>
              <w:tc>
                <w:tcPr>
                  <w:tcW w:w="332" w:type="pct"/>
                  <w:vMerge w:val="restart"/>
                  <w:tcBorders>
                    <w:tl2br w:val="nil"/>
                    <w:tr2bl w:val="nil"/>
                  </w:tcBorders>
                  <w:vAlign w:val="center"/>
                </w:tcPr>
                <w:p w14:paraId="2FA3114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达标情况</w:t>
                  </w:r>
                </w:p>
              </w:tc>
              <w:tc>
                <w:tcPr>
                  <w:tcW w:w="323" w:type="pct"/>
                  <w:vMerge w:val="restart"/>
                  <w:tcBorders>
                    <w:tl2br w:val="nil"/>
                    <w:tr2bl w:val="nil"/>
                  </w:tcBorders>
                  <w:vAlign w:val="center"/>
                </w:tcPr>
                <w:p w14:paraId="6B2609D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持续时间</w:t>
                  </w:r>
                </w:p>
              </w:tc>
              <w:tc>
                <w:tcPr>
                  <w:tcW w:w="599" w:type="pct"/>
                  <w:vMerge w:val="restart"/>
                  <w:tcBorders>
                    <w:tl2br w:val="nil"/>
                    <w:tr2bl w:val="nil"/>
                  </w:tcBorders>
                  <w:vAlign w:val="center"/>
                </w:tcPr>
                <w:p w14:paraId="6C28EC3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发生频次</w:t>
                  </w:r>
                </w:p>
              </w:tc>
            </w:tr>
            <w:tr w14:paraId="6B1634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37" w:type="pct"/>
                  <w:vMerge w:val="continue"/>
                  <w:tcBorders>
                    <w:bottom w:val="single" w:color="000000" w:sz="12" w:space="0"/>
                    <w:tl2br w:val="nil"/>
                    <w:tr2bl w:val="nil"/>
                  </w:tcBorders>
                  <w:vAlign w:val="center"/>
                </w:tcPr>
                <w:p w14:paraId="4783E82B">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593" w:type="pct"/>
                  <w:vMerge w:val="continue"/>
                  <w:tcBorders>
                    <w:bottom w:val="single" w:color="000000" w:sz="12" w:space="0"/>
                    <w:tl2br w:val="nil"/>
                    <w:tr2bl w:val="nil"/>
                  </w:tcBorders>
                  <w:vAlign w:val="center"/>
                </w:tcPr>
                <w:p w14:paraId="19F15889">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117" w:type="pct"/>
                  <w:tcBorders>
                    <w:bottom w:val="single" w:color="000000" w:sz="12" w:space="0"/>
                    <w:tl2br w:val="nil"/>
                    <w:tr2bl w:val="nil"/>
                  </w:tcBorders>
                  <w:vAlign w:val="center"/>
                </w:tcPr>
                <w:p w14:paraId="7A4296F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产生速率（kg/h）</w:t>
                  </w:r>
                </w:p>
              </w:tc>
              <w:tc>
                <w:tcPr>
                  <w:tcW w:w="877" w:type="pct"/>
                  <w:tcBorders>
                    <w:bottom w:val="single" w:color="000000" w:sz="12" w:space="0"/>
                    <w:tl2br w:val="nil"/>
                    <w:tr2bl w:val="nil"/>
                  </w:tcBorders>
                  <w:vAlign w:val="center"/>
                </w:tcPr>
                <w:p w14:paraId="211EDF5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r>
                    <w:rPr>
                      <w:rFonts w:hint="eastAsia" w:ascii="Times New Roman" w:hAnsi="Times New Roman" w:cs="Times New Roman"/>
                      <w:b/>
                      <w:bCs/>
                      <w:color w:val="auto"/>
                      <w:sz w:val="21"/>
                      <w:szCs w:val="21"/>
                      <w:highlight w:val="none"/>
                      <w:lang w:val="en-US" w:eastAsia="zh-CN"/>
                    </w:rPr>
                    <w:t>kg</w:t>
                  </w:r>
                  <w:r>
                    <w:rPr>
                      <w:rFonts w:hint="default" w:ascii="Times New Roman" w:hAnsi="Times New Roman" w:eastAsia="宋体" w:cs="Times New Roman"/>
                      <w:b/>
                      <w:bCs/>
                      <w:color w:val="auto"/>
                      <w:sz w:val="21"/>
                      <w:szCs w:val="21"/>
                      <w:highlight w:val="none"/>
                    </w:rPr>
                    <w:t>/a）</w:t>
                  </w:r>
                </w:p>
              </w:tc>
              <w:tc>
                <w:tcPr>
                  <w:tcW w:w="620" w:type="pct"/>
                  <w:tcBorders>
                    <w:bottom w:val="single" w:color="000000" w:sz="12" w:space="0"/>
                    <w:tl2br w:val="nil"/>
                    <w:tr2bl w:val="nil"/>
                  </w:tcBorders>
                  <w:vAlign w:val="center"/>
                </w:tcPr>
                <w:p w14:paraId="4033EE3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w:t>
                  </w:r>
                </w:p>
              </w:tc>
              <w:tc>
                <w:tcPr>
                  <w:tcW w:w="332" w:type="pct"/>
                  <w:vMerge w:val="continue"/>
                  <w:tcBorders>
                    <w:bottom w:val="single" w:color="000000" w:sz="12" w:space="0"/>
                    <w:tl2br w:val="nil"/>
                    <w:tr2bl w:val="nil"/>
                  </w:tcBorders>
                  <w:vAlign w:val="center"/>
                </w:tcPr>
                <w:p w14:paraId="24BDD932">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23" w:type="pct"/>
                  <w:vMerge w:val="continue"/>
                  <w:tcBorders>
                    <w:bottom w:val="single" w:color="000000" w:sz="12" w:space="0"/>
                    <w:tl2br w:val="nil"/>
                    <w:tr2bl w:val="nil"/>
                  </w:tcBorders>
                  <w:vAlign w:val="center"/>
                </w:tcPr>
                <w:p w14:paraId="1A89954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599" w:type="pct"/>
                  <w:vMerge w:val="continue"/>
                  <w:tcBorders>
                    <w:bottom w:val="single" w:color="000000" w:sz="12" w:space="0"/>
                    <w:tl2br w:val="nil"/>
                    <w:tr2bl w:val="nil"/>
                  </w:tcBorders>
                  <w:vAlign w:val="center"/>
                </w:tcPr>
                <w:p w14:paraId="0ACBEF5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r>
            <w:tr w14:paraId="5FB688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537" w:type="pct"/>
                  <w:vAlign w:val="center"/>
                </w:tcPr>
                <w:p w14:paraId="3A531549">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颗粒物</w:t>
                  </w:r>
                </w:p>
              </w:tc>
              <w:tc>
                <w:tcPr>
                  <w:tcW w:w="593" w:type="pct"/>
                  <w:vAlign w:val="center"/>
                </w:tcPr>
                <w:p w14:paraId="3EB1694F">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w:t>
                  </w:r>
                </w:p>
              </w:tc>
              <w:tc>
                <w:tcPr>
                  <w:tcW w:w="1117" w:type="pct"/>
                  <w:vAlign w:val="center"/>
                </w:tcPr>
                <w:p w14:paraId="5F1FDB33">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0.749</w:t>
                  </w:r>
                </w:p>
              </w:tc>
              <w:tc>
                <w:tcPr>
                  <w:tcW w:w="877" w:type="pct"/>
                  <w:vAlign w:val="center"/>
                </w:tcPr>
                <w:p w14:paraId="1F1C4415">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kern w:val="2"/>
                      <w:sz w:val="21"/>
                      <w:szCs w:val="21"/>
                      <w:highlight w:val="none"/>
                      <w:lang w:val="en-US" w:eastAsia="zh-CN" w:bidi="zh-CN"/>
                    </w:rPr>
                    <w:t>0.749</w:t>
                  </w:r>
                </w:p>
              </w:tc>
              <w:tc>
                <w:tcPr>
                  <w:tcW w:w="620" w:type="pct"/>
                  <w:vAlign w:val="center"/>
                </w:tcPr>
                <w:p w14:paraId="01A0342E">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superscript"/>
                      <w:lang w:val="en-US" w:eastAsia="zh-CN" w:bidi="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w:t>
                  </w:r>
                  <w:r>
                    <w:rPr>
                      <w:rFonts w:hint="eastAsia" w:ascii="Times New Roman" w:hAnsi="Times New Roman" w:cs="Times New Roman"/>
                      <w:color w:val="auto"/>
                      <w:sz w:val="21"/>
                      <w:szCs w:val="21"/>
                      <w:highlight w:val="none"/>
                      <w:lang w:val="en-US" w:eastAsia="zh-CN"/>
                    </w:rPr>
                    <w:t>mg/m</w:t>
                  </w:r>
                  <w:r>
                    <w:rPr>
                      <w:rFonts w:hint="eastAsia" w:ascii="Times New Roman" w:hAnsi="Times New Roman" w:cs="Times New Roman"/>
                      <w:color w:val="auto"/>
                      <w:sz w:val="21"/>
                      <w:szCs w:val="21"/>
                      <w:highlight w:val="none"/>
                      <w:vertAlign w:val="superscript"/>
                      <w:lang w:val="en-US" w:eastAsia="zh-CN"/>
                    </w:rPr>
                    <w:t>3</w:t>
                  </w:r>
                </w:p>
              </w:tc>
              <w:tc>
                <w:tcPr>
                  <w:tcW w:w="332" w:type="pct"/>
                  <w:vAlign w:val="center"/>
                </w:tcPr>
                <w:p w14:paraId="07309448">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超标</w:t>
                  </w:r>
                </w:p>
              </w:tc>
              <w:tc>
                <w:tcPr>
                  <w:tcW w:w="323" w:type="pct"/>
                  <w:vAlign w:val="center"/>
                </w:tcPr>
                <w:p w14:paraId="4EEBF273">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&lt;1h</w:t>
                  </w:r>
                </w:p>
              </w:tc>
              <w:tc>
                <w:tcPr>
                  <w:tcW w:w="599" w:type="pct"/>
                  <w:vAlign w:val="center"/>
                </w:tcPr>
                <w:p w14:paraId="5D8678F3">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1次/a</w:t>
                  </w:r>
                </w:p>
              </w:tc>
            </w:tr>
          </w:tbl>
          <w:p w14:paraId="6CE0037A">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非正常工况下，运营单位要定时检修，保证环保设备的正常运营。为了进一步减少非正常工况废气污染物排放，拟采取以下措施：</w:t>
            </w:r>
          </w:p>
          <w:p w14:paraId="55E7F877">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①双回路电源，防止突然断电引起非正常排放。</w:t>
            </w:r>
          </w:p>
          <w:p w14:paraId="126205F9">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②定期检查、维修、维护各种设备，尤其是各种动力泵、各种风机等。</w:t>
            </w:r>
          </w:p>
          <w:p w14:paraId="24F9F935">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③加强管理和培训，防止因操作失误或玩忽职守引起非正常排放。</w:t>
            </w:r>
          </w:p>
          <w:p w14:paraId="040C9E8F">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④加强环境管理，</w:t>
            </w:r>
            <w:r>
              <w:rPr>
                <w:rFonts w:hint="eastAsia" w:ascii="Times New Roman" w:hAnsi="Times New Roman" w:cs="Times New Roman"/>
                <w:color w:val="auto"/>
                <w:sz w:val="24"/>
                <w:szCs w:val="24"/>
                <w:highlight w:val="none"/>
                <w:lang w:val="en-US" w:eastAsia="zh-CN"/>
              </w:rPr>
              <w:t>设备检修及</w:t>
            </w:r>
            <w:r>
              <w:rPr>
                <w:rFonts w:hint="eastAsia" w:ascii="宋体" w:hAnsi="宋体" w:cs="宋体"/>
                <w:color w:val="auto"/>
                <w:kern w:val="0"/>
                <w:sz w:val="24"/>
                <w:szCs w:val="24"/>
                <w:lang w:val="en-US" w:eastAsia="zh-CN" w:bidi="ar"/>
              </w:rPr>
              <w:t>袋式</w:t>
            </w:r>
            <w:r>
              <w:rPr>
                <w:rFonts w:hint="eastAsia" w:ascii="宋体" w:hAnsi="宋体" w:eastAsia="宋体" w:cs="宋体"/>
                <w:color w:val="auto"/>
                <w:kern w:val="0"/>
                <w:sz w:val="24"/>
                <w:szCs w:val="24"/>
                <w:lang w:val="en-US" w:eastAsia="zh-CN" w:bidi="ar"/>
              </w:rPr>
              <w:t>除尘器破损</w:t>
            </w:r>
            <w:r>
              <w:rPr>
                <w:rFonts w:hint="eastAsia" w:ascii="Times New Roman" w:hAnsi="Times New Roman" w:cs="Times New Roman"/>
                <w:color w:val="auto"/>
                <w:sz w:val="24"/>
                <w:szCs w:val="24"/>
                <w:highlight w:val="none"/>
                <w:lang w:val="en-US" w:eastAsia="zh-CN"/>
              </w:rPr>
              <w:t>时停止生产活动</w:t>
            </w:r>
            <w:r>
              <w:rPr>
                <w:rFonts w:hint="default" w:ascii="Times New Roman" w:hAnsi="Times New Roman" w:eastAsia="宋体" w:cs="Times New Roman"/>
                <w:color w:val="auto"/>
                <w:sz w:val="24"/>
                <w:szCs w:val="24"/>
                <w:highlight w:val="none"/>
              </w:rPr>
              <w:t>。</w:t>
            </w:r>
          </w:p>
          <w:p w14:paraId="5C6C3A7F">
            <w:pPr>
              <w:pStyle w:val="8"/>
              <w:pageBreakBefore w:val="0"/>
              <w:numPr>
                <w:ilvl w:val="0"/>
                <w:numId w:val="0"/>
              </w:numPr>
              <w:tabs>
                <w:tab w:val="left" w:pos="1892"/>
              </w:tabs>
              <w:kinsoku/>
              <w:wordWrap/>
              <w:overflowPunct/>
              <w:topLinePunct w:val="0"/>
              <w:autoSpaceDE/>
              <w:autoSpaceDN/>
              <w:bidi w:val="0"/>
              <w:spacing w:beforeLines="0" w:afterLines="0"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废气</w:t>
            </w:r>
            <w:r>
              <w:rPr>
                <w:rFonts w:hint="default" w:ascii="Times New Roman" w:hAnsi="Times New Roman" w:eastAsia="宋体" w:cs="Times New Roman"/>
                <w:b/>
                <w:bCs/>
                <w:color w:val="auto"/>
                <w:sz w:val="24"/>
                <w:szCs w:val="24"/>
                <w:highlight w:val="none"/>
              </w:rPr>
              <w:t>监测计划、排放口基本情况</w:t>
            </w:r>
          </w:p>
          <w:p w14:paraId="093B371E">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本项目为复合保温</w:t>
            </w:r>
            <w:r>
              <w:rPr>
                <w:rFonts w:hint="eastAsia" w:ascii="Times New Roman" w:hAnsi="Times New Roman" w:eastAsia="宋体" w:cs="Times New Roman"/>
                <w:color w:val="auto"/>
                <w:sz w:val="24"/>
                <w:szCs w:val="24"/>
                <w:highlight w:val="none"/>
                <w:lang w:val="en-US" w:eastAsia="zh-CN"/>
              </w:rPr>
              <w:t>板</w:t>
            </w:r>
            <w:r>
              <w:rPr>
                <w:rFonts w:hint="default" w:ascii="Times New Roman" w:hAnsi="Times New Roman" w:eastAsia="宋体" w:cs="Times New Roman"/>
                <w:color w:val="auto"/>
                <w:sz w:val="24"/>
                <w:szCs w:val="24"/>
                <w:highlight w:val="none"/>
              </w:rPr>
              <w:t>制造，根据《固定污染源排污许可分类管理名录（2019年版）》，本项目为“二十五、非金属矿物制品业30—64砖瓦、石材等建筑材料制造303——隔热和隔音材料制造3034”，属于简化管理。</w:t>
            </w:r>
          </w:p>
          <w:p w14:paraId="340A81DA">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根据《排污单位自行监测技术指南总则》（HJ819-2017）中最低监测频次要求，本项目污染源属于非主要污染源，排放口类型为一般排放口。监测计划、排放口基本情况见表4-</w:t>
            </w: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p>
          <w:p w14:paraId="46AA3F81">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大气监测计划</w:t>
            </w:r>
          </w:p>
          <w:tbl>
            <w:tblPr>
              <w:tblStyle w:val="2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397"/>
              <w:gridCol w:w="744"/>
              <w:gridCol w:w="874"/>
              <w:gridCol w:w="1225"/>
              <w:gridCol w:w="497"/>
              <w:gridCol w:w="331"/>
              <w:gridCol w:w="457"/>
              <w:gridCol w:w="474"/>
              <w:gridCol w:w="789"/>
              <w:gridCol w:w="548"/>
              <w:gridCol w:w="529"/>
              <w:gridCol w:w="746"/>
              <w:gridCol w:w="558"/>
            </w:tblGrid>
            <w:tr w14:paraId="324CEE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247" w:type="pct"/>
                  <w:vMerge w:val="restart"/>
                  <w:tcBorders>
                    <w:tl2br w:val="nil"/>
                    <w:tr2bl w:val="nil"/>
                  </w:tcBorders>
                  <w:vAlign w:val="center"/>
                </w:tcPr>
                <w:p w14:paraId="43A3530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污染源类别</w:t>
                  </w:r>
                </w:p>
              </w:tc>
              <w:tc>
                <w:tcPr>
                  <w:tcW w:w="459" w:type="pct"/>
                  <w:vMerge w:val="restart"/>
                  <w:tcBorders>
                    <w:tl2br w:val="nil"/>
                    <w:tr2bl w:val="nil"/>
                  </w:tcBorders>
                  <w:vAlign w:val="center"/>
                </w:tcPr>
                <w:p w14:paraId="0089CD1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539" w:type="pct"/>
                  <w:vMerge w:val="restart"/>
                  <w:tcBorders>
                    <w:tl2br w:val="nil"/>
                    <w:tr2bl w:val="nil"/>
                  </w:tcBorders>
                  <w:vAlign w:val="center"/>
                </w:tcPr>
                <w:p w14:paraId="22B757A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排污口编号及名称</w:t>
                  </w:r>
                </w:p>
              </w:tc>
              <w:tc>
                <w:tcPr>
                  <w:tcW w:w="1794" w:type="pct"/>
                  <w:gridSpan w:val="5"/>
                  <w:tcBorders>
                    <w:tl2br w:val="nil"/>
                    <w:tr2bl w:val="nil"/>
                  </w:tcBorders>
                  <w:vAlign w:val="center"/>
                </w:tcPr>
                <w:p w14:paraId="0218BDC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排放口设置情况</w:t>
                  </w:r>
                </w:p>
              </w:tc>
              <w:tc>
                <w:tcPr>
                  <w:tcW w:w="824" w:type="pct"/>
                  <w:gridSpan w:val="2"/>
                  <w:tcBorders>
                    <w:tl2br w:val="nil"/>
                    <w:tr2bl w:val="nil"/>
                  </w:tcBorders>
                  <w:vAlign w:val="center"/>
                </w:tcPr>
                <w:p w14:paraId="04DB777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排放标准</w:t>
                  </w:r>
                </w:p>
              </w:tc>
              <w:tc>
                <w:tcPr>
                  <w:tcW w:w="1133" w:type="pct"/>
                  <w:gridSpan w:val="3"/>
                  <w:tcBorders>
                    <w:tl2br w:val="nil"/>
                    <w:tr2bl w:val="nil"/>
                  </w:tcBorders>
                  <w:vAlign w:val="center"/>
                </w:tcPr>
                <w:p w14:paraId="229A6E7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监测要求</w:t>
                  </w:r>
                </w:p>
              </w:tc>
            </w:tr>
            <w:tr w14:paraId="7A9F86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247" w:type="pct"/>
                  <w:vMerge w:val="continue"/>
                  <w:tcBorders>
                    <w:bottom w:val="single" w:color="auto" w:sz="12" w:space="0"/>
                    <w:tl2br w:val="nil"/>
                    <w:tr2bl w:val="nil"/>
                  </w:tcBorders>
                  <w:vAlign w:val="center"/>
                </w:tcPr>
                <w:p w14:paraId="084C23D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p>
              </w:tc>
              <w:tc>
                <w:tcPr>
                  <w:tcW w:w="459" w:type="pct"/>
                  <w:vMerge w:val="continue"/>
                  <w:tcBorders>
                    <w:bottom w:val="single" w:color="auto" w:sz="12" w:space="0"/>
                    <w:tl2br w:val="nil"/>
                    <w:tr2bl w:val="nil"/>
                  </w:tcBorders>
                  <w:vAlign w:val="center"/>
                </w:tcPr>
                <w:p w14:paraId="430F2D5D">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p>
              </w:tc>
              <w:tc>
                <w:tcPr>
                  <w:tcW w:w="539" w:type="pct"/>
                  <w:vMerge w:val="continue"/>
                  <w:tcBorders>
                    <w:bottom w:val="single" w:color="auto" w:sz="12" w:space="0"/>
                    <w:tl2br w:val="nil"/>
                    <w:tr2bl w:val="nil"/>
                  </w:tcBorders>
                  <w:vAlign w:val="center"/>
                </w:tcPr>
                <w:p w14:paraId="2A92AB5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p>
              </w:tc>
              <w:tc>
                <w:tcPr>
                  <w:tcW w:w="701" w:type="pct"/>
                  <w:tcBorders>
                    <w:bottom w:val="single" w:color="auto" w:sz="12" w:space="0"/>
                    <w:tl2br w:val="nil"/>
                    <w:tr2bl w:val="nil"/>
                  </w:tcBorders>
                  <w:vAlign w:val="center"/>
                </w:tcPr>
                <w:p w14:paraId="082B7FD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排气筒地理坐标</w:t>
                  </w:r>
                </w:p>
              </w:tc>
              <w:tc>
                <w:tcPr>
                  <w:tcW w:w="308" w:type="pct"/>
                  <w:tcBorders>
                    <w:bottom w:val="single" w:color="auto" w:sz="12" w:space="0"/>
                    <w:tl2br w:val="nil"/>
                    <w:tr2bl w:val="nil"/>
                  </w:tcBorders>
                  <w:vAlign w:val="center"/>
                </w:tcPr>
                <w:p w14:paraId="51DBCCD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高度m</w:t>
                  </w:r>
                </w:p>
              </w:tc>
              <w:tc>
                <w:tcPr>
                  <w:tcW w:w="207" w:type="pct"/>
                  <w:tcBorders>
                    <w:bottom w:val="single" w:color="auto" w:sz="12" w:space="0"/>
                    <w:tl2br w:val="nil"/>
                    <w:tr2bl w:val="nil"/>
                  </w:tcBorders>
                  <w:vAlign w:val="center"/>
                </w:tcPr>
                <w:p w14:paraId="46DA44D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内径m</w:t>
                  </w:r>
                </w:p>
              </w:tc>
              <w:tc>
                <w:tcPr>
                  <w:tcW w:w="281" w:type="pct"/>
                  <w:tcBorders>
                    <w:bottom w:val="single" w:color="auto" w:sz="12" w:space="0"/>
                    <w:tl2br w:val="nil"/>
                    <w:tr2bl w:val="nil"/>
                  </w:tcBorders>
                  <w:vAlign w:val="center"/>
                </w:tcPr>
                <w:p w14:paraId="5E9AC51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温度°C</w:t>
                  </w:r>
                </w:p>
              </w:tc>
              <w:tc>
                <w:tcPr>
                  <w:tcW w:w="295" w:type="pct"/>
                  <w:tcBorders>
                    <w:bottom w:val="single" w:color="auto" w:sz="12" w:space="0"/>
                    <w:tl2br w:val="nil"/>
                    <w:tr2bl w:val="nil"/>
                  </w:tcBorders>
                  <w:vAlign w:val="center"/>
                </w:tcPr>
                <w:p w14:paraId="3B7427C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类型</w:t>
                  </w:r>
                </w:p>
              </w:tc>
              <w:tc>
                <w:tcPr>
                  <w:tcW w:w="486" w:type="pct"/>
                  <w:tcBorders>
                    <w:bottom w:val="single" w:color="auto" w:sz="12" w:space="0"/>
                    <w:tl2br w:val="nil"/>
                    <w:tr2bl w:val="nil"/>
                  </w:tcBorders>
                  <w:vAlign w:val="center"/>
                </w:tcPr>
                <w:p w14:paraId="3F95B7D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浓度限值(mg/</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337" w:type="pct"/>
                  <w:tcBorders>
                    <w:bottom w:val="single" w:color="auto" w:sz="12" w:space="0"/>
                    <w:tl2br w:val="nil"/>
                    <w:tr2bl w:val="nil"/>
                  </w:tcBorders>
                  <w:vAlign w:val="center"/>
                </w:tcPr>
                <w:p w14:paraId="0C7D38A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速率限值(kg/h)</w:t>
                  </w:r>
                </w:p>
              </w:tc>
              <w:tc>
                <w:tcPr>
                  <w:tcW w:w="328" w:type="pct"/>
                  <w:tcBorders>
                    <w:bottom w:val="single" w:color="auto" w:sz="12" w:space="0"/>
                    <w:tl2br w:val="nil"/>
                    <w:tr2bl w:val="nil"/>
                  </w:tcBorders>
                  <w:vAlign w:val="center"/>
                </w:tcPr>
                <w:p w14:paraId="1D09851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460" w:type="pct"/>
                  <w:tcBorders>
                    <w:bottom w:val="single" w:color="auto" w:sz="12" w:space="0"/>
                    <w:tl2br w:val="nil"/>
                    <w:tr2bl w:val="nil"/>
                  </w:tcBorders>
                  <w:vAlign w:val="center"/>
                </w:tcPr>
                <w:p w14:paraId="5DA59DB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监测因子</w:t>
                  </w:r>
                </w:p>
              </w:tc>
              <w:tc>
                <w:tcPr>
                  <w:tcW w:w="344" w:type="pct"/>
                  <w:tcBorders>
                    <w:bottom w:val="single" w:color="auto" w:sz="12" w:space="0"/>
                    <w:tl2br w:val="nil"/>
                    <w:tr2bl w:val="nil"/>
                  </w:tcBorders>
                  <w:vAlign w:val="center"/>
                </w:tcPr>
                <w:p w14:paraId="72F36D2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r>
            <w:tr w14:paraId="03A671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47" w:type="pct"/>
                  <w:tcBorders>
                    <w:top w:val="single" w:color="auto" w:sz="4" w:space="0"/>
                    <w:left w:val="nil"/>
                    <w:bottom w:val="single" w:color="auto" w:sz="4" w:space="0"/>
                    <w:right w:val="single" w:color="auto" w:sz="4" w:space="0"/>
                  </w:tcBorders>
                  <w:vAlign w:val="center"/>
                </w:tcPr>
                <w:p w14:paraId="6A86778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w:t>
                  </w:r>
                </w:p>
              </w:tc>
              <w:tc>
                <w:tcPr>
                  <w:tcW w:w="459" w:type="pct"/>
                  <w:tcBorders>
                    <w:top w:val="single" w:color="auto" w:sz="4" w:space="0"/>
                    <w:left w:val="single" w:color="auto" w:sz="4" w:space="0"/>
                    <w:bottom w:val="single" w:color="auto" w:sz="4" w:space="0"/>
                    <w:right w:val="single" w:color="auto" w:sz="4" w:space="0"/>
                  </w:tcBorders>
                  <w:vAlign w:val="center"/>
                </w:tcPr>
                <w:p w14:paraId="36A556BE">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颗粒物</w:t>
                  </w:r>
                </w:p>
              </w:tc>
              <w:tc>
                <w:tcPr>
                  <w:tcW w:w="539" w:type="pct"/>
                  <w:tcBorders>
                    <w:top w:val="single" w:color="auto" w:sz="4" w:space="0"/>
                    <w:left w:val="single" w:color="auto" w:sz="4" w:space="0"/>
                    <w:bottom w:val="single" w:color="auto" w:sz="4" w:space="0"/>
                    <w:right w:val="single" w:color="auto" w:sz="4" w:space="0"/>
                  </w:tcBorders>
                  <w:vAlign w:val="center"/>
                </w:tcPr>
                <w:p w14:paraId="4F26A9F9">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DA001</w:t>
                  </w:r>
                </w:p>
              </w:tc>
              <w:tc>
                <w:tcPr>
                  <w:tcW w:w="701" w:type="pct"/>
                  <w:tcBorders>
                    <w:top w:val="single" w:color="auto" w:sz="4" w:space="0"/>
                    <w:left w:val="single" w:color="auto" w:sz="4" w:space="0"/>
                    <w:bottom w:val="single" w:color="auto" w:sz="4" w:space="0"/>
                    <w:right w:val="single" w:color="auto" w:sz="4" w:space="0"/>
                  </w:tcBorders>
                  <w:vAlign w:val="center"/>
                </w:tcPr>
                <w:p w14:paraId="75142849">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87</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49</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33.425</w:t>
                  </w:r>
                  <w:r>
                    <w:rPr>
                      <w:rFonts w:hint="default" w:ascii="Times New Roman" w:hAnsi="Times New Roman" w:eastAsia="宋体" w:cs="Times New Roman"/>
                      <w:color w:val="auto"/>
                      <w:sz w:val="21"/>
                      <w:szCs w:val="21"/>
                      <w:highlight w:val="none"/>
                    </w:rPr>
                    <w:t>″</w:t>
                  </w:r>
                </w:p>
                <w:p w14:paraId="5D9FA4BC">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44</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49.649</w:t>
                  </w:r>
                  <w:r>
                    <w:rPr>
                      <w:rFonts w:hint="default" w:ascii="Times New Roman" w:hAnsi="Times New Roman" w:eastAsia="宋体" w:cs="Times New Roman"/>
                      <w:color w:val="auto"/>
                      <w:sz w:val="21"/>
                      <w:szCs w:val="21"/>
                      <w:highlight w:val="none"/>
                    </w:rPr>
                    <w:t>″</w:t>
                  </w:r>
                </w:p>
              </w:tc>
              <w:tc>
                <w:tcPr>
                  <w:tcW w:w="308" w:type="pct"/>
                  <w:tcBorders>
                    <w:top w:val="single" w:color="auto" w:sz="4" w:space="0"/>
                    <w:left w:val="single" w:color="auto" w:sz="4" w:space="0"/>
                    <w:bottom w:val="single" w:color="auto" w:sz="4" w:space="0"/>
                    <w:right w:val="single" w:color="auto" w:sz="4" w:space="0"/>
                  </w:tcBorders>
                  <w:vAlign w:val="center"/>
                </w:tcPr>
                <w:p w14:paraId="3C4D1C1C">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zh-CN" w:eastAsia="zh-CN" w:bidi="zh-CN"/>
                    </w:rPr>
                  </w:pPr>
                  <w:r>
                    <w:rPr>
                      <w:rFonts w:hint="default" w:ascii="Times New Roman" w:hAnsi="Times New Roman" w:eastAsia="宋体" w:cs="Times New Roman"/>
                      <w:color w:val="auto"/>
                      <w:sz w:val="21"/>
                      <w:szCs w:val="21"/>
                      <w:highlight w:val="none"/>
                    </w:rPr>
                    <w:t>15</w:t>
                  </w:r>
                </w:p>
              </w:tc>
              <w:tc>
                <w:tcPr>
                  <w:tcW w:w="207" w:type="pct"/>
                  <w:tcBorders>
                    <w:top w:val="single" w:color="auto" w:sz="4" w:space="0"/>
                    <w:left w:val="single" w:color="auto" w:sz="4" w:space="0"/>
                    <w:bottom w:val="single" w:color="auto" w:sz="4" w:space="0"/>
                    <w:right w:val="single" w:color="auto" w:sz="4" w:space="0"/>
                  </w:tcBorders>
                  <w:vAlign w:val="center"/>
                </w:tcPr>
                <w:p w14:paraId="14916379">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0.3</w:t>
                  </w:r>
                </w:p>
              </w:tc>
              <w:tc>
                <w:tcPr>
                  <w:tcW w:w="281" w:type="pct"/>
                  <w:tcBorders>
                    <w:top w:val="single" w:color="auto" w:sz="4" w:space="0"/>
                    <w:left w:val="single" w:color="auto" w:sz="4" w:space="0"/>
                    <w:bottom w:val="single" w:color="auto" w:sz="4" w:space="0"/>
                    <w:right w:val="single" w:color="auto" w:sz="4" w:space="0"/>
                  </w:tcBorders>
                  <w:vAlign w:val="center"/>
                </w:tcPr>
                <w:p w14:paraId="0FF3BFEF">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25</w:t>
                  </w:r>
                </w:p>
              </w:tc>
              <w:tc>
                <w:tcPr>
                  <w:tcW w:w="295" w:type="pct"/>
                  <w:tcBorders>
                    <w:top w:val="single" w:color="auto" w:sz="4" w:space="0"/>
                    <w:left w:val="single" w:color="auto" w:sz="4" w:space="0"/>
                    <w:bottom w:val="single" w:color="auto" w:sz="4" w:space="0"/>
                    <w:right w:val="single" w:color="auto" w:sz="4" w:space="0"/>
                  </w:tcBorders>
                  <w:vAlign w:val="center"/>
                </w:tcPr>
                <w:p w14:paraId="585611F0">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一般排放口</w:t>
                  </w:r>
                </w:p>
              </w:tc>
              <w:tc>
                <w:tcPr>
                  <w:tcW w:w="486" w:type="pct"/>
                  <w:tcBorders>
                    <w:top w:val="single" w:color="auto" w:sz="4" w:space="0"/>
                    <w:left w:val="single" w:color="auto" w:sz="4" w:space="0"/>
                    <w:bottom w:val="single" w:color="auto" w:sz="4" w:space="0"/>
                    <w:right w:val="single" w:color="auto" w:sz="4" w:space="0"/>
                  </w:tcBorders>
                  <w:vAlign w:val="center"/>
                </w:tcPr>
                <w:p w14:paraId="21D71650">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w:t>
                  </w:r>
                </w:p>
              </w:tc>
              <w:tc>
                <w:tcPr>
                  <w:tcW w:w="337" w:type="pct"/>
                  <w:tcBorders>
                    <w:top w:val="single" w:color="auto" w:sz="4" w:space="0"/>
                    <w:left w:val="single" w:color="auto" w:sz="4" w:space="0"/>
                    <w:bottom w:val="single" w:color="auto" w:sz="4" w:space="0"/>
                    <w:right w:val="single" w:color="auto" w:sz="4" w:space="0"/>
                  </w:tcBorders>
                  <w:vAlign w:val="center"/>
                </w:tcPr>
                <w:p w14:paraId="43D4132B">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w:t>
                  </w:r>
                </w:p>
              </w:tc>
              <w:tc>
                <w:tcPr>
                  <w:tcW w:w="328" w:type="pct"/>
                  <w:tcBorders>
                    <w:top w:val="single" w:color="auto" w:sz="4" w:space="0"/>
                    <w:left w:val="single" w:color="auto" w:sz="4" w:space="0"/>
                    <w:bottom w:val="single" w:color="auto" w:sz="4" w:space="0"/>
                    <w:right w:val="single" w:color="auto" w:sz="4" w:space="0"/>
                  </w:tcBorders>
                  <w:vAlign w:val="center"/>
                </w:tcPr>
                <w:p w14:paraId="7E4E059C">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排气筒</w:t>
                  </w:r>
                </w:p>
              </w:tc>
              <w:tc>
                <w:tcPr>
                  <w:tcW w:w="460" w:type="pct"/>
                  <w:tcBorders>
                    <w:top w:val="single" w:color="auto" w:sz="4" w:space="0"/>
                    <w:left w:val="single" w:color="auto" w:sz="4" w:space="0"/>
                    <w:bottom w:val="single" w:color="auto" w:sz="4" w:space="0"/>
                    <w:right w:val="single" w:color="auto" w:sz="4" w:space="0"/>
                  </w:tcBorders>
                  <w:vAlign w:val="center"/>
                </w:tcPr>
                <w:p w14:paraId="270A7152">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颗粒物</w:t>
                  </w:r>
                </w:p>
              </w:tc>
              <w:tc>
                <w:tcPr>
                  <w:tcW w:w="344" w:type="pct"/>
                  <w:tcBorders>
                    <w:top w:val="single" w:color="auto" w:sz="4" w:space="0"/>
                    <w:left w:val="single" w:color="auto" w:sz="4" w:space="0"/>
                    <w:bottom w:val="single" w:color="auto" w:sz="4" w:space="0"/>
                    <w:right w:val="nil"/>
                  </w:tcBorders>
                  <w:vAlign w:val="center"/>
                </w:tcPr>
                <w:p w14:paraId="296F5274">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eastAsia" w:ascii="Times New Roman" w:hAnsi="Times New Roman" w:cs="Times New Roman"/>
                      <w:color w:val="auto"/>
                      <w:sz w:val="21"/>
                      <w:szCs w:val="21"/>
                      <w:highlight w:val="none"/>
                      <w:lang w:val="en-US" w:eastAsia="zh-CN"/>
                    </w:rPr>
                    <w:t>1次/</w:t>
                  </w:r>
                  <w:r>
                    <w:rPr>
                      <w:rFonts w:hint="default" w:ascii="Times New Roman" w:hAnsi="Times New Roman" w:eastAsia="宋体" w:cs="Times New Roman"/>
                      <w:color w:val="auto"/>
                      <w:sz w:val="21"/>
                      <w:szCs w:val="21"/>
                      <w:highlight w:val="none"/>
                    </w:rPr>
                    <w:t>年</w:t>
                  </w:r>
                </w:p>
              </w:tc>
            </w:tr>
            <w:tr w14:paraId="5D08D6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247" w:type="pct"/>
                  <w:tcBorders>
                    <w:top w:val="single" w:color="auto" w:sz="4" w:space="0"/>
                    <w:left w:val="nil"/>
                    <w:bottom w:val="single" w:color="auto" w:sz="12" w:space="0"/>
                    <w:right w:val="single" w:color="auto" w:sz="4" w:space="0"/>
                  </w:tcBorders>
                  <w:vAlign w:val="center"/>
                </w:tcPr>
                <w:p w14:paraId="2B67EF6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c>
                <w:tcPr>
                  <w:tcW w:w="459" w:type="pct"/>
                  <w:tcBorders>
                    <w:top w:val="single" w:color="auto" w:sz="4" w:space="0"/>
                    <w:left w:val="single" w:color="auto" w:sz="4" w:space="0"/>
                    <w:bottom w:val="single" w:color="auto" w:sz="12" w:space="0"/>
                    <w:right w:val="single" w:color="auto" w:sz="4" w:space="0"/>
                  </w:tcBorders>
                  <w:vAlign w:val="center"/>
                </w:tcPr>
                <w:p w14:paraId="37CEF3C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539" w:type="pct"/>
                  <w:tcBorders>
                    <w:top w:val="single" w:color="auto" w:sz="4" w:space="0"/>
                    <w:left w:val="single" w:color="auto" w:sz="4" w:space="0"/>
                    <w:bottom w:val="single" w:color="auto" w:sz="12" w:space="0"/>
                    <w:right w:val="single" w:color="auto" w:sz="4" w:space="0"/>
                  </w:tcBorders>
                  <w:vAlign w:val="center"/>
                </w:tcPr>
                <w:p w14:paraId="5FD1B9E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在厂界四周设置监控点</w:t>
                  </w:r>
                </w:p>
              </w:tc>
              <w:tc>
                <w:tcPr>
                  <w:tcW w:w="701" w:type="pct"/>
                  <w:tcBorders>
                    <w:top w:val="single" w:color="auto" w:sz="4" w:space="0"/>
                    <w:left w:val="single" w:color="auto" w:sz="4" w:space="0"/>
                    <w:bottom w:val="single" w:color="auto" w:sz="12" w:space="0"/>
                    <w:right w:val="single" w:color="auto" w:sz="4" w:space="0"/>
                  </w:tcBorders>
                  <w:vAlign w:val="center"/>
                </w:tcPr>
                <w:p w14:paraId="69A7A07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08" w:type="pct"/>
                  <w:tcBorders>
                    <w:top w:val="single" w:color="auto" w:sz="4" w:space="0"/>
                    <w:left w:val="single" w:color="auto" w:sz="4" w:space="0"/>
                    <w:bottom w:val="single" w:color="auto" w:sz="12" w:space="0"/>
                    <w:right w:val="single" w:color="auto" w:sz="4" w:space="0"/>
                  </w:tcBorders>
                  <w:vAlign w:val="center"/>
                </w:tcPr>
                <w:p w14:paraId="6E43E0D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07" w:type="pct"/>
                  <w:tcBorders>
                    <w:top w:val="single" w:color="auto" w:sz="4" w:space="0"/>
                    <w:left w:val="single" w:color="auto" w:sz="4" w:space="0"/>
                    <w:bottom w:val="single" w:color="auto" w:sz="12" w:space="0"/>
                    <w:right w:val="single" w:color="auto" w:sz="4" w:space="0"/>
                  </w:tcBorders>
                  <w:vAlign w:val="center"/>
                </w:tcPr>
                <w:p w14:paraId="73B0078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81" w:type="pct"/>
                  <w:tcBorders>
                    <w:top w:val="single" w:color="auto" w:sz="4" w:space="0"/>
                    <w:left w:val="single" w:color="auto" w:sz="4" w:space="0"/>
                    <w:bottom w:val="single" w:color="auto" w:sz="12" w:space="0"/>
                    <w:right w:val="single" w:color="auto" w:sz="4" w:space="0"/>
                  </w:tcBorders>
                  <w:vAlign w:val="center"/>
                </w:tcPr>
                <w:p w14:paraId="46A4551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95" w:type="pct"/>
                  <w:tcBorders>
                    <w:top w:val="single" w:color="auto" w:sz="4" w:space="0"/>
                    <w:left w:val="single" w:color="auto" w:sz="4" w:space="0"/>
                    <w:bottom w:val="single" w:color="auto" w:sz="12" w:space="0"/>
                    <w:right w:val="single" w:color="auto" w:sz="4" w:space="0"/>
                  </w:tcBorders>
                  <w:vAlign w:val="center"/>
                </w:tcPr>
                <w:p w14:paraId="288E52B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86" w:type="pct"/>
                  <w:tcBorders>
                    <w:top w:val="single" w:color="auto" w:sz="4" w:space="0"/>
                    <w:left w:val="single" w:color="auto" w:sz="4" w:space="0"/>
                    <w:bottom w:val="single" w:color="auto" w:sz="12" w:space="0"/>
                    <w:right w:val="single" w:color="auto" w:sz="4" w:space="0"/>
                  </w:tcBorders>
                  <w:vAlign w:val="center"/>
                </w:tcPr>
                <w:p w14:paraId="2F6C6E4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w:t>
                  </w:r>
                </w:p>
              </w:tc>
              <w:tc>
                <w:tcPr>
                  <w:tcW w:w="337" w:type="pct"/>
                  <w:tcBorders>
                    <w:top w:val="single" w:color="auto" w:sz="4" w:space="0"/>
                    <w:left w:val="single" w:color="auto" w:sz="4" w:space="0"/>
                    <w:bottom w:val="single" w:color="auto" w:sz="12" w:space="0"/>
                    <w:right w:val="single" w:color="auto" w:sz="4" w:space="0"/>
                  </w:tcBorders>
                  <w:vAlign w:val="center"/>
                </w:tcPr>
                <w:p w14:paraId="38EF295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328" w:type="pct"/>
                  <w:tcBorders>
                    <w:top w:val="single" w:color="auto" w:sz="4" w:space="0"/>
                    <w:left w:val="single" w:color="auto" w:sz="4" w:space="0"/>
                    <w:bottom w:val="single" w:color="auto" w:sz="12" w:space="0"/>
                    <w:right w:val="single" w:color="auto" w:sz="4" w:space="0"/>
                  </w:tcBorders>
                  <w:vAlign w:val="center"/>
                </w:tcPr>
                <w:p w14:paraId="3A31C5E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在厂界四周设置监控点</w:t>
                  </w:r>
                </w:p>
              </w:tc>
              <w:tc>
                <w:tcPr>
                  <w:tcW w:w="460" w:type="pct"/>
                  <w:tcBorders>
                    <w:top w:val="single" w:color="auto" w:sz="4" w:space="0"/>
                    <w:left w:val="single" w:color="auto" w:sz="4" w:space="0"/>
                    <w:bottom w:val="single" w:color="auto" w:sz="12" w:space="0"/>
                    <w:right w:val="single" w:color="auto" w:sz="4" w:space="0"/>
                  </w:tcBorders>
                  <w:vAlign w:val="center"/>
                </w:tcPr>
                <w:p w14:paraId="3584DD4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44" w:type="pct"/>
                  <w:tcBorders>
                    <w:top w:val="single" w:color="auto" w:sz="4" w:space="0"/>
                    <w:left w:val="single" w:color="auto" w:sz="4" w:space="0"/>
                    <w:bottom w:val="single" w:color="auto" w:sz="12" w:space="0"/>
                    <w:right w:val="nil"/>
                  </w:tcBorders>
                  <w:vAlign w:val="center"/>
                </w:tcPr>
                <w:p w14:paraId="0FDA1E6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1次/</w:t>
                  </w:r>
                  <w:r>
                    <w:rPr>
                      <w:rFonts w:hint="eastAsia" w:ascii="Times New Roman" w:hAnsi="Times New Roman" w:cs="Times New Roman"/>
                      <w:color w:val="auto"/>
                      <w:sz w:val="21"/>
                      <w:szCs w:val="21"/>
                      <w:highlight w:val="none"/>
                      <w:lang w:val="en-US" w:eastAsia="zh-CN"/>
                    </w:rPr>
                    <w:t>年</w:t>
                  </w:r>
                </w:p>
              </w:tc>
            </w:tr>
          </w:tbl>
          <w:p w14:paraId="2EB693A1">
            <w:pPr>
              <w:pageBreakBefore w:val="0"/>
              <w:widowControl w:val="0"/>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b/>
                <w:bCs/>
                <w:color w:val="auto"/>
                <w:sz w:val="24"/>
                <w:szCs w:val="24"/>
                <w:highlight w:val="none"/>
                <w:lang w:val="en-US" w:eastAsia="zh-CN"/>
              </w:rPr>
              <w:t>1.6</w:t>
            </w:r>
            <w:r>
              <w:rPr>
                <w:rFonts w:hint="eastAsia" w:ascii="Times New Roman" w:hAnsi="Times New Roman" w:eastAsia="宋体" w:cs="Times New Roman"/>
                <w:b/>
                <w:bCs/>
                <w:color w:val="auto"/>
                <w:kern w:val="2"/>
                <w:sz w:val="24"/>
                <w:szCs w:val="24"/>
                <w:highlight w:val="none"/>
                <w:lang w:val="en-US" w:eastAsia="zh-CN" w:bidi="ar-SA"/>
              </w:rPr>
              <w:t>环境影响分析</w:t>
            </w:r>
          </w:p>
          <w:p w14:paraId="5755565D">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根据《建设项目环境影响报告表编制技术指南（污染影响类）（试行）》要求“结合建设项目所在区域环境质量现状、环境保护目标、项目采取的污染治理措施及污染物排放强度、排放方式，定性分析废气排放的环境影响”。因此本次环评环境影响分析进行定性分析。</w:t>
            </w:r>
          </w:p>
          <w:p w14:paraId="6DE159A6">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依据《环境影响评价技术导则 大气环境》（HJ2.2-2018），本项目属于二级评价，大气评价范围为5km，环境空气质量现状需调查项目所在区域环境质量达标情况以及污染物情况。</w:t>
            </w:r>
          </w:p>
          <w:p w14:paraId="202360BB">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本项目厂界外500米范围内无自然保护区、风景名胜区、文化区</w:t>
            </w:r>
            <w:r>
              <w:rPr>
                <w:rFonts w:hint="eastAsia" w:cs="Times New Roman"/>
                <w:color w:val="auto"/>
                <w:kern w:val="2"/>
                <w:sz w:val="24"/>
                <w:szCs w:val="24"/>
                <w:highlight w:val="none"/>
                <w:lang w:val="en-US" w:eastAsia="zh-CN"/>
              </w:rPr>
              <w:t>，不存在环境空气</w:t>
            </w:r>
            <w:r>
              <w:rPr>
                <w:rFonts w:hint="eastAsia" w:ascii="Times New Roman" w:hAnsi="Times New Roman" w:eastAsia="宋体" w:cs="Times New Roman"/>
                <w:color w:val="auto"/>
                <w:kern w:val="2"/>
                <w:sz w:val="24"/>
                <w:szCs w:val="24"/>
                <w:highlight w:val="none"/>
                <w:lang w:val="en-US" w:eastAsia="zh-CN"/>
              </w:rPr>
              <w:t>保护目标。</w:t>
            </w:r>
          </w:p>
          <w:p w14:paraId="2B0136DD">
            <w:pPr>
              <w:pStyle w:val="8"/>
              <w:pageBreakBefore w:val="0"/>
              <w:kinsoku/>
              <w:wordWrap/>
              <w:overflowPunct/>
              <w:topLinePunct w:val="0"/>
              <w:autoSpaceDE/>
              <w:autoSpaceDN/>
              <w:bidi w:val="0"/>
              <w:spacing w:beforeLines="0" w:afterLines="0" w:line="360" w:lineRule="auto"/>
              <w:ind w:right="0" w:firstLine="480" w:firstLineChars="200"/>
              <w:textAlignment w:val="auto"/>
              <w:rPr>
                <w:rFonts w:hint="eastAsia" w:cs="Times New Roman"/>
                <w:b/>
                <w:bCs/>
                <w:color w:val="auto"/>
                <w:sz w:val="24"/>
                <w:szCs w:val="24"/>
                <w:highlight w:val="none"/>
                <w:lang w:val="en-US" w:eastAsia="zh-CN"/>
              </w:rPr>
            </w:pPr>
            <w:r>
              <w:rPr>
                <w:rFonts w:hint="eastAsia" w:cs="宋体"/>
                <w:color w:val="auto"/>
                <w:sz w:val="24"/>
                <w:szCs w:val="24"/>
                <w:highlight w:val="none"/>
                <w:vertAlign w:val="baseline"/>
                <w:lang w:val="en-US" w:eastAsia="zh-CN"/>
              </w:rPr>
              <w:t>本项目物料搅拌设置袋式除尘器处理扬尘，处理后满足《水泥工业大气污染物排放标准》（GB4915-2013）表2中大气污染物特别排放限值（10mg/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宋体"/>
                <w:color w:val="auto"/>
                <w:sz w:val="24"/>
                <w:szCs w:val="24"/>
                <w:highlight w:val="none"/>
                <w:vertAlign w:val="baseline"/>
                <w:lang w:val="en-US" w:eastAsia="zh-CN"/>
              </w:rPr>
              <w:t>）</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本项目生产车间少量无组织扬尘、通过封闭式作业进行控制，结果满足《水泥工业大气污染物排放标准》（GB4915-2013）表3大气污染物无组织排放限值</w:t>
            </w:r>
            <w:r>
              <w:rPr>
                <w:rFonts w:hint="eastAsia" w:cs="宋体"/>
                <w:color w:val="auto"/>
                <w:sz w:val="24"/>
                <w:szCs w:val="24"/>
                <w:highlight w:val="none"/>
                <w:vertAlign w:val="baseline"/>
                <w:lang w:val="en-US" w:eastAsia="zh-CN"/>
              </w:rPr>
              <w:t>（0.5mg/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宋体"/>
                <w:color w:val="auto"/>
                <w:sz w:val="24"/>
                <w:szCs w:val="24"/>
                <w:highlight w:val="none"/>
                <w:vertAlign w:val="baseline"/>
                <w:lang w:val="en-US" w:eastAsia="zh-CN"/>
              </w:rPr>
              <w:t>）。</w:t>
            </w:r>
          </w:p>
          <w:p w14:paraId="147BAE49">
            <w:pPr>
              <w:pStyle w:val="8"/>
              <w:pageBreakBefore w:val="0"/>
              <w:kinsoku/>
              <w:wordWrap/>
              <w:overflowPunct/>
              <w:topLinePunct w:val="0"/>
              <w:autoSpaceDE/>
              <w:autoSpaceDN/>
              <w:bidi w:val="0"/>
              <w:spacing w:beforeLines="0" w:afterLines="0" w:line="360" w:lineRule="auto"/>
              <w:ind w:right="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2.废水</w:t>
            </w:r>
          </w:p>
          <w:p w14:paraId="21E0822F">
            <w:pPr>
              <w:pageBreakBefore w:val="0"/>
              <w:kinsoku/>
              <w:wordWrap/>
              <w:overflowPunct/>
              <w:topLinePunct w:val="0"/>
              <w:autoSpaceDE/>
              <w:autoSpaceDN/>
              <w:bidi w:val="0"/>
              <w:spacing w:line="360" w:lineRule="auto"/>
              <w:ind w:right="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2.1环境影响分析</w:t>
            </w:r>
          </w:p>
          <w:p w14:paraId="2C5D298C">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本项目生产用水主要为混合搅拌工序用水，和切割</w:t>
            </w:r>
            <w:r>
              <w:rPr>
                <w:rFonts w:hint="eastAsia" w:ascii="Times New Roman" w:hAnsi="Times New Roman" w:cs="Times New Roman"/>
                <w:color w:val="auto"/>
                <w:sz w:val="24"/>
                <w:szCs w:val="24"/>
                <w:highlight w:val="none"/>
                <w:lang w:eastAsia="zh-CN"/>
              </w:rPr>
              <w:t>工序</w:t>
            </w:r>
            <w:r>
              <w:rPr>
                <w:rFonts w:hint="default" w:ascii="Times New Roman" w:hAnsi="Times New Roman" w:eastAsia="宋体" w:cs="Times New Roman"/>
                <w:color w:val="auto"/>
                <w:sz w:val="24"/>
                <w:szCs w:val="24"/>
                <w:highlight w:val="none"/>
              </w:rPr>
              <w:t>用水。混合搅拌工序无废水排放，切割工序设置水槽，</w:t>
            </w:r>
            <w:r>
              <w:rPr>
                <w:rFonts w:hint="eastAsia" w:ascii="Times New Roman" w:hAnsi="Times New Roman" w:cs="Times New Roman"/>
                <w:color w:val="auto"/>
                <w:sz w:val="24"/>
                <w:szCs w:val="24"/>
                <w:highlight w:val="none"/>
                <w:lang w:val="en-US" w:eastAsia="zh-CN"/>
              </w:rPr>
              <w:t>切割机械下有引水渠</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废水引至沉淀池，经沉淀后上清液</w:t>
            </w:r>
            <w:r>
              <w:rPr>
                <w:rFonts w:hint="default" w:ascii="Times New Roman" w:hAnsi="Times New Roman" w:eastAsia="宋体" w:cs="Times New Roman"/>
                <w:color w:val="auto"/>
                <w:sz w:val="24"/>
                <w:szCs w:val="24"/>
                <w:highlight w:val="none"/>
              </w:rPr>
              <w:t>循环使用不外排，故本项目不产生废水。</w:t>
            </w:r>
          </w:p>
          <w:p w14:paraId="148FCCF8">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本项目污水排放主要为生活污水，生活污水排放量约</w:t>
            </w:r>
            <w:r>
              <w:rPr>
                <w:rFonts w:hint="eastAsia" w:cs="Times New Roman"/>
                <w:color w:val="auto"/>
                <w:sz w:val="24"/>
                <w:szCs w:val="24"/>
                <w:highlight w:val="none"/>
                <w:lang w:val="en-US" w:eastAsia="zh-CN"/>
              </w:rPr>
              <w:t>157.5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rPr>
              <w:t>/a，主要污染物为COD、NH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-N等，项目排放生活污水排入阜康市西部城区污水处理厂。</w:t>
            </w:r>
          </w:p>
          <w:p w14:paraId="3D96B9FD">
            <w:pPr>
              <w:pStyle w:val="7"/>
              <w:pageBreakBefore w:val="0"/>
              <w:kinsoku/>
              <w:wordWrap/>
              <w:overflowPunct/>
              <w:topLinePunct w:val="0"/>
              <w:autoSpaceDE/>
              <w:autoSpaceDN/>
              <w:bidi w:val="0"/>
              <w:spacing w:beforeLines="0" w:afterLines="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污水排放属间接排放，每天的污水量产生量较小，污染物浓度较低，排入污水处理厂对其冲击负荷小，不会影响污水处理厂的正常运行。综上所述，本项目的废水排放通过相应的措施处理后对周边水环境影响较小</w:t>
            </w:r>
            <w:r>
              <w:rPr>
                <w:rFonts w:hint="eastAsia" w:cs="Times New Roman"/>
                <w:color w:val="auto"/>
                <w:sz w:val="24"/>
                <w:szCs w:val="24"/>
                <w:highlight w:val="none"/>
                <w:lang w:eastAsia="zh-CN"/>
              </w:rPr>
              <w:t>。</w:t>
            </w:r>
          </w:p>
          <w:p w14:paraId="6900AD57">
            <w:pPr>
              <w:pStyle w:val="8"/>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2.2</w:t>
            </w:r>
            <w:r>
              <w:rPr>
                <w:rFonts w:hint="default" w:ascii="Times New Roman" w:hAnsi="Times New Roman" w:eastAsia="宋体" w:cs="Times New Roman"/>
                <w:b/>
                <w:bCs/>
                <w:color w:val="auto"/>
                <w:sz w:val="24"/>
                <w:szCs w:val="24"/>
                <w:highlight w:val="none"/>
              </w:rPr>
              <w:t>废水产生情况及处置措施</w:t>
            </w:r>
          </w:p>
          <w:p w14:paraId="64356D27">
            <w:pPr>
              <w:pStyle w:val="18"/>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根据水量平衡分析，本项目营运期劳动定员</w:t>
            </w:r>
            <w:r>
              <w:rPr>
                <w:rFonts w:hint="eastAsia"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主要污染物为COD、SS、BOD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-N等。每人每天用水量按照50L/人.d计，则用水量为</w:t>
            </w:r>
            <w:r>
              <w:rPr>
                <w:rFonts w:hint="eastAsia" w:cs="Times New Roman"/>
                <w:color w:val="auto"/>
                <w:sz w:val="24"/>
                <w:szCs w:val="24"/>
                <w:highlight w:val="none"/>
                <w:lang w:val="en-US" w:eastAsia="zh-CN"/>
              </w:rPr>
              <w:t>0.75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157.5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，排放的污水量按用水量的80%计，则排水量约为0.</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126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lang w:val="en-US" w:eastAsia="zh-CN"/>
              </w:rPr>
              <w:t>/a）。生活污水排入园区污水管网，最终排入阜康市西部城区污水处理厂处理，对项目区周围水环境影响较小。</w:t>
            </w:r>
          </w:p>
          <w:p w14:paraId="6F47A411">
            <w:pPr>
              <w:pStyle w:val="31"/>
              <w:pageBreakBefore w:val="0"/>
              <w:kinsoku/>
              <w:wordWrap/>
              <w:overflowPunct/>
              <w:topLinePunct w:val="0"/>
              <w:autoSpaceDE/>
              <w:autoSpaceDN/>
              <w:bidi w:val="0"/>
              <w:spacing w:line="240" w:lineRule="auto"/>
              <w:ind w:left="0" w:right="0" w:firstLine="422"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 xml:space="preserve">5    </w:t>
            </w:r>
            <w:r>
              <w:rPr>
                <w:rFonts w:hint="default" w:ascii="Times New Roman" w:hAnsi="Times New Roman" w:eastAsia="宋体" w:cs="Times New Roman"/>
                <w:b/>
                <w:bCs/>
                <w:color w:val="auto"/>
                <w:sz w:val="21"/>
                <w:szCs w:val="21"/>
                <w:highlight w:val="none"/>
                <w:lang w:val="en-US" w:eastAsia="zh-CN"/>
              </w:rPr>
              <w:t>污水排放量及污染物浓度一览表</w:t>
            </w:r>
          </w:p>
          <w:tbl>
            <w:tblPr>
              <w:tblStyle w:val="22"/>
              <w:tblW w:w="496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894"/>
              <w:gridCol w:w="1123"/>
              <w:gridCol w:w="1103"/>
              <w:gridCol w:w="1699"/>
              <w:gridCol w:w="1069"/>
              <w:gridCol w:w="1110"/>
            </w:tblGrid>
            <w:tr w14:paraId="17F38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restart"/>
                  <w:tcBorders>
                    <w:bottom w:val="single" w:color="auto" w:sz="4" w:space="0"/>
                  </w:tcBorders>
                  <w:vAlign w:val="center"/>
                </w:tcPr>
                <w:p w14:paraId="1B2B2F2A">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污染源</w:t>
                  </w:r>
                </w:p>
              </w:tc>
              <w:tc>
                <w:tcPr>
                  <w:tcW w:w="551" w:type="pct"/>
                  <w:vMerge w:val="restart"/>
                  <w:tcBorders>
                    <w:bottom w:val="single" w:color="auto" w:sz="4" w:space="0"/>
                  </w:tcBorders>
                  <w:vAlign w:val="center"/>
                </w:tcPr>
                <w:p w14:paraId="32CFFEB3">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w:t>
                  </w:r>
                </w:p>
              </w:tc>
              <w:tc>
                <w:tcPr>
                  <w:tcW w:w="1372" w:type="pct"/>
                  <w:gridSpan w:val="2"/>
                  <w:tcBorders>
                    <w:bottom w:val="single" w:color="auto" w:sz="4" w:space="0"/>
                  </w:tcBorders>
                  <w:vAlign w:val="center"/>
                </w:tcPr>
                <w:p w14:paraId="0FA6722E">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1047" w:type="pct"/>
                  <w:vMerge w:val="restart"/>
                  <w:tcBorders>
                    <w:bottom w:val="single" w:color="auto" w:sz="4" w:space="0"/>
                  </w:tcBorders>
                  <w:vAlign w:val="center"/>
                </w:tcPr>
                <w:p w14:paraId="3F33FACC">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排放去向</w:t>
                  </w:r>
                </w:p>
              </w:tc>
              <w:tc>
                <w:tcPr>
                  <w:tcW w:w="1343" w:type="pct"/>
                  <w:gridSpan w:val="2"/>
                  <w:tcBorders>
                    <w:bottom w:val="single" w:color="auto" w:sz="4" w:space="0"/>
                  </w:tcBorders>
                  <w:vAlign w:val="center"/>
                </w:tcPr>
                <w:p w14:paraId="04B87CE4">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r>
            <w:tr w14:paraId="2E0626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op w:val="single" w:color="auto" w:sz="4" w:space="0"/>
                    <w:bottom w:val="single" w:color="auto" w:sz="12" w:space="0"/>
                  </w:tcBorders>
                  <w:vAlign w:val="center"/>
                </w:tcPr>
                <w:p w14:paraId="2FC50A62">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551" w:type="pct"/>
                  <w:vMerge w:val="continue"/>
                  <w:tcBorders>
                    <w:top w:val="single" w:color="auto" w:sz="4" w:space="0"/>
                    <w:bottom w:val="single" w:color="auto" w:sz="12" w:space="0"/>
                  </w:tcBorders>
                  <w:vAlign w:val="center"/>
                </w:tcPr>
                <w:p w14:paraId="3CF3E6F8">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692" w:type="pct"/>
                  <w:tcBorders>
                    <w:top w:val="single" w:color="auto" w:sz="4" w:space="0"/>
                    <w:bottom w:val="single" w:color="auto" w:sz="12" w:space="0"/>
                  </w:tcBorders>
                  <w:vAlign w:val="center"/>
                </w:tcPr>
                <w:p w14:paraId="1E1C57C5">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产生量</w:t>
                  </w:r>
                </w:p>
              </w:tc>
              <w:tc>
                <w:tcPr>
                  <w:tcW w:w="679" w:type="pct"/>
                  <w:tcBorders>
                    <w:top w:val="single" w:color="auto" w:sz="4" w:space="0"/>
                    <w:bottom w:val="single" w:color="auto" w:sz="12" w:space="0"/>
                  </w:tcBorders>
                  <w:vAlign w:val="center"/>
                </w:tcPr>
                <w:p w14:paraId="391CF569">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w:t>
                  </w:r>
                </w:p>
              </w:tc>
              <w:tc>
                <w:tcPr>
                  <w:tcW w:w="1047" w:type="pct"/>
                  <w:vMerge w:val="continue"/>
                  <w:tcBorders>
                    <w:top w:val="single" w:color="auto" w:sz="4" w:space="0"/>
                    <w:bottom w:val="single" w:color="auto" w:sz="12" w:space="0"/>
                  </w:tcBorders>
                  <w:vAlign w:val="center"/>
                </w:tcPr>
                <w:p w14:paraId="1FD31B6C">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659" w:type="pct"/>
                  <w:tcBorders>
                    <w:top w:val="single" w:color="auto" w:sz="4" w:space="0"/>
                    <w:bottom w:val="single" w:color="auto" w:sz="12" w:space="0"/>
                  </w:tcBorders>
                  <w:vAlign w:val="center"/>
                </w:tcPr>
                <w:p w14:paraId="63BDC9EA">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排放量t/d</w:t>
                  </w:r>
                </w:p>
              </w:tc>
              <w:tc>
                <w:tcPr>
                  <w:tcW w:w="684" w:type="pct"/>
                  <w:tcBorders>
                    <w:top w:val="single" w:color="auto" w:sz="4" w:space="0"/>
                    <w:bottom w:val="single" w:color="auto" w:sz="12" w:space="0"/>
                  </w:tcBorders>
                  <w:vAlign w:val="center"/>
                </w:tcPr>
                <w:p w14:paraId="31CA43AD">
                  <w:pPr>
                    <w:pStyle w:val="3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浓度mg/L</w:t>
                  </w:r>
                </w:p>
              </w:tc>
            </w:tr>
            <w:tr w14:paraId="262296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restart"/>
                  <w:tcBorders>
                    <w:top w:val="single" w:color="auto" w:sz="12" w:space="0"/>
                    <w:tl2br w:val="nil"/>
                    <w:tr2bl w:val="nil"/>
                  </w:tcBorders>
                  <w:vAlign w:val="center"/>
                </w:tcPr>
                <w:p w14:paraId="24F674D0">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生活污水</w:t>
                  </w:r>
                </w:p>
                <w:p w14:paraId="631EBBEF">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1"/>
                      <w:szCs w:val="21"/>
                      <w:highlight w:val="none"/>
                      <w:lang w:val="en-US" w:eastAsia="zh-CN"/>
                    </w:rPr>
                    <w:t>/a</w:t>
                  </w:r>
                </w:p>
              </w:tc>
              <w:tc>
                <w:tcPr>
                  <w:tcW w:w="551" w:type="pct"/>
                  <w:tcBorders>
                    <w:top w:val="single" w:color="auto" w:sz="12" w:space="0"/>
                    <w:tl2br w:val="nil"/>
                    <w:tr2bl w:val="nil"/>
                  </w:tcBorders>
                  <w:vAlign w:val="center"/>
                </w:tcPr>
                <w:p w14:paraId="2E488E77">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692" w:type="pct"/>
                  <w:tcBorders>
                    <w:top w:val="single" w:color="auto" w:sz="12" w:space="0"/>
                    <w:tl2br w:val="nil"/>
                    <w:tr2bl w:val="nil"/>
                  </w:tcBorders>
                  <w:vAlign w:val="center"/>
                </w:tcPr>
                <w:p w14:paraId="6AAB4DCE">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cs="Times New Roman"/>
                      <w:color w:val="auto"/>
                      <w:sz w:val="21"/>
                      <w:szCs w:val="21"/>
                      <w:highlight w:val="none"/>
                      <w:lang w:val="en-US" w:eastAsia="zh-CN"/>
                    </w:rPr>
                    <w:t>44</w:t>
                  </w:r>
                  <w:r>
                    <w:rPr>
                      <w:rFonts w:hint="default" w:ascii="Times New Roman" w:hAnsi="Times New Roman" w:eastAsia="宋体" w:cs="Times New Roman"/>
                      <w:color w:val="auto"/>
                      <w:sz w:val="21"/>
                      <w:szCs w:val="21"/>
                      <w:highlight w:val="none"/>
                      <w:lang w:val="en-US" w:eastAsia="zh-CN"/>
                    </w:rPr>
                    <w:t>t/a</w:t>
                  </w:r>
                </w:p>
              </w:tc>
              <w:tc>
                <w:tcPr>
                  <w:tcW w:w="679" w:type="pct"/>
                  <w:tcBorders>
                    <w:top w:val="single" w:color="auto" w:sz="12" w:space="0"/>
                    <w:tl2br w:val="nil"/>
                    <w:tr2bl w:val="nil"/>
                  </w:tcBorders>
                  <w:vAlign w:val="center"/>
                </w:tcPr>
                <w:p w14:paraId="3C8681FE">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350mg/L</w:t>
                  </w:r>
                </w:p>
              </w:tc>
              <w:tc>
                <w:tcPr>
                  <w:tcW w:w="1047" w:type="pct"/>
                  <w:vMerge w:val="restart"/>
                  <w:tcBorders>
                    <w:top w:val="single" w:color="auto" w:sz="12" w:space="0"/>
                    <w:tl2br w:val="nil"/>
                    <w:tr2bl w:val="nil"/>
                  </w:tcBorders>
                  <w:vAlign w:val="center"/>
                </w:tcPr>
                <w:p w14:paraId="0E6E3F10">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经园区污水管网，最终排入阜康市西部城区污水处理厂</w:t>
                  </w:r>
                </w:p>
              </w:tc>
              <w:tc>
                <w:tcPr>
                  <w:tcW w:w="659" w:type="pct"/>
                  <w:tcBorders>
                    <w:top w:val="single" w:color="auto" w:sz="12" w:space="0"/>
                    <w:tl2br w:val="nil"/>
                    <w:tr2bl w:val="nil"/>
                  </w:tcBorders>
                  <w:vAlign w:val="center"/>
                </w:tcPr>
                <w:p w14:paraId="4E42C306">
                  <w:pPr>
                    <w:pStyle w:val="32"/>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cs="Times New Roman"/>
                      <w:color w:val="auto"/>
                      <w:sz w:val="21"/>
                      <w:szCs w:val="21"/>
                      <w:highlight w:val="none"/>
                      <w:lang w:val="en-US" w:eastAsia="zh-CN"/>
                    </w:rPr>
                    <w:t>44</w:t>
                  </w:r>
                  <w:r>
                    <w:rPr>
                      <w:rFonts w:hint="default" w:ascii="Times New Roman" w:hAnsi="Times New Roman" w:eastAsia="宋体" w:cs="Times New Roman"/>
                      <w:color w:val="auto"/>
                      <w:sz w:val="21"/>
                      <w:szCs w:val="21"/>
                      <w:highlight w:val="none"/>
                      <w:lang w:val="en-US" w:eastAsia="zh-CN"/>
                    </w:rPr>
                    <w:t>t/a</w:t>
                  </w:r>
                </w:p>
              </w:tc>
              <w:tc>
                <w:tcPr>
                  <w:tcW w:w="684" w:type="pct"/>
                  <w:tcBorders>
                    <w:top w:val="single" w:color="auto" w:sz="12" w:space="0"/>
                    <w:tl2br w:val="nil"/>
                    <w:tr2bl w:val="nil"/>
                  </w:tcBorders>
                  <w:vAlign w:val="center"/>
                </w:tcPr>
                <w:p w14:paraId="420D3649">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350mg/L</w:t>
                  </w:r>
                </w:p>
              </w:tc>
            </w:tr>
            <w:tr w14:paraId="5048F6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224A76E0">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551" w:type="pct"/>
                  <w:tcBorders>
                    <w:tl2br w:val="nil"/>
                    <w:tr2bl w:val="nil"/>
                  </w:tcBorders>
                  <w:vAlign w:val="center"/>
                </w:tcPr>
                <w:p w14:paraId="0E570F49">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SS</w:t>
                  </w:r>
                </w:p>
              </w:tc>
              <w:tc>
                <w:tcPr>
                  <w:tcW w:w="692" w:type="pct"/>
                  <w:tcBorders>
                    <w:tl2br w:val="nil"/>
                    <w:tr2bl w:val="nil"/>
                  </w:tcBorders>
                  <w:vAlign w:val="center"/>
                </w:tcPr>
                <w:p w14:paraId="23F2880F">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t/a</w:t>
                  </w:r>
                </w:p>
              </w:tc>
              <w:tc>
                <w:tcPr>
                  <w:tcW w:w="679" w:type="pct"/>
                  <w:tcBorders>
                    <w:tl2br w:val="nil"/>
                    <w:tr2bl w:val="nil"/>
                  </w:tcBorders>
                  <w:vAlign w:val="center"/>
                </w:tcPr>
                <w:p w14:paraId="3E5B1C27">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200mg/L</w:t>
                  </w:r>
                </w:p>
              </w:tc>
              <w:tc>
                <w:tcPr>
                  <w:tcW w:w="1047" w:type="pct"/>
                  <w:vMerge w:val="continue"/>
                  <w:tcBorders>
                    <w:tl2br w:val="nil"/>
                    <w:tr2bl w:val="nil"/>
                  </w:tcBorders>
                  <w:vAlign w:val="center"/>
                </w:tcPr>
                <w:p w14:paraId="39534A3D">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659" w:type="pct"/>
                  <w:tcBorders>
                    <w:tl2br w:val="nil"/>
                    <w:tr2bl w:val="nil"/>
                  </w:tcBorders>
                  <w:vAlign w:val="center"/>
                </w:tcPr>
                <w:p w14:paraId="74D9F251">
                  <w:pPr>
                    <w:pStyle w:val="32"/>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t/a</w:t>
                  </w:r>
                </w:p>
              </w:tc>
              <w:tc>
                <w:tcPr>
                  <w:tcW w:w="684" w:type="pct"/>
                  <w:tcBorders>
                    <w:tl2br w:val="nil"/>
                    <w:tr2bl w:val="nil"/>
                  </w:tcBorders>
                  <w:vAlign w:val="center"/>
                </w:tcPr>
                <w:p w14:paraId="383B3669">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200mg/L</w:t>
                  </w:r>
                </w:p>
              </w:tc>
            </w:tr>
            <w:tr w14:paraId="3F4A89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484A7DB7">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551" w:type="pct"/>
                  <w:tcBorders>
                    <w:tl2br w:val="nil"/>
                    <w:tr2bl w:val="nil"/>
                  </w:tcBorders>
                  <w:vAlign w:val="center"/>
                </w:tcPr>
                <w:p w14:paraId="7344F355">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BOD</w:t>
                  </w:r>
                  <w:r>
                    <w:rPr>
                      <w:rFonts w:hint="default" w:ascii="Times New Roman" w:hAnsi="Times New Roman" w:eastAsia="宋体" w:cs="Times New Roman"/>
                      <w:color w:val="auto"/>
                      <w:sz w:val="21"/>
                      <w:szCs w:val="21"/>
                      <w:highlight w:val="none"/>
                      <w:vertAlign w:val="subscript"/>
                      <w:lang w:val="en-US" w:eastAsia="zh-CN"/>
                    </w:rPr>
                    <w:t>5</w:t>
                  </w:r>
                </w:p>
              </w:tc>
              <w:tc>
                <w:tcPr>
                  <w:tcW w:w="692" w:type="pct"/>
                  <w:tcBorders>
                    <w:tl2br w:val="nil"/>
                    <w:tr2bl w:val="nil"/>
                  </w:tcBorders>
                  <w:vAlign w:val="center"/>
                </w:tcPr>
                <w:p w14:paraId="73FC1A5F">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0.032</w:t>
                  </w:r>
                  <w:r>
                    <w:rPr>
                      <w:rFonts w:hint="default" w:ascii="Times New Roman" w:hAnsi="Times New Roman" w:eastAsia="宋体" w:cs="Times New Roman"/>
                      <w:color w:val="auto"/>
                      <w:sz w:val="21"/>
                      <w:szCs w:val="21"/>
                      <w:highlight w:val="none"/>
                      <w:lang w:val="en-US" w:eastAsia="zh-CN"/>
                    </w:rPr>
                    <w:t>t/a</w:t>
                  </w:r>
                </w:p>
              </w:tc>
              <w:tc>
                <w:tcPr>
                  <w:tcW w:w="679" w:type="pct"/>
                  <w:tcBorders>
                    <w:tl2br w:val="nil"/>
                    <w:tr2bl w:val="nil"/>
                  </w:tcBorders>
                  <w:vAlign w:val="center"/>
                </w:tcPr>
                <w:p w14:paraId="709DFDAD">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250mg/L</w:t>
                  </w:r>
                </w:p>
              </w:tc>
              <w:tc>
                <w:tcPr>
                  <w:tcW w:w="1047" w:type="pct"/>
                  <w:vMerge w:val="continue"/>
                  <w:tcBorders>
                    <w:tl2br w:val="nil"/>
                    <w:tr2bl w:val="nil"/>
                  </w:tcBorders>
                  <w:vAlign w:val="center"/>
                </w:tcPr>
                <w:p w14:paraId="4C4B92D7">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659" w:type="pct"/>
                  <w:tcBorders>
                    <w:tl2br w:val="nil"/>
                    <w:tr2bl w:val="nil"/>
                  </w:tcBorders>
                  <w:vAlign w:val="center"/>
                </w:tcPr>
                <w:p w14:paraId="0BFF3A67">
                  <w:pPr>
                    <w:pStyle w:val="32"/>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0.032</w:t>
                  </w:r>
                  <w:r>
                    <w:rPr>
                      <w:rFonts w:hint="default" w:ascii="Times New Roman" w:hAnsi="Times New Roman" w:eastAsia="宋体" w:cs="Times New Roman"/>
                      <w:color w:val="auto"/>
                      <w:sz w:val="21"/>
                      <w:szCs w:val="21"/>
                      <w:highlight w:val="none"/>
                      <w:lang w:val="en-US" w:eastAsia="zh-CN"/>
                    </w:rPr>
                    <w:t>t/a</w:t>
                  </w:r>
                </w:p>
              </w:tc>
              <w:tc>
                <w:tcPr>
                  <w:tcW w:w="684" w:type="pct"/>
                  <w:tcBorders>
                    <w:tl2br w:val="nil"/>
                    <w:tr2bl w:val="nil"/>
                  </w:tcBorders>
                  <w:vAlign w:val="center"/>
                </w:tcPr>
                <w:p w14:paraId="350F2B26">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250mg/L</w:t>
                  </w:r>
                </w:p>
              </w:tc>
            </w:tr>
            <w:tr w14:paraId="0F01F2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646AFA15">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551" w:type="pct"/>
                  <w:tcBorders>
                    <w:tl2br w:val="nil"/>
                    <w:tr2bl w:val="nil"/>
                  </w:tcBorders>
                  <w:vAlign w:val="center"/>
                </w:tcPr>
                <w:p w14:paraId="5850976E">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NH</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-N</w:t>
                  </w:r>
                </w:p>
              </w:tc>
              <w:tc>
                <w:tcPr>
                  <w:tcW w:w="692" w:type="pct"/>
                  <w:tcBorders>
                    <w:tl2br w:val="nil"/>
                    <w:tr2bl w:val="nil"/>
                  </w:tcBorders>
                  <w:vAlign w:val="center"/>
                </w:tcPr>
                <w:p w14:paraId="5208F57D">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005</w:t>
                  </w:r>
                  <w:r>
                    <w:rPr>
                      <w:rFonts w:hint="default" w:ascii="Times New Roman" w:hAnsi="Times New Roman" w:eastAsia="宋体" w:cs="Times New Roman"/>
                      <w:color w:val="auto"/>
                      <w:sz w:val="21"/>
                      <w:szCs w:val="21"/>
                      <w:highlight w:val="none"/>
                      <w:lang w:val="en-US" w:eastAsia="zh-CN"/>
                    </w:rPr>
                    <w:t>t/a</w:t>
                  </w:r>
                </w:p>
              </w:tc>
              <w:tc>
                <w:tcPr>
                  <w:tcW w:w="679" w:type="pct"/>
                  <w:tcBorders>
                    <w:tl2br w:val="nil"/>
                    <w:tr2bl w:val="nil"/>
                  </w:tcBorders>
                  <w:vAlign w:val="center"/>
                </w:tcPr>
                <w:p w14:paraId="1BA0A1E8">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40mg/L</w:t>
                  </w:r>
                </w:p>
              </w:tc>
              <w:tc>
                <w:tcPr>
                  <w:tcW w:w="1047" w:type="pct"/>
                  <w:vMerge w:val="continue"/>
                  <w:tcBorders>
                    <w:tl2br w:val="nil"/>
                    <w:tr2bl w:val="nil"/>
                  </w:tcBorders>
                  <w:vAlign w:val="center"/>
                </w:tcPr>
                <w:p w14:paraId="65D54C2E">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p>
              </w:tc>
              <w:tc>
                <w:tcPr>
                  <w:tcW w:w="659" w:type="pct"/>
                  <w:tcBorders>
                    <w:tl2br w:val="nil"/>
                    <w:tr2bl w:val="nil"/>
                  </w:tcBorders>
                  <w:vAlign w:val="center"/>
                </w:tcPr>
                <w:p w14:paraId="13737DEE">
                  <w:pPr>
                    <w:pStyle w:val="32"/>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005</w:t>
                  </w:r>
                  <w:r>
                    <w:rPr>
                      <w:rFonts w:hint="default" w:ascii="Times New Roman" w:hAnsi="Times New Roman" w:eastAsia="宋体" w:cs="Times New Roman"/>
                      <w:color w:val="auto"/>
                      <w:sz w:val="21"/>
                      <w:szCs w:val="21"/>
                      <w:highlight w:val="none"/>
                      <w:lang w:val="en-US" w:eastAsia="zh-CN"/>
                    </w:rPr>
                    <w:t>t/a</w:t>
                  </w:r>
                </w:p>
              </w:tc>
              <w:tc>
                <w:tcPr>
                  <w:tcW w:w="684" w:type="pct"/>
                  <w:tcBorders>
                    <w:tl2br w:val="nil"/>
                    <w:tr2bl w:val="nil"/>
                  </w:tcBorders>
                  <w:vAlign w:val="center"/>
                </w:tcPr>
                <w:p w14:paraId="60B4EB05">
                  <w:pPr>
                    <w:pStyle w:val="32"/>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40mg/L</w:t>
                  </w:r>
                </w:p>
              </w:tc>
            </w:tr>
          </w:tbl>
          <w:p w14:paraId="391E7807">
            <w:pPr>
              <w:pStyle w:val="8"/>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2.3</w:t>
            </w:r>
            <w:r>
              <w:rPr>
                <w:rFonts w:hint="default" w:ascii="Times New Roman" w:hAnsi="Times New Roman" w:eastAsia="宋体" w:cs="Times New Roman"/>
                <w:b/>
                <w:bCs/>
                <w:color w:val="auto"/>
                <w:sz w:val="24"/>
                <w:szCs w:val="24"/>
                <w:highlight w:val="none"/>
              </w:rPr>
              <w:t>污水处理措施依托可行性分析</w:t>
            </w:r>
          </w:p>
          <w:p w14:paraId="014A03D2">
            <w:pPr>
              <w:pStyle w:val="18"/>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阜康市西部城区污水处理厂位于阜西产业园北侧，污水处理厂2020年已建成投运，</w:t>
            </w:r>
            <w:r>
              <w:rPr>
                <w:rFonts w:hint="eastAsia" w:cs="Times New Roman"/>
                <w:color w:val="auto"/>
                <w:sz w:val="24"/>
                <w:szCs w:val="24"/>
                <w:highlight w:val="none"/>
                <w:lang w:val="en-US" w:eastAsia="zh-CN"/>
              </w:rPr>
              <w:t>环保措施“三同时”竣工验收和排污许可证相关手续均已完成，</w:t>
            </w:r>
            <w:r>
              <w:rPr>
                <w:rFonts w:hint="default" w:ascii="Times New Roman" w:hAnsi="Times New Roman" w:eastAsia="宋体" w:cs="Times New Roman"/>
                <w:color w:val="auto"/>
                <w:sz w:val="24"/>
                <w:szCs w:val="24"/>
                <w:highlight w:val="none"/>
              </w:rPr>
              <w:t>目前园区内下水管网均已敷设完毕，各企业内排水管网与园区主下水管网接通后即可排水。阜西区污水处理厂日处理水量约2万</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实际处理能力为</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万</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生产区主要构筑物有粗格栅间、细格栅间、曝气沉砂池、初沉池、MBR生物池、MBR膜池及膜设备间、污泥脱水机房、鼓风机房及变配电室、甲醇投加间等车间。污水处理厂采用MBR污水处理工艺，出水水质可达《城镇污水处理厂污染物排放标准》（GB18918-2002）中的一级A标准。本项目污水排放量约</w:t>
            </w:r>
            <w:r>
              <w:rPr>
                <w:rFonts w:hint="default" w:ascii="Times New Roman" w:hAnsi="Times New Roman" w:eastAsia="宋体"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/d，排放量较小，目前该污水处理厂余量充足，</w:t>
            </w:r>
            <w:r>
              <w:rPr>
                <w:rFonts w:hint="eastAsia" w:cs="Times New Roman"/>
                <w:color w:val="auto"/>
                <w:sz w:val="24"/>
                <w:szCs w:val="24"/>
                <w:highlight w:val="none"/>
                <w:lang w:val="en-US" w:eastAsia="zh-CN"/>
              </w:rPr>
              <w:t>能够满足本项目排污需求。</w:t>
            </w:r>
            <w:r>
              <w:rPr>
                <w:rFonts w:hint="default" w:ascii="Times New Roman" w:hAnsi="Times New Roman" w:eastAsia="宋体" w:cs="Times New Roman"/>
                <w:color w:val="auto"/>
                <w:sz w:val="24"/>
                <w:szCs w:val="24"/>
                <w:highlight w:val="none"/>
              </w:rPr>
              <w:t>本项目生活污水依托园区排水管网进入阜康市西部城区污水处理厂处理合理、可行。</w:t>
            </w:r>
          </w:p>
          <w:p w14:paraId="6134B04A">
            <w:pPr>
              <w:pStyle w:val="30"/>
              <w:pageBreakBefore w:val="0"/>
              <w:numPr>
                <w:ilvl w:val="0"/>
                <w:numId w:val="0"/>
              </w:numPr>
              <w:tabs>
                <w:tab w:val="left" w:pos="952"/>
              </w:tabs>
              <w:kinsoku/>
              <w:wordWrap/>
              <w:overflowPunct/>
              <w:topLinePunct w:val="0"/>
              <w:autoSpaceDE/>
              <w:autoSpaceDN/>
              <w:bidi w:val="0"/>
              <w:spacing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废水排放监测计划</w:t>
            </w:r>
          </w:p>
          <w:p w14:paraId="6707715D">
            <w:pPr>
              <w:pStyle w:val="30"/>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根据《排污单位自行监测技术指南总则》(HJ819-2017)，本项目主要污染物监测计划见表4-</w:t>
            </w: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p>
          <w:p w14:paraId="34E61DC4">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6    </w:t>
            </w:r>
            <w:r>
              <w:rPr>
                <w:rFonts w:hint="default" w:ascii="Times New Roman" w:hAnsi="Times New Roman" w:eastAsia="宋体" w:cs="Times New Roman"/>
                <w:b/>
                <w:bCs/>
                <w:color w:val="auto"/>
                <w:sz w:val="21"/>
                <w:szCs w:val="21"/>
                <w:highlight w:val="none"/>
              </w:rPr>
              <w:t>项目运营期水污染物监测计划</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45"/>
              <w:gridCol w:w="953"/>
              <w:gridCol w:w="1313"/>
              <w:gridCol w:w="1908"/>
              <w:gridCol w:w="1274"/>
              <w:gridCol w:w="1576"/>
            </w:tblGrid>
            <w:tr w14:paraId="741A59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701" w:type="pct"/>
                  <w:tcBorders>
                    <w:bottom w:val="single" w:color="000000" w:sz="12" w:space="0"/>
                  </w:tcBorders>
                  <w:vAlign w:val="center"/>
                </w:tcPr>
                <w:p w14:paraId="1008633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废水类别</w:t>
                  </w:r>
                </w:p>
              </w:tc>
              <w:tc>
                <w:tcPr>
                  <w:tcW w:w="583" w:type="pct"/>
                  <w:tcBorders>
                    <w:bottom w:val="single" w:color="000000" w:sz="12" w:space="0"/>
                  </w:tcBorders>
                  <w:vAlign w:val="center"/>
                </w:tcPr>
                <w:p w14:paraId="23DAA70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803" w:type="pct"/>
                  <w:tcBorders>
                    <w:bottom w:val="single" w:color="000000" w:sz="12" w:space="0"/>
                  </w:tcBorders>
                  <w:vAlign w:val="center"/>
                </w:tcPr>
                <w:p w14:paraId="44FC5B8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监测位置</w:t>
                  </w:r>
                </w:p>
              </w:tc>
              <w:tc>
                <w:tcPr>
                  <w:tcW w:w="1167" w:type="pct"/>
                  <w:tcBorders>
                    <w:bottom w:val="single" w:color="000000" w:sz="12" w:space="0"/>
                  </w:tcBorders>
                  <w:vAlign w:val="center"/>
                </w:tcPr>
                <w:p w14:paraId="25FA5A1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779" w:type="pct"/>
                  <w:tcBorders>
                    <w:bottom w:val="single" w:color="000000" w:sz="12" w:space="0"/>
                  </w:tcBorders>
                  <w:vAlign w:val="center"/>
                </w:tcPr>
                <w:p w14:paraId="1DEA2B7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c>
                <w:tcPr>
                  <w:tcW w:w="964" w:type="pct"/>
                  <w:tcBorders>
                    <w:bottom w:val="single" w:color="000000" w:sz="12" w:space="0"/>
                  </w:tcBorders>
                  <w:vAlign w:val="center"/>
                </w:tcPr>
                <w:p w14:paraId="5B384C5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实施单位</w:t>
                  </w:r>
                </w:p>
              </w:tc>
            </w:tr>
            <w:tr w14:paraId="3EF890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701" w:type="pct"/>
                  <w:tcBorders>
                    <w:top w:val="single" w:color="000000" w:sz="12" w:space="0"/>
                    <w:tl2br w:val="nil"/>
                    <w:tr2bl w:val="nil"/>
                  </w:tcBorders>
                  <w:vAlign w:val="center"/>
                </w:tcPr>
                <w:p w14:paraId="6DA4346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生活废水</w:t>
                  </w:r>
                </w:p>
              </w:tc>
              <w:tc>
                <w:tcPr>
                  <w:tcW w:w="583" w:type="pct"/>
                  <w:tcBorders>
                    <w:top w:val="single" w:color="000000" w:sz="12" w:space="0"/>
                    <w:tl2br w:val="nil"/>
                    <w:tr2bl w:val="nil"/>
                  </w:tcBorders>
                  <w:vAlign w:val="center"/>
                </w:tcPr>
                <w:p w14:paraId="4B75D9C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DW001</w:t>
                  </w:r>
                </w:p>
              </w:tc>
              <w:tc>
                <w:tcPr>
                  <w:tcW w:w="803" w:type="pct"/>
                  <w:tcBorders>
                    <w:top w:val="single" w:color="000000" w:sz="12" w:space="0"/>
                    <w:tl2br w:val="nil"/>
                    <w:tr2bl w:val="nil"/>
                  </w:tcBorders>
                  <w:vAlign w:val="center"/>
                </w:tcPr>
                <w:p w14:paraId="4FE6427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废水总排口</w:t>
                  </w:r>
                </w:p>
              </w:tc>
              <w:tc>
                <w:tcPr>
                  <w:tcW w:w="1167" w:type="pct"/>
                  <w:tcBorders>
                    <w:top w:val="single" w:color="000000" w:sz="12" w:space="0"/>
                    <w:tl2br w:val="nil"/>
                    <w:tr2bl w:val="nil"/>
                  </w:tcBorders>
                  <w:vAlign w:val="center"/>
                </w:tcPr>
                <w:p w14:paraId="22E1D9A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pH、COD、氨氮、</w:t>
                  </w:r>
                </w:p>
                <w:p w14:paraId="58B639F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悬浮物</w:t>
                  </w:r>
                </w:p>
              </w:tc>
              <w:tc>
                <w:tcPr>
                  <w:tcW w:w="779" w:type="pct"/>
                  <w:tcBorders>
                    <w:top w:val="single" w:color="000000" w:sz="12" w:space="0"/>
                    <w:tl2br w:val="nil"/>
                    <w:tr2bl w:val="nil"/>
                  </w:tcBorders>
                  <w:vAlign w:val="center"/>
                </w:tcPr>
                <w:p w14:paraId="4B6293B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次/</w:t>
                  </w:r>
                  <w:r>
                    <w:rPr>
                      <w:rFonts w:hint="eastAsia" w:ascii="Times New Roman" w:hAnsi="Times New Roman" w:cs="Times New Roman"/>
                      <w:color w:val="auto"/>
                      <w:sz w:val="21"/>
                      <w:szCs w:val="21"/>
                      <w:highlight w:val="none"/>
                      <w:lang w:val="en-US" w:eastAsia="zh-CN"/>
                    </w:rPr>
                    <w:t>季度</w:t>
                  </w:r>
                </w:p>
              </w:tc>
              <w:tc>
                <w:tcPr>
                  <w:tcW w:w="964" w:type="pct"/>
                  <w:tcBorders>
                    <w:top w:val="single" w:color="000000" w:sz="12" w:space="0"/>
                    <w:tl2br w:val="nil"/>
                    <w:tr2bl w:val="nil"/>
                  </w:tcBorders>
                  <w:vAlign w:val="center"/>
                </w:tcPr>
                <w:p w14:paraId="0911BAE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企业自行委托</w:t>
                  </w:r>
                </w:p>
              </w:tc>
            </w:tr>
          </w:tbl>
          <w:p w14:paraId="004B29A8">
            <w:pPr>
              <w:pStyle w:val="8"/>
              <w:pageBreakBefore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szCs w:val="24"/>
                <w:highlight w:val="none"/>
              </w:rPr>
            </w:pPr>
          </w:p>
          <w:p w14:paraId="6DD838D4">
            <w:pPr>
              <w:pStyle w:val="8"/>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3.噪声</w:t>
            </w:r>
          </w:p>
          <w:p w14:paraId="362D27A1">
            <w:pPr>
              <w:pStyle w:val="8"/>
              <w:bidi w:val="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3.1</w:t>
            </w:r>
            <w:r>
              <w:rPr>
                <w:rFonts w:hint="default" w:ascii="Times New Roman" w:hAnsi="Times New Roman" w:eastAsia="宋体" w:cs="Times New Roman"/>
                <w:b/>
                <w:bCs/>
                <w:color w:val="auto"/>
                <w:spacing w:val="0"/>
                <w:sz w:val="24"/>
                <w:szCs w:val="24"/>
                <w:highlight w:val="none"/>
              </w:rPr>
              <w:t>噪声源</w:t>
            </w:r>
          </w:p>
          <w:p w14:paraId="00FAC133">
            <w:pPr>
              <w:pStyle w:val="18"/>
              <w:bidi w:val="0"/>
              <w:rPr>
                <w:rFonts w:hint="default"/>
                <w:color w:val="auto"/>
                <w:highlight w:val="none"/>
              </w:rPr>
            </w:pPr>
            <w:r>
              <w:rPr>
                <w:rFonts w:hint="default"/>
                <w:color w:val="auto"/>
                <w:highlight w:val="none"/>
              </w:rPr>
              <w:t>本项目噪声主要为</w:t>
            </w:r>
            <w:r>
              <w:rPr>
                <w:rFonts w:hint="eastAsia"/>
                <w:color w:val="auto"/>
                <w:highlight w:val="none"/>
                <w:lang w:val="en-US" w:eastAsia="zh-CN"/>
              </w:rPr>
              <w:t>各类机械</w:t>
            </w:r>
            <w:r>
              <w:rPr>
                <w:rFonts w:hint="default"/>
                <w:color w:val="auto"/>
                <w:highlight w:val="none"/>
              </w:rPr>
              <w:t>设备产生的噪声，设备均安装在</w:t>
            </w:r>
            <w:r>
              <w:rPr>
                <w:rFonts w:hint="eastAsia"/>
                <w:color w:val="auto"/>
                <w:highlight w:val="none"/>
                <w:lang w:val="en-US" w:eastAsia="zh-CN"/>
              </w:rPr>
              <w:t>厂房</w:t>
            </w:r>
            <w:r>
              <w:rPr>
                <w:rFonts w:hint="default"/>
                <w:color w:val="auto"/>
                <w:highlight w:val="none"/>
              </w:rPr>
              <w:t>内，</w:t>
            </w:r>
            <w:r>
              <w:rPr>
                <w:rFonts w:hint="eastAsia"/>
                <w:color w:val="auto"/>
                <w:highlight w:val="none"/>
                <w:lang w:val="en-US" w:eastAsia="zh-CN"/>
              </w:rPr>
              <w:t>有厂房降噪，</w:t>
            </w:r>
            <w:r>
              <w:rPr>
                <w:rFonts w:hint="default"/>
                <w:color w:val="auto"/>
                <w:highlight w:val="none"/>
              </w:rPr>
              <w:t>设备底座设置消声、减振垫等降噪措施。</w:t>
            </w:r>
          </w:p>
          <w:p w14:paraId="2ED10C48">
            <w:pPr>
              <w:pStyle w:val="18"/>
              <w:bidi w:val="0"/>
              <w:jc w:val="both"/>
              <w:rPr>
                <w:rFonts w:hint="default"/>
                <w:color w:val="auto"/>
                <w:highlight w:val="none"/>
              </w:rPr>
            </w:pPr>
            <w:r>
              <w:rPr>
                <w:rFonts w:hint="default"/>
                <w:color w:val="auto"/>
                <w:highlight w:val="none"/>
              </w:rPr>
              <w:t>项目周边50m范围内无声环境保护目标，通过对高噪声设备采取降噪措施，项目厂界可以满足《工业企业厂界环境噪声排放标准》（GB12348-2008）中</w:t>
            </w:r>
            <w:r>
              <w:rPr>
                <w:rFonts w:hint="eastAsia"/>
                <w:color w:val="auto"/>
                <w:highlight w:val="none"/>
                <w:lang w:val="en-US" w:eastAsia="zh-CN"/>
              </w:rPr>
              <w:t>3</w:t>
            </w:r>
            <w:r>
              <w:rPr>
                <w:rFonts w:hint="default"/>
                <w:color w:val="auto"/>
                <w:highlight w:val="none"/>
              </w:rPr>
              <w:t>类区标准要求</w:t>
            </w:r>
            <w:r>
              <w:rPr>
                <w:rFonts w:hint="eastAsia"/>
                <w:color w:val="auto"/>
                <w:highlight w:val="none"/>
                <w:lang w:eastAsia="zh-CN"/>
              </w:rPr>
              <w:t>，</w:t>
            </w:r>
            <w:r>
              <w:rPr>
                <w:rFonts w:hint="default"/>
                <w:color w:val="auto"/>
                <w:highlight w:val="none"/>
              </w:rPr>
              <w:t>其标准值见表</w:t>
            </w:r>
            <w:r>
              <w:rPr>
                <w:rFonts w:hint="eastAsia"/>
                <w:color w:val="auto"/>
                <w:highlight w:val="none"/>
                <w:lang w:val="en-US" w:eastAsia="zh-CN"/>
              </w:rPr>
              <w:t>4-7</w:t>
            </w:r>
            <w:r>
              <w:rPr>
                <w:rFonts w:hint="default"/>
                <w:color w:val="auto"/>
                <w:highlight w:val="none"/>
              </w:rPr>
              <w:t>。</w:t>
            </w:r>
          </w:p>
          <w:p w14:paraId="31B066BE">
            <w:pPr>
              <w:pStyle w:val="31"/>
              <w:bidi w:val="0"/>
              <w:spacing w:line="240" w:lineRule="auto"/>
              <w:rPr>
                <w:rFonts w:hint="default"/>
                <w:b/>
                <w:bCs/>
                <w:color w:val="auto"/>
                <w:highlight w:val="none"/>
              </w:rPr>
            </w:pPr>
            <w:r>
              <w:rPr>
                <w:rFonts w:hint="default"/>
                <w:b/>
                <w:bCs/>
                <w:color w:val="auto"/>
                <w:highlight w:val="none"/>
              </w:rPr>
              <w:t>表</w:t>
            </w:r>
            <w:r>
              <w:rPr>
                <w:rFonts w:hint="eastAsia"/>
                <w:b/>
                <w:bCs/>
                <w:color w:val="auto"/>
                <w:highlight w:val="none"/>
                <w:lang w:val="en-US" w:eastAsia="zh-CN"/>
              </w:rPr>
              <w:t xml:space="preserve">4-7    </w:t>
            </w:r>
            <w:r>
              <w:rPr>
                <w:rFonts w:hint="default"/>
                <w:b/>
                <w:bCs/>
                <w:color w:val="auto"/>
                <w:highlight w:val="none"/>
              </w:rPr>
              <w:t>噪声评价标准单位：dB（A）</w:t>
            </w:r>
          </w:p>
          <w:tbl>
            <w:tblPr>
              <w:tblStyle w:val="21"/>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094"/>
              <w:gridCol w:w="1025"/>
              <w:gridCol w:w="1025"/>
              <w:gridCol w:w="1025"/>
            </w:tblGrid>
            <w:tr w14:paraId="0AB339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3118" w:type="pct"/>
                  <w:tcBorders>
                    <w:bottom w:val="single" w:color="000000" w:sz="12" w:space="0"/>
                  </w:tcBorders>
                  <w:noWrap w:val="0"/>
                  <w:vAlign w:val="center"/>
                </w:tcPr>
                <w:p w14:paraId="64B9411B">
                  <w:pPr>
                    <w:pStyle w:val="32"/>
                    <w:bidi w:val="0"/>
                    <w:ind w:left="0" w:leftChars="0" w:firstLine="0" w:firstLineChars="0"/>
                    <w:jc w:val="center"/>
                    <w:rPr>
                      <w:rFonts w:hint="default"/>
                      <w:b/>
                      <w:bCs/>
                      <w:color w:val="auto"/>
                      <w:highlight w:val="none"/>
                    </w:rPr>
                  </w:pPr>
                  <w:r>
                    <w:rPr>
                      <w:rFonts w:hint="default"/>
                      <w:b/>
                      <w:bCs/>
                      <w:color w:val="auto"/>
                      <w:highlight w:val="none"/>
                    </w:rPr>
                    <w:t>采用标准</w:t>
                  </w:r>
                </w:p>
              </w:tc>
              <w:tc>
                <w:tcPr>
                  <w:tcW w:w="627" w:type="pct"/>
                  <w:tcBorders>
                    <w:bottom w:val="single" w:color="000000" w:sz="12" w:space="0"/>
                  </w:tcBorders>
                  <w:noWrap w:val="0"/>
                  <w:vAlign w:val="center"/>
                </w:tcPr>
                <w:p w14:paraId="5D880301">
                  <w:pPr>
                    <w:pStyle w:val="32"/>
                    <w:bidi w:val="0"/>
                    <w:ind w:left="0" w:leftChars="0" w:firstLine="0" w:firstLineChars="0"/>
                    <w:jc w:val="center"/>
                    <w:rPr>
                      <w:rFonts w:hint="default"/>
                      <w:b/>
                      <w:bCs/>
                      <w:color w:val="auto"/>
                      <w:highlight w:val="none"/>
                    </w:rPr>
                  </w:pPr>
                  <w:r>
                    <w:rPr>
                      <w:rFonts w:hint="default"/>
                      <w:b/>
                      <w:bCs/>
                      <w:color w:val="auto"/>
                      <w:highlight w:val="none"/>
                    </w:rPr>
                    <w:t>类别</w:t>
                  </w:r>
                </w:p>
              </w:tc>
              <w:tc>
                <w:tcPr>
                  <w:tcW w:w="627" w:type="pct"/>
                  <w:tcBorders>
                    <w:bottom w:val="single" w:color="000000" w:sz="12" w:space="0"/>
                  </w:tcBorders>
                  <w:noWrap w:val="0"/>
                  <w:vAlign w:val="center"/>
                </w:tcPr>
                <w:p w14:paraId="69122B7A">
                  <w:pPr>
                    <w:pStyle w:val="32"/>
                    <w:bidi w:val="0"/>
                    <w:ind w:left="0" w:leftChars="0" w:firstLine="0" w:firstLineChars="0"/>
                    <w:jc w:val="center"/>
                    <w:rPr>
                      <w:rFonts w:hint="default"/>
                      <w:b/>
                      <w:bCs/>
                      <w:color w:val="auto"/>
                      <w:highlight w:val="none"/>
                    </w:rPr>
                  </w:pPr>
                  <w:r>
                    <w:rPr>
                      <w:rFonts w:hint="default"/>
                      <w:b/>
                      <w:bCs/>
                      <w:color w:val="auto"/>
                      <w:highlight w:val="none"/>
                    </w:rPr>
                    <w:t>昼间</w:t>
                  </w:r>
                </w:p>
              </w:tc>
              <w:tc>
                <w:tcPr>
                  <w:tcW w:w="627" w:type="pct"/>
                  <w:tcBorders>
                    <w:bottom w:val="single" w:color="000000" w:sz="12" w:space="0"/>
                  </w:tcBorders>
                  <w:noWrap w:val="0"/>
                  <w:vAlign w:val="center"/>
                </w:tcPr>
                <w:p w14:paraId="224637BB">
                  <w:pPr>
                    <w:pStyle w:val="32"/>
                    <w:bidi w:val="0"/>
                    <w:ind w:left="0" w:leftChars="0" w:firstLine="0" w:firstLineChars="0"/>
                    <w:jc w:val="center"/>
                    <w:rPr>
                      <w:rFonts w:hint="default"/>
                      <w:b/>
                      <w:bCs/>
                      <w:color w:val="auto"/>
                      <w:highlight w:val="none"/>
                    </w:rPr>
                  </w:pPr>
                  <w:r>
                    <w:rPr>
                      <w:rFonts w:hint="default"/>
                      <w:b/>
                      <w:bCs/>
                      <w:color w:val="auto"/>
                      <w:highlight w:val="none"/>
                    </w:rPr>
                    <w:t>夜间</w:t>
                  </w:r>
                </w:p>
              </w:tc>
            </w:tr>
            <w:tr w14:paraId="5C21BF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118" w:type="pct"/>
                  <w:tcBorders>
                    <w:top w:val="single" w:color="000000" w:sz="12" w:space="0"/>
                  </w:tcBorders>
                  <w:noWrap w:val="0"/>
                  <w:vAlign w:val="center"/>
                </w:tcPr>
                <w:p w14:paraId="1477435A">
                  <w:pPr>
                    <w:pStyle w:val="32"/>
                    <w:bidi w:val="0"/>
                    <w:ind w:left="0" w:leftChars="0" w:firstLine="0" w:firstLineChars="0"/>
                    <w:jc w:val="center"/>
                    <w:rPr>
                      <w:rFonts w:hint="default"/>
                      <w:color w:val="auto"/>
                      <w:highlight w:val="none"/>
                    </w:rPr>
                  </w:pPr>
                  <w:r>
                    <w:rPr>
                      <w:rFonts w:hint="default"/>
                      <w:color w:val="auto"/>
                      <w:highlight w:val="none"/>
                    </w:rPr>
                    <w:t>工业企业厂界环境噪声排放标准</w:t>
                  </w:r>
                </w:p>
              </w:tc>
              <w:tc>
                <w:tcPr>
                  <w:tcW w:w="627" w:type="pct"/>
                  <w:tcBorders>
                    <w:top w:val="single" w:color="000000" w:sz="12" w:space="0"/>
                  </w:tcBorders>
                  <w:noWrap w:val="0"/>
                  <w:vAlign w:val="center"/>
                </w:tcPr>
                <w:p w14:paraId="16E17160">
                  <w:pPr>
                    <w:pStyle w:val="32"/>
                    <w:bidi w:val="0"/>
                    <w:ind w:left="0" w:leftChars="0" w:firstLine="0" w:firstLineChars="0"/>
                    <w:jc w:val="center"/>
                    <w:rPr>
                      <w:rFonts w:hint="default"/>
                      <w:color w:val="auto"/>
                      <w:highlight w:val="none"/>
                      <w:lang w:val="en-US" w:eastAsia="zh-CN"/>
                    </w:rPr>
                  </w:pPr>
                  <w:r>
                    <w:rPr>
                      <w:rFonts w:hint="eastAsia"/>
                      <w:color w:val="auto"/>
                      <w:highlight w:val="none"/>
                      <w:lang w:val="en-US" w:eastAsia="zh-CN"/>
                    </w:rPr>
                    <w:t>3</w:t>
                  </w:r>
                </w:p>
              </w:tc>
              <w:tc>
                <w:tcPr>
                  <w:tcW w:w="627" w:type="pct"/>
                  <w:tcBorders>
                    <w:top w:val="single" w:color="000000" w:sz="12" w:space="0"/>
                  </w:tcBorders>
                  <w:noWrap w:val="0"/>
                  <w:vAlign w:val="center"/>
                </w:tcPr>
                <w:p w14:paraId="15308135">
                  <w:pPr>
                    <w:pStyle w:val="32"/>
                    <w:bidi w:val="0"/>
                    <w:ind w:left="0" w:leftChars="0" w:firstLine="0" w:firstLineChars="0"/>
                    <w:jc w:val="center"/>
                    <w:rPr>
                      <w:rFonts w:hint="default"/>
                      <w:color w:val="auto"/>
                      <w:highlight w:val="none"/>
                      <w:lang w:eastAsia="zh-CN"/>
                    </w:rPr>
                  </w:pPr>
                  <w:r>
                    <w:rPr>
                      <w:rFonts w:hint="default"/>
                      <w:color w:val="auto"/>
                      <w:highlight w:val="none"/>
                    </w:rPr>
                    <w:t>6</w:t>
                  </w:r>
                  <w:r>
                    <w:rPr>
                      <w:rFonts w:hint="eastAsia"/>
                      <w:color w:val="auto"/>
                      <w:highlight w:val="none"/>
                      <w:lang w:val="en-US" w:eastAsia="zh-CN"/>
                    </w:rPr>
                    <w:t>5</w:t>
                  </w:r>
                </w:p>
              </w:tc>
              <w:tc>
                <w:tcPr>
                  <w:tcW w:w="627" w:type="pct"/>
                  <w:tcBorders>
                    <w:top w:val="single" w:color="000000" w:sz="12" w:space="0"/>
                  </w:tcBorders>
                  <w:noWrap w:val="0"/>
                  <w:vAlign w:val="center"/>
                </w:tcPr>
                <w:p w14:paraId="0C94E0E7">
                  <w:pPr>
                    <w:pStyle w:val="32"/>
                    <w:bidi w:val="0"/>
                    <w:ind w:left="0" w:leftChars="0" w:firstLine="0" w:firstLineChars="0"/>
                    <w:jc w:val="center"/>
                    <w:rPr>
                      <w:rFonts w:hint="default"/>
                      <w:color w:val="auto"/>
                      <w:highlight w:val="none"/>
                      <w:lang w:eastAsia="zh-CN"/>
                    </w:rPr>
                  </w:pPr>
                  <w:r>
                    <w:rPr>
                      <w:rFonts w:hint="default"/>
                      <w:color w:val="auto"/>
                      <w:highlight w:val="none"/>
                    </w:rPr>
                    <w:t>5</w:t>
                  </w:r>
                  <w:r>
                    <w:rPr>
                      <w:rFonts w:hint="eastAsia"/>
                      <w:color w:val="auto"/>
                      <w:highlight w:val="none"/>
                      <w:lang w:val="en-US" w:eastAsia="zh-CN"/>
                    </w:rPr>
                    <w:t>5</w:t>
                  </w:r>
                </w:p>
              </w:tc>
            </w:tr>
          </w:tbl>
          <w:p w14:paraId="539C8428">
            <w:pPr>
              <w:pStyle w:val="18"/>
              <w:bidi w:val="0"/>
              <w:ind w:left="0" w:leftChars="0" w:firstLine="0" w:firstLineChars="0"/>
              <w:rPr>
                <w:rFonts w:hint="default"/>
                <w:color w:val="auto"/>
                <w:highlight w:val="none"/>
              </w:rPr>
            </w:pPr>
          </w:p>
          <w:p w14:paraId="6714D730">
            <w:pPr>
              <w:pStyle w:val="18"/>
              <w:bidi w:val="0"/>
              <w:rPr>
                <w:rFonts w:hint="default"/>
                <w:color w:val="auto"/>
                <w:highlight w:val="none"/>
              </w:rPr>
            </w:pPr>
            <w:r>
              <w:rPr>
                <w:rFonts w:hint="default"/>
                <w:color w:val="auto"/>
                <w:highlight w:val="none"/>
              </w:rPr>
              <w:t>项目各设备噪声及治理措施见表</w:t>
            </w:r>
            <w:r>
              <w:rPr>
                <w:rFonts w:hint="eastAsia"/>
                <w:color w:val="auto"/>
                <w:highlight w:val="none"/>
                <w:lang w:val="en-US" w:eastAsia="zh-CN"/>
              </w:rPr>
              <w:t>4-8</w:t>
            </w:r>
            <w:r>
              <w:rPr>
                <w:rFonts w:hint="default"/>
                <w:color w:val="auto"/>
                <w:highlight w:val="none"/>
              </w:rPr>
              <w:t>。</w:t>
            </w:r>
          </w:p>
          <w:p w14:paraId="72F35952">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w:t>
            </w:r>
            <w:r>
              <w:rPr>
                <w:rFonts w:hint="default" w:ascii="Times New Roman" w:hAnsi="Times New Roman" w:cs="Times New Roman"/>
                <w:b/>
                <w:bCs/>
                <w:color w:val="auto"/>
                <w:szCs w:val="21"/>
                <w:highlight w:val="none"/>
                <w:lang w:val="en-US" w:eastAsia="zh-CN"/>
              </w:rPr>
              <w:t>7</w:t>
            </w:r>
            <w:r>
              <w:rPr>
                <w:rFonts w:hint="default" w:ascii="Times New Roman" w:hAnsi="Times New Roman" w:cs="Times New Roman"/>
                <w:b/>
                <w:bCs/>
                <w:color w:val="auto"/>
                <w:szCs w:val="21"/>
                <w:highlight w:val="none"/>
              </w:rPr>
              <w:t xml:space="preserve">    项目产噪设备源强一览表</w:t>
            </w:r>
          </w:p>
          <w:tbl>
            <w:tblPr>
              <w:tblStyle w:val="21"/>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00"/>
              <w:gridCol w:w="720"/>
              <w:gridCol w:w="1725"/>
              <w:gridCol w:w="2080"/>
              <w:gridCol w:w="1773"/>
            </w:tblGrid>
            <w:tr w14:paraId="0EEEDF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tcBorders>
                    <w:bottom w:val="single" w:color="auto" w:sz="12" w:space="0"/>
                  </w:tcBorders>
                  <w:vAlign w:val="center"/>
                </w:tcPr>
                <w:p w14:paraId="7D2B1F05">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18"/>
                      <w:highlight w:val="none"/>
                    </w:rPr>
                  </w:pPr>
                  <w:r>
                    <w:rPr>
                      <w:rFonts w:hint="default" w:ascii="Times New Roman" w:hAnsi="Times New Roman" w:cs="Times New Roman"/>
                      <w:b/>
                      <w:bCs/>
                      <w:color w:val="auto"/>
                      <w:szCs w:val="18"/>
                      <w:highlight w:val="none"/>
                    </w:rPr>
                    <w:t>编号</w:t>
                  </w:r>
                </w:p>
              </w:tc>
              <w:tc>
                <w:tcPr>
                  <w:tcW w:w="734" w:type="pct"/>
                  <w:tcBorders>
                    <w:bottom w:val="single" w:color="auto" w:sz="12" w:space="0"/>
                  </w:tcBorders>
                  <w:vAlign w:val="center"/>
                </w:tcPr>
                <w:p w14:paraId="24F6DB41">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18"/>
                      <w:highlight w:val="none"/>
                    </w:rPr>
                  </w:pPr>
                  <w:r>
                    <w:rPr>
                      <w:rFonts w:hint="default" w:ascii="Times New Roman" w:hAnsi="Times New Roman" w:cs="Times New Roman"/>
                      <w:b/>
                      <w:bCs/>
                      <w:color w:val="auto"/>
                      <w:szCs w:val="18"/>
                      <w:highlight w:val="none"/>
                    </w:rPr>
                    <w:t>噪声源</w:t>
                  </w:r>
                </w:p>
              </w:tc>
              <w:tc>
                <w:tcPr>
                  <w:tcW w:w="440" w:type="pct"/>
                  <w:tcBorders>
                    <w:bottom w:val="single" w:color="auto" w:sz="12" w:space="0"/>
                  </w:tcBorders>
                  <w:vAlign w:val="center"/>
                </w:tcPr>
                <w:p w14:paraId="7C7B0528">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18"/>
                      <w:highlight w:val="none"/>
                    </w:rPr>
                  </w:pPr>
                  <w:r>
                    <w:rPr>
                      <w:rFonts w:hint="default" w:ascii="Times New Roman" w:hAnsi="Times New Roman" w:cs="Times New Roman"/>
                      <w:b/>
                      <w:bCs/>
                      <w:color w:val="auto"/>
                      <w:szCs w:val="18"/>
                      <w:highlight w:val="none"/>
                    </w:rPr>
                    <w:t>位置</w:t>
                  </w:r>
                </w:p>
              </w:tc>
              <w:tc>
                <w:tcPr>
                  <w:tcW w:w="1055" w:type="pct"/>
                  <w:tcBorders>
                    <w:bottom w:val="single" w:color="auto" w:sz="12" w:space="0"/>
                  </w:tcBorders>
                  <w:vAlign w:val="center"/>
                </w:tcPr>
                <w:p w14:paraId="7D45D4EF">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18"/>
                      <w:highlight w:val="none"/>
                    </w:rPr>
                  </w:pPr>
                  <w:r>
                    <w:rPr>
                      <w:rFonts w:hint="default" w:ascii="Times New Roman" w:hAnsi="Times New Roman" w:cs="Times New Roman"/>
                      <w:b/>
                      <w:bCs/>
                      <w:color w:val="auto"/>
                      <w:szCs w:val="18"/>
                      <w:highlight w:val="none"/>
                    </w:rPr>
                    <w:t>噪声级dB（A）</w:t>
                  </w:r>
                </w:p>
              </w:tc>
              <w:tc>
                <w:tcPr>
                  <w:tcW w:w="1272" w:type="pct"/>
                  <w:tcBorders>
                    <w:bottom w:val="single" w:color="auto" w:sz="12" w:space="0"/>
                  </w:tcBorders>
                  <w:vAlign w:val="center"/>
                </w:tcPr>
                <w:p w14:paraId="5357CA8B">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18"/>
                      <w:highlight w:val="none"/>
                    </w:rPr>
                  </w:pPr>
                  <w:r>
                    <w:rPr>
                      <w:rFonts w:hint="default" w:ascii="Times New Roman" w:hAnsi="Times New Roman" w:cs="Times New Roman"/>
                      <w:b/>
                      <w:bCs/>
                      <w:color w:val="auto"/>
                      <w:szCs w:val="18"/>
                      <w:highlight w:val="none"/>
                    </w:rPr>
                    <w:t>降噪措施</w:t>
                  </w:r>
                </w:p>
              </w:tc>
              <w:tc>
                <w:tcPr>
                  <w:tcW w:w="1084" w:type="pct"/>
                  <w:tcBorders>
                    <w:bottom w:val="single" w:color="auto" w:sz="12" w:space="0"/>
                  </w:tcBorders>
                  <w:vAlign w:val="center"/>
                </w:tcPr>
                <w:p w14:paraId="4CEBC9DD">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18"/>
                      <w:highlight w:val="none"/>
                    </w:rPr>
                  </w:pPr>
                  <w:r>
                    <w:rPr>
                      <w:rFonts w:hint="default" w:ascii="Times New Roman" w:hAnsi="Times New Roman" w:cs="Times New Roman"/>
                      <w:b/>
                      <w:bCs/>
                      <w:color w:val="auto"/>
                      <w:szCs w:val="18"/>
                      <w:highlight w:val="none"/>
                    </w:rPr>
                    <w:t>降噪效果dB（A）</w:t>
                  </w:r>
                </w:p>
              </w:tc>
            </w:tr>
            <w:tr w14:paraId="4AFE4D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tcBorders>
                    <w:top w:val="single" w:color="auto" w:sz="12" w:space="0"/>
                  </w:tcBorders>
                  <w:vAlign w:val="center"/>
                </w:tcPr>
                <w:p w14:paraId="32A92E9B">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1</w:t>
                  </w:r>
                </w:p>
              </w:tc>
              <w:tc>
                <w:tcPr>
                  <w:tcW w:w="734" w:type="pct"/>
                  <w:vAlign w:val="center"/>
                </w:tcPr>
                <w:p w14:paraId="4847BCDB">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空压机</w:t>
                  </w:r>
                </w:p>
              </w:tc>
              <w:tc>
                <w:tcPr>
                  <w:tcW w:w="440" w:type="pct"/>
                  <w:vMerge w:val="restart"/>
                  <w:tcBorders>
                    <w:top w:val="single" w:color="auto" w:sz="12" w:space="0"/>
                  </w:tcBorders>
                  <w:vAlign w:val="center"/>
                </w:tcPr>
                <w:p w14:paraId="20D63528">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厂内</w:t>
                  </w:r>
                </w:p>
              </w:tc>
              <w:tc>
                <w:tcPr>
                  <w:tcW w:w="1055" w:type="pct"/>
                  <w:vAlign w:val="center"/>
                </w:tcPr>
                <w:p w14:paraId="66A70E4D">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80~90</w:t>
                  </w:r>
                </w:p>
              </w:tc>
              <w:tc>
                <w:tcPr>
                  <w:tcW w:w="1272" w:type="pct"/>
                  <w:vMerge w:val="restart"/>
                  <w:tcBorders>
                    <w:top w:val="single" w:color="auto" w:sz="12" w:space="0"/>
                  </w:tcBorders>
                  <w:vAlign w:val="center"/>
                </w:tcPr>
                <w:p w14:paraId="788B4DE7">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设备安装时设置减震基座，车间隔声，加强设备维护保养</w:t>
                  </w:r>
                </w:p>
              </w:tc>
              <w:tc>
                <w:tcPr>
                  <w:tcW w:w="1084" w:type="pct"/>
                  <w:vAlign w:val="center"/>
                </w:tcPr>
                <w:p w14:paraId="56149993">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15~20</w:t>
                  </w:r>
                </w:p>
              </w:tc>
            </w:tr>
            <w:tr w14:paraId="6C932A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Align w:val="center"/>
                </w:tcPr>
                <w:p w14:paraId="2315CB30">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2</w:t>
                  </w:r>
                </w:p>
              </w:tc>
              <w:tc>
                <w:tcPr>
                  <w:tcW w:w="734" w:type="pct"/>
                  <w:vAlign w:val="center"/>
                </w:tcPr>
                <w:p w14:paraId="42D9F78E">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输送带</w:t>
                  </w:r>
                </w:p>
              </w:tc>
              <w:tc>
                <w:tcPr>
                  <w:tcW w:w="440" w:type="pct"/>
                  <w:vMerge w:val="continue"/>
                  <w:vAlign w:val="center"/>
                </w:tcPr>
                <w:p w14:paraId="09E6371F">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p>
              </w:tc>
              <w:tc>
                <w:tcPr>
                  <w:tcW w:w="1055" w:type="pct"/>
                  <w:vAlign w:val="center"/>
                </w:tcPr>
                <w:p w14:paraId="2C53061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75~85</w:t>
                  </w:r>
                </w:p>
              </w:tc>
              <w:tc>
                <w:tcPr>
                  <w:tcW w:w="1272" w:type="pct"/>
                  <w:vMerge w:val="continue"/>
                  <w:vAlign w:val="center"/>
                </w:tcPr>
                <w:p w14:paraId="4DF57114">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p>
              </w:tc>
              <w:tc>
                <w:tcPr>
                  <w:tcW w:w="1084" w:type="pct"/>
                  <w:vAlign w:val="center"/>
                </w:tcPr>
                <w:p w14:paraId="3E1BC9CE">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15~20</w:t>
                  </w:r>
                </w:p>
              </w:tc>
            </w:tr>
            <w:tr w14:paraId="0113B5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Align w:val="center"/>
                </w:tcPr>
                <w:p w14:paraId="1B1F1EF4">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3</w:t>
                  </w:r>
                </w:p>
              </w:tc>
              <w:tc>
                <w:tcPr>
                  <w:tcW w:w="734" w:type="pct"/>
                  <w:vAlign w:val="center"/>
                </w:tcPr>
                <w:p w14:paraId="2668395A">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搅拌机</w:t>
                  </w:r>
                </w:p>
              </w:tc>
              <w:tc>
                <w:tcPr>
                  <w:tcW w:w="440" w:type="pct"/>
                  <w:vMerge w:val="continue"/>
                  <w:vAlign w:val="center"/>
                </w:tcPr>
                <w:p w14:paraId="193D6B5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p>
              </w:tc>
              <w:tc>
                <w:tcPr>
                  <w:tcW w:w="1055" w:type="pct"/>
                  <w:vAlign w:val="center"/>
                </w:tcPr>
                <w:p w14:paraId="79D6287C">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80~90</w:t>
                  </w:r>
                </w:p>
              </w:tc>
              <w:tc>
                <w:tcPr>
                  <w:tcW w:w="1272" w:type="pct"/>
                  <w:vMerge w:val="continue"/>
                  <w:vAlign w:val="center"/>
                </w:tcPr>
                <w:p w14:paraId="36FEDA9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p>
              </w:tc>
              <w:tc>
                <w:tcPr>
                  <w:tcW w:w="1084" w:type="pct"/>
                  <w:vAlign w:val="center"/>
                </w:tcPr>
                <w:p w14:paraId="49378125">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15~20</w:t>
                  </w:r>
                </w:p>
              </w:tc>
            </w:tr>
            <w:tr w14:paraId="782F61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2" w:type="pct"/>
                  <w:vAlign w:val="center"/>
                </w:tcPr>
                <w:p w14:paraId="2EA48A39">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8"/>
                      <w:highlight w:val="none"/>
                    </w:rPr>
                  </w:pPr>
                  <w:r>
                    <w:rPr>
                      <w:rFonts w:hint="default" w:ascii="Times New Roman" w:hAnsi="Times New Roman" w:cs="Times New Roman"/>
                      <w:color w:val="auto"/>
                      <w:szCs w:val="18"/>
                      <w:highlight w:val="none"/>
                    </w:rPr>
                    <w:t>4</w:t>
                  </w:r>
                </w:p>
              </w:tc>
              <w:tc>
                <w:tcPr>
                  <w:tcW w:w="734" w:type="pct"/>
                  <w:vAlign w:val="center"/>
                </w:tcPr>
                <w:p w14:paraId="5A10FCD8">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车辆运输</w:t>
                  </w:r>
                </w:p>
              </w:tc>
              <w:tc>
                <w:tcPr>
                  <w:tcW w:w="440" w:type="pct"/>
                  <w:vMerge w:val="continue"/>
                  <w:vAlign w:val="center"/>
                </w:tcPr>
                <w:p w14:paraId="517C7674">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p>
              </w:tc>
              <w:tc>
                <w:tcPr>
                  <w:tcW w:w="1055" w:type="pct"/>
                  <w:vAlign w:val="center"/>
                </w:tcPr>
                <w:p w14:paraId="344719D3">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8"/>
                      <w:highlight w:val="none"/>
                    </w:rPr>
                    <w:t>65~80</w:t>
                  </w:r>
                </w:p>
              </w:tc>
              <w:tc>
                <w:tcPr>
                  <w:tcW w:w="1272" w:type="pct"/>
                  <w:vAlign w:val="center"/>
                </w:tcPr>
                <w:p w14:paraId="5F797AE5">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选用低噪声车辆</w:t>
                  </w:r>
                </w:p>
              </w:tc>
              <w:tc>
                <w:tcPr>
                  <w:tcW w:w="1084" w:type="pct"/>
                  <w:vAlign w:val="center"/>
                </w:tcPr>
                <w:p w14:paraId="6D059823">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16"/>
                      <w:highlight w:val="none"/>
                    </w:rPr>
                  </w:pPr>
                  <w:r>
                    <w:rPr>
                      <w:rFonts w:hint="default" w:ascii="Times New Roman" w:hAnsi="Times New Roman" w:cs="Times New Roman"/>
                      <w:color w:val="auto"/>
                      <w:szCs w:val="16"/>
                      <w:highlight w:val="none"/>
                    </w:rPr>
                    <w:t>15~20</w:t>
                  </w:r>
                </w:p>
              </w:tc>
            </w:tr>
          </w:tbl>
          <w:p w14:paraId="3F0381CD">
            <w:pPr>
              <w:pStyle w:val="5"/>
              <w:spacing w:after="0" w:line="360" w:lineRule="auto"/>
              <w:ind w:left="0" w:leftChars="0"/>
              <w:contextualSpacing/>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3.2噪声源强核算</w:t>
            </w:r>
          </w:p>
          <w:p w14:paraId="4D559F98">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由于本项目噪声设备较多，声源复杂，分布不均匀，本次评价采用适用范围较广的整体声源模型，通过理论计算，预测噪声对敏感点的影响，从而科学地预测该项目的噪声影响情况。根据现场踏勘，项目区周边无环境敏感点。因此，本环评仅预测厂界噪声的影响。</w:t>
            </w:r>
          </w:p>
          <w:p w14:paraId="79511DD6">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本次环评噪声预测模式采用室外点声源预测模式，其计算过程如下：</w:t>
            </w:r>
          </w:p>
          <w:p w14:paraId="5D280E40">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 计算某个声源在预测点的倍频带声压级</w:t>
            </w:r>
          </w:p>
          <w:p w14:paraId="0836B81E">
            <w:pPr>
              <w:autoSpaceDE w:val="0"/>
              <w:autoSpaceDN w:val="0"/>
              <w:adjustRightInd w:val="0"/>
              <w:spacing w:line="360" w:lineRule="auto"/>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object>
                <v:shape id="_x0000_i1026" o:spt="75" type="#_x0000_t75" style="height:37.8pt;width:174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p>
          <w:p w14:paraId="06D22CAA">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式中：Loct(r)——点声源在预测点产生的倍频带声压级， dB(A)；</w:t>
            </w:r>
          </w:p>
          <w:p w14:paraId="1E91BF5B">
            <w:pPr>
              <w:autoSpaceDE w:val="0"/>
              <w:autoSpaceDN w:val="0"/>
              <w:adjustRightInd w:val="0"/>
              <w:spacing w:line="360" w:lineRule="auto"/>
              <w:ind w:firstLine="1200" w:firstLineChars="5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Loct(r0)——参考位置r0处</w:t>
            </w:r>
            <w:r>
              <w:rPr>
                <w:rFonts w:hint="default" w:ascii="Times New Roman" w:hAnsi="Times New Roman" w:cs="Times New Roman"/>
                <w:bCs/>
                <w:color w:val="auto"/>
                <w:sz w:val="24"/>
                <w:highlight w:val="none"/>
                <w:lang w:eastAsia="zh-CN"/>
              </w:rPr>
              <w:t>的</w:t>
            </w:r>
            <w:r>
              <w:rPr>
                <w:rFonts w:hint="default" w:ascii="Times New Roman" w:hAnsi="Times New Roman" w:cs="Times New Roman"/>
                <w:bCs/>
                <w:color w:val="auto"/>
                <w:sz w:val="24"/>
                <w:highlight w:val="none"/>
              </w:rPr>
              <w:t>倍频带声压级， dB(A)；</w:t>
            </w:r>
          </w:p>
          <w:p w14:paraId="07F49CDB">
            <w:pPr>
              <w:autoSpaceDE w:val="0"/>
              <w:autoSpaceDN w:val="0"/>
              <w:adjustRightInd w:val="0"/>
              <w:spacing w:line="360" w:lineRule="auto"/>
              <w:ind w:firstLine="1200" w:firstLineChars="5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r——预测点距声源的距离，m；</w:t>
            </w:r>
          </w:p>
          <w:p w14:paraId="49F0330E">
            <w:pPr>
              <w:autoSpaceDE w:val="0"/>
              <w:autoSpaceDN w:val="0"/>
              <w:adjustRightInd w:val="0"/>
              <w:spacing w:line="360" w:lineRule="auto"/>
              <w:ind w:firstLine="1200" w:firstLineChars="5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r0——参考位置距声源的距离，m；</w:t>
            </w:r>
          </w:p>
          <w:p w14:paraId="3313B796">
            <w:pPr>
              <w:autoSpaceDE w:val="0"/>
              <w:autoSpaceDN w:val="0"/>
              <w:adjustRightInd w:val="0"/>
              <w:spacing w:line="360" w:lineRule="auto"/>
              <w:ind w:firstLine="1200" w:firstLineChars="5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ΔLoct——各种因素引起的衰减量（包括声屏障、遮挡物、空气吸收、地面效应等引起的衰减量）,dB(A)。</w:t>
            </w:r>
          </w:p>
          <w:p w14:paraId="1A018F33">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②预测点总影响值计算模式：</w:t>
            </w:r>
          </w:p>
          <w:p w14:paraId="5D356C16">
            <w:pPr>
              <w:autoSpaceDE w:val="0"/>
              <w:autoSpaceDN w:val="0"/>
              <w:adjustRightInd w:val="0"/>
              <w:spacing w:line="360" w:lineRule="auto"/>
              <w:ind w:firstLine="420" w:firstLineChars="200"/>
              <w:jc w:val="left"/>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 xml:space="preserve">     </w:t>
            </w:r>
            <w:r>
              <w:rPr>
                <w:rFonts w:hint="default" w:ascii="Times New Roman" w:hAnsi="Times New Roman" w:cs="Times New Roman"/>
                <w:bCs/>
                <w:color w:val="auto"/>
                <w:highlight w:val="none"/>
                <w:lang w:val="en-US" w:eastAsia="zh-CN"/>
              </w:rPr>
              <w:t xml:space="preserve">          </w:t>
            </w:r>
            <w:r>
              <w:rPr>
                <w:rFonts w:hint="default" w:ascii="Times New Roman" w:hAnsi="Times New Roman" w:cs="Times New Roman"/>
                <w:bCs/>
                <w:color w:val="auto"/>
                <w:highlight w:val="none"/>
              </w:rPr>
              <w:t xml:space="preserve"> </w:t>
            </w:r>
            <w:r>
              <w:rPr>
                <w:rFonts w:hint="default" w:ascii="Times New Roman" w:hAnsi="Times New Roman" w:cs="Times New Roman"/>
                <w:bCs/>
                <w:color w:val="auto"/>
                <w:highlight w:val="none"/>
                <w:lang w:val="en-US" w:eastAsia="zh-CN"/>
              </w:rPr>
              <w:t xml:space="preserve">     </w:t>
            </w:r>
            <w:r>
              <w:rPr>
                <w:rFonts w:hint="default" w:ascii="Times New Roman" w:hAnsi="Times New Roman" w:cs="Times New Roman"/>
                <w:bCs/>
                <w:color w:val="auto"/>
                <w:highlight w:val="none"/>
              </w:rPr>
              <w:drawing>
                <wp:inline distT="0" distB="0" distL="114300" distR="114300">
                  <wp:extent cx="1741805" cy="660400"/>
                  <wp:effectExtent l="0" t="0" r="0" b="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3"/>
                          <a:stretch>
                            <a:fillRect/>
                          </a:stretch>
                        </pic:blipFill>
                        <pic:spPr>
                          <a:xfrm>
                            <a:off x="0" y="0"/>
                            <a:ext cx="1741805" cy="660400"/>
                          </a:xfrm>
                          <a:prstGeom prst="rect">
                            <a:avLst/>
                          </a:prstGeom>
                          <a:noFill/>
                          <a:ln>
                            <a:noFill/>
                          </a:ln>
                        </pic:spPr>
                      </pic:pic>
                    </a:graphicData>
                  </a:graphic>
                </wp:inline>
              </w:drawing>
            </w:r>
          </w:p>
          <w:p w14:paraId="5313B0F6">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lang w:bidi="ar"/>
              </w:rPr>
              <w:t>式中：</w:t>
            </w:r>
            <w:r>
              <w:rPr>
                <w:rFonts w:hint="default" w:ascii="Times New Roman" w:hAnsi="Times New Roman" w:cs="Times New Roman"/>
                <w:color w:val="auto"/>
                <w:position w:val="-12"/>
                <w:highlight w:val="none"/>
              </w:rPr>
              <w:drawing>
                <wp:inline distT="0" distB="0" distL="114300" distR="114300">
                  <wp:extent cx="219075" cy="228600"/>
                  <wp:effectExtent l="0" t="0" r="1016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4"/>
                          <a:stretch>
                            <a:fillRect/>
                          </a:stretch>
                        </pic:blipFill>
                        <pic:spPr>
                          <a:xfrm>
                            <a:off x="0" y="0"/>
                            <a:ext cx="219075" cy="228600"/>
                          </a:xfrm>
                          <a:prstGeom prst="rect">
                            <a:avLst/>
                          </a:prstGeom>
                          <a:noFill/>
                          <a:ln>
                            <a:noFill/>
                          </a:ln>
                        </pic:spPr>
                      </pic:pic>
                    </a:graphicData>
                  </a:graphic>
                </wp:inline>
              </w:drawing>
            </w:r>
            <w:r>
              <w:rPr>
                <w:rFonts w:hint="default" w:ascii="Times New Roman" w:hAnsi="Times New Roman" w:cs="Times New Roman"/>
                <w:color w:val="auto"/>
                <w:highlight w:val="none"/>
                <w:lang w:bidi="ar"/>
              </w:rPr>
              <w:t>——几个声压级相加后的总声压级，dB(A)；</w:t>
            </w:r>
          </w:p>
          <w:p w14:paraId="4FFAF532">
            <w:pPr>
              <w:autoSpaceDE w:val="0"/>
              <w:autoSpaceDN w:val="0"/>
              <w:adjustRightInd w:val="0"/>
              <w:spacing w:line="360" w:lineRule="auto"/>
              <w:ind w:firstLine="1050" w:firstLineChars="500"/>
              <w:jc w:val="left"/>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drawing>
                <wp:inline distT="0" distB="0" distL="114300" distR="114300">
                  <wp:extent cx="152400" cy="228600"/>
                  <wp:effectExtent l="0" t="0" r="0" b="0"/>
                  <wp:docPr id="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
                          <pic:cNvPicPr>
                            <a:picLocks noChangeAspect="1"/>
                          </pic:cNvPicPr>
                        </pic:nvPicPr>
                        <pic:blipFill>
                          <a:blip r:embed="rId15"/>
                          <a:stretch>
                            <a:fillRect/>
                          </a:stretch>
                        </pic:blipFill>
                        <pic:spPr>
                          <a:xfrm>
                            <a:off x="0" y="0"/>
                            <a:ext cx="152400" cy="228600"/>
                          </a:xfrm>
                          <a:prstGeom prst="rect">
                            <a:avLst/>
                          </a:prstGeom>
                          <a:noFill/>
                          <a:ln>
                            <a:noFill/>
                          </a:ln>
                        </pic:spPr>
                      </pic:pic>
                    </a:graphicData>
                  </a:graphic>
                </wp:inline>
              </w:drawing>
            </w:r>
            <w:r>
              <w:rPr>
                <w:rFonts w:hint="default" w:ascii="Times New Roman" w:hAnsi="Times New Roman" w:cs="Times New Roman"/>
                <w:bCs/>
                <w:color w:val="auto"/>
                <w:highlight w:val="none"/>
              </w:rPr>
              <w:t xml:space="preserve"> ——某一个声压级，dB(A)。</w:t>
            </w:r>
          </w:p>
          <w:p w14:paraId="53FB21C0">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其声波在传播过程中将通过所在建筑物的屏蔽衰减，并经过距离衰减、声屏障衰减、空气吸收衰减达到厂界。</w:t>
            </w:r>
          </w:p>
          <w:p w14:paraId="604E0563">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利用以上预测公式，使噪声源通过等效变换成若干等效声源，然后计算出与噪声源不同距离处的理论噪声值，得出噪声设备运行时对厂界噪声环境的影响状况，</w:t>
            </w:r>
          </w:p>
          <w:p w14:paraId="08BA7EB7">
            <w:pPr>
              <w:autoSpaceDE w:val="0"/>
              <w:autoSpaceDN w:val="0"/>
              <w:adjustRightInd w:val="0"/>
              <w:spacing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3.3预测结果</w:t>
            </w:r>
          </w:p>
          <w:p w14:paraId="717876AC">
            <w:pPr>
              <w:autoSpaceDE w:val="0"/>
              <w:autoSpaceDN w:val="0"/>
              <w:adjustRightInd w:val="0"/>
              <w:spacing w:line="360" w:lineRule="auto"/>
              <w:ind w:firstLine="480" w:firstLineChars="200"/>
              <w:jc w:val="lef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本工程主要噪声源集中在室内，从环保角度，设定其噪声源最大强度90dB（A）声源1m处噪声值，增设隔振垫后降噪约20 dB（A），计算结果见表4-1</w:t>
            </w:r>
            <w:r>
              <w:rPr>
                <w:rFonts w:hint="default" w:ascii="Times New Roman" w:hAnsi="Times New Roman" w:cs="Times New Roman"/>
                <w:bCs/>
                <w:color w:val="auto"/>
                <w:sz w:val="24"/>
                <w:highlight w:val="none"/>
                <w:lang w:val="en-US" w:eastAsia="zh-CN"/>
              </w:rPr>
              <w:t>2</w:t>
            </w:r>
            <w:r>
              <w:rPr>
                <w:rFonts w:hint="default" w:ascii="Times New Roman" w:hAnsi="Times New Roman" w:cs="Times New Roman"/>
                <w:bCs/>
                <w:color w:val="auto"/>
                <w:sz w:val="24"/>
                <w:highlight w:val="none"/>
              </w:rPr>
              <w:t>。</w:t>
            </w:r>
          </w:p>
          <w:p w14:paraId="6A1DAE9A">
            <w:pPr>
              <w:adjustRightInd w:val="0"/>
              <w:snapToGrid w:val="0"/>
              <w:ind w:firstLine="1687" w:firstLineChars="8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w:t>
            </w:r>
            <w:r>
              <w:rPr>
                <w:rFonts w:hint="default" w:ascii="Times New Roman" w:hAnsi="Times New Roman" w:cs="Times New Roman"/>
                <w:b/>
                <w:bCs/>
                <w:color w:val="auto"/>
                <w:szCs w:val="21"/>
                <w:highlight w:val="none"/>
                <w:lang w:val="en-US" w:eastAsia="zh-CN"/>
              </w:rPr>
              <w:t>12</w:t>
            </w:r>
            <w:r>
              <w:rPr>
                <w:rFonts w:hint="default" w:ascii="Times New Roman" w:hAnsi="Times New Roman" w:cs="Times New Roman"/>
                <w:b/>
                <w:bCs/>
                <w:color w:val="auto"/>
                <w:szCs w:val="21"/>
                <w:highlight w:val="none"/>
              </w:rPr>
              <w:t xml:space="preserve">    项目噪声源对周围环境的贡献量   dB(A)</w:t>
            </w:r>
          </w:p>
          <w:tbl>
            <w:tblPr>
              <w:tblStyle w:val="21"/>
              <w:tblW w:w="4996"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2687"/>
              <w:gridCol w:w="618"/>
              <w:gridCol w:w="618"/>
              <w:gridCol w:w="618"/>
              <w:gridCol w:w="618"/>
              <w:gridCol w:w="618"/>
              <w:gridCol w:w="770"/>
              <w:gridCol w:w="848"/>
              <w:gridCol w:w="770"/>
            </w:tblGrid>
            <w:tr w14:paraId="42AE5DF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425" w:hRule="atLeast"/>
                <w:jc w:val="center"/>
              </w:trPr>
              <w:tc>
                <w:tcPr>
                  <w:tcW w:w="1644" w:type="pct"/>
                  <w:tcBorders>
                    <w:top w:val="single" w:color="auto" w:sz="12" w:space="0"/>
                    <w:left w:val="nil"/>
                    <w:bottom w:val="single" w:color="auto" w:sz="8" w:space="0"/>
                    <w:right w:val="single" w:color="auto" w:sz="8" w:space="0"/>
                  </w:tcBorders>
                  <w:vAlign w:val="center"/>
                </w:tcPr>
                <w:p w14:paraId="6B4CF25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距声源距离（m）</w:t>
                  </w:r>
                </w:p>
              </w:tc>
              <w:tc>
                <w:tcPr>
                  <w:tcW w:w="378" w:type="pct"/>
                  <w:tcBorders>
                    <w:top w:val="single" w:color="auto" w:sz="12" w:space="0"/>
                    <w:left w:val="single" w:color="auto" w:sz="8" w:space="0"/>
                    <w:bottom w:val="single" w:color="auto" w:sz="8" w:space="0"/>
                    <w:right w:val="single" w:color="auto" w:sz="8" w:space="0"/>
                  </w:tcBorders>
                  <w:vAlign w:val="center"/>
                </w:tcPr>
                <w:p w14:paraId="3A4E8BE8">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10</w:t>
                  </w:r>
                </w:p>
              </w:tc>
              <w:tc>
                <w:tcPr>
                  <w:tcW w:w="378" w:type="pct"/>
                  <w:tcBorders>
                    <w:top w:val="single" w:color="auto" w:sz="12" w:space="0"/>
                    <w:left w:val="single" w:color="auto" w:sz="8" w:space="0"/>
                    <w:bottom w:val="single" w:color="auto" w:sz="8" w:space="0"/>
                    <w:right w:val="single" w:color="auto" w:sz="8" w:space="0"/>
                  </w:tcBorders>
                  <w:vAlign w:val="center"/>
                </w:tcPr>
                <w:p w14:paraId="6AACE99A">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50</w:t>
                  </w:r>
                </w:p>
              </w:tc>
              <w:tc>
                <w:tcPr>
                  <w:tcW w:w="378" w:type="pct"/>
                  <w:tcBorders>
                    <w:top w:val="single" w:color="auto" w:sz="12" w:space="0"/>
                    <w:left w:val="single" w:color="auto" w:sz="8" w:space="0"/>
                    <w:bottom w:val="single" w:color="auto" w:sz="8" w:space="0"/>
                    <w:right w:val="single" w:color="auto" w:sz="8" w:space="0"/>
                  </w:tcBorders>
                  <w:vAlign w:val="center"/>
                </w:tcPr>
                <w:p w14:paraId="5B3F421D">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60</w:t>
                  </w:r>
                </w:p>
              </w:tc>
              <w:tc>
                <w:tcPr>
                  <w:tcW w:w="378" w:type="pct"/>
                  <w:tcBorders>
                    <w:top w:val="single" w:color="auto" w:sz="12" w:space="0"/>
                    <w:left w:val="single" w:color="auto" w:sz="8" w:space="0"/>
                    <w:bottom w:val="single" w:color="auto" w:sz="8" w:space="0"/>
                    <w:right w:val="single" w:color="auto" w:sz="8" w:space="0"/>
                  </w:tcBorders>
                  <w:vAlign w:val="center"/>
                </w:tcPr>
                <w:p w14:paraId="57B9AD34">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70</w:t>
                  </w:r>
                </w:p>
              </w:tc>
              <w:tc>
                <w:tcPr>
                  <w:tcW w:w="378" w:type="pct"/>
                  <w:tcBorders>
                    <w:top w:val="single" w:color="auto" w:sz="12" w:space="0"/>
                    <w:left w:val="single" w:color="auto" w:sz="8" w:space="0"/>
                    <w:bottom w:val="single" w:color="auto" w:sz="8" w:space="0"/>
                    <w:right w:val="single" w:color="auto" w:sz="8" w:space="0"/>
                  </w:tcBorders>
                  <w:vAlign w:val="center"/>
                </w:tcPr>
                <w:p w14:paraId="67E2FF61">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80</w:t>
                  </w:r>
                </w:p>
              </w:tc>
              <w:tc>
                <w:tcPr>
                  <w:tcW w:w="471" w:type="pct"/>
                  <w:tcBorders>
                    <w:top w:val="single" w:color="auto" w:sz="12" w:space="0"/>
                    <w:left w:val="single" w:color="auto" w:sz="8" w:space="0"/>
                    <w:bottom w:val="single" w:color="auto" w:sz="8" w:space="0"/>
                    <w:right w:val="single" w:color="auto" w:sz="8" w:space="0"/>
                  </w:tcBorders>
                  <w:vAlign w:val="center"/>
                </w:tcPr>
                <w:p w14:paraId="5C140EE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100</w:t>
                  </w:r>
                </w:p>
              </w:tc>
              <w:tc>
                <w:tcPr>
                  <w:tcW w:w="519" w:type="pct"/>
                  <w:tcBorders>
                    <w:top w:val="single" w:color="auto" w:sz="12" w:space="0"/>
                    <w:left w:val="single" w:color="auto" w:sz="8" w:space="0"/>
                    <w:bottom w:val="single" w:color="auto" w:sz="8" w:space="0"/>
                    <w:right w:val="single" w:color="auto" w:sz="8" w:space="0"/>
                  </w:tcBorders>
                  <w:vAlign w:val="center"/>
                </w:tcPr>
                <w:p w14:paraId="0032969C">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150</w:t>
                  </w:r>
                </w:p>
              </w:tc>
              <w:tc>
                <w:tcPr>
                  <w:tcW w:w="471" w:type="pct"/>
                  <w:tcBorders>
                    <w:top w:val="single" w:color="auto" w:sz="12" w:space="0"/>
                    <w:left w:val="single" w:color="auto" w:sz="8" w:space="0"/>
                    <w:bottom w:val="single" w:color="auto" w:sz="8" w:space="0"/>
                    <w:right w:val="nil"/>
                  </w:tcBorders>
                  <w:vAlign w:val="center"/>
                </w:tcPr>
                <w:p w14:paraId="50578DC4">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200</w:t>
                  </w:r>
                </w:p>
              </w:tc>
            </w:tr>
            <w:tr w14:paraId="780246E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644" w:type="pct"/>
                  <w:tcBorders>
                    <w:top w:val="single" w:color="auto" w:sz="8" w:space="0"/>
                    <w:left w:val="nil"/>
                    <w:bottom w:val="single" w:color="auto" w:sz="12" w:space="0"/>
                    <w:right w:val="single" w:color="auto" w:sz="8" w:space="0"/>
                  </w:tcBorders>
                  <w:vAlign w:val="center"/>
                </w:tcPr>
                <w:p w14:paraId="3430F59E">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预测值</w:t>
                  </w:r>
                </w:p>
              </w:tc>
              <w:tc>
                <w:tcPr>
                  <w:tcW w:w="378" w:type="pct"/>
                  <w:tcBorders>
                    <w:top w:val="single" w:color="auto" w:sz="8" w:space="0"/>
                    <w:left w:val="single" w:color="auto" w:sz="8" w:space="0"/>
                    <w:bottom w:val="single" w:color="auto" w:sz="12" w:space="0"/>
                    <w:right w:val="single" w:color="auto" w:sz="8" w:space="0"/>
                  </w:tcBorders>
                  <w:vAlign w:val="center"/>
                </w:tcPr>
                <w:p w14:paraId="42DB59B6">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69</w:t>
                  </w:r>
                </w:p>
              </w:tc>
              <w:tc>
                <w:tcPr>
                  <w:tcW w:w="378" w:type="pct"/>
                  <w:tcBorders>
                    <w:top w:val="single" w:color="auto" w:sz="8" w:space="0"/>
                    <w:left w:val="single" w:color="auto" w:sz="8" w:space="0"/>
                    <w:bottom w:val="single" w:color="auto" w:sz="12" w:space="0"/>
                    <w:right w:val="single" w:color="auto" w:sz="8" w:space="0"/>
                  </w:tcBorders>
                  <w:vAlign w:val="center"/>
                </w:tcPr>
                <w:p w14:paraId="7C7F84FC">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55</w:t>
                  </w:r>
                </w:p>
              </w:tc>
              <w:tc>
                <w:tcPr>
                  <w:tcW w:w="378" w:type="pct"/>
                  <w:tcBorders>
                    <w:top w:val="single" w:color="auto" w:sz="8" w:space="0"/>
                    <w:left w:val="single" w:color="auto" w:sz="8" w:space="0"/>
                    <w:bottom w:val="single" w:color="auto" w:sz="12" w:space="0"/>
                    <w:right w:val="single" w:color="auto" w:sz="8" w:space="0"/>
                  </w:tcBorders>
                  <w:vAlign w:val="center"/>
                </w:tcPr>
                <w:p w14:paraId="4C1AC866">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w:t>
                  </w:r>
                </w:p>
              </w:tc>
              <w:tc>
                <w:tcPr>
                  <w:tcW w:w="378" w:type="pct"/>
                  <w:tcBorders>
                    <w:top w:val="single" w:color="auto" w:sz="8" w:space="0"/>
                    <w:left w:val="single" w:color="auto" w:sz="8" w:space="0"/>
                    <w:bottom w:val="single" w:color="auto" w:sz="12" w:space="0"/>
                    <w:right w:val="single" w:color="auto" w:sz="8" w:space="0"/>
                  </w:tcBorders>
                  <w:vAlign w:val="center"/>
                </w:tcPr>
                <w:p w14:paraId="3714B28C">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378" w:type="pct"/>
                  <w:tcBorders>
                    <w:top w:val="single" w:color="auto" w:sz="8" w:space="0"/>
                    <w:left w:val="single" w:color="auto" w:sz="8" w:space="0"/>
                    <w:bottom w:val="single" w:color="auto" w:sz="12" w:space="0"/>
                    <w:right w:val="single" w:color="auto" w:sz="8" w:space="0"/>
                  </w:tcBorders>
                  <w:vAlign w:val="center"/>
                </w:tcPr>
                <w:p w14:paraId="16FF34C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w:t>
                  </w:r>
                </w:p>
              </w:tc>
              <w:tc>
                <w:tcPr>
                  <w:tcW w:w="471" w:type="pct"/>
                  <w:tcBorders>
                    <w:top w:val="single" w:color="auto" w:sz="8" w:space="0"/>
                    <w:left w:val="single" w:color="auto" w:sz="8" w:space="0"/>
                    <w:bottom w:val="single" w:color="auto" w:sz="12" w:space="0"/>
                    <w:right w:val="single" w:color="auto" w:sz="8" w:space="0"/>
                  </w:tcBorders>
                  <w:vAlign w:val="center"/>
                </w:tcPr>
                <w:p w14:paraId="7A406A33">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519" w:type="pct"/>
                  <w:tcBorders>
                    <w:top w:val="single" w:color="auto" w:sz="8" w:space="0"/>
                    <w:left w:val="single" w:color="auto" w:sz="8" w:space="0"/>
                    <w:bottom w:val="single" w:color="auto" w:sz="12" w:space="0"/>
                    <w:right w:val="single" w:color="auto" w:sz="8" w:space="0"/>
                  </w:tcBorders>
                  <w:vAlign w:val="center"/>
                </w:tcPr>
                <w:p w14:paraId="35C8F260">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47</w:t>
                  </w:r>
                </w:p>
              </w:tc>
              <w:tc>
                <w:tcPr>
                  <w:tcW w:w="471" w:type="pct"/>
                  <w:tcBorders>
                    <w:top w:val="single" w:color="auto" w:sz="8" w:space="0"/>
                    <w:left w:val="single" w:color="auto" w:sz="8" w:space="0"/>
                    <w:bottom w:val="single" w:color="auto" w:sz="12" w:space="0"/>
                    <w:right w:val="nil"/>
                  </w:tcBorders>
                  <w:vAlign w:val="center"/>
                </w:tcPr>
                <w:p w14:paraId="43BF960D">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w:t>
                  </w:r>
                </w:p>
              </w:tc>
            </w:tr>
          </w:tbl>
          <w:p w14:paraId="6D79F3D5">
            <w:pPr>
              <w:adjustRightInd w:val="0"/>
              <w:snapToGrid w:val="0"/>
              <w:spacing w:line="360" w:lineRule="auto"/>
              <w:rPr>
                <w:rFonts w:hint="default" w:ascii="Times New Roman" w:hAnsi="Times New Roman" w:cs="Times New Roman"/>
                <w:color w:val="auto"/>
                <w:highlight w:val="none"/>
              </w:rPr>
            </w:pPr>
            <w:bookmarkStart w:id="0" w:name="_Hlk71786642"/>
            <w:r>
              <w:rPr>
                <w:rFonts w:hint="default" w:ascii="Times New Roman" w:hAnsi="Times New Roman" w:cs="Times New Roman"/>
                <w:color w:val="auto"/>
                <w:szCs w:val="21"/>
                <w:highlight w:val="none"/>
              </w:rPr>
              <w:t>注：现有边界噪声值取现有项目厂界噪声监测最大值。</w:t>
            </w:r>
          </w:p>
          <w:p w14:paraId="28AA1CF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由上表可知，噪声值随着距离的增加，项目噪声对周围噪声环境的影响将逐渐衰减，项目主要声源距离厂界距离远大于50m，故项目厂界噪声符合《工业企业厂界环境噪声排放标准》(G12348-2008</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中的3类标准要求。</w:t>
            </w:r>
          </w:p>
          <w:p w14:paraId="182C20C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本项目多数强噪声设备均安装在室内，故该项目建设对周围环境造成影响较小。</w:t>
            </w:r>
          </w:p>
          <w:p w14:paraId="590406B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建设项目噪声排放对周围的环境影响较小，噪声防治措施可行。企业在生产过程中应注意加强设备噪声治理，在项目新建过程中应重视减震工程的设计及施工质量。确保厂界噪声达标，不影响周边环境。</w:t>
            </w:r>
          </w:p>
          <w:bookmarkEnd w:id="0"/>
          <w:p w14:paraId="3B141E2C">
            <w:pPr>
              <w:pStyle w:val="5"/>
              <w:spacing w:after="0" w:line="360" w:lineRule="auto"/>
              <w:ind w:left="0" w:leftChars="0"/>
              <w:contextualSpacing/>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3.4噪声防治措施</w:t>
            </w:r>
          </w:p>
          <w:p w14:paraId="34CA282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项目50m范围内不存在敏感目标，不会对周围敏感点造成影响。</w:t>
            </w:r>
          </w:p>
          <w:p w14:paraId="4162DD8C">
            <w:pPr>
              <w:adjustRightInd w:val="0"/>
              <w:snapToGrid w:val="0"/>
              <w:spacing w:line="360" w:lineRule="auto"/>
              <w:ind w:firstLine="489" w:firstLineChars="20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尽管项目区产生噪声能够达标排放，但企业运营中仍应严格管理，避免出现噪声扰民现象，具体措施为：</w:t>
            </w:r>
          </w:p>
          <w:p w14:paraId="4FCF2D28">
            <w:pPr>
              <w:adjustRightInd w:val="0"/>
              <w:snapToGrid w:val="0"/>
              <w:spacing w:line="360" w:lineRule="auto"/>
              <w:ind w:firstLine="489" w:firstLineChars="20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（1）加强设备检修维护，避免出现非正常高噪声运转；</w:t>
            </w:r>
          </w:p>
          <w:p w14:paraId="7FD3AC8A">
            <w:pPr>
              <w:adjustRightInd w:val="0"/>
              <w:snapToGrid w:val="0"/>
              <w:spacing w:line="360" w:lineRule="auto"/>
              <w:ind w:firstLine="489" w:firstLineChars="20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（2）所有设备全部设置在车间内，严禁露天从事生产、维修活动；</w:t>
            </w:r>
          </w:p>
          <w:p w14:paraId="48A5328D">
            <w:pPr>
              <w:adjustRightInd w:val="0"/>
              <w:snapToGrid w:val="0"/>
              <w:spacing w:line="360" w:lineRule="auto"/>
              <w:ind w:firstLine="489" w:firstLineChars="20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（3）对高噪声设备要加装减震、降噪的防护措施；</w:t>
            </w:r>
          </w:p>
          <w:p w14:paraId="70167CBB">
            <w:pPr>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（4）合理布局生产设备及生产时间，定期检查生产设备。</w:t>
            </w:r>
          </w:p>
          <w:p w14:paraId="701834FD">
            <w:pPr>
              <w:pStyle w:val="5"/>
              <w:spacing w:after="0" w:line="360" w:lineRule="auto"/>
              <w:ind w:left="0" w:leftChars="0"/>
              <w:contextualSpacing/>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3.5</w:t>
            </w:r>
            <w:r>
              <w:rPr>
                <w:rFonts w:hint="default" w:ascii="Times New Roman" w:hAnsi="Times New Roman" w:cs="Times New Roman"/>
                <w:b/>
                <w:bCs/>
                <w:color w:val="auto"/>
                <w:szCs w:val="24"/>
                <w:highlight w:val="none"/>
              </w:rPr>
              <w:t>噪声监测计划</w:t>
            </w:r>
          </w:p>
          <w:p w14:paraId="6E44BA6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运营期监测计划：对照《排污单位自行监测技术指南总则》（HJ819-2017），制定出本项目营运期噪声监测计划</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见表</w:t>
            </w:r>
            <w:r>
              <w:rPr>
                <w:rFonts w:hint="default" w:ascii="Times New Roman" w:hAnsi="Times New Roman" w:cs="Times New Roman"/>
                <w:color w:val="auto"/>
                <w:sz w:val="24"/>
                <w:highlight w:val="none"/>
                <w:lang w:val="en-US" w:eastAsia="zh-CN"/>
              </w:rPr>
              <w:t>4-11</w:t>
            </w:r>
            <w:r>
              <w:rPr>
                <w:rFonts w:hint="default" w:ascii="Times New Roman" w:hAnsi="Times New Roman" w:cs="Times New Roman"/>
                <w:color w:val="auto"/>
                <w:sz w:val="24"/>
                <w:highlight w:val="none"/>
              </w:rPr>
              <w:t>。</w:t>
            </w:r>
          </w:p>
          <w:p w14:paraId="714CF929">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表4-1</w:t>
            </w:r>
            <w:r>
              <w:rPr>
                <w:rFonts w:hint="default" w:ascii="Times New Roman" w:hAnsi="Times New Roman" w:cs="Times New Roman"/>
                <w:b/>
                <w:bCs/>
                <w:color w:val="auto"/>
                <w:szCs w:val="21"/>
                <w:highlight w:val="none"/>
                <w:lang w:val="en-US" w:eastAsia="zh-CN"/>
              </w:rPr>
              <w:t>3</w:t>
            </w:r>
            <w:r>
              <w:rPr>
                <w:rFonts w:hint="default" w:ascii="Times New Roman" w:hAnsi="Times New Roman" w:cs="Times New Roman"/>
                <w:b/>
                <w:bCs/>
                <w:color w:val="auto"/>
                <w:szCs w:val="21"/>
                <w:highlight w:val="none"/>
              </w:rPr>
              <w:t xml:space="preserve">    项目运营期噪声监测计划</w:t>
            </w:r>
          </w:p>
          <w:tbl>
            <w:tblPr>
              <w:tblStyle w:val="21"/>
              <w:tblW w:w="4991" w:type="pct"/>
              <w:tblInd w:w="1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autofit"/>
              <w:tblCellMar>
                <w:top w:w="0" w:type="dxa"/>
                <w:left w:w="108" w:type="dxa"/>
                <w:bottom w:w="0" w:type="dxa"/>
                <w:right w:w="108" w:type="dxa"/>
              </w:tblCellMar>
            </w:tblPr>
            <w:tblGrid>
              <w:gridCol w:w="1389"/>
              <w:gridCol w:w="1606"/>
              <w:gridCol w:w="1393"/>
              <w:gridCol w:w="3769"/>
            </w:tblGrid>
            <w:tr w14:paraId="7CAF5A0F">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474" w:hRule="atLeast"/>
              </w:trPr>
              <w:tc>
                <w:tcPr>
                  <w:tcW w:w="1390" w:type="dxa"/>
                  <w:vAlign w:val="center"/>
                </w:tcPr>
                <w:p w14:paraId="4E605112">
                  <w:pPr>
                    <w:pStyle w:val="26"/>
                    <w:adjustRightInd/>
                    <w:snapToGrid/>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监测点位</w:t>
                  </w:r>
                </w:p>
              </w:tc>
              <w:tc>
                <w:tcPr>
                  <w:tcW w:w="1606" w:type="dxa"/>
                  <w:vAlign w:val="center"/>
                </w:tcPr>
                <w:p w14:paraId="14542B2F">
                  <w:pPr>
                    <w:pStyle w:val="26"/>
                    <w:adjustRightInd/>
                    <w:snapToGrid/>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监测指标</w:t>
                  </w:r>
                </w:p>
              </w:tc>
              <w:tc>
                <w:tcPr>
                  <w:tcW w:w="1393" w:type="dxa"/>
                  <w:vAlign w:val="center"/>
                </w:tcPr>
                <w:p w14:paraId="24237082">
                  <w:pPr>
                    <w:pStyle w:val="26"/>
                    <w:adjustRightInd/>
                    <w:snapToGrid/>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监测频次</w:t>
                  </w:r>
                </w:p>
              </w:tc>
              <w:tc>
                <w:tcPr>
                  <w:tcW w:w="3769" w:type="dxa"/>
                  <w:vAlign w:val="center"/>
                </w:tcPr>
                <w:p w14:paraId="15968CCA">
                  <w:pPr>
                    <w:pStyle w:val="26"/>
                    <w:adjustRightInd/>
                    <w:snapToGrid/>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执行标准</w:t>
                  </w:r>
                </w:p>
              </w:tc>
            </w:tr>
            <w:tr w14:paraId="72C7FD40">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569" w:hRule="atLeast"/>
              </w:trPr>
              <w:tc>
                <w:tcPr>
                  <w:tcW w:w="1390" w:type="dxa"/>
                  <w:vAlign w:val="center"/>
                </w:tcPr>
                <w:p w14:paraId="0394DF75">
                  <w:pPr>
                    <w:pStyle w:val="26"/>
                    <w:adjustRightInd/>
                    <w:snapToGrid/>
                    <w:jc w:val="center"/>
                    <w:rPr>
                      <w:rFonts w:hint="default" w:ascii="Times New Roman" w:hAnsi="Times New Roman" w:cs="Times New Roman"/>
                      <w:b w:val="0"/>
                      <w:color w:val="auto"/>
                      <w:sz w:val="21"/>
                      <w:highlight w:val="none"/>
                    </w:rPr>
                  </w:pPr>
                  <w:r>
                    <w:rPr>
                      <w:rFonts w:hint="default" w:ascii="Times New Roman" w:hAnsi="Times New Roman" w:cs="Times New Roman"/>
                      <w:b w:val="0"/>
                      <w:color w:val="auto"/>
                      <w:sz w:val="21"/>
                      <w:highlight w:val="none"/>
                    </w:rPr>
                    <w:t>厂界外1米处</w:t>
                  </w:r>
                </w:p>
              </w:tc>
              <w:tc>
                <w:tcPr>
                  <w:tcW w:w="1606" w:type="dxa"/>
                  <w:vAlign w:val="center"/>
                </w:tcPr>
                <w:p w14:paraId="6BF2ADE0">
                  <w:pPr>
                    <w:pStyle w:val="26"/>
                    <w:adjustRightInd/>
                    <w:snapToGrid/>
                    <w:jc w:val="center"/>
                    <w:rPr>
                      <w:rFonts w:hint="default" w:ascii="Times New Roman" w:hAnsi="Times New Roman" w:cs="Times New Roman"/>
                      <w:b w:val="0"/>
                      <w:color w:val="auto"/>
                      <w:sz w:val="21"/>
                      <w:highlight w:val="none"/>
                    </w:rPr>
                  </w:pPr>
                  <w:r>
                    <w:rPr>
                      <w:rFonts w:hint="default" w:ascii="Times New Roman" w:hAnsi="Times New Roman" w:cs="Times New Roman"/>
                      <w:b w:val="0"/>
                      <w:color w:val="auto"/>
                      <w:sz w:val="21"/>
                      <w:highlight w:val="none"/>
                    </w:rPr>
                    <w:t>等效连续A声级</w:t>
                  </w:r>
                </w:p>
              </w:tc>
              <w:tc>
                <w:tcPr>
                  <w:tcW w:w="1393" w:type="dxa"/>
                  <w:vAlign w:val="center"/>
                </w:tcPr>
                <w:p w14:paraId="5F7F97CA">
                  <w:pPr>
                    <w:pStyle w:val="26"/>
                    <w:adjustRightInd/>
                    <w:snapToGrid/>
                    <w:jc w:val="center"/>
                    <w:rPr>
                      <w:rFonts w:hint="default" w:ascii="Times New Roman" w:hAnsi="Times New Roman" w:cs="Times New Roman"/>
                      <w:b w:val="0"/>
                      <w:color w:val="auto"/>
                      <w:sz w:val="21"/>
                      <w:highlight w:val="none"/>
                    </w:rPr>
                  </w:pPr>
                  <w:r>
                    <w:rPr>
                      <w:rFonts w:hint="default" w:ascii="Times New Roman" w:hAnsi="Times New Roman" w:cs="Times New Roman"/>
                      <w:b w:val="0"/>
                      <w:color w:val="auto"/>
                      <w:sz w:val="21"/>
                      <w:highlight w:val="none"/>
                    </w:rPr>
                    <w:t>1次/季度</w:t>
                  </w:r>
                </w:p>
              </w:tc>
              <w:tc>
                <w:tcPr>
                  <w:tcW w:w="3769" w:type="dxa"/>
                  <w:vAlign w:val="center"/>
                </w:tcPr>
                <w:p w14:paraId="4EE09F61">
                  <w:pPr>
                    <w:pStyle w:val="26"/>
                    <w:adjustRightInd/>
                    <w:snapToGrid/>
                    <w:jc w:val="center"/>
                    <w:rPr>
                      <w:rFonts w:hint="default" w:ascii="Times New Roman" w:hAnsi="Times New Roman" w:cs="Times New Roman"/>
                      <w:b w:val="0"/>
                      <w:color w:val="auto"/>
                      <w:sz w:val="21"/>
                      <w:highlight w:val="none"/>
                    </w:rPr>
                  </w:pPr>
                  <w:r>
                    <w:rPr>
                      <w:rFonts w:hint="default" w:ascii="Times New Roman" w:hAnsi="Times New Roman" w:cs="Times New Roman"/>
                      <w:b w:val="0"/>
                      <w:color w:val="auto"/>
                      <w:sz w:val="21"/>
                      <w:highlight w:val="none"/>
                    </w:rPr>
                    <w:t>《工业企业厂界环境噪声排放标准》（GB12348-2008）3类标准</w:t>
                  </w:r>
                </w:p>
              </w:tc>
            </w:tr>
          </w:tbl>
          <w:p w14:paraId="50695FA6">
            <w:pPr>
              <w:pStyle w:val="8"/>
              <w:pageBreakBefore w:val="0"/>
              <w:kinsoku/>
              <w:wordWrap/>
              <w:overflowPunct/>
              <w:topLinePunct w:val="0"/>
              <w:autoSpaceDE/>
              <w:autoSpaceDN/>
              <w:bidi w:val="0"/>
              <w:spacing w:beforeLines="0" w:afterLines="0" w:line="360" w:lineRule="auto"/>
              <w:ind w:right="0"/>
              <w:textAlignment w:val="auto"/>
              <w:rPr>
                <w:rFonts w:hint="eastAsia" w:ascii="Times New Roman" w:hAnsi="Times New Roman" w:eastAsia="宋体" w:cs="Times New Roman"/>
                <w:b/>
                <w:bCs/>
                <w:color w:val="auto"/>
                <w:sz w:val="24"/>
                <w:szCs w:val="24"/>
                <w:highlight w:val="none"/>
                <w:lang w:val="en-US" w:eastAsia="zh-CN"/>
              </w:rPr>
            </w:pPr>
          </w:p>
          <w:p w14:paraId="5B1AC04E">
            <w:pPr>
              <w:pStyle w:val="8"/>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固体废物</w:t>
            </w:r>
          </w:p>
          <w:p w14:paraId="5DDBB926">
            <w:pPr>
              <w:pStyle w:val="34"/>
              <w:pageBreakBefore w:val="0"/>
              <w:numPr>
                <w:ilvl w:val="0"/>
                <w:numId w:val="0"/>
              </w:numPr>
              <w:tabs>
                <w:tab w:val="left" w:pos="1892"/>
              </w:tabs>
              <w:kinsoku/>
              <w:wordWrap/>
              <w:overflowPunct/>
              <w:topLinePunct w:val="0"/>
              <w:autoSpaceDE/>
              <w:autoSpaceDN/>
              <w:bidi w:val="0"/>
              <w:spacing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4.1</w:t>
            </w:r>
            <w:r>
              <w:rPr>
                <w:rFonts w:hint="default" w:ascii="Times New Roman" w:hAnsi="Times New Roman" w:eastAsia="宋体" w:cs="Times New Roman"/>
                <w:b/>
                <w:bCs/>
                <w:color w:val="auto"/>
                <w:sz w:val="24"/>
                <w:szCs w:val="24"/>
                <w:highlight w:val="none"/>
              </w:rPr>
              <w:t>固废产出情况</w:t>
            </w:r>
          </w:p>
          <w:p w14:paraId="09278631">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本项目固体废物包括一般工业固废（除尘器收集粉尘、</w:t>
            </w:r>
            <w:r>
              <w:rPr>
                <w:rFonts w:hint="eastAsia" w:ascii="Times New Roman" w:hAnsi="Times New Roman" w:cs="Times New Roman"/>
                <w:color w:val="auto"/>
                <w:sz w:val="24"/>
                <w:szCs w:val="24"/>
                <w:highlight w:val="none"/>
                <w:lang w:val="en-US" w:eastAsia="zh-CN"/>
              </w:rPr>
              <w:t>沉淀池沉渣、</w:t>
            </w:r>
            <w:r>
              <w:rPr>
                <w:rFonts w:hint="default" w:ascii="Times New Roman" w:hAnsi="Times New Roman" w:eastAsia="宋体" w:cs="Times New Roman"/>
                <w:color w:val="auto"/>
                <w:sz w:val="24"/>
                <w:szCs w:val="24"/>
                <w:highlight w:val="none"/>
              </w:rPr>
              <w:t>废边角料、残次品、废包装袋等）、危险废物（废机油）、生活垃圾等。</w:t>
            </w:r>
          </w:p>
          <w:p w14:paraId="4A0040A7">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①一般工业固废（除尘器收集粉尘、</w:t>
            </w:r>
            <w:r>
              <w:rPr>
                <w:rFonts w:hint="eastAsia" w:ascii="Times New Roman" w:hAnsi="Times New Roman" w:cs="Times New Roman"/>
                <w:color w:val="auto"/>
                <w:sz w:val="24"/>
                <w:szCs w:val="24"/>
                <w:highlight w:val="none"/>
                <w:lang w:val="en-US" w:eastAsia="zh-CN"/>
              </w:rPr>
              <w:t>沉淀池沉渣、</w:t>
            </w:r>
            <w:r>
              <w:rPr>
                <w:rFonts w:hint="default" w:ascii="Times New Roman" w:hAnsi="Times New Roman" w:eastAsia="宋体" w:cs="Times New Roman"/>
                <w:color w:val="auto"/>
                <w:sz w:val="24"/>
                <w:szCs w:val="24"/>
                <w:highlight w:val="none"/>
              </w:rPr>
              <w:t>废边角料、残次品、废包装袋等）项目运行过程中布袋除尘器收集到的颗粒物量（主要为除尘灰）为</w:t>
            </w:r>
            <w:r>
              <w:rPr>
                <w:rFonts w:hint="eastAsia" w:ascii="Times New Roman" w:hAnsi="Times New Roman" w:cs="Times New Roman"/>
                <w:color w:val="auto"/>
                <w:sz w:val="24"/>
                <w:szCs w:val="24"/>
                <w:highlight w:val="none"/>
                <w:lang w:val="en-US" w:eastAsia="zh-CN"/>
              </w:rPr>
              <w:t>2.54</w:t>
            </w:r>
            <w:r>
              <w:rPr>
                <w:rFonts w:hint="default" w:ascii="Times New Roman" w:hAnsi="Times New Roman" w:eastAsia="宋体" w:cs="Times New Roman"/>
                <w:color w:val="auto"/>
                <w:sz w:val="24"/>
                <w:szCs w:val="24"/>
                <w:highlight w:val="none"/>
              </w:rPr>
              <w:t>t/a，全部回用于生产系统。</w:t>
            </w:r>
          </w:p>
          <w:p w14:paraId="02F31A39">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本项目切割工段采用湿法切割产生的废水流入沉淀池，因此此废水主要污染物为从复合保温板上冲下的复合残渣，于沉淀池中沉淀至池底，产生量约为8.4t/a，定期清理捞出，回用于生产系统。</w:t>
            </w:r>
          </w:p>
          <w:p w14:paraId="2734D693">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根据建设单位提供资料，本项目切割修边工序产生的废边角料、残次品产生量约为</w:t>
            </w:r>
            <w:r>
              <w:rPr>
                <w:rFonts w:hint="eastAsia" w:ascii="Times New Roman" w:hAnsi="Times New Roman"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t/a，</w:t>
            </w:r>
            <w:r>
              <w:rPr>
                <w:rFonts w:hint="eastAsia" w:ascii="Times New Roman" w:hAnsi="Times New Roman" w:cs="Times New Roman"/>
                <w:color w:val="auto"/>
                <w:sz w:val="24"/>
                <w:szCs w:val="24"/>
                <w:highlight w:val="none"/>
                <w:lang w:val="en-US" w:eastAsia="zh-CN"/>
              </w:rPr>
              <w:t>临时存放于固废暂存间，定期拉运至垃圾填埋场填埋。</w:t>
            </w:r>
          </w:p>
          <w:p w14:paraId="48E6D48E">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原料消耗过程中废包装袋产生量约为</w:t>
            </w:r>
            <w:r>
              <w:rPr>
                <w:rFonts w:hint="eastAsia" w:ascii="Times New Roman" w:hAnsi="Times New Roman"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t/a，项目使用的物料中不包括危险化学品，因此项目产生的废包装物均为一般固废，全部外售给废品收购站回收综合利用。</w:t>
            </w:r>
          </w:p>
          <w:p w14:paraId="0BD32AA8">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②废机油</w:t>
            </w:r>
          </w:p>
          <w:p w14:paraId="52E6B191">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本项目机油用于设备润滑、维修和保养，机油定期补充损耗定期更换，机油使用量为</w:t>
            </w:r>
            <w:r>
              <w:rPr>
                <w:rFonts w:hint="eastAsia" w:cs="Times New Roman"/>
                <w:color w:val="auto"/>
                <w:sz w:val="24"/>
                <w:szCs w:val="24"/>
                <w:highlight w:val="none"/>
                <w:lang w:val="en-US" w:eastAsia="zh-CN"/>
              </w:rPr>
              <w:t>0.1t</w:t>
            </w:r>
            <w:r>
              <w:rPr>
                <w:rFonts w:hint="default" w:ascii="Times New Roman" w:hAnsi="Times New Roman" w:eastAsia="宋体" w:cs="Times New Roman"/>
                <w:color w:val="auto"/>
                <w:sz w:val="24"/>
                <w:szCs w:val="24"/>
                <w:highlight w:val="none"/>
              </w:rPr>
              <w:t>/a，废机油产生量为</w:t>
            </w:r>
            <w:r>
              <w:rPr>
                <w:rFonts w:hint="eastAsia" w:cs="Times New Roman"/>
                <w:color w:val="auto"/>
                <w:sz w:val="24"/>
                <w:szCs w:val="24"/>
                <w:highlight w:val="none"/>
                <w:lang w:val="en-US" w:eastAsia="zh-CN"/>
              </w:rPr>
              <w:t>0.1t</w:t>
            </w:r>
            <w:r>
              <w:rPr>
                <w:rFonts w:hint="default" w:ascii="Times New Roman" w:hAnsi="Times New Roman" w:eastAsia="宋体" w:cs="Times New Roman"/>
                <w:color w:val="auto"/>
                <w:sz w:val="24"/>
                <w:szCs w:val="24"/>
                <w:highlight w:val="none"/>
              </w:rPr>
              <w:t>/a。废机油属于《国家危险废物名录》(2021年版)中代码为HW08-900-214-08的危险废物，暂存于厂区内危废暂存间（占地面积</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），委托有资质的单位进行收运处置。</w:t>
            </w:r>
          </w:p>
          <w:p w14:paraId="6EFBE005">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生活垃圾</w:t>
            </w:r>
          </w:p>
          <w:p w14:paraId="1541D65A">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本项目劳动定员</w:t>
            </w:r>
            <w:r>
              <w:rPr>
                <w:rFonts w:hint="eastAsia" w:ascii="Times New Roman" w:hAnsi="Times New Roman"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人，生活垃圾产生量按0.5kg/人·d计，每年运行约2</w:t>
            </w: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0天，则项目生活垃圾产生量约</w:t>
            </w:r>
            <w:r>
              <w:rPr>
                <w:rFonts w:hint="eastAsia" w:ascii="Times New Roman" w:hAnsi="Times New Roman"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rPr>
              <w:t>kg/d（</w:t>
            </w:r>
            <w:r>
              <w:rPr>
                <w:rFonts w:hint="eastAsia" w:ascii="Times New Roman" w:hAnsi="Times New Roman" w:cs="Times New Roman"/>
                <w:color w:val="auto"/>
                <w:sz w:val="24"/>
                <w:szCs w:val="24"/>
                <w:highlight w:val="none"/>
                <w:lang w:val="en-US" w:eastAsia="zh-CN"/>
              </w:rPr>
              <w:t>1.58</w:t>
            </w:r>
            <w:r>
              <w:rPr>
                <w:rFonts w:hint="default" w:ascii="Times New Roman" w:hAnsi="Times New Roman" w:eastAsia="宋体" w:cs="Times New Roman"/>
                <w:color w:val="auto"/>
                <w:sz w:val="24"/>
                <w:szCs w:val="24"/>
                <w:highlight w:val="none"/>
              </w:rPr>
              <w:t>t/a）。项目区生活垃圾集中定点收集至厂区内封闭式垃圾箱，定期清运至</w:t>
            </w:r>
            <w:r>
              <w:rPr>
                <w:rFonts w:hint="default" w:ascii="Times New Roman" w:hAnsi="Times New Roman" w:eastAsia="宋体" w:cs="Times New Roman"/>
                <w:color w:val="auto"/>
                <w:sz w:val="24"/>
                <w:szCs w:val="24"/>
                <w:highlight w:val="none"/>
                <w:lang w:val="en-US" w:eastAsia="zh-CN"/>
              </w:rPr>
              <w:t>园区</w:t>
            </w:r>
            <w:r>
              <w:rPr>
                <w:rFonts w:hint="default" w:ascii="Times New Roman" w:hAnsi="Times New Roman" w:eastAsia="宋体" w:cs="Times New Roman"/>
                <w:color w:val="auto"/>
                <w:sz w:val="24"/>
                <w:szCs w:val="24"/>
                <w:highlight w:val="none"/>
              </w:rPr>
              <w:t>垃圾处理场处置。</w:t>
            </w:r>
          </w:p>
          <w:p w14:paraId="60DDE64F">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综上本项目固体废物产排情况见表4-1</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p>
          <w:p w14:paraId="43A0C48B">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表4-1</w:t>
            </w:r>
            <w:r>
              <w:rPr>
                <w:rFonts w:hint="eastAsia" w:cs="Times New Roman"/>
                <w:b/>
                <w:bCs/>
                <w:color w:val="auto"/>
                <w:sz w:val="21"/>
                <w:szCs w:val="21"/>
                <w:highlight w:val="none"/>
                <w:lang w:val="en-US" w:eastAsia="zh-CN"/>
              </w:rPr>
              <w:t xml:space="preserve">2    </w:t>
            </w:r>
            <w:r>
              <w:rPr>
                <w:rFonts w:hint="default" w:ascii="Times New Roman" w:hAnsi="Times New Roman" w:eastAsia="宋体" w:cs="Times New Roman"/>
                <w:b/>
                <w:bCs/>
                <w:color w:val="auto"/>
                <w:sz w:val="21"/>
                <w:szCs w:val="21"/>
                <w:highlight w:val="none"/>
              </w:rPr>
              <w:t>营运期固废产排情况一览表</w:t>
            </w:r>
          </w:p>
          <w:tbl>
            <w:tblPr>
              <w:tblStyle w:val="21"/>
              <w:tblW w:w="4996"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80"/>
              <w:gridCol w:w="613"/>
              <w:gridCol w:w="997"/>
              <w:gridCol w:w="1860"/>
              <w:gridCol w:w="569"/>
              <w:gridCol w:w="1139"/>
              <w:gridCol w:w="1347"/>
              <w:gridCol w:w="1160"/>
            </w:tblGrid>
            <w:tr w14:paraId="7B3EDA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bottom w:val="single" w:color="000000" w:sz="12" w:space="0"/>
                  </w:tcBorders>
                  <w:vAlign w:val="center"/>
                </w:tcPr>
                <w:p w14:paraId="2C2BBAE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375" w:type="pct"/>
                  <w:tcBorders>
                    <w:bottom w:val="single" w:color="000000" w:sz="12" w:space="0"/>
                  </w:tcBorders>
                  <w:vAlign w:val="center"/>
                </w:tcPr>
                <w:p w14:paraId="1A03315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产生环节</w:t>
                  </w:r>
                </w:p>
              </w:tc>
              <w:tc>
                <w:tcPr>
                  <w:tcW w:w="610" w:type="pct"/>
                  <w:tcBorders>
                    <w:bottom w:val="single" w:color="000000" w:sz="12" w:space="0"/>
                  </w:tcBorders>
                  <w:vAlign w:val="center"/>
                </w:tcPr>
                <w:p w14:paraId="73D188B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138" w:type="pct"/>
                  <w:tcBorders>
                    <w:bottom w:val="single" w:color="000000" w:sz="12" w:space="0"/>
                  </w:tcBorders>
                  <w:vAlign w:val="center"/>
                </w:tcPr>
                <w:p w14:paraId="27CA929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属性</w:t>
                  </w:r>
                </w:p>
              </w:tc>
              <w:tc>
                <w:tcPr>
                  <w:tcW w:w="348" w:type="pct"/>
                  <w:tcBorders>
                    <w:bottom w:val="single" w:color="000000" w:sz="12" w:space="0"/>
                  </w:tcBorders>
                  <w:vAlign w:val="center"/>
                </w:tcPr>
                <w:p w14:paraId="6A4326A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物理性状</w:t>
                  </w:r>
                </w:p>
              </w:tc>
              <w:tc>
                <w:tcPr>
                  <w:tcW w:w="697" w:type="pct"/>
                  <w:tcBorders>
                    <w:bottom w:val="single" w:color="000000" w:sz="12" w:space="0"/>
                  </w:tcBorders>
                  <w:vAlign w:val="center"/>
                </w:tcPr>
                <w:p w14:paraId="501B3A2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年产生量（t/a）</w:t>
                  </w:r>
                </w:p>
              </w:tc>
              <w:tc>
                <w:tcPr>
                  <w:tcW w:w="824" w:type="pct"/>
                  <w:tcBorders>
                    <w:bottom w:val="single" w:color="000000" w:sz="12" w:space="0"/>
                  </w:tcBorders>
                  <w:vAlign w:val="center"/>
                </w:tcPr>
                <w:p w14:paraId="37541A6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处理方式</w:t>
                  </w:r>
                </w:p>
              </w:tc>
              <w:tc>
                <w:tcPr>
                  <w:tcW w:w="710" w:type="pct"/>
                  <w:tcBorders>
                    <w:bottom w:val="single" w:color="000000" w:sz="12" w:space="0"/>
                  </w:tcBorders>
                  <w:vAlign w:val="center"/>
                </w:tcPr>
                <w:p w14:paraId="4410467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最终去向</w:t>
                  </w:r>
                </w:p>
              </w:tc>
            </w:tr>
            <w:tr w14:paraId="6567D7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top w:val="single" w:color="000000" w:sz="12" w:space="0"/>
                    <w:tl2br w:val="nil"/>
                    <w:tr2bl w:val="nil"/>
                  </w:tcBorders>
                  <w:vAlign w:val="center"/>
                </w:tcPr>
                <w:p w14:paraId="03FEBE0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75" w:type="pct"/>
                  <w:tcBorders>
                    <w:top w:val="single" w:color="000000" w:sz="12" w:space="0"/>
                    <w:tl2br w:val="nil"/>
                    <w:tr2bl w:val="nil"/>
                  </w:tcBorders>
                  <w:vAlign w:val="center"/>
                </w:tcPr>
                <w:p w14:paraId="7D6AE01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610" w:type="pct"/>
                  <w:tcBorders>
                    <w:top w:val="single" w:color="000000" w:sz="12" w:space="0"/>
                    <w:tl2br w:val="nil"/>
                    <w:tr2bl w:val="nil"/>
                  </w:tcBorders>
                  <w:vAlign w:val="center"/>
                </w:tcPr>
                <w:p w14:paraId="2205EFD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138" w:type="pct"/>
                  <w:tcBorders>
                    <w:top w:val="single" w:color="000000" w:sz="12" w:space="0"/>
                    <w:tl2br w:val="nil"/>
                    <w:tr2bl w:val="nil"/>
                  </w:tcBorders>
                  <w:vAlign w:val="center"/>
                </w:tcPr>
                <w:p w14:paraId="113C6E2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48" w:type="pct"/>
                  <w:tcBorders>
                    <w:top w:val="single" w:color="000000" w:sz="12" w:space="0"/>
                    <w:tl2br w:val="nil"/>
                    <w:tr2bl w:val="nil"/>
                  </w:tcBorders>
                  <w:vAlign w:val="center"/>
                </w:tcPr>
                <w:p w14:paraId="1BCB3A3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97" w:type="pct"/>
                  <w:tcBorders>
                    <w:top w:val="single" w:color="000000" w:sz="12" w:space="0"/>
                    <w:tl2br w:val="nil"/>
                    <w:tr2bl w:val="nil"/>
                  </w:tcBorders>
                  <w:vAlign w:val="center"/>
                </w:tcPr>
                <w:p w14:paraId="6FEC2FF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1.58</w:t>
                  </w:r>
                </w:p>
              </w:tc>
              <w:tc>
                <w:tcPr>
                  <w:tcW w:w="824" w:type="pct"/>
                  <w:tcBorders>
                    <w:top w:val="single" w:color="000000" w:sz="12" w:space="0"/>
                    <w:tl2br w:val="nil"/>
                    <w:tr2bl w:val="nil"/>
                  </w:tcBorders>
                  <w:vAlign w:val="center"/>
                </w:tcPr>
                <w:p w14:paraId="252F08A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统一收集，由当地环卫部门统一处理</w:t>
                  </w:r>
                </w:p>
              </w:tc>
              <w:tc>
                <w:tcPr>
                  <w:tcW w:w="710" w:type="pct"/>
                  <w:tcBorders>
                    <w:top w:val="single" w:color="000000" w:sz="12" w:space="0"/>
                    <w:tl2br w:val="nil"/>
                    <w:tr2bl w:val="nil"/>
                  </w:tcBorders>
                  <w:vAlign w:val="center"/>
                </w:tcPr>
                <w:p w14:paraId="5C8CC8E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垃圾填埋场</w:t>
                  </w:r>
                </w:p>
              </w:tc>
            </w:tr>
            <w:tr w14:paraId="6674F0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tl2br w:val="nil"/>
                    <w:tr2bl w:val="nil"/>
                  </w:tcBorders>
                  <w:vAlign w:val="center"/>
                </w:tcPr>
                <w:p w14:paraId="5FE1D7D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375" w:type="pct"/>
                  <w:vMerge w:val="restart"/>
                  <w:tcBorders>
                    <w:tl2br w:val="nil"/>
                    <w:tr2bl w:val="nil"/>
                  </w:tcBorders>
                  <w:vAlign w:val="center"/>
                </w:tcPr>
                <w:p w14:paraId="07C7248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w:t>
                  </w:r>
                </w:p>
              </w:tc>
              <w:tc>
                <w:tcPr>
                  <w:tcW w:w="610" w:type="pct"/>
                  <w:tcBorders>
                    <w:tl2br w:val="nil"/>
                    <w:tr2bl w:val="nil"/>
                  </w:tcBorders>
                  <w:vAlign w:val="center"/>
                </w:tcPr>
                <w:p w14:paraId="03364C9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除尘器粉尘</w:t>
                  </w:r>
                </w:p>
              </w:tc>
              <w:tc>
                <w:tcPr>
                  <w:tcW w:w="1138" w:type="pct"/>
                  <w:tcBorders>
                    <w:tl2br w:val="nil"/>
                    <w:tr2bl w:val="nil"/>
                  </w:tcBorders>
                  <w:vAlign w:val="center"/>
                </w:tcPr>
                <w:p w14:paraId="6F654E1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48" w:type="pct"/>
                  <w:tcBorders>
                    <w:tl2br w:val="nil"/>
                    <w:tr2bl w:val="nil"/>
                  </w:tcBorders>
                  <w:vAlign w:val="center"/>
                </w:tcPr>
                <w:p w14:paraId="27450F5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97" w:type="pct"/>
                  <w:tcBorders>
                    <w:tl2br w:val="nil"/>
                    <w:tr2bl w:val="nil"/>
                  </w:tcBorders>
                  <w:vAlign w:val="center"/>
                </w:tcPr>
                <w:p w14:paraId="759F5E5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2.54</w:t>
                  </w:r>
                </w:p>
              </w:tc>
              <w:tc>
                <w:tcPr>
                  <w:tcW w:w="824" w:type="pct"/>
                  <w:tcBorders>
                    <w:tl2br w:val="nil"/>
                    <w:tr2bl w:val="nil"/>
                  </w:tcBorders>
                  <w:vAlign w:val="center"/>
                </w:tcPr>
                <w:p w14:paraId="310F841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回用作为原料</w:t>
                  </w:r>
                </w:p>
              </w:tc>
              <w:tc>
                <w:tcPr>
                  <w:tcW w:w="710" w:type="pct"/>
                  <w:tcBorders>
                    <w:tl2br w:val="nil"/>
                    <w:tr2bl w:val="nil"/>
                  </w:tcBorders>
                  <w:vAlign w:val="center"/>
                </w:tcPr>
                <w:p w14:paraId="77409FD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回用作为原料</w:t>
                  </w:r>
                </w:p>
              </w:tc>
            </w:tr>
            <w:tr w14:paraId="63C74B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tl2br w:val="nil"/>
                    <w:tr2bl w:val="nil"/>
                  </w:tcBorders>
                  <w:vAlign w:val="center"/>
                </w:tcPr>
                <w:p w14:paraId="49D0E5B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375" w:type="pct"/>
                  <w:vMerge w:val="continue"/>
                  <w:tcBorders>
                    <w:tl2br w:val="nil"/>
                    <w:tr2bl w:val="nil"/>
                  </w:tcBorders>
                  <w:vAlign w:val="center"/>
                </w:tcPr>
                <w:p w14:paraId="0EA205C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10" w:type="pct"/>
                  <w:tcBorders>
                    <w:tl2br w:val="nil"/>
                    <w:tr2bl w:val="nil"/>
                  </w:tcBorders>
                  <w:vAlign w:val="center"/>
                </w:tcPr>
                <w:p w14:paraId="7486176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沉淀池沉渣</w:t>
                  </w:r>
                </w:p>
              </w:tc>
              <w:tc>
                <w:tcPr>
                  <w:tcW w:w="1138" w:type="pct"/>
                  <w:tcBorders>
                    <w:tl2br w:val="nil"/>
                    <w:tr2bl w:val="nil"/>
                  </w:tcBorders>
                  <w:vAlign w:val="center"/>
                </w:tcPr>
                <w:p w14:paraId="094BBAD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48" w:type="pct"/>
                  <w:tcBorders>
                    <w:tl2br w:val="nil"/>
                    <w:tr2bl w:val="nil"/>
                  </w:tcBorders>
                  <w:vAlign w:val="center"/>
                </w:tcPr>
                <w:p w14:paraId="5CF08F3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固态</w:t>
                  </w:r>
                </w:p>
              </w:tc>
              <w:tc>
                <w:tcPr>
                  <w:tcW w:w="697" w:type="pct"/>
                  <w:tcBorders>
                    <w:tl2br w:val="nil"/>
                    <w:tr2bl w:val="nil"/>
                  </w:tcBorders>
                  <w:vAlign w:val="center"/>
                </w:tcPr>
                <w:p w14:paraId="46B7837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8.4</w:t>
                  </w:r>
                </w:p>
              </w:tc>
              <w:tc>
                <w:tcPr>
                  <w:tcW w:w="824" w:type="pct"/>
                  <w:tcBorders>
                    <w:tl2br w:val="nil"/>
                    <w:tr2bl w:val="nil"/>
                  </w:tcBorders>
                  <w:vAlign w:val="center"/>
                </w:tcPr>
                <w:p w14:paraId="550A5F2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回用作为原料</w:t>
                  </w:r>
                </w:p>
              </w:tc>
              <w:tc>
                <w:tcPr>
                  <w:tcW w:w="710" w:type="pct"/>
                  <w:tcBorders>
                    <w:tl2br w:val="nil"/>
                    <w:tr2bl w:val="nil"/>
                  </w:tcBorders>
                  <w:vAlign w:val="center"/>
                </w:tcPr>
                <w:p w14:paraId="2E33AAA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回用作为原料</w:t>
                  </w:r>
                </w:p>
              </w:tc>
            </w:tr>
            <w:tr w14:paraId="69038C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tl2br w:val="nil"/>
                    <w:tr2bl w:val="nil"/>
                  </w:tcBorders>
                  <w:vAlign w:val="center"/>
                </w:tcPr>
                <w:p w14:paraId="639DF65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375" w:type="pct"/>
                  <w:vMerge w:val="continue"/>
                  <w:tcBorders>
                    <w:tl2br w:val="nil"/>
                    <w:tr2bl w:val="nil"/>
                  </w:tcBorders>
                  <w:vAlign w:val="center"/>
                </w:tcPr>
                <w:p w14:paraId="45C60BD0">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10" w:type="pct"/>
                  <w:tcBorders>
                    <w:tl2br w:val="nil"/>
                    <w:tr2bl w:val="nil"/>
                  </w:tcBorders>
                  <w:vAlign w:val="center"/>
                </w:tcPr>
                <w:p w14:paraId="7E05888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切割修边工序废边角料、残次品</w:t>
                  </w:r>
                </w:p>
              </w:tc>
              <w:tc>
                <w:tcPr>
                  <w:tcW w:w="1138" w:type="pct"/>
                  <w:tcBorders>
                    <w:tl2br w:val="nil"/>
                    <w:tr2bl w:val="nil"/>
                  </w:tcBorders>
                  <w:vAlign w:val="center"/>
                </w:tcPr>
                <w:p w14:paraId="2635B8E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48" w:type="pct"/>
                  <w:tcBorders>
                    <w:tl2br w:val="nil"/>
                    <w:tr2bl w:val="nil"/>
                  </w:tcBorders>
                  <w:vAlign w:val="center"/>
                </w:tcPr>
                <w:p w14:paraId="77A8270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97" w:type="pct"/>
                  <w:tcBorders>
                    <w:tl2br w:val="nil"/>
                    <w:tr2bl w:val="nil"/>
                  </w:tcBorders>
                  <w:vAlign w:val="center"/>
                </w:tcPr>
                <w:p w14:paraId="12DEB47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w:t>
                  </w:r>
                </w:p>
              </w:tc>
              <w:tc>
                <w:tcPr>
                  <w:tcW w:w="824" w:type="pct"/>
                  <w:tcBorders>
                    <w:tl2br w:val="nil"/>
                    <w:tr2bl w:val="nil"/>
                  </w:tcBorders>
                  <w:vAlign w:val="center"/>
                </w:tcPr>
                <w:p w14:paraId="0C69147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统一收集，</w:t>
                  </w:r>
                  <w:r>
                    <w:rPr>
                      <w:rFonts w:hint="eastAsia" w:ascii="Times New Roman" w:hAnsi="Times New Roman" w:eastAsia="宋体" w:cs="Times New Roman"/>
                      <w:color w:val="auto"/>
                      <w:sz w:val="21"/>
                      <w:szCs w:val="21"/>
                      <w:highlight w:val="none"/>
                      <w:lang w:val="en-US" w:eastAsia="zh-CN"/>
                    </w:rPr>
                    <w:t>定期拉运至垃圾填埋场填埋</w:t>
                  </w:r>
                </w:p>
              </w:tc>
              <w:tc>
                <w:tcPr>
                  <w:tcW w:w="710" w:type="pct"/>
                  <w:tcBorders>
                    <w:tl2br w:val="nil"/>
                    <w:tr2bl w:val="nil"/>
                  </w:tcBorders>
                  <w:vAlign w:val="center"/>
                </w:tcPr>
                <w:p w14:paraId="39F7748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垃圾填埋场</w:t>
                  </w:r>
                </w:p>
              </w:tc>
            </w:tr>
            <w:tr w14:paraId="65E4CC4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tl2br w:val="nil"/>
                    <w:tr2bl w:val="nil"/>
                  </w:tcBorders>
                  <w:vAlign w:val="center"/>
                </w:tcPr>
                <w:p w14:paraId="78C8F1C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375" w:type="pct"/>
                  <w:vMerge w:val="continue"/>
                  <w:tcBorders>
                    <w:tl2br w:val="nil"/>
                    <w:tr2bl w:val="nil"/>
                  </w:tcBorders>
                  <w:vAlign w:val="center"/>
                </w:tcPr>
                <w:p w14:paraId="02B697AF">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10" w:type="pct"/>
                  <w:tcBorders>
                    <w:tl2br w:val="nil"/>
                    <w:tr2bl w:val="nil"/>
                  </w:tcBorders>
                  <w:vAlign w:val="center"/>
                </w:tcPr>
                <w:p w14:paraId="015E6DB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废包装袋</w:t>
                  </w:r>
                </w:p>
              </w:tc>
              <w:tc>
                <w:tcPr>
                  <w:tcW w:w="1138" w:type="pct"/>
                  <w:tcBorders>
                    <w:tl2br w:val="nil"/>
                    <w:tr2bl w:val="nil"/>
                  </w:tcBorders>
                  <w:vAlign w:val="center"/>
                </w:tcPr>
                <w:p w14:paraId="6099B80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48" w:type="pct"/>
                  <w:tcBorders>
                    <w:tl2br w:val="nil"/>
                    <w:tr2bl w:val="nil"/>
                  </w:tcBorders>
                  <w:vAlign w:val="center"/>
                </w:tcPr>
                <w:p w14:paraId="5D98C7E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固态</w:t>
                  </w:r>
                </w:p>
              </w:tc>
              <w:tc>
                <w:tcPr>
                  <w:tcW w:w="697" w:type="pct"/>
                  <w:tcBorders>
                    <w:tl2br w:val="nil"/>
                    <w:tr2bl w:val="nil"/>
                  </w:tcBorders>
                  <w:vAlign w:val="center"/>
                </w:tcPr>
                <w:p w14:paraId="5715306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824" w:type="pct"/>
                  <w:tcBorders>
                    <w:tl2br w:val="nil"/>
                    <w:tr2bl w:val="nil"/>
                  </w:tcBorders>
                  <w:vAlign w:val="center"/>
                </w:tcPr>
                <w:p w14:paraId="333E100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外售给废品收购站回收综合利用</w:t>
                  </w:r>
                </w:p>
              </w:tc>
              <w:tc>
                <w:tcPr>
                  <w:tcW w:w="710" w:type="pct"/>
                  <w:tcBorders>
                    <w:tl2br w:val="nil"/>
                    <w:tr2bl w:val="nil"/>
                  </w:tcBorders>
                  <w:vAlign w:val="center"/>
                </w:tcPr>
                <w:p w14:paraId="61B229C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外售给废品收购站回收综合利用</w:t>
                  </w:r>
                </w:p>
              </w:tc>
            </w:tr>
            <w:tr w14:paraId="00BEC4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94" w:type="pct"/>
                  <w:tcBorders>
                    <w:tl2br w:val="nil"/>
                    <w:tr2bl w:val="nil"/>
                  </w:tcBorders>
                  <w:vAlign w:val="center"/>
                </w:tcPr>
                <w:p w14:paraId="7FCECD6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375" w:type="pct"/>
                  <w:tcBorders>
                    <w:tl2br w:val="nil"/>
                    <w:tr2bl w:val="nil"/>
                  </w:tcBorders>
                  <w:vAlign w:val="center"/>
                </w:tcPr>
                <w:p w14:paraId="77C3208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10" w:type="pct"/>
                  <w:tcBorders>
                    <w:tl2br w:val="nil"/>
                    <w:tr2bl w:val="nil"/>
                  </w:tcBorders>
                  <w:vAlign w:val="center"/>
                </w:tcPr>
                <w:p w14:paraId="50E5859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机械维修废</w:t>
                  </w:r>
                  <w:r>
                    <w:rPr>
                      <w:rFonts w:hint="eastAsia" w:ascii="Times New Roman" w:hAnsi="Times New Roman"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rPr>
                    <w:t>油</w:t>
                  </w:r>
                </w:p>
              </w:tc>
              <w:tc>
                <w:tcPr>
                  <w:tcW w:w="1138" w:type="pct"/>
                  <w:tcBorders>
                    <w:tl2br w:val="nil"/>
                    <w:tr2bl w:val="nil"/>
                  </w:tcBorders>
                  <w:vAlign w:val="center"/>
                </w:tcPr>
                <w:p w14:paraId="70DF140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危险废物HW08/900-214-08</w:t>
                  </w:r>
                </w:p>
              </w:tc>
              <w:tc>
                <w:tcPr>
                  <w:tcW w:w="348" w:type="pct"/>
                  <w:tcBorders>
                    <w:tl2br w:val="nil"/>
                    <w:tr2bl w:val="nil"/>
                  </w:tcBorders>
                  <w:vAlign w:val="center"/>
                </w:tcPr>
                <w:p w14:paraId="72086A1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液态</w:t>
                  </w:r>
                </w:p>
              </w:tc>
              <w:tc>
                <w:tcPr>
                  <w:tcW w:w="697" w:type="pct"/>
                  <w:tcBorders>
                    <w:tl2br w:val="nil"/>
                    <w:tr2bl w:val="nil"/>
                  </w:tcBorders>
                  <w:vAlign w:val="center"/>
                </w:tcPr>
                <w:p w14:paraId="0169535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0.1</w:t>
                  </w:r>
                </w:p>
              </w:tc>
              <w:tc>
                <w:tcPr>
                  <w:tcW w:w="824" w:type="pct"/>
                  <w:tcBorders>
                    <w:tl2br w:val="nil"/>
                    <w:tr2bl w:val="nil"/>
                  </w:tcBorders>
                  <w:vAlign w:val="center"/>
                </w:tcPr>
                <w:p w14:paraId="33FA751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暂存于危废暂存间内，定期交由有资质单位处理</w:t>
                  </w:r>
                </w:p>
              </w:tc>
              <w:tc>
                <w:tcPr>
                  <w:tcW w:w="710" w:type="pct"/>
                  <w:tcBorders>
                    <w:tl2br w:val="nil"/>
                    <w:tr2bl w:val="nil"/>
                  </w:tcBorders>
                  <w:vAlign w:val="center"/>
                </w:tcPr>
                <w:p w14:paraId="2BE90BA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有资质单位处理</w:t>
                  </w:r>
                </w:p>
              </w:tc>
            </w:tr>
          </w:tbl>
          <w:p w14:paraId="787F91ED">
            <w:pPr>
              <w:pStyle w:val="8"/>
              <w:pageBreakBefore w:val="0"/>
              <w:numPr>
                <w:ilvl w:val="0"/>
                <w:numId w:val="0"/>
              </w:numPr>
              <w:tabs>
                <w:tab w:val="left" w:pos="1892"/>
              </w:tabs>
              <w:kinsoku/>
              <w:wordWrap/>
              <w:overflowPunct/>
              <w:topLinePunct w:val="0"/>
              <w:autoSpaceDE/>
              <w:autoSpaceDN/>
              <w:bidi w:val="0"/>
              <w:spacing w:beforeLines="0" w:afterLines="0"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4.2</w:t>
            </w:r>
            <w:r>
              <w:rPr>
                <w:rFonts w:hint="default" w:ascii="Times New Roman" w:hAnsi="Times New Roman" w:eastAsia="宋体" w:cs="Times New Roman"/>
                <w:b/>
                <w:bCs/>
                <w:color w:val="auto"/>
                <w:sz w:val="24"/>
                <w:szCs w:val="24"/>
                <w:highlight w:val="none"/>
              </w:rPr>
              <w:t>固体废物管理要求</w:t>
            </w:r>
          </w:p>
          <w:p w14:paraId="3F4C9692">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一般工业固废</w:t>
            </w:r>
          </w:p>
          <w:p w14:paraId="7EC3F67E">
            <w:pPr>
              <w:pStyle w:val="11"/>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依据《中华人民共和国固体废物污染环境防治法》第十六条规定：收集、贮存、运输、利用、处置固体废物的单位和个人，必须采取防扬散、防流失、防渗漏或者其他防止污染环境的措施。不得在运输过程中沿途丢弃、遗撒固体废物。</w:t>
            </w:r>
            <w:r>
              <w:rPr>
                <w:rFonts w:hint="eastAsia" w:ascii="Times New Roman" w:hAnsi="Times New Roman" w:cs="Times New Roman"/>
                <w:color w:val="auto"/>
                <w:sz w:val="24"/>
                <w:szCs w:val="24"/>
                <w:highlight w:val="none"/>
                <w:lang w:val="en-US" w:eastAsia="zh-CN"/>
              </w:rPr>
              <w:t>对固废暂存间提出以下要求：</w:t>
            </w:r>
          </w:p>
          <w:p w14:paraId="239354F4">
            <w:pPr>
              <w:pStyle w:val="11"/>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①贮存设施应根据危险废物的形态、物理化学性质、包装形式和污染物迁移途径，采取必要的防风、防晒、防雨、防漏、防渗、防腐以及其他环境污染防治措施，不应露天堆放危险废物。</w:t>
            </w:r>
          </w:p>
          <w:p w14:paraId="6E5A31CF">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sz w:val="24"/>
                <w:szCs w:val="24"/>
                <w:highlight w:val="none"/>
                <w:lang w:val="en-US" w:eastAsia="zh-CN"/>
              </w:rPr>
              <w:t>②</w:t>
            </w:r>
            <w:r>
              <w:rPr>
                <w:rFonts w:hint="default" w:ascii="Times New Roman" w:hAnsi="Times New Roman" w:eastAsia="宋体" w:cs="Times New Roman"/>
                <w:color w:val="auto"/>
                <w:kern w:val="2"/>
                <w:sz w:val="24"/>
                <w:szCs w:val="24"/>
                <w:highlight w:val="none"/>
                <w:lang w:val="en-US" w:eastAsia="zh-CN"/>
              </w:rPr>
              <w:t>采用厚度Mb=1.5m，渗透系数K≤10</w:t>
            </w:r>
            <w:r>
              <w:rPr>
                <w:rFonts w:hint="default" w:ascii="Times New Roman" w:hAnsi="Times New Roman" w:eastAsia="宋体" w:cs="Times New Roman"/>
                <w:color w:val="auto"/>
                <w:kern w:val="2"/>
                <w:sz w:val="24"/>
                <w:szCs w:val="24"/>
                <w:highlight w:val="none"/>
                <w:vertAlign w:val="superscript"/>
                <w:lang w:val="en-US" w:eastAsia="zh-CN"/>
              </w:rPr>
              <w:t>-7</w:t>
            </w:r>
            <w:r>
              <w:rPr>
                <w:rFonts w:hint="default" w:ascii="Times New Roman" w:hAnsi="Times New Roman" w:eastAsia="宋体" w:cs="Times New Roman"/>
                <w:color w:val="auto"/>
                <w:kern w:val="2"/>
                <w:sz w:val="24"/>
                <w:szCs w:val="24"/>
                <w:highlight w:val="none"/>
                <w:lang w:val="en-US" w:eastAsia="zh-CN"/>
              </w:rPr>
              <w:t>cm/s防渗等效的20cm厚P4等级混凝土进行防渗。地面涂1mm厚环氧树脂进行防腐。要求防渗技术要求为：等效黏土防渗层Mb≥1.5m，K≤1×10</w:t>
            </w:r>
            <w:r>
              <w:rPr>
                <w:rFonts w:hint="default" w:ascii="Times New Roman" w:hAnsi="Times New Roman" w:eastAsia="宋体" w:cs="Times New Roman"/>
                <w:color w:val="auto"/>
                <w:kern w:val="2"/>
                <w:sz w:val="24"/>
                <w:szCs w:val="24"/>
                <w:highlight w:val="none"/>
                <w:vertAlign w:val="superscript"/>
                <w:lang w:val="en-US" w:eastAsia="zh-CN"/>
              </w:rPr>
              <w:t>-7</w:t>
            </w:r>
            <w:r>
              <w:rPr>
                <w:rFonts w:hint="default" w:ascii="Times New Roman" w:hAnsi="Times New Roman" w:eastAsia="宋体" w:cs="Times New Roman"/>
                <w:color w:val="auto"/>
                <w:kern w:val="2"/>
                <w:sz w:val="24"/>
                <w:szCs w:val="24"/>
                <w:highlight w:val="none"/>
                <w:lang w:val="en-US" w:eastAsia="zh-CN"/>
              </w:rPr>
              <w:t>cm/s；或参照GB16889执行</w:t>
            </w:r>
            <w:r>
              <w:rPr>
                <w:rFonts w:hint="default" w:ascii="Times New Roman" w:hAnsi="Times New Roman" w:cs="Times New Roman"/>
                <w:color w:val="auto"/>
                <w:kern w:val="2"/>
                <w:sz w:val="24"/>
                <w:szCs w:val="24"/>
                <w:highlight w:val="none"/>
                <w:lang w:val="en-US" w:eastAsia="zh-CN"/>
              </w:rPr>
              <w:t>。</w:t>
            </w:r>
          </w:p>
          <w:p w14:paraId="6EF53A6D">
            <w:pPr>
              <w:pStyle w:val="11"/>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③同一贮存设施宜采用相同的防渗、防腐工艺（包括防渗、防腐结构或材料），防渗、防腐材料应覆盖所有可能与废物及其渗滤液、渗漏液等接触的构筑物表面；采用不同防渗、防腐工艺应分别建设贮存分区。</w:t>
            </w:r>
          </w:p>
          <w:p w14:paraId="3888F51B">
            <w:pPr>
              <w:pStyle w:val="11"/>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④贮存库内不同贮存分区之间应采取隔离措施。隔离措施可根据危险废物特性采用过道、隔板或隔墙等方式。</w:t>
            </w:r>
          </w:p>
          <w:p w14:paraId="18CCDF2B">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⑤贮存设施所有者或运营者应依据国家土壤和地下水污染防治的有关规定，结合贮存设施特点建立土壤和地下水污染隐患排查制度，并定期开展隐患排查；发现隐患应及时采取措施消除隐患，并建立档案。</w:t>
            </w:r>
          </w:p>
          <w:p w14:paraId="3FF0C502">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w:t>
            </w:r>
          </w:p>
          <w:p w14:paraId="320816D8">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本项目废机油严格按照《危险废物贮存污染控制标准》（GB18597-20</w:t>
            </w:r>
            <w:r>
              <w:rPr>
                <w:rFonts w:hint="eastAsia" w:ascii="Times New Roman" w:hAnsi="Times New Roman"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）要求处置。</w:t>
            </w:r>
          </w:p>
          <w:p w14:paraId="4FB987CC">
            <w:pPr>
              <w:pStyle w:val="8"/>
              <w:pageBreakBefore w:val="0"/>
              <w:numPr>
                <w:ilvl w:val="0"/>
                <w:numId w:val="0"/>
              </w:numPr>
              <w:tabs>
                <w:tab w:val="left" w:pos="1892"/>
              </w:tabs>
              <w:kinsoku/>
              <w:wordWrap/>
              <w:overflowPunct/>
              <w:topLinePunct w:val="0"/>
              <w:autoSpaceDE/>
              <w:autoSpaceDN/>
              <w:bidi w:val="0"/>
              <w:spacing w:beforeLines="0" w:afterLines="0"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4.3</w:t>
            </w:r>
            <w:r>
              <w:rPr>
                <w:rFonts w:hint="eastAsia" w:cs="Times New Roman"/>
                <w:b/>
                <w:bCs/>
                <w:color w:val="auto"/>
                <w:sz w:val="24"/>
                <w:szCs w:val="24"/>
                <w:highlight w:val="none"/>
                <w:lang w:val="en-US" w:eastAsia="zh-CN"/>
              </w:rPr>
              <w:t>固体</w:t>
            </w:r>
            <w:r>
              <w:rPr>
                <w:rFonts w:hint="default" w:ascii="Times New Roman" w:hAnsi="Times New Roman" w:eastAsia="宋体" w:cs="Times New Roman"/>
                <w:b/>
                <w:bCs/>
                <w:color w:val="auto"/>
                <w:sz w:val="24"/>
                <w:szCs w:val="24"/>
                <w:highlight w:val="none"/>
              </w:rPr>
              <w:t>废物处置要求</w:t>
            </w:r>
          </w:p>
          <w:p w14:paraId="74094644">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ascii="Times New Roman" w:hAnsi="Times New Roman" w:eastAsia="宋体" w:cs="Times New Roman"/>
                <w:color w:val="auto"/>
                <w:kern w:val="0"/>
                <w:sz w:val="24"/>
              </w:rPr>
            </w:pPr>
            <w:r>
              <w:rPr>
                <w:rFonts w:hint="default" w:ascii="Times New Roman" w:hAnsi="Times New Roman" w:eastAsia="宋体" w:cs="Times New Roman"/>
                <w:color w:val="auto"/>
                <w:sz w:val="24"/>
                <w:szCs w:val="24"/>
                <w:highlight w:val="none"/>
              </w:rPr>
              <w:t>为防止危险废物污染地下水和土壤环境，严格按照《危险废物贮存污染控制标准》（GB18597-20</w:t>
            </w:r>
            <w:r>
              <w:rPr>
                <w:rFonts w:hint="eastAsia" w:ascii="Times New Roman" w:hAnsi="Times New Roman"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）及修改单设置危险废物暂存间，具体要求如下：</w:t>
            </w:r>
          </w:p>
          <w:p w14:paraId="36C2928D">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（1）贮存场所</w:t>
            </w:r>
            <w:r>
              <w:rPr>
                <w:rFonts w:hint="eastAsia" w:cs="Times New Roman"/>
                <w:color w:val="000000" w:themeColor="text1"/>
                <w:kern w:val="0"/>
                <w:sz w:val="24"/>
                <w:lang w:val="en-US" w:eastAsia="zh-CN"/>
                <w14:textFill>
                  <w14:solidFill>
                    <w14:schemeClr w14:val="tx1"/>
                  </w14:solidFill>
                </w14:textFill>
              </w:rPr>
              <w:t>建设要求</w:t>
            </w:r>
          </w:p>
          <w:p w14:paraId="14948450">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项目危险废物暂存场所严格按照《危险废物贮存污染控制标准》（GB18597-</w:t>
            </w:r>
            <w:r>
              <w:rPr>
                <w:rFonts w:hint="eastAsia" w:cs="Times New Roman"/>
                <w:color w:val="000000" w:themeColor="text1"/>
                <w:kern w:val="0"/>
                <w:sz w:val="24"/>
                <w:lang w:val="en-US" w:eastAsia="zh-CN"/>
                <w14:textFill>
                  <w14:solidFill>
                    <w14:schemeClr w14:val="tx1"/>
                  </w14:solidFill>
                </w14:textFill>
              </w:rPr>
              <w:t>2023）</w:t>
            </w:r>
            <w:r>
              <w:rPr>
                <w:rFonts w:ascii="Times New Roman" w:hAnsi="Times New Roman" w:eastAsia="宋体" w:cs="Times New Roman"/>
                <w:color w:val="000000" w:themeColor="text1"/>
                <w:kern w:val="0"/>
                <w:sz w:val="24"/>
                <w14:textFill>
                  <w14:solidFill>
                    <w14:schemeClr w14:val="tx1"/>
                  </w14:solidFill>
                </w14:textFill>
              </w:rPr>
              <w:t xml:space="preserve">要求规范建设和维护使用，做到防扬散、防流失、防渗漏等措施，具体情况如下： </w:t>
            </w:r>
          </w:p>
          <w:p w14:paraId="4F835FBD">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①在危险废物暂存场所显著位置张贴危险废物的标识，根据《危险废物贮存污染控制标准》（GB18597-</w:t>
            </w:r>
            <w:r>
              <w:rPr>
                <w:rFonts w:hint="eastAsia" w:cs="Times New Roman"/>
                <w:color w:val="000000" w:themeColor="text1"/>
                <w:kern w:val="0"/>
                <w:sz w:val="24"/>
                <w:lang w:val="en-US" w:eastAsia="zh-CN"/>
                <w14:textFill>
                  <w14:solidFill>
                    <w14:schemeClr w14:val="tx1"/>
                  </w14:solidFill>
                </w14:textFill>
              </w:rPr>
              <w:t>2023）</w:t>
            </w:r>
            <w:r>
              <w:rPr>
                <w:rFonts w:ascii="Times New Roman" w:hAnsi="Times New Roman" w:eastAsia="宋体" w:cs="Times New Roman"/>
                <w:color w:val="000000" w:themeColor="text1"/>
                <w:kern w:val="0"/>
                <w:sz w:val="24"/>
                <w14:textFill>
                  <w14:solidFill>
                    <w14:schemeClr w14:val="tx1"/>
                  </w14:solidFill>
                </w14:textFill>
              </w:rPr>
              <w:t>相关要求，盛装危险废物的容器上必须粘贴符合标准的标签。</w:t>
            </w:r>
          </w:p>
          <w:p w14:paraId="5FE0B68D">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②本项目危险废物暂存场所按照《危险废物贮存污染控制标准》（GB18597-</w:t>
            </w:r>
            <w:r>
              <w:rPr>
                <w:rFonts w:hint="eastAsia" w:cs="Times New Roman"/>
                <w:color w:val="000000" w:themeColor="text1"/>
                <w:kern w:val="0"/>
                <w:sz w:val="24"/>
                <w:lang w:val="en-US" w:eastAsia="zh-CN"/>
                <w14:textFill>
                  <w14:solidFill>
                    <w14:schemeClr w14:val="tx1"/>
                  </w14:solidFill>
                </w14:textFill>
              </w:rPr>
              <w:t>2023）</w:t>
            </w:r>
            <w:r>
              <w:rPr>
                <w:rFonts w:ascii="Times New Roman" w:hAnsi="Times New Roman" w:eastAsia="宋体" w:cs="Times New Roman"/>
                <w:color w:val="000000" w:themeColor="text1"/>
                <w:kern w:val="0"/>
                <w:sz w:val="24"/>
                <w14:textFill>
                  <w14:solidFill>
                    <w14:schemeClr w14:val="tx1"/>
                  </w14:solidFill>
                </w14:textFill>
              </w:rPr>
              <w:t>要求进行建设，设置防渗、防漏等措施。</w:t>
            </w:r>
          </w:p>
          <w:p w14:paraId="31B0AF47">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 xml:space="preserve">③贮存场所地面须作硬化处理，设置废水导排管道或渠道，如产生冲洗废水需收集处理或纳入建设项目废水处理设施处理；贮存液态或半固态废物的，还应设置泄漏液体收集装置；场所应设置警示标志。装载危险废物的容器应确保完好无损。 </w:t>
            </w:r>
          </w:p>
          <w:p w14:paraId="3E195703">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④项目应加强危险储存场所的安全防范措施，防止破损、倾倒等情况发生，防止出现危险废物渗滤液、有机废气等二次污染情况。</w:t>
            </w:r>
          </w:p>
          <w:p w14:paraId="5313FA66">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szCs w:val="24"/>
                <w:lang w:val="en-US" w:eastAsia="zh-CN" w:bidi="ar-SA"/>
              </w:rPr>
              <w:t>（2）</w:t>
            </w:r>
            <w:r>
              <w:rPr>
                <w:rFonts w:hint="eastAsia" w:ascii="Times New Roman" w:hAnsi="Times New Roman" w:eastAsia="宋体" w:cs="Times New Roman"/>
                <w:color w:val="auto"/>
                <w:kern w:val="0"/>
                <w:sz w:val="24"/>
                <w:lang w:val="en-US" w:eastAsia="zh-CN"/>
              </w:rPr>
              <w:t>危险废物收集</w:t>
            </w:r>
          </w:p>
          <w:p w14:paraId="536C12D9">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①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 </w:t>
            </w:r>
          </w:p>
          <w:p w14:paraId="224F001B">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②危险废物的收集应制定详细的操作规程，内容至少应包括适用范围、操作程序和方法、专用设备和工具、转移和交接、安全保障和应急防护等。</w:t>
            </w:r>
          </w:p>
          <w:p w14:paraId="3694F33D">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③危险废物收集和转运作业人员应根据工作需要配备必要的个人防护装备，如手套、防护镜、防护服、防毒面具或口罩等。</w:t>
            </w:r>
          </w:p>
          <w:p w14:paraId="19C49804">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④在危险废物的收集和转运过程中，应采取相应的安全防护和污染防治措施，包括防爆、防火、防中毒、防感染、防泄露、防飞扬、防雨或其它防止污染环境的措施。</w:t>
            </w:r>
          </w:p>
          <w:p w14:paraId="2D4EEEED">
            <w:pPr>
              <w:numPr>
                <w:ilvl w:val="0"/>
                <w:numId w:val="0"/>
              </w:num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⑤危险废物收集时应根据危险废物的种类、数量、危险特性、物理形态、运输要求等因素确定包装形式。</w:t>
            </w:r>
          </w:p>
          <w:p w14:paraId="5C64BD68">
            <w:pPr>
              <w:numPr>
                <w:ilvl w:val="0"/>
                <w:numId w:val="0"/>
              </w:num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⑥收集过危险废物的容器、设备、设施、场所及其它物品转作它用时，应消除污染，确保其使用安全。收集结束后应清理和恢复收集作业区域，确保作业区域环境整洁安全。</w:t>
            </w:r>
          </w:p>
          <w:p w14:paraId="01C698BF">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w:t>
            </w:r>
            <w:r>
              <w:rPr>
                <w:rFonts w:hint="eastAsia" w:cs="Times New Roman"/>
                <w:color w:val="auto"/>
                <w:kern w:val="0"/>
                <w:sz w:val="24"/>
                <w:lang w:val="en-US" w:eastAsia="zh-CN"/>
              </w:rPr>
              <w:t>3</w:t>
            </w:r>
            <w:r>
              <w:rPr>
                <w:rFonts w:ascii="Times New Roman" w:hAnsi="Times New Roman" w:eastAsia="宋体" w:cs="Times New Roman"/>
                <w:color w:val="auto"/>
                <w:kern w:val="0"/>
                <w:sz w:val="24"/>
              </w:rPr>
              <w:t>）管理制度建设</w:t>
            </w:r>
          </w:p>
          <w:p w14:paraId="34D028F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①建立固废防治责任制度：建设单位按要求建立、健全污染环境防治责任制度，明确责任人。负责人熟悉危险废物管理相关法规、制度、标准、规范。</w:t>
            </w:r>
          </w:p>
          <w:p w14:paraId="6307A466">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②制定危险废物管理计划：按要求制定危险废物管理计划，计划涵盖危险废物的产生环节、种类、危害特性、产生量、利用</w:t>
            </w:r>
            <w:r>
              <w:rPr>
                <w:rFonts w:hint="eastAsia" w:cs="Times New Roman"/>
                <w:color w:val="auto"/>
                <w:kern w:val="0"/>
                <w:sz w:val="24"/>
                <w:lang w:val="en-US" w:eastAsia="zh-CN"/>
              </w:rPr>
              <w:t>和</w:t>
            </w:r>
            <w:r>
              <w:rPr>
                <w:rFonts w:ascii="Times New Roman" w:hAnsi="Times New Roman" w:eastAsia="宋体" w:cs="Times New Roman"/>
                <w:color w:val="auto"/>
                <w:kern w:val="0"/>
                <w:sz w:val="24"/>
              </w:rPr>
              <w:t xml:space="preserve">处置方式并报环保部门备案，如发生重大改变及时申报。 </w:t>
            </w:r>
          </w:p>
          <w:p w14:paraId="149ADBCE">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 xml:space="preserve">③建立申报登记制度：如实地向所在地县级以上地方人民政府环境保护行政主管部门申报危险废物的种类、产生量、流向、贮存、处置等有关资料。 </w:t>
            </w:r>
          </w:p>
          <w:p w14:paraId="49B0EA94">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④固废的暂存制度：项目产生的危险废物贮存执行《危险废物贮存污染控制标准》（GB18597-</w:t>
            </w:r>
            <w:r>
              <w:rPr>
                <w:rFonts w:hint="eastAsia" w:cs="Times New Roman"/>
                <w:color w:val="auto"/>
                <w:kern w:val="0"/>
                <w:sz w:val="24"/>
                <w:lang w:val="en-US" w:eastAsia="zh-CN"/>
              </w:rPr>
              <w:t>2023）</w:t>
            </w:r>
            <w:r>
              <w:rPr>
                <w:rFonts w:ascii="Times New Roman" w:hAnsi="Times New Roman" w:eastAsia="宋体" w:cs="Times New Roman"/>
                <w:color w:val="auto"/>
                <w:kern w:val="0"/>
                <w:sz w:val="24"/>
              </w:rPr>
              <w:t>及《危险废物收集</w:t>
            </w:r>
            <w:r>
              <w:rPr>
                <w:rFonts w:hint="eastAsia" w:cs="Times New Roman"/>
                <w:color w:val="auto"/>
                <w:kern w:val="0"/>
                <w:sz w:val="24"/>
                <w:lang w:val="en-US" w:eastAsia="zh-CN"/>
              </w:rPr>
              <w:t>贮</w:t>
            </w:r>
            <w:r>
              <w:rPr>
                <w:rFonts w:ascii="Times New Roman" w:hAnsi="Times New Roman" w:eastAsia="宋体" w:cs="Times New Roman"/>
                <w:color w:val="auto"/>
                <w:kern w:val="0"/>
                <w:sz w:val="24"/>
              </w:rPr>
              <w:t>存运输技术规范》（HJ2025-2012）中相关规定要求，根据危险废物的包装、贮存设施的安全防护、监测和关闭等要求进行合理的贮存。</w:t>
            </w:r>
          </w:p>
          <w:p w14:paraId="0CA47FD6">
            <w:pPr>
              <w:numPr>
                <w:ilvl w:val="0"/>
                <w:numId w:val="0"/>
              </w:numPr>
              <w:autoSpaceDE w:val="0"/>
              <w:autoSpaceDN w:val="0"/>
              <w:adjustRightInd w:val="0"/>
              <w:snapToGrid w:val="0"/>
              <w:spacing w:line="360" w:lineRule="auto"/>
              <w:ind w:left="420" w:left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hint="eastAsia" w:cs="Times New Roman"/>
                <w:color w:val="000000" w:themeColor="text1"/>
                <w:kern w:val="0"/>
                <w:sz w:val="24"/>
                <w:szCs w:val="24"/>
                <w:lang w:val="en-US" w:eastAsia="zh-CN" w:bidi="ar-SA"/>
                <w14:textFill>
                  <w14:solidFill>
                    <w14:schemeClr w14:val="tx1"/>
                  </w14:solidFill>
                </w14:textFill>
              </w:rPr>
              <w:t>4</w:t>
            </w:r>
            <w:r>
              <w:rPr>
                <w:rFonts w:ascii="Times New Roman" w:hAnsi="Times New Roman" w:eastAsia="宋体" w:cs="Times New Roman"/>
                <w:color w:val="000000" w:themeColor="text1"/>
                <w:kern w:val="0"/>
                <w:sz w:val="24"/>
                <w:szCs w:val="24"/>
                <w:lang w:val="en-US" w:eastAsia="zh-CN" w:bidi="ar-SA"/>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危险废物转运</w:t>
            </w:r>
          </w:p>
          <w:p w14:paraId="68EC76EF">
            <w:pPr>
              <w:numPr>
                <w:ilvl w:val="0"/>
                <w:numId w:val="0"/>
              </w:numPr>
              <w:autoSpaceDE w:val="0"/>
              <w:autoSpaceDN w:val="0"/>
              <w:adjustRightInd w:val="0"/>
              <w:snapToGrid w:val="0"/>
              <w:spacing w:line="360" w:lineRule="auto"/>
              <w:ind w:firstLine="480" w:firstLineChars="200"/>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①危险废物的运输应采取危险废物转移电子联单制度，保证运输安全，防止非法转移和非法处置，保证危险废物的安全监控，</w:t>
            </w:r>
            <w:r>
              <w:rPr>
                <w:rFonts w:hint="eastAsia" w:cs="Times New Roman"/>
                <w:color w:val="000000" w:themeColor="text1"/>
                <w:kern w:val="0"/>
                <w:sz w:val="24"/>
                <w:lang w:val="en-US" w:eastAsia="zh-CN"/>
                <w14:textFill>
                  <w14:solidFill>
                    <w14:schemeClr w14:val="tx1"/>
                  </w14:solidFill>
                </w14:textFill>
              </w:rPr>
              <w:t>防止危险废物污染事故发生。</w:t>
            </w:r>
          </w:p>
          <w:p w14:paraId="3BC467E0">
            <w:pPr>
              <w:numPr>
                <w:ilvl w:val="0"/>
                <w:numId w:val="0"/>
              </w:num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②危险废物产生者和危险废物贮存设施经营者均须</w:t>
            </w:r>
            <w:r>
              <w:rPr>
                <w:rFonts w:hint="eastAsia" w:ascii="Times New Roman" w:hAnsi="Times New Roman" w:eastAsia="宋体" w:cs="Times New Roman"/>
                <w:color w:val="000000" w:themeColor="text1"/>
                <w:kern w:val="0"/>
                <w:sz w:val="24"/>
                <w:lang w:eastAsia="zh-CN"/>
                <w14:textFill>
                  <w14:solidFill>
                    <w14:schemeClr w14:val="tx1"/>
                  </w14:solidFill>
                </w14:textFill>
              </w:rPr>
              <w:t>做好</w:t>
            </w:r>
            <w:r>
              <w:rPr>
                <w:rFonts w:ascii="Times New Roman" w:hAnsi="Times New Roman" w:eastAsia="宋体" w:cs="Times New Roman"/>
                <w:color w:val="000000" w:themeColor="text1"/>
                <w:kern w:val="0"/>
                <w:sz w:val="24"/>
                <w14:textFill>
                  <w14:solidFill>
                    <w14:schemeClr w14:val="tx1"/>
                  </w14:solidFill>
                </w14:textFill>
              </w:rPr>
              <w:t>危险废物情况的记录，记录上须注明危险废物的名称、来源、数量、特性和包装容器的类别、入库日期、存放库位、废物出库日期及接收单位名称，危险废物的记录和货单在危险废物回收后应继续保留5年。</w:t>
            </w:r>
          </w:p>
          <w:p w14:paraId="2E0DC90B">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建设单位严格按照转移联单要求做好危废的去向记录，确保废物由有资质的单位进行处置，不得随意倾倒。针对危险废物，应严格按照《危险废物贮存污染控制标准</w:t>
            </w:r>
            <w:r>
              <w:rPr>
                <w:rFonts w:hint="eastAsia" w:ascii="Times New Roman" w:hAnsi="Times New Roman" w:eastAsia="宋体" w:cs="Times New Roman"/>
                <w:color w:val="000000" w:themeColor="text1"/>
                <w:kern w:val="0"/>
                <w:sz w:val="24"/>
                <w:lang w:eastAsia="zh-CN"/>
                <w14:textFill>
                  <w14:solidFill>
                    <w14:schemeClr w14:val="tx1"/>
                  </w14:solidFill>
                </w14:textFill>
              </w:rPr>
              <w:t>》《</w:t>
            </w:r>
            <w:r>
              <w:rPr>
                <w:rFonts w:ascii="Times New Roman" w:hAnsi="Times New Roman" w:eastAsia="宋体" w:cs="Times New Roman"/>
                <w:color w:val="000000" w:themeColor="text1"/>
                <w:kern w:val="0"/>
                <w:sz w:val="24"/>
                <w14:textFill>
                  <w14:solidFill>
                    <w14:schemeClr w14:val="tx1"/>
                  </w14:solidFill>
                </w14:textFill>
              </w:rPr>
              <w:t>危险废物转移管理办法》和“五联单”方式对危险废物进行暂存和转移管理，并及时交与具备处理资质的单位进行处理，将管理联单和危废处理协议送生态环境局备案。</w:t>
            </w:r>
          </w:p>
          <w:p w14:paraId="0E3C1255">
            <w:pPr>
              <w:autoSpaceDE w:val="0"/>
              <w:autoSpaceDN w:val="0"/>
              <w:adjustRightInd w:val="0"/>
              <w:snapToGrid w:val="0"/>
              <w:spacing w:line="360" w:lineRule="auto"/>
              <w:ind w:firstLine="480" w:firstLineChars="200"/>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③制定危险废物管理计划，明确拟转移危险废物的种类、重量（数量）和流向等信息。</w:t>
            </w:r>
          </w:p>
          <w:p w14:paraId="7DC3AA98">
            <w:pPr>
              <w:autoSpaceDE w:val="0"/>
              <w:autoSpaceDN w:val="0"/>
              <w:adjustRightInd w:val="0"/>
              <w:snapToGrid w:val="0"/>
              <w:spacing w:line="360" w:lineRule="auto"/>
              <w:ind w:firstLine="480" w:firstLineChars="200"/>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④建立危险废物管理台账，对转移的危险废物进行计量称重，如实记录、妥善保管转移危险废物的种类、重量（数量）和接受人等相关信息。</w:t>
            </w:r>
          </w:p>
          <w:p w14:paraId="701B1D6A">
            <w:pPr>
              <w:autoSpaceDE w:val="0"/>
              <w:autoSpaceDN w:val="0"/>
              <w:adjustRightInd w:val="0"/>
              <w:snapToGrid w:val="0"/>
              <w:spacing w:line="360" w:lineRule="auto"/>
              <w:ind w:firstLine="480" w:firstLineChars="200"/>
              <w:rPr>
                <w:rFonts w:hint="eastAsia"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⑤填写、运行危险废物转移联单，在危险废物转移联单中如实填写移出人、承运人、接受人信息，转移危险废物的种类、重量（数量）、危险特性等信息，以及突发环境事件的防范措施等。</w:t>
            </w:r>
          </w:p>
          <w:p w14:paraId="054A6173">
            <w:pPr>
              <w:autoSpaceDE w:val="0"/>
              <w:autoSpaceDN w:val="0"/>
              <w:adjustRightInd w:val="0"/>
              <w:snapToGrid w:val="0"/>
              <w:spacing w:line="360" w:lineRule="auto"/>
              <w:ind w:firstLine="480" w:firstLineChars="200"/>
              <w:rPr>
                <w:rFonts w:hint="default" w:cs="Times New Roman"/>
                <w:color w:val="000000" w:themeColor="text1"/>
                <w:kern w:val="0"/>
                <w:sz w:val="24"/>
                <w:lang w:val="en-US" w:eastAsia="zh-CN"/>
                <w14:textFill>
                  <w14:solidFill>
                    <w14:schemeClr w14:val="tx1"/>
                  </w14:solidFill>
                </w14:textFill>
              </w:rPr>
            </w:pPr>
            <w:r>
              <w:rPr>
                <w:rFonts w:hint="eastAsia" w:cs="Times New Roman"/>
                <w:color w:val="000000" w:themeColor="text1"/>
                <w:kern w:val="0"/>
                <w:sz w:val="24"/>
                <w:lang w:val="en-US" w:eastAsia="zh-CN"/>
                <w14:textFill>
                  <w14:solidFill>
                    <w14:schemeClr w14:val="tx1"/>
                  </w14:solidFill>
                </w14:textFill>
              </w:rPr>
              <w:t>⑥移出人应当按照国家有关要求开展危险废物鉴别。禁止将危险废物以副产品等名义提供或者委托给无危险废物经营许可证的单位或者其他生产经营者从事收集、贮存、利用、处置活动。</w:t>
            </w:r>
          </w:p>
          <w:p w14:paraId="340241DA">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000000" w:themeColor="text1"/>
                <w:kern w:val="0"/>
                <w:sz w:val="24"/>
                <w14:textFill>
                  <w14:solidFill>
                    <w14:schemeClr w14:val="tx1"/>
                  </w14:solidFill>
                </w14:textFill>
              </w:rPr>
              <w:t>综上所述，</w:t>
            </w:r>
            <w:r>
              <w:rPr>
                <w:rFonts w:hint="eastAsia" w:ascii="Times New Roman" w:hAnsi="Times New Roman" w:eastAsia="宋体" w:cs="Times New Roman"/>
                <w:color w:val="000000" w:themeColor="text1"/>
                <w:kern w:val="0"/>
                <w:sz w:val="24"/>
                <w14:textFill>
                  <w14:solidFill>
                    <w14:schemeClr w14:val="tx1"/>
                  </w14:solidFill>
                </w14:textFill>
              </w:rPr>
              <w:t>本</w:t>
            </w:r>
            <w:r>
              <w:rPr>
                <w:rFonts w:ascii="Times New Roman" w:hAnsi="Times New Roman" w:eastAsia="宋体" w:cs="Times New Roman"/>
                <w:color w:val="000000" w:themeColor="text1"/>
                <w:kern w:val="0"/>
                <w:sz w:val="24"/>
                <w14:textFill>
                  <w14:solidFill>
                    <w14:schemeClr w14:val="tx1"/>
                  </w14:solidFill>
                </w14:textFill>
              </w:rPr>
              <w:t>项目的各类</w:t>
            </w:r>
            <w:r>
              <w:rPr>
                <w:rFonts w:hint="eastAsia" w:ascii="Times New Roman" w:hAnsi="Times New Roman" w:eastAsia="宋体" w:cs="Times New Roman"/>
                <w:color w:val="000000" w:themeColor="text1"/>
                <w:kern w:val="0"/>
                <w:sz w:val="24"/>
                <w14:textFill>
                  <w14:solidFill>
                    <w14:schemeClr w14:val="tx1"/>
                  </w14:solidFill>
                </w14:textFill>
              </w:rPr>
              <w:t>固体废物</w:t>
            </w:r>
            <w:r>
              <w:rPr>
                <w:rFonts w:ascii="Times New Roman" w:hAnsi="Times New Roman" w:eastAsia="宋体" w:cs="Times New Roman"/>
                <w:color w:val="000000" w:themeColor="text1"/>
                <w:kern w:val="0"/>
                <w:sz w:val="24"/>
                <w14:textFill>
                  <w14:solidFill>
                    <w14:schemeClr w14:val="tx1"/>
                  </w14:solidFill>
                </w14:textFill>
              </w:rPr>
              <w:t>均能得到合理妥善的处置，因此对环境影响较小。</w:t>
            </w:r>
          </w:p>
          <w:p w14:paraId="3E9BBF3F">
            <w:pPr>
              <w:keepNext w:val="0"/>
              <w:keepLines w:val="0"/>
              <w:pageBreakBefore w:val="0"/>
              <w:kinsoku/>
              <w:wordWrap/>
              <w:overflowPunct/>
              <w:autoSpaceDE/>
              <w:autoSpaceDN/>
              <w:bidi w:val="0"/>
              <w:adjustRightInd/>
              <w:snapToGrid/>
              <w:spacing w:line="360" w:lineRule="auto"/>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5.地下水、土壤防治措施</w:t>
            </w:r>
          </w:p>
          <w:p w14:paraId="084390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zh-CN" w:eastAsia="zh-CN" w:bidi="zh-CN"/>
              </w:rPr>
            </w:pPr>
            <w:r>
              <w:rPr>
                <w:rFonts w:hint="default" w:ascii="Times New Roman" w:hAnsi="Times New Roman" w:eastAsia="宋体" w:cs="Times New Roman"/>
                <w:color w:val="auto"/>
                <w:kern w:val="2"/>
                <w:sz w:val="24"/>
                <w:szCs w:val="24"/>
                <w:highlight w:val="none"/>
                <w:lang w:val="zh-CN" w:eastAsia="zh-CN" w:bidi="zh-CN"/>
              </w:rPr>
              <w:t>根据《环境影响评价技术导则 地下水环境》（HJ6010-2016）中附录A确定建设项目所属的地下水环境影响评价项目类别，</w:t>
            </w:r>
            <w:r>
              <w:rPr>
                <w:rFonts w:hint="default" w:ascii="Times New Roman" w:hAnsi="Times New Roman" w:eastAsia="宋体" w:cs="Times New Roman"/>
                <w:color w:val="auto"/>
                <w:kern w:val="2"/>
                <w:sz w:val="24"/>
                <w:szCs w:val="24"/>
                <w:highlight w:val="none"/>
                <w:lang w:val="en-US" w:eastAsia="zh-CN" w:bidi="zh-CN"/>
              </w:rPr>
              <w:t>本项目属于J 非金属矿采选及制品制造—64、砖瓦制造—报告表</w:t>
            </w:r>
            <w:r>
              <w:rPr>
                <w:rFonts w:hint="default" w:ascii="Times New Roman" w:hAnsi="Times New Roman" w:eastAsia="宋体" w:cs="Times New Roman"/>
                <w:color w:val="auto"/>
                <w:kern w:val="2"/>
                <w:sz w:val="24"/>
                <w:szCs w:val="24"/>
                <w:highlight w:val="none"/>
                <w:lang w:val="zh-CN" w:eastAsia="zh-CN" w:bidi="zh-CN"/>
              </w:rPr>
              <w:t>Ⅳ类。本项目地下水环境影响评价类别为Ⅳ类，根据《环境影响评价技术导则 地下水环境》（HJ6010-2016）Ⅳ类建设项目可不开展地下水环境影响评价。</w:t>
            </w:r>
          </w:p>
          <w:p w14:paraId="239DE27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根据项目特点，进行分区并对不同分区采取相应的防渗措施。</w:t>
            </w:r>
          </w:p>
          <w:p w14:paraId="4C97724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w:t>
            </w:r>
            <w:r>
              <w:rPr>
                <w:rFonts w:hint="default" w:ascii="Times New Roman" w:hAnsi="Times New Roman" w:eastAsia="宋体" w:cs="Times New Roman"/>
                <w:color w:val="auto"/>
                <w:kern w:val="2"/>
                <w:sz w:val="24"/>
                <w:szCs w:val="24"/>
                <w:highlight w:val="none"/>
                <w:lang w:val="en-US" w:eastAsia="zh-CN"/>
              </w:rPr>
              <w:t>防渗分区</w:t>
            </w:r>
          </w:p>
          <w:p w14:paraId="5F6B018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根据装置、单元的特点和所处的区域及部位，本项目厂区划分为一般污染防治区、重点污染防治区、简单防渗区。</w:t>
            </w:r>
          </w:p>
          <w:p w14:paraId="2AE5A161">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重点污染防治区：危废暂存间。</w:t>
            </w:r>
          </w:p>
          <w:p w14:paraId="6C6E845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一般污染防治区：</w:t>
            </w:r>
            <w:r>
              <w:rPr>
                <w:rFonts w:hint="eastAsia" w:cs="Times New Roman"/>
                <w:color w:val="auto"/>
                <w:kern w:val="2"/>
                <w:sz w:val="24"/>
                <w:szCs w:val="24"/>
                <w:highlight w:val="none"/>
                <w:lang w:val="en-US" w:eastAsia="zh-CN"/>
              </w:rPr>
              <w:t>固废暂存间、</w:t>
            </w:r>
            <w:r>
              <w:rPr>
                <w:rFonts w:hint="default" w:ascii="Times New Roman" w:hAnsi="Times New Roman" w:eastAsia="宋体" w:cs="Times New Roman"/>
                <w:color w:val="auto"/>
                <w:kern w:val="2"/>
                <w:sz w:val="24"/>
                <w:szCs w:val="24"/>
                <w:highlight w:val="none"/>
                <w:lang w:val="en-US" w:eastAsia="zh-CN"/>
              </w:rPr>
              <w:t>生产</w:t>
            </w:r>
            <w:r>
              <w:rPr>
                <w:rFonts w:hint="default" w:ascii="Times New Roman" w:hAnsi="Times New Roman" w:cs="Times New Roman"/>
                <w:color w:val="auto"/>
                <w:kern w:val="2"/>
                <w:sz w:val="24"/>
                <w:szCs w:val="24"/>
                <w:highlight w:val="none"/>
                <w:lang w:val="en-US" w:eastAsia="zh-CN"/>
              </w:rPr>
              <w:t>车间</w:t>
            </w:r>
            <w:r>
              <w:rPr>
                <w:rFonts w:hint="default" w:ascii="Times New Roman" w:hAnsi="Times New Roman" w:eastAsia="宋体" w:cs="Times New Roman"/>
                <w:color w:val="auto"/>
                <w:kern w:val="2"/>
                <w:sz w:val="24"/>
                <w:szCs w:val="24"/>
                <w:highlight w:val="none"/>
                <w:lang w:val="en-US" w:eastAsia="zh-CN"/>
              </w:rPr>
              <w:t>。</w:t>
            </w:r>
          </w:p>
          <w:p w14:paraId="01DCD449">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简单污染防治区：生活区、进出场道路。</w:t>
            </w:r>
          </w:p>
          <w:p w14:paraId="554F153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lang w:val="en-US" w:eastAsia="zh-CN"/>
              </w:rPr>
              <w:t>分区防渗处理</w:t>
            </w:r>
          </w:p>
          <w:p w14:paraId="2159D20B">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重点防渗区：本项目危废暂存间，</w:t>
            </w:r>
            <w:r>
              <w:rPr>
                <w:rFonts w:hint="default" w:ascii="Times New Roman" w:hAnsi="Times New Roman" w:cs="Times New Roman"/>
                <w:color w:val="auto"/>
                <w:kern w:val="2"/>
                <w:sz w:val="24"/>
                <w:szCs w:val="24"/>
                <w:highlight w:val="none"/>
                <w:lang w:val="en-US" w:eastAsia="zh-CN"/>
              </w:rPr>
              <w:t>防渗方案</w:t>
            </w:r>
            <w:r>
              <w:rPr>
                <w:rFonts w:hint="default" w:ascii="Times New Roman" w:hAnsi="Times New Roman" w:eastAsia="宋体" w:cs="Times New Roman"/>
                <w:color w:val="auto"/>
                <w:kern w:val="2"/>
                <w:sz w:val="24"/>
                <w:szCs w:val="24"/>
                <w:highlight w:val="none"/>
                <w:lang w:val="en-US" w:eastAsia="zh-CN"/>
              </w:rPr>
              <w:t>黏土夯实+2mm厚高密度聚乙烯膜（HDPE）+水泥地面</w:t>
            </w:r>
            <w:r>
              <w:rPr>
                <w:rFonts w:hint="default" w:ascii="Times New Roman" w:hAnsi="Times New Roman" w:cs="Times New Roman"/>
                <w:color w:val="auto"/>
                <w:kern w:val="2"/>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rPr>
              <w:t>防渗技术为：等效黏土防渗层Mb≥6.0m，K≤1×10</w:t>
            </w:r>
            <w:r>
              <w:rPr>
                <w:rFonts w:hint="default" w:ascii="Times New Roman" w:hAnsi="Times New Roman" w:eastAsia="宋体" w:cs="Times New Roman"/>
                <w:color w:val="auto"/>
                <w:kern w:val="2"/>
                <w:sz w:val="24"/>
                <w:szCs w:val="24"/>
                <w:highlight w:val="none"/>
                <w:vertAlign w:val="superscript"/>
                <w:lang w:val="en-US" w:eastAsia="zh-CN"/>
              </w:rPr>
              <w:t>-10</w:t>
            </w:r>
            <w:r>
              <w:rPr>
                <w:rFonts w:hint="default" w:ascii="Times New Roman" w:hAnsi="Times New Roman" w:eastAsia="宋体" w:cs="Times New Roman"/>
                <w:color w:val="auto"/>
                <w:kern w:val="2"/>
                <w:sz w:val="24"/>
                <w:szCs w:val="24"/>
                <w:highlight w:val="none"/>
                <w:lang w:val="en-US" w:eastAsia="zh-CN"/>
              </w:rPr>
              <w:t>cm/s。</w:t>
            </w:r>
          </w:p>
          <w:p w14:paraId="49D3854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一般防渗区：</w:t>
            </w:r>
            <w:r>
              <w:rPr>
                <w:rFonts w:hint="eastAsia" w:cs="Times New Roman"/>
                <w:color w:val="auto"/>
                <w:kern w:val="2"/>
                <w:sz w:val="24"/>
                <w:szCs w:val="24"/>
                <w:highlight w:val="none"/>
                <w:lang w:val="en-US" w:eastAsia="zh-CN"/>
              </w:rPr>
              <w:t>本项目固废暂存间，</w:t>
            </w:r>
            <w:r>
              <w:rPr>
                <w:rFonts w:hint="default" w:ascii="Times New Roman" w:hAnsi="Times New Roman" w:eastAsia="宋体" w:cs="Times New Roman"/>
                <w:color w:val="auto"/>
                <w:kern w:val="2"/>
                <w:sz w:val="24"/>
                <w:szCs w:val="24"/>
                <w:highlight w:val="none"/>
                <w:lang w:val="en-US" w:eastAsia="zh-CN"/>
              </w:rPr>
              <w:t>采用厚度Mb=1.5m，渗透系数K≤10</w:t>
            </w:r>
            <w:r>
              <w:rPr>
                <w:rFonts w:hint="default" w:ascii="Times New Roman" w:hAnsi="Times New Roman" w:eastAsia="宋体" w:cs="Times New Roman"/>
                <w:color w:val="auto"/>
                <w:kern w:val="2"/>
                <w:sz w:val="24"/>
                <w:szCs w:val="24"/>
                <w:highlight w:val="none"/>
                <w:vertAlign w:val="superscript"/>
                <w:lang w:val="en-US" w:eastAsia="zh-CN"/>
              </w:rPr>
              <w:t>-7</w:t>
            </w:r>
            <w:r>
              <w:rPr>
                <w:rFonts w:hint="default" w:ascii="Times New Roman" w:hAnsi="Times New Roman" w:eastAsia="宋体" w:cs="Times New Roman"/>
                <w:color w:val="auto"/>
                <w:kern w:val="2"/>
                <w:sz w:val="24"/>
                <w:szCs w:val="24"/>
                <w:highlight w:val="none"/>
                <w:lang w:val="en-US" w:eastAsia="zh-CN"/>
              </w:rPr>
              <w:t>cm/s防渗等效的20cm厚P4等级混凝土进行防渗。地面涂1mm厚环氧树脂进行防腐。要求防渗技术要求为：等效黏土防渗层Mb≥1.5m，K≤1×10</w:t>
            </w:r>
            <w:r>
              <w:rPr>
                <w:rFonts w:hint="default" w:ascii="Times New Roman" w:hAnsi="Times New Roman" w:eastAsia="宋体" w:cs="Times New Roman"/>
                <w:color w:val="auto"/>
                <w:kern w:val="2"/>
                <w:sz w:val="24"/>
                <w:szCs w:val="24"/>
                <w:highlight w:val="none"/>
                <w:vertAlign w:val="superscript"/>
                <w:lang w:val="en-US" w:eastAsia="zh-CN"/>
              </w:rPr>
              <w:t>-7</w:t>
            </w:r>
            <w:r>
              <w:rPr>
                <w:rFonts w:hint="default" w:ascii="Times New Roman" w:hAnsi="Times New Roman" w:eastAsia="宋体" w:cs="Times New Roman"/>
                <w:color w:val="auto"/>
                <w:kern w:val="2"/>
                <w:sz w:val="24"/>
                <w:szCs w:val="24"/>
                <w:highlight w:val="none"/>
                <w:lang w:val="en-US" w:eastAsia="zh-CN"/>
              </w:rPr>
              <w:t>cm/s；或参照GB16889执行</w:t>
            </w:r>
            <w:r>
              <w:rPr>
                <w:rFonts w:hint="default" w:ascii="Times New Roman" w:hAnsi="Times New Roman" w:cs="Times New Roman"/>
                <w:color w:val="auto"/>
                <w:kern w:val="2"/>
                <w:sz w:val="24"/>
                <w:szCs w:val="24"/>
                <w:highlight w:val="none"/>
                <w:lang w:val="en-US" w:eastAsia="zh-CN"/>
              </w:rPr>
              <w:t>。</w:t>
            </w:r>
          </w:p>
          <w:p w14:paraId="7BEA9294">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简单污染防治区：</w:t>
            </w:r>
            <w:r>
              <w:rPr>
                <w:rFonts w:hint="default" w:ascii="Times New Roman" w:hAnsi="Times New Roman" w:cs="Times New Roman"/>
                <w:color w:val="auto"/>
                <w:kern w:val="2"/>
                <w:sz w:val="24"/>
                <w:szCs w:val="24"/>
                <w:highlight w:val="none"/>
                <w:lang w:val="en-US" w:eastAsia="zh-CN"/>
              </w:rPr>
              <w:t>硬化地面即可，生活区以及进出场道路已</w:t>
            </w:r>
            <w:r>
              <w:rPr>
                <w:rFonts w:hint="eastAsia" w:ascii="Times New Roman" w:hAnsi="Times New Roman" w:cs="Times New Roman"/>
                <w:color w:val="auto"/>
                <w:kern w:val="2"/>
                <w:sz w:val="24"/>
                <w:szCs w:val="24"/>
                <w:highlight w:val="none"/>
                <w:lang w:val="en-US" w:eastAsia="zh-CN"/>
              </w:rPr>
              <w:t>依托现有厂区</w:t>
            </w:r>
            <w:r>
              <w:rPr>
                <w:rFonts w:hint="default" w:ascii="Times New Roman" w:hAnsi="Times New Roman" w:cs="Times New Roman"/>
                <w:color w:val="auto"/>
                <w:kern w:val="2"/>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rPr>
              <w:t>分区防渗</w:t>
            </w:r>
            <w:r>
              <w:rPr>
                <w:rFonts w:hint="eastAsia" w:cs="Times New Roman"/>
                <w:color w:val="auto"/>
                <w:kern w:val="2"/>
                <w:sz w:val="24"/>
                <w:szCs w:val="24"/>
                <w:highlight w:val="none"/>
                <w:lang w:val="en-US" w:eastAsia="zh-CN"/>
              </w:rPr>
              <w:t>措施</w:t>
            </w:r>
            <w:r>
              <w:rPr>
                <w:rFonts w:hint="default" w:ascii="Times New Roman" w:hAnsi="Times New Roman" w:eastAsia="宋体" w:cs="Times New Roman"/>
                <w:color w:val="auto"/>
                <w:kern w:val="2"/>
                <w:sz w:val="24"/>
                <w:szCs w:val="24"/>
                <w:highlight w:val="none"/>
                <w:lang w:val="en-US" w:eastAsia="zh-CN"/>
              </w:rPr>
              <w:t>见</w:t>
            </w:r>
            <w:r>
              <w:rPr>
                <w:rFonts w:hint="eastAsia" w:cs="Times New Roman"/>
                <w:color w:val="auto"/>
                <w:kern w:val="2"/>
                <w:sz w:val="24"/>
                <w:szCs w:val="24"/>
                <w:highlight w:val="none"/>
                <w:lang w:val="en-US" w:eastAsia="zh-CN"/>
              </w:rPr>
              <w:t>表</w:t>
            </w:r>
            <w:r>
              <w:rPr>
                <w:rFonts w:hint="default" w:ascii="Times New Roman" w:hAnsi="Times New Roman" w:eastAsia="宋体" w:cs="Times New Roman"/>
                <w:color w:val="auto"/>
                <w:kern w:val="2"/>
                <w:sz w:val="24"/>
                <w:szCs w:val="24"/>
                <w:highlight w:val="none"/>
                <w:lang w:val="en-US" w:eastAsia="zh-CN"/>
              </w:rPr>
              <w:t>4</w:t>
            </w:r>
            <w:r>
              <w:rPr>
                <w:rFonts w:hint="eastAsia" w:ascii="Times New Roman" w:hAnsi="Times New Roman" w:cs="Times New Roman"/>
                <w:color w:val="auto"/>
                <w:kern w:val="2"/>
                <w:sz w:val="24"/>
                <w:szCs w:val="24"/>
                <w:highlight w:val="none"/>
                <w:lang w:val="en-US" w:eastAsia="zh-CN"/>
              </w:rPr>
              <w:t>-13</w:t>
            </w:r>
            <w:r>
              <w:rPr>
                <w:rFonts w:hint="default" w:ascii="Times New Roman" w:hAnsi="Times New Roman" w:eastAsia="宋体" w:cs="Times New Roman"/>
                <w:color w:val="auto"/>
                <w:kern w:val="2"/>
                <w:sz w:val="24"/>
                <w:szCs w:val="24"/>
                <w:highlight w:val="none"/>
                <w:lang w:val="en-US" w:eastAsia="zh-CN"/>
              </w:rPr>
              <w:t>。</w:t>
            </w:r>
          </w:p>
          <w:p w14:paraId="43B56F1A">
            <w:pPr>
              <w:spacing w:line="240" w:lineRule="auto"/>
              <w:jc w:val="center"/>
              <w:rPr>
                <w:rFonts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表</w:t>
            </w:r>
            <w:r>
              <w:rPr>
                <w:rFonts w:hint="eastAsia" w:ascii="Times New Roman" w:hAnsi="Times New Roman" w:eastAsia="宋体" w:cs="Times New Roman"/>
                <w:b/>
                <w:bCs/>
                <w:color w:val="auto"/>
                <w:kern w:val="2"/>
                <w:sz w:val="21"/>
                <w:szCs w:val="21"/>
                <w:highlight w:val="none"/>
                <w:lang w:val="en-US" w:eastAsia="zh-CN"/>
              </w:rPr>
              <w:t>4</w:t>
            </w:r>
            <w:r>
              <w:rPr>
                <w:rFonts w:hint="eastAsia" w:cs="Times New Roman"/>
                <w:b/>
                <w:bCs/>
                <w:color w:val="auto"/>
                <w:kern w:val="2"/>
                <w:sz w:val="21"/>
                <w:szCs w:val="21"/>
                <w:highlight w:val="none"/>
                <w:lang w:val="en-US" w:eastAsia="zh-CN"/>
              </w:rPr>
              <w:t xml:space="preserve">-13    </w:t>
            </w:r>
            <w:r>
              <w:rPr>
                <w:rFonts w:hint="eastAsia" w:ascii="Times New Roman" w:hAnsi="Times New Roman" w:eastAsia="宋体" w:cs="Times New Roman"/>
                <w:b/>
                <w:bCs/>
                <w:color w:val="auto"/>
                <w:kern w:val="2"/>
                <w:sz w:val="21"/>
                <w:szCs w:val="21"/>
                <w:highlight w:val="none"/>
              </w:rPr>
              <w:t>各污染区防渗措施</w:t>
            </w:r>
          </w:p>
          <w:tbl>
            <w:tblPr>
              <w:tblStyle w:val="22"/>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164"/>
              <w:gridCol w:w="1178"/>
              <w:gridCol w:w="1780"/>
              <w:gridCol w:w="1151"/>
              <w:gridCol w:w="1893"/>
            </w:tblGrid>
            <w:tr w14:paraId="4070E8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bottom w:val="single" w:color="auto" w:sz="12" w:space="0"/>
                  </w:tcBorders>
                  <w:vAlign w:val="center"/>
                </w:tcPr>
                <w:p w14:paraId="4B7AE3A0">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场区内建筑物</w:t>
                  </w:r>
                </w:p>
              </w:tc>
              <w:tc>
                <w:tcPr>
                  <w:tcW w:w="712" w:type="pct"/>
                  <w:tcBorders>
                    <w:bottom w:val="single" w:color="auto" w:sz="12" w:space="0"/>
                  </w:tcBorders>
                  <w:vAlign w:val="center"/>
                </w:tcPr>
                <w:p w14:paraId="0E5EE620">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包气带防污性能</w:t>
                  </w:r>
                </w:p>
              </w:tc>
              <w:tc>
                <w:tcPr>
                  <w:tcW w:w="721" w:type="pct"/>
                  <w:tcBorders>
                    <w:bottom w:val="single" w:color="auto" w:sz="12" w:space="0"/>
                  </w:tcBorders>
                  <w:vAlign w:val="center"/>
                </w:tcPr>
                <w:p w14:paraId="0550C60F">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污染控制难易程度</w:t>
                  </w:r>
                </w:p>
              </w:tc>
              <w:tc>
                <w:tcPr>
                  <w:tcW w:w="1089" w:type="pct"/>
                  <w:tcBorders>
                    <w:bottom w:val="single" w:color="auto" w:sz="12" w:space="0"/>
                  </w:tcBorders>
                  <w:vAlign w:val="center"/>
                </w:tcPr>
                <w:p w14:paraId="79E854B9">
                  <w:pPr>
                    <w:spacing w:line="240" w:lineRule="auto"/>
                    <w:jc w:val="center"/>
                    <w:rPr>
                      <w:rFonts w:ascii="Times New Roman" w:hAnsi="Times New Roman" w:eastAsia="宋体" w:cs="Times New Roman"/>
                      <w:b/>
                      <w:bCs/>
                      <w:color w:val="auto"/>
                      <w:sz w:val="21"/>
                      <w:szCs w:val="21"/>
                      <w:highlight w:val="none"/>
                      <w:lang w:val="zh-TW" w:eastAsia="zh-TW"/>
                    </w:rPr>
                  </w:pPr>
                  <w:r>
                    <w:rPr>
                      <w:rFonts w:hint="eastAsia" w:ascii="Times New Roman" w:hAnsi="Times New Roman" w:eastAsia="宋体" w:cs="Times New Roman"/>
                      <w:b/>
                      <w:bCs/>
                      <w:color w:val="auto"/>
                      <w:sz w:val="21"/>
                      <w:szCs w:val="21"/>
                      <w:highlight w:val="none"/>
                      <w:lang w:val="zh-TW" w:eastAsia="zh-TW"/>
                    </w:rPr>
                    <w:t>污染物类型</w:t>
                  </w:r>
                </w:p>
              </w:tc>
              <w:tc>
                <w:tcPr>
                  <w:tcW w:w="704" w:type="pct"/>
                  <w:tcBorders>
                    <w:bottom w:val="single" w:color="auto" w:sz="12" w:space="0"/>
                  </w:tcBorders>
                  <w:vAlign w:val="center"/>
                </w:tcPr>
                <w:p w14:paraId="5CA148EC">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防渗分区</w:t>
                  </w:r>
                </w:p>
              </w:tc>
              <w:tc>
                <w:tcPr>
                  <w:tcW w:w="1158" w:type="pct"/>
                  <w:tcBorders>
                    <w:bottom w:val="single" w:color="auto" w:sz="12" w:space="0"/>
                  </w:tcBorders>
                  <w:vAlign w:val="center"/>
                </w:tcPr>
                <w:p w14:paraId="7865096D">
                  <w:pPr>
                    <w:widowControl/>
                    <w:spacing w:line="240" w:lineRule="auto"/>
                    <w:jc w:val="center"/>
                    <w:rPr>
                      <w:rFonts w:asciiTheme="minorHAnsi" w:hAnsiTheme="minorHAnsi" w:eastAsiaTheme="minorEastAsia" w:cstheme="minorBidi"/>
                      <w:b/>
                      <w:bCs/>
                      <w:color w:val="auto"/>
                      <w:sz w:val="21"/>
                      <w:szCs w:val="21"/>
                      <w:highlight w:val="none"/>
                    </w:rPr>
                  </w:pPr>
                  <w:r>
                    <w:rPr>
                      <w:rFonts w:hint="eastAsia" w:ascii="宋体" w:hAnsi="宋体" w:eastAsia="宋体" w:cs="宋体"/>
                      <w:b/>
                      <w:bCs/>
                      <w:color w:val="auto"/>
                      <w:sz w:val="21"/>
                      <w:szCs w:val="21"/>
                      <w:highlight w:val="none"/>
                      <w:lang w:bidi="ar"/>
                    </w:rPr>
                    <w:t>防渗处理措施</w:t>
                  </w:r>
                </w:p>
              </w:tc>
            </w:tr>
            <w:tr w14:paraId="7F092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op w:val="single" w:color="auto" w:sz="12" w:space="0"/>
                    <w:tl2br w:val="nil"/>
                    <w:tr2bl w:val="nil"/>
                  </w:tcBorders>
                  <w:vAlign w:val="center"/>
                </w:tcPr>
                <w:p w14:paraId="1A7A93B5">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危废暂存间</w:t>
                  </w:r>
                </w:p>
              </w:tc>
              <w:tc>
                <w:tcPr>
                  <w:tcW w:w="712" w:type="pct"/>
                  <w:tcBorders>
                    <w:top w:val="single" w:color="auto" w:sz="12" w:space="0"/>
                    <w:tl2br w:val="nil"/>
                    <w:tr2bl w:val="nil"/>
                  </w:tcBorders>
                  <w:vAlign w:val="center"/>
                </w:tcPr>
                <w:p w14:paraId="231FAC7D">
                  <w:pPr>
                    <w:spacing w:line="240" w:lineRule="auto"/>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op w:val="single" w:color="auto" w:sz="12" w:space="0"/>
                    <w:tl2br w:val="nil"/>
                    <w:tr2bl w:val="nil"/>
                  </w:tcBorders>
                  <w:vAlign w:val="center"/>
                </w:tcPr>
                <w:p w14:paraId="403EBFE6">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难</w:t>
                  </w:r>
                </w:p>
              </w:tc>
              <w:tc>
                <w:tcPr>
                  <w:tcW w:w="1089" w:type="pct"/>
                  <w:tcBorders>
                    <w:top w:val="single" w:color="auto" w:sz="12" w:space="0"/>
                    <w:tl2br w:val="nil"/>
                    <w:tr2bl w:val="nil"/>
                  </w:tcBorders>
                  <w:vAlign w:val="center"/>
                </w:tcPr>
                <w:p w14:paraId="37B969FA">
                  <w:pPr>
                    <w:spacing w:line="240" w:lineRule="auto"/>
                    <w:jc w:val="center"/>
                    <w:rPr>
                      <w:rFonts w:ascii="Times New Roman" w:hAnsi="Times New Roman" w:eastAsia="宋体" w:cs="Times New Roman"/>
                      <w:b w:val="0"/>
                      <w:bCs w:val="0"/>
                      <w:color w:val="auto"/>
                      <w:sz w:val="21"/>
                      <w:szCs w:val="21"/>
                      <w:highlight w:val="none"/>
                      <w:lang w:val="zh-TW" w:eastAsia="zh-TW"/>
                    </w:rPr>
                  </w:pPr>
                  <w:r>
                    <w:rPr>
                      <w:rFonts w:hint="eastAsia" w:cs="Times New Roman"/>
                      <w:b w:val="0"/>
                      <w:bCs w:val="0"/>
                      <w:color w:val="auto"/>
                      <w:sz w:val="21"/>
                      <w:szCs w:val="21"/>
                      <w:highlight w:val="none"/>
                      <w:lang w:val="en-US" w:eastAsia="zh-CN"/>
                    </w:rPr>
                    <w:t>非</w:t>
                  </w:r>
                  <w:r>
                    <w:rPr>
                      <w:rFonts w:hint="eastAsia" w:ascii="Times New Roman" w:hAnsi="Times New Roman" w:eastAsia="宋体" w:cs="Times New Roman"/>
                      <w:b w:val="0"/>
                      <w:bCs w:val="0"/>
                      <w:color w:val="auto"/>
                      <w:sz w:val="21"/>
                      <w:szCs w:val="21"/>
                      <w:highlight w:val="none"/>
                      <w:lang w:val="zh-TW" w:eastAsia="zh-TW"/>
                    </w:rPr>
                    <w:t>重金属、持久性有机物污染物</w:t>
                  </w:r>
                  <w:r>
                    <w:rPr>
                      <w:rFonts w:hint="eastAsia"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TW" w:eastAsia="zh-TW"/>
                    </w:rPr>
                    <w:t>其他类型</w:t>
                  </w:r>
                </w:p>
              </w:tc>
              <w:tc>
                <w:tcPr>
                  <w:tcW w:w="704" w:type="pct"/>
                  <w:tcBorders>
                    <w:top w:val="single" w:color="auto" w:sz="12" w:space="0"/>
                    <w:tl2br w:val="nil"/>
                    <w:tr2bl w:val="nil"/>
                  </w:tcBorders>
                  <w:vAlign w:val="center"/>
                </w:tcPr>
                <w:p w14:paraId="6DDF36D7">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重点防渗</w:t>
                  </w:r>
                </w:p>
              </w:tc>
              <w:tc>
                <w:tcPr>
                  <w:tcW w:w="1158" w:type="pct"/>
                  <w:tcBorders>
                    <w:top w:val="single" w:color="auto" w:sz="12" w:space="0"/>
                    <w:tl2br w:val="nil"/>
                    <w:tr2bl w:val="nil"/>
                  </w:tcBorders>
                  <w:vAlign w:val="center"/>
                </w:tcPr>
                <w:p w14:paraId="4D32FACE">
                  <w:pPr>
                    <w:spacing w:line="24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等效黏土防渗层Mb≥6.0m，K≤1.0×10-</w:t>
                  </w:r>
                  <w:r>
                    <w:rPr>
                      <w:rFonts w:ascii="Times New Roman" w:hAnsi="Times New Roman" w:eastAsia="宋体" w:cs="Times New Roman"/>
                      <w:b w:val="0"/>
                      <w:bCs w:val="0"/>
                      <w:color w:val="auto"/>
                      <w:sz w:val="21"/>
                      <w:szCs w:val="21"/>
                      <w:highlight w:val="none"/>
                      <w:vertAlign w:val="superscript"/>
                    </w:rPr>
                    <w:t>7</w:t>
                  </w:r>
                  <w:r>
                    <w:rPr>
                      <w:rFonts w:ascii="Times New Roman" w:hAnsi="Times New Roman" w:eastAsia="宋体" w:cs="Times New Roman"/>
                      <w:b w:val="0"/>
                      <w:bCs w:val="0"/>
                      <w:color w:val="auto"/>
                      <w:sz w:val="21"/>
                      <w:szCs w:val="21"/>
                      <w:highlight w:val="none"/>
                    </w:rPr>
                    <w:t>cm/s</w:t>
                  </w:r>
                </w:p>
              </w:tc>
            </w:tr>
            <w:tr w14:paraId="294EB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l2br w:val="nil"/>
                    <w:tr2bl w:val="nil"/>
                  </w:tcBorders>
                  <w:vAlign w:val="center"/>
                </w:tcPr>
                <w:p w14:paraId="783A0AE0">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ascii="Times New Roman" w:hAnsi="Times New Roman" w:eastAsia="宋体" w:cs="Times New Roman"/>
                      <w:b w:val="0"/>
                      <w:bCs w:val="0"/>
                      <w:color w:val="auto"/>
                      <w:sz w:val="21"/>
                      <w:szCs w:val="21"/>
                      <w:highlight w:val="none"/>
                    </w:rPr>
                    <w:t>生产区</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固废暂存间</w:t>
                  </w:r>
                </w:p>
              </w:tc>
              <w:tc>
                <w:tcPr>
                  <w:tcW w:w="712" w:type="pct"/>
                  <w:tcBorders>
                    <w:tl2br w:val="nil"/>
                    <w:tr2bl w:val="nil"/>
                  </w:tcBorders>
                  <w:vAlign w:val="center"/>
                </w:tcPr>
                <w:p w14:paraId="7E140F94">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l2br w:val="nil"/>
                    <w:tr2bl w:val="nil"/>
                  </w:tcBorders>
                  <w:vAlign w:val="center"/>
                </w:tcPr>
                <w:p w14:paraId="49BE7158">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易</w:t>
                  </w:r>
                  <w:r>
                    <w:rPr>
                      <w:rFonts w:hint="eastAsia"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zh-TW" w:eastAsia="zh-TW"/>
                    </w:rPr>
                    <w:t>难</w:t>
                  </w:r>
                </w:p>
              </w:tc>
              <w:tc>
                <w:tcPr>
                  <w:tcW w:w="1089" w:type="pct"/>
                  <w:tcBorders>
                    <w:tl2br w:val="nil"/>
                    <w:tr2bl w:val="nil"/>
                  </w:tcBorders>
                  <w:vAlign w:val="center"/>
                </w:tcPr>
                <w:p w14:paraId="7AC0FB30">
                  <w:pPr>
                    <w:spacing w:line="240" w:lineRule="auto"/>
                    <w:jc w:val="center"/>
                    <w:rPr>
                      <w:rFonts w:ascii="Times New Roman" w:hAnsi="Times New Roman" w:eastAsia="宋体" w:cs="Times New Roman"/>
                      <w:b w:val="0"/>
                      <w:bCs w:val="0"/>
                      <w:color w:val="auto"/>
                      <w:sz w:val="21"/>
                      <w:szCs w:val="21"/>
                      <w:highlight w:val="none"/>
                      <w:lang w:val="zh-TW" w:eastAsia="zh-TW"/>
                    </w:rPr>
                  </w:pPr>
                  <w:r>
                    <w:rPr>
                      <w:rFonts w:hint="eastAsia" w:cs="Times New Roman"/>
                      <w:b w:val="0"/>
                      <w:bCs w:val="0"/>
                      <w:color w:val="auto"/>
                      <w:sz w:val="21"/>
                      <w:szCs w:val="21"/>
                      <w:highlight w:val="none"/>
                      <w:lang w:val="en-US" w:eastAsia="zh-CN"/>
                    </w:rPr>
                    <w:t>非</w:t>
                  </w:r>
                  <w:r>
                    <w:rPr>
                      <w:rFonts w:hint="eastAsia" w:ascii="Times New Roman" w:hAnsi="Times New Roman" w:eastAsia="宋体" w:cs="Times New Roman"/>
                      <w:b w:val="0"/>
                      <w:bCs w:val="0"/>
                      <w:color w:val="auto"/>
                      <w:sz w:val="21"/>
                      <w:szCs w:val="21"/>
                      <w:highlight w:val="none"/>
                      <w:lang w:val="zh-TW" w:eastAsia="zh-TW"/>
                    </w:rPr>
                    <w:t>重金属、持久性有机物</w:t>
                  </w:r>
                </w:p>
              </w:tc>
              <w:tc>
                <w:tcPr>
                  <w:tcW w:w="704" w:type="pct"/>
                  <w:tcBorders>
                    <w:tl2br w:val="nil"/>
                    <w:tr2bl w:val="nil"/>
                  </w:tcBorders>
                  <w:vAlign w:val="center"/>
                </w:tcPr>
                <w:p w14:paraId="7A178BCE">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一般防渗</w:t>
                  </w:r>
                </w:p>
              </w:tc>
              <w:tc>
                <w:tcPr>
                  <w:tcW w:w="1158" w:type="pct"/>
                  <w:tcBorders>
                    <w:tl2br w:val="nil"/>
                    <w:tr2bl w:val="nil"/>
                  </w:tcBorders>
                  <w:vAlign w:val="center"/>
                </w:tcPr>
                <w:p w14:paraId="3A7DA4F5">
                  <w:pPr>
                    <w:spacing w:line="24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等效黏土防渗层Mb≥1.5m，K≤1.0×10</w:t>
                  </w:r>
                  <w:r>
                    <w:rPr>
                      <w:rFonts w:ascii="Times New Roman" w:hAnsi="Times New Roman" w:eastAsia="宋体" w:cs="Times New Roman"/>
                      <w:b w:val="0"/>
                      <w:bCs w:val="0"/>
                      <w:color w:val="auto"/>
                      <w:sz w:val="21"/>
                      <w:szCs w:val="21"/>
                      <w:highlight w:val="none"/>
                      <w:vertAlign w:val="superscript"/>
                    </w:rPr>
                    <w:t>-7</w:t>
                  </w:r>
                  <w:r>
                    <w:rPr>
                      <w:rFonts w:ascii="Times New Roman" w:hAnsi="Times New Roman" w:eastAsia="宋体" w:cs="Times New Roman"/>
                      <w:b w:val="0"/>
                      <w:bCs w:val="0"/>
                      <w:color w:val="auto"/>
                      <w:sz w:val="21"/>
                      <w:szCs w:val="21"/>
                      <w:highlight w:val="none"/>
                    </w:rPr>
                    <w:t>cm/s</w:t>
                  </w:r>
                </w:p>
              </w:tc>
            </w:tr>
            <w:tr w14:paraId="3613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l2br w:val="nil"/>
                    <w:tr2bl w:val="nil"/>
                  </w:tcBorders>
                  <w:vAlign w:val="center"/>
                </w:tcPr>
                <w:p w14:paraId="53B11A70">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办公生活区</w:t>
                  </w:r>
                </w:p>
              </w:tc>
              <w:tc>
                <w:tcPr>
                  <w:tcW w:w="712" w:type="pct"/>
                  <w:tcBorders>
                    <w:tl2br w:val="nil"/>
                    <w:tr2bl w:val="nil"/>
                  </w:tcBorders>
                  <w:vAlign w:val="center"/>
                </w:tcPr>
                <w:p w14:paraId="4CC2C94C">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l2br w:val="nil"/>
                    <w:tr2bl w:val="nil"/>
                  </w:tcBorders>
                  <w:vAlign w:val="center"/>
                </w:tcPr>
                <w:p w14:paraId="60027F9F">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易</w:t>
                  </w:r>
                </w:p>
              </w:tc>
              <w:tc>
                <w:tcPr>
                  <w:tcW w:w="1089" w:type="pct"/>
                  <w:tcBorders>
                    <w:tl2br w:val="nil"/>
                    <w:tr2bl w:val="nil"/>
                  </w:tcBorders>
                  <w:vAlign w:val="center"/>
                </w:tcPr>
                <w:p w14:paraId="04FDF897">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污染物</w:t>
                  </w:r>
                  <w:r>
                    <w:rPr>
                      <w:rFonts w:hint="eastAsia"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TW" w:eastAsia="zh-TW"/>
                    </w:rPr>
                    <w:t>其他类型</w:t>
                  </w:r>
                </w:p>
              </w:tc>
              <w:tc>
                <w:tcPr>
                  <w:tcW w:w="704" w:type="pct"/>
                  <w:tcBorders>
                    <w:tl2br w:val="nil"/>
                    <w:tr2bl w:val="nil"/>
                  </w:tcBorders>
                  <w:vAlign w:val="center"/>
                </w:tcPr>
                <w:p w14:paraId="6E917D93">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简单防渗</w:t>
                  </w:r>
                </w:p>
              </w:tc>
              <w:tc>
                <w:tcPr>
                  <w:tcW w:w="1158" w:type="pct"/>
                  <w:tcBorders>
                    <w:tl2br w:val="nil"/>
                    <w:tr2bl w:val="nil"/>
                  </w:tcBorders>
                  <w:vAlign w:val="center"/>
                </w:tcPr>
                <w:p w14:paraId="1D8931F3">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一般地面硬化</w:t>
                  </w:r>
                </w:p>
              </w:tc>
            </w:tr>
          </w:tbl>
          <w:p w14:paraId="2940A0D4">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cs="Times New Roman"/>
                <w:b w:val="0"/>
                <w:bCs w:val="0"/>
                <w:color w:val="auto"/>
                <w:kern w:val="2"/>
                <w:sz w:val="24"/>
                <w:szCs w:val="20"/>
                <w:highlight w:val="none"/>
                <w:lang w:val="en-US" w:eastAsia="zh-CN"/>
              </w:rPr>
              <w:t>（3）</w:t>
            </w:r>
            <w:r>
              <w:rPr>
                <w:rFonts w:hint="eastAsia" w:ascii="Times New Roman" w:hAnsi="Times New Roman" w:eastAsia="宋体" w:cs="Times New Roman"/>
                <w:b w:val="0"/>
                <w:bCs w:val="0"/>
                <w:color w:val="auto"/>
                <w:kern w:val="2"/>
                <w:sz w:val="24"/>
                <w:szCs w:val="20"/>
                <w:highlight w:val="none"/>
                <w:lang w:val="en-US" w:eastAsia="zh-CN"/>
              </w:rPr>
              <w:t>环境影响分析</w:t>
            </w:r>
          </w:p>
          <w:p w14:paraId="5B4BF15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根据项目特点，厂区进行分区并对不同分区采取相应的防渗措施。项目对可能产生地下水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影响的各项途径均进行有效预防，各项防渗措施可以有效地防止对区域地下水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造成污染。综上所述，项目不会对</w:t>
            </w:r>
            <w:r>
              <w:rPr>
                <w:rFonts w:hint="eastAsia" w:ascii="Times New Roman" w:hAnsi="Times New Roman" w:eastAsia="宋体" w:cs="Times New Roman"/>
                <w:color w:val="auto"/>
                <w:kern w:val="2"/>
                <w:sz w:val="24"/>
                <w:szCs w:val="20"/>
                <w:highlight w:val="none"/>
                <w:lang w:val="en-US" w:eastAsia="zh-CN"/>
              </w:rPr>
              <w:t>项目区</w:t>
            </w:r>
            <w:r>
              <w:rPr>
                <w:rFonts w:hint="default" w:ascii="Times New Roman" w:hAnsi="Times New Roman" w:eastAsia="宋体" w:cs="Times New Roman"/>
                <w:color w:val="auto"/>
                <w:kern w:val="2"/>
                <w:sz w:val="24"/>
                <w:szCs w:val="20"/>
                <w:highlight w:val="none"/>
                <w:lang w:val="en-US" w:eastAsia="zh-CN"/>
              </w:rPr>
              <w:t>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环境造成污染影响</w:t>
            </w:r>
            <w:r>
              <w:rPr>
                <w:rFonts w:hint="eastAsia" w:ascii="Times New Roman" w:hAnsi="Times New Roman" w:eastAsia="宋体" w:cs="Times New Roman"/>
                <w:color w:val="auto"/>
                <w:kern w:val="2"/>
                <w:sz w:val="24"/>
                <w:szCs w:val="20"/>
                <w:highlight w:val="none"/>
                <w:lang w:val="en-US" w:eastAsia="zh-CN"/>
              </w:rPr>
              <w:t>。</w:t>
            </w:r>
          </w:p>
          <w:p w14:paraId="630BA30C">
            <w:pPr>
              <w:pStyle w:val="8"/>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6</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环境风险分析</w:t>
            </w:r>
          </w:p>
          <w:p w14:paraId="7D27B832">
            <w:pPr>
              <w:pStyle w:val="11"/>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险评价技术导则》（HJ169-2018）和国家环境保护总局《关于防范环境风险加强环境影响评价管理的通知》，项目实施后环境风险评价的基本内容包括风险调查、环境风险潜势初判、风险识别、风险事故情形分析、风险预测与评价、环境风险管理等。</w:t>
            </w:r>
          </w:p>
          <w:p w14:paraId="5FC39BAE">
            <w:pPr>
              <w:pStyle w:val="8"/>
              <w:pageBreakBefore w:val="0"/>
              <w:numPr>
                <w:ilvl w:val="0"/>
                <w:numId w:val="0"/>
              </w:numPr>
              <w:tabs>
                <w:tab w:val="left" w:pos="1892"/>
              </w:tabs>
              <w:kinsoku/>
              <w:wordWrap/>
              <w:overflowPunct/>
              <w:topLinePunct w:val="0"/>
              <w:autoSpaceDE/>
              <w:autoSpaceDN/>
              <w:bidi w:val="0"/>
              <w:spacing w:beforeLines="0" w:afterLines="0"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6.1</w:t>
            </w:r>
            <w:r>
              <w:rPr>
                <w:rFonts w:hint="default" w:ascii="Times New Roman" w:hAnsi="Times New Roman" w:eastAsia="宋体" w:cs="Times New Roman"/>
                <w:b/>
                <w:bCs/>
                <w:color w:val="auto"/>
                <w:sz w:val="24"/>
                <w:szCs w:val="24"/>
                <w:highlight w:val="none"/>
              </w:rPr>
              <w:t>项目风险调查</w:t>
            </w:r>
          </w:p>
          <w:p w14:paraId="50583B01">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本项目主要原料为水泥、砂子等，根据《建设项目环境风险评价技术导则》(HJ169-2018)，本项目不涉及有毒、有害及危险品等，不涉及危险性生产装置。本项目在建设运营过程中，存在的环境风险源小，不存在重大的环境风险，但还是存在一定潜在的环境风险。</w:t>
            </w:r>
          </w:p>
          <w:p w14:paraId="2A6FCF35">
            <w:pPr>
              <w:pStyle w:val="8"/>
              <w:pageBreakBefore w:val="0"/>
              <w:numPr>
                <w:ilvl w:val="0"/>
                <w:numId w:val="0"/>
              </w:numPr>
              <w:tabs>
                <w:tab w:val="left" w:pos="1952"/>
              </w:tabs>
              <w:kinsoku/>
              <w:wordWrap/>
              <w:overflowPunct/>
              <w:topLinePunct w:val="0"/>
              <w:autoSpaceDE/>
              <w:autoSpaceDN/>
              <w:bidi w:val="0"/>
              <w:spacing w:beforeLines="0" w:afterLines="0"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6.2</w:t>
            </w:r>
            <w:r>
              <w:rPr>
                <w:rFonts w:hint="default" w:ascii="Times New Roman" w:hAnsi="Times New Roman" w:eastAsia="宋体" w:cs="Times New Roman"/>
                <w:b/>
                <w:bCs/>
                <w:color w:val="auto"/>
                <w:sz w:val="24"/>
                <w:szCs w:val="24"/>
                <w:highlight w:val="none"/>
              </w:rPr>
              <w:t>环境风险潜势初判及评价等级确定</w:t>
            </w:r>
          </w:p>
          <w:p w14:paraId="10400A27">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对照《建设项目环境风险评价技术导则》（HJ169-2018），本项目风险潜势为Ⅰ，只需要进行简单分析。评价工作评价级别判别见表4-1</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p>
          <w:p w14:paraId="20BD23E8">
            <w:pPr>
              <w:pageBreakBefore w:val="0"/>
              <w:tabs>
                <w:tab w:val="left" w:pos="4608"/>
              </w:tabs>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表4-1</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风险评价等级判定表</w:t>
            </w:r>
          </w:p>
          <w:tbl>
            <w:tblPr>
              <w:tblStyle w:val="21"/>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87"/>
              <w:gridCol w:w="1701"/>
              <w:gridCol w:w="1603"/>
              <w:gridCol w:w="1436"/>
              <w:gridCol w:w="1642"/>
            </w:tblGrid>
            <w:tr w14:paraId="75F727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94" w:type="pct"/>
                  <w:tcBorders>
                    <w:bottom w:val="single" w:color="000000" w:sz="12" w:space="0"/>
                  </w:tcBorders>
                  <w:vAlign w:val="center"/>
                </w:tcPr>
                <w:p w14:paraId="78E7E30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环境风险潜势</w:t>
                  </w:r>
                </w:p>
              </w:tc>
              <w:tc>
                <w:tcPr>
                  <w:tcW w:w="1041" w:type="pct"/>
                  <w:tcBorders>
                    <w:bottom w:val="single" w:color="000000" w:sz="12" w:space="0"/>
                  </w:tcBorders>
                  <w:vAlign w:val="center"/>
                </w:tcPr>
                <w:p w14:paraId="677962F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VI、VI+</w:t>
                  </w:r>
                </w:p>
              </w:tc>
              <w:tc>
                <w:tcPr>
                  <w:tcW w:w="981" w:type="pct"/>
                  <w:tcBorders>
                    <w:bottom w:val="single" w:color="000000" w:sz="12" w:space="0"/>
                  </w:tcBorders>
                  <w:vAlign w:val="center"/>
                </w:tcPr>
                <w:p w14:paraId="6EA78D3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III</w:t>
                  </w:r>
                </w:p>
              </w:tc>
              <w:tc>
                <w:tcPr>
                  <w:tcW w:w="879" w:type="pct"/>
                  <w:tcBorders>
                    <w:bottom w:val="single" w:color="000000" w:sz="12" w:space="0"/>
                  </w:tcBorders>
                  <w:vAlign w:val="center"/>
                </w:tcPr>
                <w:p w14:paraId="3E08D99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II</w:t>
                  </w:r>
                </w:p>
              </w:tc>
              <w:tc>
                <w:tcPr>
                  <w:tcW w:w="1003" w:type="pct"/>
                  <w:tcBorders>
                    <w:bottom w:val="single" w:color="000000" w:sz="12" w:space="0"/>
                  </w:tcBorders>
                  <w:vAlign w:val="center"/>
                </w:tcPr>
                <w:p w14:paraId="16B0AD0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I</w:t>
                  </w:r>
                </w:p>
              </w:tc>
            </w:tr>
            <w:tr w14:paraId="02C73E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94" w:type="pct"/>
                  <w:tcBorders>
                    <w:top w:val="single" w:color="000000" w:sz="12" w:space="0"/>
                    <w:tl2br w:val="nil"/>
                    <w:tr2bl w:val="nil"/>
                  </w:tcBorders>
                  <w:vAlign w:val="center"/>
                </w:tcPr>
                <w:p w14:paraId="3EE2D98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环境风险评价等级</w:t>
                  </w:r>
                </w:p>
              </w:tc>
              <w:tc>
                <w:tcPr>
                  <w:tcW w:w="1041" w:type="pct"/>
                  <w:tcBorders>
                    <w:top w:val="single" w:color="000000" w:sz="12" w:space="0"/>
                    <w:tl2br w:val="nil"/>
                    <w:tr2bl w:val="nil"/>
                  </w:tcBorders>
                  <w:vAlign w:val="center"/>
                </w:tcPr>
                <w:p w14:paraId="7D73C1A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981" w:type="pct"/>
                  <w:tcBorders>
                    <w:top w:val="single" w:color="000000" w:sz="12" w:space="0"/>
                    <w:tl2br w:val="nil"/>
                    <w:tr2bl w:val="nil"/>
                  </w:tcBorders>
                  <w:vAlign w:val="center"/>
                </w:tcPr>
                <w:p w14:paraId="49E9405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879" w:type="pct"/>
                  <w:tcBorders>
                    <w:top w:val="single" w:color="000000" w:sz="12" w:space="0"/>
                    <w:tl2br w:val="nil"/>
                    <w:tr2bl w:val="nil"/>
                  </w:tcBorders>
                  <w:vAlign w:val="center"/>
                </w:tcPr>
                <w:p w14:paraId="7EC4D9B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w:t>
                  </w:r>
                </w:p>
              </w:tc>
              <w:tc>
                <w:tcPr>
                  <w:tcW w:w="1003" w:type="pct"/>
                  <w:tcBorders>
                    <w:top w:val="single" w:color="000000" w:sz="12" w:space="0"/>
                    <w:tl2br w:val="nil"/>
                    <w:tr2bl w:val="nil"/>
                  </w:tcBorders>
                  <w:vAlign w:val="center"/>
                </w:tcPr>
                <w:p w14:paraId="194F0E0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简单分析a</w:t>
                  </w:r>
                </w:p>
              </w:tc>
            </w:tr>
            <w:tr w14:paraId="13CDF1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00" w:type="pct"/>
                  <w:gridSpan w:val="5"/>
                  <w:tcBorders>
                    <w:tl2br w:val="nil"/>
                    <w:tr2bl w:val="nil"/>
                  </w:tcBorders>
                  <w:vAlign w:val="center"/>
                </w:tcPr>
                <w:p w14:paraId="68C37A5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a是相对于详细评价工作内容而言，在描述危险物质、环境影响途径、环境危害后果、风险防范措施等方面给出定性的说明。见附录A。</w:t>
                  </w:r>
                </w:p>
              </w:tc>
            </w:tr>
          </w:tbl>
          <w:p w14:paraId="43934215">
            <w:pPr>
              <w:pStyle w:val="8"/>
              <w:pageBreakBefore w:val="0"/>
              <w:widowControl w:val="0"/>
              <w:numPr>
                <w:ilvl w:val="0"/>
                <w:numId w:val="0"/>
              </w:numPr>
              <w:tabs>
                <w:tab w:val="left" w:pos="1892"/>
              </w:tabs>
              <w:kinsoku/>
              <w:wordWrap/>
              <w:overflowPunct/>
              <w:topLinePunct w:val="0"/>
              <w:autoSpaceDE/>
              <w:autoSpaceDN/>
              <w:bidi w:val="0"/>
              <w:adjustRightInd/>
              <w:snapToGrid/>
              <w:spacing w:beforeLines="0" w:afterLines="0" w:line="360" w:lineRule="auto"/>
              <w:ind w:leftChars="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6.3</w:t>
            </w:r>
            <w:r>
              <w:rPr>
                <w:rFonts w:hint="default" w:ascii="Times New Roman" w:hAnsi="Times New Roman" w:eastAsia="宋体" w:cs="Times New Roman"/>
                <w:b/>
                <w:bCs/>
                <w:color w:val="auto"/>
                <w:sz w:val="24"/>
                <w:szCs w:val="24"/>
                <w:highlight w:val="none"/>
              </w:rPr>
              <w:t>环境敏感目标调查</w:t>
            </w:r>
          </w:p>
          <w:p w14:paraId="362CBA33">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经现场调查，本项目周边评价范围内无环境敏感目标。</w:t>
            </w:r>
          </w:p>
          <w:p w14:paraId="56E9A970">
            <w:pPr>
              <w:pStyle w:val="8"/>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6.4</w:t>
            </w:r>
            <w:r>
              <w:rPr>
                <w:rFonts w:hint="default" w:ascii="Times New Roman" w:hAnsi="Times New Roman" w:eastAsia="宋体" w:cs="Times New Roman"/>
                <w:b/>
                <w:bCs/>
                <w:color w:val="auto"/>
                <w:sz w:val="24"/>
                <w:szCs w:val="24"/>
                <w:highlight w:val="none"/>
              </w:rPr>
              <w:t>环境风险识别</w:t>
            </w:r>
          </w:p>
          <w:p w14:paraId="34EC9FE0">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物质危险性识别</w:t>
            </w:r>
          </w:p>
          <w:p w14:paraId="53160C39">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本项目主要原料为水泥、砂子等，根据《建设项目环境风险评价技术导则》(HJ169-2018)，均不属于《危险化学品重大危险源辨识》（GB18218-2009）中的风险物质，故本项目不存在重大危险源。</w:t>
            </w:r>
          </w:p>
          <w:p w14:paraId="70C97769">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生产单元潜在危险性识别</w:t>
            </w:r>
          </w:p>
          <w:p w14:paraId="624EECBC">
            <w:pPr>
              <w:pStyle w:val="34"/>
              <w:pageBreakBefore w:val="0"/>
              <w:widowControl w:val="0"/>
              <w:numPr>
                <w:ilvl w:val="0"/>
                <w:numId w:val="0"/>
              </w:numPr>
              <w:tabs>
                <w:tab w:val="left" w:pos="195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贮运设施</w:t>
            </w:r>
          </w:p>
          <w:p w14:paraId="18431A59">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水泥</w:t>
            </w:r>
            <w:r>
              <w:rPr>
                <w:rFonts w:hint="default" w:ascii="Times New Roman" w:hAnsi="Times New Roman" w:eastAsia="宋体" w:cs="Times New Roman"/>
                <w:color w:val="auto"/>
                <w:sz w:val="24"/>
                <w:szCs w:val="24"/>
                <w:highlight w:val="none"/>
              </w:rPr>
              <w:t>存储筒仓不涉及危险物质。</w:t>
            </w:r>
          </w:p>
          <w:p w14:paraId="062A57E0">
            <w:pPr>
              <w:pStyle w:val="34"/>
              <w:pageBreakBefore w:val="0"/>
              <w:widowControl w:val="0"/>
              <w:numPr>
                <w:ilvl w:val="0"/>
                <w:numId w:val="0"/>
              </w:numPr>
              <w:tabs>
                <w:tab w:val="left" w:pos="195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生产设施</w:t>
            </w:r>
          </w:p>
          <w:p w14:paraId="586F851F">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主要工序包括原料上料和搅拌等工序，在生产过程中不涉及危险原料使用，不涉及危险性生产装置。</w:t>
            </w:r>
          </w:p>
          <w:p w14:paraId="1F6E7234">
            <w:pPr>
              <w:pStyle w:val="34"/>
              <w:pageBreakBefore w:val="0"/>
              <w:widowControl w:val="0"/>
              <w:numPr>
                <w:ilvl w:val="0"/>
                <w:numId w:val="0"/>
              </w:numPr>
              <w:tabs>
                <w:tab w:val="left" w:pos="195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环保处置措施失效</w:t>
            </w:r>
          </w:p>
          <w:p w14:paraId="16B8E9CB">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主要环保设备为除尘器，在生产过程产生粉尘的节点进行收集处理或者封闭。在除尘器破损或失效的情况下，会使粉尘呈现无组织形式排放，对周围环境和敏感目标造成大气污染。</w:t>
            </w:r>
          </w:p>
          <w:p w14:paraId="0BAE7245">
            <w:pPr>
              <w:pStyle w:val="8"/>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jc w:val="both"/>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6.5</w:t>
            </w:r>
            <w:r>
              <w:rPr>
                <w:rFonts w:hint="default" w:ascii="Times New Roman" w:hAnsi="Times New Roman" w:eastAsia="宋体" w:cs="Times New Roman"/>
                <w:b/>
                <w:bCs/>
                <w:color w:val="auto"/>
                <w:sz w:val="24"/>
                <w:szCs w:val="24"/>
                <w:highlight w:val="none"/>
              </w:rPr>
              <w:t>风险分析</w:t>
            </w:r>
          </w:p>
          <w:p w14:paraId="55DE3C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（1）大气环境</w:t>
            </w:r>
          </w:p>
          <w:p w14:paraId="75122A1C">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本工程主要</w:t>
            </w:r>
            <w:r>
              <w:rPr>
                <w:rFonts w:hint="eastAsia" w:ascii="Times New Roman" w:hAnsi="Times New Roman" w:cs="Times New Roman"/>
                <w:color w:val="auto"/>
                <w:sz w:val="24"/>
                <w:szCs w:val="24"/>
                <w:highlight w:val="none"/>
                <w:lang w:val="en-US" w:eastAsia="zh-CN"/>
              </w:rPr>
              <w:t>大气</w:t>
            </w:r>
            <w:r>
              <w:rPr>
                <w:rFonts w:hint="default" w:ascii="Times New Roman" w:hAnsi="Times New Roman" w:eastAsia="宋体" w:cs="Times New Roman"/>
                <w:color w:val="auto"/>
                <w:sz w:val="24"/>
                <w:szCs w:val="24"/>
                <w:highlight w:val="none"/>
              </w:rPr>
              <w:t>污染物是粉尘，</w:t>
            </w:r>
            <w:r>
              <w:rPr>
                <w:rFonts w:hint="eastAsia" w:ascii="Times New Roman" w:hAnsi="Times New Roman" w:cs="Times New Roman"/>
                <w:color w:val="auto"/>
                <w:sz w:val="24"/>
                <w:szCs w:val="24"/>
                <w:highlight w:val="none"/>
                <w:lang w:val="en-US" w:eastAsia="zh-CN"/>
              </w:rPr>
              <w:t>筒仓和搅拌机采用</w:t>
            </w:r>
            <w:r>
              <w:rPr>
                <w:rFonts w:hint="default" w:ascii="Times New Roman" w:hAnsi="Times New Roman" w:eastAsia="宋体" w:cs="Times New Roman"/>
                <w:color w:val="auto"/>
                <w:sz w:val="24"/>
                <w:szCs w:val="24"/>
                <w:highlight w:val="none"/>
              </w:rPr>
              <w:t>除尘器除尘，投料、计量粉尘经袋式除尘器处理+15m排气筒排放。除尘设施事故发生的概率受多种因素影响，其发生的概率不容易确定，本次评价重点论述影响事故发生的因素、发生后造成的环境影响及其应采取的措施。影响粉尘排放事故概率的因素有两个：</w:t>
            </w:r>
          </w:p>
          <w:p w14:paraId="2C464C0A">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①设备因素，即除尘设备的不可靠度。不可靠度是设备本身所固有的，它只与设备及其零部件的设计水平、制造能力，检测手段</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安装质量、自身损耗及设计寿命有关，所以设备一经组成，其不可靠程度就已确定，主要包括：由于受场地条件所限及其他多种因素（如本体安装、袋、笼安装）。</w:t>
            </w:r>
          </w:p>
          <w:p w14:paraId="65981040">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人为因素，即企业的安全管理水平。事故的发生都可以认为是人的不安全行为和物的不安全状态造成的，而人的不安全行为和设备不安全状态又是由于管理不善造成的。因此，一切事故都可归结为管理上的原因。主要包括管理上没有制定完善的安全操作规程和监督检查制度，不能及时发现问题或发现的问题不及时解决，使设备带病运转等。</w:t>
            </w:r>
          </w:p>
          <w:p w14:paraId="0E10E4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（2）水环境</w:t>
            </w:r>
          </w:p>
          <w:p w14:paraId="725628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本项目与地表水体不发生水力联系，事故情况下，泄露的物料均泄露于硬化地面，危废暂存间做防渗处理，防渗系数小于1×10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-7</w:t>
            </w:r>
            <w:r>
              <w:rPr>
                <w:rFonts w:hint="default" w:ascii="Times New Roman" w:hAnsi="Times New Roman" w:eastAsia="宋体" w:cs="Times New Roman"/>
                <w:color w:val="auto"/>
                <w:spacing w:val="0"/>
                <w:kern w:val="0"/>
                <w:position w:val="0"/>
                <w:sz w:val="24"/>
                <w:szCs w:val="24"/>
                <w:highlight w:val="none"/>
                <w:lang w:val="en-US" w:eastAsia="zh-CN" w:bidi="ar"/>
              </w:rPr>
              <w:t>cm/s。因此，事故情况下，泄露的物料对周边水环境无影响。</w:t>
            </w:r>
          </w:p>
          <w:p w14:paraId="107011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（3）土壤环境</w:t>
            </w:r>
          </w:p>
          <w:p w14:paraId="1E7436EF">
            <w:pPr>
              <w:pStyle w:val="8"/>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eastAsia" w:cs="Times New Roman"/>
                <w:b w:val="0"/>
                <w:bCs w:val="0"/>
                <w:color w:val="auto"/>
                <w:sz w:val="24"/>
                <w:szCs w:val="24"/>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bidi="ar"/>
              </w:rPr>
              <w:t>营运期内物料若发生泄漏（在不发生爆炸及火灾情况下），泄漏的物料会蔓延至危废暂存间内已经重点防渗的地面上，地面采取渗透系数不小于10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-7</w:t>
            </w:r>
            <w:r>
              <w:rPr>
                <w:rFonts w:hint="default" w:ascii="Times New Roman" w:hAnsi="Times New Roman" w:eastAsia="宋体" w:cs="Times New Roman"/>
                <w:color w:val="auto"/>
                <w:spacing w:val="0"/>
                <w:kern w:val="0"/>
                <w:position w:val="0"/>
                <w:sz w:val="24"/>
                <w:szCs w:val="24"/>
                <w:highlight w:val="none"/>
                <w:lang w:val="en-US" w:eastAsia="zh-CN" w:bidi="ar"/>
              </w:rPr>
              <w:t>cm/s的防渗措施进行防护，厂区内地面均做硬化处理，因此，泄漏后不会大面积逸散，在发生泄漏后，厂内工作人员将及时清理，因此，若发生泄漏等事故不会对土壤环境造成影响。</w:t>
            </w:r>
          </w:p>
          <w:p w14:paraId="21E91BAC">
            <w:pPr>
              <w:pStyle w:val="8"/>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jc w:val="both"/>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6.6</w:t>
            </w:r>
            <w:r>
              <w:rPr>
                <w:rFonts w:hint="default" w:ascii="Times New Roman" w:hAnsi="Times New Roman" w:eastAsia="宋体" w:cs="Times New Roman"/>
                <w:b/>
                <w:bCs/>
                <w:color w:val="auto"/>
                <w:sz w:val="24"/>
                <w:szCs w:val="24"/>
                <w:highlight w:val="none"/>
              </w:rPr>
              <w:t>环境风险防范措施</w:t>
            </w:r>
          </w:p>
          <w:p w14:paraId="618B48FD">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在运营期使用的机械设备如果管理不善易发生电线短路、除尘器失效等现象，可引致火灾和环境污染。因此在项目应加强对设备维护管理，避免事故排放。对电线线路及设备线路定期进行检查，加强管理和安全知识教育，增强防范意识，防止火灾发生。要有充分的应急措施，项目应按照相关规定设置逃生系统，并能够有足够并匹配的消防器材及备用应急电源。一旦发生意外，应立即采取应急预案。</w:t>
            </w:r>
          </w:p>
          <w:p w14:paraId="53B76E42">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除尘器故障分析与处理方法</w:t>
            </w:r>
          </w:p>
          <w:p w14:paraId="70B873A7">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除尘效果不佳，排放粉尘浓度超标可从以下几个方面查找原因：</w:t>
            </w:r>
          </w:p>
          <w:p w14:paraId="55AAF230">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1）新装的滤袋孔隙较大，刚开始使用时粉尘通过率较高，尚未达到最佳的过滤状态，粉尘排放量较大。因此测定除尘器的除尘效率在连续使用1个月后进行更为准确。</w:t>
            </w:r>
          </w:p>
          <w:p w14:paraId="0BDD6556">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2）检查除尘器的安装是否正确。</w:t>
            </w:r>
          </w:p>
          <w:p w14:paraId="6901C682">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3）对于进风通道与出风通道仅用隔板分开的除尘器，须检查中间隔板是否焊接严密。</w:t>
            </w:r>
          </w:p>
          <w:p w14:paraId="1F73B6B8">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发现除尘器的运行阻力高出控制范围，应从下列方面查找原因：</w:t>
            </w:r>
          </w:p>
          <w:p w14:paraId="3214FE0C">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1）清灰时间短、清灰周期太长，滤袋上的粉尘没能清除干净，除尘器就转入过滤状态，会使运行阻力很快升高。</w:t>
            </w:r>
          </w:p>
          <w:p w14:paraId="32F2095A">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2）除尘器通常在负压状态下工作，如果设备泄漏，会吸入大量外界空气和雨水，使滤袋受潮板结，加大运行阻力。</w:t>
            </w:r>
          </w:p>
          <w:p w14:paraId="3CF09BBC">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车间粉尘爆炸风险及安全措施</w:t>
            </w:r>
          </w:p>
          <w:p w14:paraId="2DE390A4">
            <w:pPr>
              <w:pStyle w:val="11"/>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粉体的加工使粉尘愈来愈细，粉尘粒径越小，表面积越大，燃烧越完全，升压速度越快，爆炸压力越大，为了实现高效、节能，生产设备朝着大型化发展，大容积设备爆炸发生时会有较多粉尘参与爆炸，爆炸压力增大。生产中可能产生粉尘飞扬的设备和场所必须尽可能密封，在密闭设备里粉尘浓度容易达到爆炸极限，密闭性越好，爆炸产生的压力也越大。</w:t>
            </w:r>
          </w:p>
          <w:p w14:paraId="505EAA25">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安全措施如下：</w:t>
            </w:r>
          </w:p>
          <w:p w14:paraId="2CCC8A0F">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1）控制粉尘浓度；</w:t>
            </w:r>
          </w:p>
          <w:p w14:paraId="762E90E7">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2）减少粉尘沉淀；</w:t>
            </w:r>
          </w:p>
          <w:p w14:paraId="1B108A54">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3）防止摩擦、撞击、生热；</w:t>
            </w:r>
          </w:p>
          <w:p w14:paraId="06E4238E">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4）防止电火花和静电放电；</w:t>
            </w:r>
          </w:p>
          <w:p w14:paraId="3F722EC4">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5）增加物料湿度、降低风险性。</w:t>
            </w:r>
          </w:p>
          <w:p w14:paraId="1AA3A42F">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控制与消除火源以及安全措施</w:t>
            </w:r>
          </w:p>
          <w:p w14:paraId="11DD6650">
            <w:pPr>
              <w:pStyle w:val="11"/>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区内原料库和生产车间应设置禁火、防爆区域，并制定相应的管理制度。操作和维修等采用不发火工具，并制定方案，报主管领导批准并有监管人员在场方可进行。使用防爆型电器，严禁钢制工具敲打、撞击、抛掷。厂区在禁火、防爆区域安装避雷装置。</w:t>
            </w:r>
          </w:p>
          <w:p w14:paraId="1FCBF5B4">
            <w:pPr>
              <w:pStyle w:val="11"/>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严格按照防火、防爆设计规范要求进行设计，按照规范设置消防系统，配置相应的灭火装置和设施，并定期维护，保持完好。在禁火、防爆区域安装可燃气体探测仪，并</w:t>
            </w:r>
            <w:r>
              <w:rPr>
                <w:rFonts w:hint="eastAsia" w:ascii="Times New Roman" w:hAnsi="Times New Roman" w:cs="Times New Roman"/>
                <w:color w:val="auto"/>
                <w:sz w:val="24"/>
                <w:szCs w:val="24"/>
                <w:highlight w:val="none"/>
                <w:lang w:eastAsia="zh-CN"/>
              </w:rPr>
              <w:t>经常</w:t>
            </w:r>
            <w:r>
              <w:rPr>
                <w:rFonts w:hint="default" w:ascii="Times New Roman" w:hAnsi="Times New Roman" w:eastAsia="宋体" w:cs="Times New Roman"/>
                <w:color w:val="auto"/>
                <w:sz w:val="24"/>
                <w:szCs w:val="24"/>
                <w:highlight w:val="none"/>
              </w:rPr>
              <w:t>检查确保设施正常运转，做到及时发现、及时处理；设置火灾报警系统，该系统由火灾报警控制器、火灾探测器、手动报警按钮等组成，以利于自动预警和及时组织灭火扑救。要正确佩戴相应的劳防用品和正确使用防毒过滤器等防护用具。</w:t>
            </w:r>
          </w:p>
          <w:p w14:paraId="4FCB9BA7">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消防及火灾报警系统措施</w:t>
            </w:r>
          </w:p>
          <w:p w14:paraId="644BF218">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消防设施应与开发建设同步进行，各项建设必须执行国家有关防火规范，保证消防通道畅通，提高预防和扑救能力。加强区域交通、通信等消防基础设施建设，重特大火灾实施消防力量的区域调动。消防供水主要以城市供水管网为主，建设城市供水管网消火栓系统，在配水管网建设时，应按同一时间发生两次火灾进行管网校核，保证充足消防用水，配水管网按照换装布置。</w:t>
            </w:r>
          </w:p>
          <w:p w14:paraId="1E8E2A34">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风险应急措施</w:t>
            </w:r>
          </w:p>
          <w:p w14:paraId="62D5DE36">
            <w:pPr>
              <w:pStyle w:val="11"/>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厂区根据建筑格局、物料性质及贮存方式、建筑耐火等级、建筑体积等，严格按照《建筑设计防火规范》（GB50016-2014）等有关规定，按照同一时间内火灾次数、灭火时间及最大用水量确定消防用水量。</w:t>
            </w:r>
          </w:p>
          <w:p w14:paraId="1F11F71A">
            <w:pPr>
              <w:pStyle w:val="11"/>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本项目在运营期要有充分的应急措施，项目应按照相关规定设置逃生系统，并能够有足够并匹配的消防器材及备用应急电源。一旦发生意外，应立即采取应急预案。</w:t>
            </w:r>
          </w:p>
          <w:p w14:paraId="18B2392F">
            <w:pPr>
              <w:pStyle w:val="8"/>
              <w:pageBreakBefore w:val="0"/>
              <w:widowControl w:val="0"/>
              <w:numPr>
                <w:ilvl w:val="0"/>
                <w:numId w:val="0"/>
              </w:numPr>
              <w:tabs>
                <w:tab w:val="left" w:pos="1892"/>
              </w:tabs>
              <w:kinsoku/>
              <w:wordWrap/>
              <w:overflowPunct/>
              <w:topLinePunct w:val="0"/>
              <w:autoSpaceDE/>
              <w:autoSpaceDN/>
              <w:bidi w:val="0"/>
              <w:adjustRightInd/>
              <w:snapToGrid/>
              <w:spacing w:beforeLines="0" w:afterLines="0"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6.7</w:t>
            </w:r>
            <w:r>
              <w:rPr>
                <w:rFonts w:hint="default" w:ascii="Times New Roman" w:hAnsi="Times New Roman" w:eastAsia="宋体" w:cs="Times New Roman"/>
                <w:b/>
                <w:bCs/>
                <w:color w:val="auto"/>
                <w:sz w:val="24"/>
                <w:szCs w:val="24"/>
                <w:highlight w:val="none"/>
              </w:rPr>
              <w:t>风险事故应急预案</w:t>
            </w:r>
          </w:p>
          <w:p w14:paraId="2AE270AB">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①设以领导为首的安全防火委员会和相应的组织机构，如义务消防组、器材组、救护组、治安组，定期进行防火演练。</w:t>
            </w:r>
          </w:p>
          <w:p w14:paraId="2B6CE3B5">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②设置风险事故应急处置预案。</w:t>
            </w:r>
          </w:p>
          <w:p w14:paraId="16B6983B">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③发生事故及时报警，并当即切断电源，关闭进站阀门，疏散人员。</w:t>
            </w:r>
          </w:p>
          <w:p w14:paraId="7184F107">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④迅速向上级及消防部门报警，并通知单位职工及邻近单位。</w:t>
            </w:r>
          </w:p>
          <w:p w14:paraId="727AE2E0">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⑤切实做好现场警戒。</w:t>
            </w:r>
          </w:p>
          <w:p w14:paraId="02F753CA">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⑥做好事故善后处置工作，查明事故原因、损失危害情况，及事后恢复补救措施。</w:t>
            </w:r>
          </w:p>
          <w:p w14:paraId="4B91C7FE">
            <w:pPr>
              <w:pStyle w:val="8"/>
              <w:pageBreakBefore w:val="0"/>
              <w:widowControl w:val="0"/>
              <w:numPr>
                <w:ilvl w:val="0"/>
                <w:numId w:val="0"/>
              </w:numPr>
              <w:tabs>
                <w:tab w:val="left" w:pos="1892"/>
              </w:tabs>
              <w:kinsoku/>
              <w:wordWrap/>
              <w:overflowPunct/>
              <w:topLinePunct w:val="0"/>
              <w:autoSpaceDE/>
              <w:autoSpaceDN/>
              <w:bidi w:val="0"/>
              <w:adjustRightInd/>
              <w:snapToGrid/>
              <w:spacing w:beforeLines="0" w:afterLines="0"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6.8</w:t>
            </w:r>
            <w:r>
              <w:rPr>
                <w:rFonts w:hint="default" w:ascii="Times New Roman" w:hAnsi="Times New Roman" w:eastAsia="宋体" w:cs="Times New Roman"/>
                <w:b/>
                <w:bCs/>
                <w:color w:val="auto"/>
                <w:sz w:val="24"/>
                <w:szCs w:val="24"/>
                <w:highlight w:val="none"/>
              </w:rPr>
              <w:t>小结</w:t>
            </w:r>
          </w:p>
          <w:p w14:paraId="57E577A2">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本项目不涉及有毒、有害及危险品等，不涉及危险性生产装置。本项目在建设运营过程中，存在的环境风险源小，不存在重大的环境风险，但还是存在一定潜在的环境风险。在建设单位严格落实各项风险防范措施和风险应急预案的前提下，项目环境风险可防可控，项目建设是可行的。</w:t>
            </w:r>
          </w:p>
          <w:p w14:paraId="4EFE2CF9">
            <w:pPr>
              <w:pStyle w:val="8"/>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环保投资</w:t>
            </w:r>
          </w:p>
          <w:p w14:paraId="2A24C0E8">
            <w:pPr>
              <w:pStyle w:val="11"/>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建设项目总投资5</w:t>
            </w:r>
            <w:r>
              <w:rPr>
                <w:rFonts w:hint="eastAsia" w:ascii="Times New Roman" w:hAnsi="Times New Roman"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rPr>
              <w:t>万元，其中环保投资</w:t>
            </w:r>
            <w:r>
              <w:rPr>
                <w:rFonts w:hint="eastAsia" w:ascii="Times New Roman" w:hAnsi="Times New Roman"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万元，环保投资占总投资的</w:t>
            </w:r>
            <w:r>
              <w:rPr>
                <w:rFonts w:hint="eastAsia" w:ascii="Times New Roman" w:hAnsi="Times New Roman" w:cs="Times New Roman"/>
                <w:color w:val="auto"/>
                <w:sz w:val="24"/>
                <w:szCs w:val="24"/>
                <w:highlight w:val="none"/>
                <w:lang w:val="en-US" w:eastAsia="zh-CN"/>
              </w:rPr>
              <w:t>6.2</w:t>
            </w:r>
            <w:r>
              <w:rPr>
                <w:rFonts w:hint="default" w:ascii="Times New Roman" w:hAnsi="Times New Roman" w:eastAsia="宋体" w:cs="Times New Roman"/>
                <w:color w:val="auto"/>
                <w:sz w:val="24"/>
                <w:szCs w:val="24"/>
                <w:highlight w:val="none"/>
              </w:rPr>
              <w:t>%，具体环保投资内容见表4-1</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p>
          <w:p w14:paraId="59A2D195">
            <w:pPr>
              <w:pageBreakBefore w:val="0"/>
              <w:tabs>
                <w:tab w:val="left" w:pos="4563"/>
              </w:tabs>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表4-1</w:t>
            </w:r>
            <w:r>
              <w:rPr>
                <w:rFonts w:hint="eastAsia" w:cs="Times New Roman"/>
                <w:b/>
                <w:bCs/>
                <w:color w:val="auto"/>
                <w:sz w:val="21"/>
                <w:szCs w:val="21"/>
                <w:highlight w:val="none"/>
                <w:lang w:val="en-US" w:eastAsia="zh-CN"/>
              </w:rPr>
              <w:t xml:space="preserve">4    </w:t>
            </w:r>
            <w:r>
              <w:rPr>
                <w:rFonts w:hint="default" w:ascii="Times New Roman" w:hAnsi="Times New Roman" w:eastAsia="宋体" w:cs="Times New Roman"/>
                <w:b/>
                <w:bCs/>
                <w:color w:val="auto"/>
                <w:sz w:val="21"/>
                <w:szCs w:val="21"/>
                <w:lang w:val="en-US" w:eastAsia="zh-CN"/>
              </w:rPr>
              <w:t>环保措施</w:t>
            </w:r>
            <w:r>
              <w:rPr>
                <w:rFonts w:hint="eastAsia" w:cs="Times New Roman"/>
                <w:b/>
                <w:bCs/>
                <w:color w:val="auto"/>
                <w:sz w:val="21"/>
                <w:szCs w:val="21"/>
                <w:highlight w:val="none"/>
                <w:lang w:val="en-US" w:eastAsia="zh-CN"/>
              </w:rPr>
              <w:t>及</w:t>
            </w:r>
            <w:r>
              <w:rPr>
                <w:rFonts w:hint="default" w:ascii="Times New Roman" w:hAnsi="Times New Roman" w:eastAsia="宋体" w:cs="Times New Roman"/>
                <w:b/>
                <w:bCs/>
                <w:color w:val="auto"/>
                <w:sz w:val="21"/>
                <w:szCs w:val="21"/>
                <w:highlight w:val="none"/>
              </w:rPr>
              <w:t>环保投资一览表</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930"/>
              <w:gridCol w:w="1500"/>
              <w:gridCol w:w="1874"/>
              <w:gridCol w:w="1855"/>
              <w:gridCol w:w="2010"/>
            </w:tblGrid>
            <w:tr w14:paraId="52EA02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69" w:type="pct"/>
                  <w:tcBorders>
                    <w:bottom w:val="single" w:color="000000" w:sz="12" w:space="0"/>
                  </w:tcBorders>
                  <w:vAlign w:val="center"/>
                </w:tcPr>
                <w:p w14:paraId="34A4347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18" w:type="pct"/>
                  <w:tcBorders>
                    <w:bottom w:val="single" w:color="000000" w:sz="12" w:space="0"/>
                  </w:tcBorders>
                  <w:vAlign w:val="center"/>
                </w:tcPr>
                <w:p w14:paraId="7E31263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类型</w:t>
                  </w:r>
                </w:p>
              </w:tc>
              <w:tc>
                <w:tcPr>
                  <w:tcW w:w="2282" w:type="pct"/>
                  <w:gridSpan w:val="2"/>
                  <w:tcBorders>
                    <w:bottom w:val="single" w:color="000000" w:sz="12" w:space="0"/>
                  </w:tcBorders>
                  <w:vAlign w:val="center"/>
                </w:tcPr>
                <w:p w14:paraId="1B32F6F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工程项目</w:t>
                  </w:r>
                </w:p>
              </w:tc>
              <w:tc>
                <w:tcPr>
                  <w:tcW w:w="1230" w:type="pct"/>
                  <w:tcBorders>
                    <w:bottom w:val="single" w:color="000000" w:sz="12" w:space="0"/>
                  </w:tcBorders>
                  <w:vAlign w:val="center"/>
                </w:tcPr>
                <w:p w14:paraId="5F42461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投资额（万元）</w:t>
                  </w:r>
                </w:p>
              </w:tc>
            </w:tr>
            <w:tr w14:paraId="137832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69" w:type="pct"/>
                  <w:tcBorders>
                    <w:top w:val="single" w:color="000000" w:sz="12" w:space="0"/>
                    <w:tl2br w:val="nil"/>
                    <w:tr2bl w:val="nil"/>
                  </w:tcBorders>
                  <w:vAlign w:val="center"/>
                </w:tcPr>
                <w:p w14:paraId="0592BEE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918" w:type="pct"/>
                  <w:tcBorders>
                    <w:top w:val="single" w:color="000000" w:sz="12" w:space="0"/>
                    <w:tl2br w:val="nil"/>
                    <w:tr2bl w:val="nil"/>
                  </w:tcBorders>
                  <w:vAlign w:val="center"/>
                </w:tcPr>
                <w:p w14:paraId="5A9B630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噪声治理</w:t>
                  </w:r>
                </w:p>
              </w:tc>
              <w:tc>
                <w:tcPr>
                  <w:tcW w:w="2282" w:type="pct"/>
                  <w:gridSpan w:val="2"/>
                  <w:tcBorders>
                    <w:top w:val="single" w:color="000000" w:sz="12" w:space="0"/>
                    <w:tl2br w:val="nil"/>
                    <w:tr2bl w:val="nil"/>
                  </w:tcBorders>
                  <w:vAlign w:val="center"/>
                </w:tcPr>
                <w:p w14:paraId="7407E4B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消声器、基础减震</w:t>
                  </w:r>
                </w:p>
              </w:tc>
              <w:tc>
                <w:tcPr>
                  <w:tcW w:w="1230" w:type="pct"/>
                  <w:tcBorders>
                    <w:top w:val="single" w:color="000000" w:sz="12" w:space="0"/>
                    <w:tl2br w:val="nil"/>
                    <w:tr2bl w:val="nil"/>
                  </w:tcBorders>
                  <w:vAlign w:val="center"/>
                </w:tcPr>
                <w:p w14:paraId="11D305E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w:t>
                  </w:r>
                </w:p>
              </w:tc>
            </w:tr>
            <w:tr w14:paraId="1A9684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69" w:type="pct"/>
                  <w:vMerge w:val="restart"/>
                  <w:tcBorders>
                    <w:tl2br w:val="nil"/>
                    <w:tr2bl w:val="nil"/>
                  </w:tcBorders>
                  <w:vAlign w:val="center"/>
                </w:tcPr>
                <w:p w14:paraId="3DD868B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c>
                <w:tcPr>
                  <w:tcW w:w="918" w:type="pct"/>
                  <w:vMerge w:val="restart"/>
                  <w:tcBorders>
                    <w:tl2br w:val="nil"/>
                    <w:tr2bl w:val="nil"/>
                  </w:tcBorders>
                  <w:vAlign w:val="center"/>
                </w:tcPr>
                <w:p w14:paraId="54027D7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废气治理</w:t>
                  </w:r>
                </w:p>
              </w:tc>
              <w:tc>
                <w:tcPr>
                  <w:tcW w:w="1147" w:type="pct"/>
                  <w:tcBorders>
                    <w:right w:val="single" w:color="auto" w:sz="4" w:space="0"/>
                    <w:tl2br w:val="nil"/>
                    <w:tr2bl w:val="nil"/>
                  </w:tcBorders>
                  <w:vAlign w:val="center"/>
                </w:tcPr>
                <w:p w14:paraId="56F0A88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集气管道</w:t>
                  </w:r>
                </w:p>
              </w:tc>
              <w:tc>
                <w:tcPr>
                  <w:tcW w:w="1135" w:type="pct"/>
                  <w:tcBorders>
                    <w:left w:val="single" w:color="auto" w:sz="4" w:space="0"/>
                    <w:tl2br w:val="nil"/>
                    <w:tr2bl w:val="nil"/>
                  </w:tcBorders>
                  <w:vAlign w:val="center"/>
                </w:tcPr>
                <w:p w14:paraId="32A36BA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水泥筒仓呼吸废气经筒仓自带除尘器处理后通过</w:t>
                  </w:r>
                  <w:r>
                    <w:rPr>
                      <w:rFonts w:hint="eastAsia" w:ascii="Times New Roman" w:hAnsi="Times New Roman" w:eastAsia="宋体" w:cs="Times New Roman"/>
                      <w:color w:val="auto"/>
                      <w:kern w:val="0"/>
                      <w:sz w:val="21"/>
                      <w:szCs w:val="21"/>
                      <w:highlight w:val="none"/>
                      <w:lang w:val="en-US" w:eastAsia="zh-CN" w:bidi="ar-SA"/>
                    </w:rPr>
                    <w:t>15m高排气筒（DA001）排放</w:t>
                  </w:r>
                </w:p>
              </w:tc>
              <w:tc>
                <w:tcPr>
                  <w:tcW w:w="1230" w:type="pct"/>
                  <w:tcBorders>
                    <w:tl2br w:val="nil"/>
                    <w:tr2bl w:val="nil"/>
                  </w:tcBorders>
                  <w:vAlign w:val="center"/>
                </w:tcPr>
                <w:p w14:paraId="3FFF6A9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w:t>
                  </w:r>
                </w:p>
              </w:tc>
            </w:tr>
            <w:tr w14:paraId="657DAB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69" w:type="pct"/>
                  <w:vMerge w:val="continue"/>
                  <w:tcBorders>
                    <w:tl2br w:val="nil"/>
                    <w:tr2bl w:val="nil"/>
                  </w:tcBorders>
                  <w:vAlign w:val="center"/>
                </w:tcPr>
                <w:p w14:paraId="27BDD94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918" w:type="pct"/>
                  <w:vMerge w:val="continue"/>
                  <w:tcBorders>
                    <w:tl2br w:val="nil"/>
                    <w:tr2bl w:val="nil"/>
                  </w:tcBorders>
                  <w:vAlign w:val="center"/>
                </w:tcPr>
                <w:p w14:paraId="1EF800D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1147" w:type="pct"/>
                  <w:tcBorders>
                    <w:right w:val="single" w:color="auto" w:sz="4" w:space="0"/>
                    <w:tl2br w:val="nil"/>
                    <w:tr2bl w:val="nil"/>
                  </w:tcBorders>
                  <w:vAlign w:val="center"/>
                </w:tcPr>
                <w:p w14:paraId="1214CA6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搅拌工段：1套集气罩：3m×2m×0.35m</w:t>
                  </w:r>
                </w:p>
                <w:p w14:paraId="46278BB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通风管径</w:t>
                  </w:r>
                  <w:r>
                    <w:rPr>
                      <w:rFonts w:hint="default" w:ascii="Times New Roman" w:hAnsi="Times New Roman" w:eastAsia="宋体" w:cs="Times New Roman"/>
                      <w:color w:val="auto"/>
                      <w:szCs w:val="21"/>
                      <w:highlight w:val="none"/>
                    </w:rPr>
                    <w:t>Φ</w:t>
                  </w:r>
                  <w:r>
                    <w:rPr>
                      <w:rFonts w:hint="eastAsia" w:ascii="Times New Roman" w:hAnsi="Times New Roman" w:cs="Times New Roman"/>
                      <w:b w:val="0"/>
                      <w:bCs w:val="0"/>
                      <w:color w:val="auto"/>
                      <w:sz w:val="21"/>
                      <w:szCs w:val="21"/>
                      <w:highlight w:val="none"/>
                      <w:lang w:val="en-US" w:eastAsia="zh-CN"/>
                    </w:rPr>
                    <w:t>400；</w:t>
                  </w:r>
                </w:p>
                <w:p w14:paraId="1F62436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风机量10000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eastAsia" w:ascii="Times New Roman" w:hAnsi="Times New Roman" w:cs="Times New Roman"/>
                      <w:b w:val="0"/>
                      <w:bCs w:val="0"/>
                      <w:color w:val="auto"/>
                      <w:sz w:val="21"/>
                      <w:szCs w:val="21"/>
                      <w:highlight w:val="none"/>
                      <w:lang w:val="en-US" w:eastAsia="zh-CN"/>
                    </w:rPr>
                    <w:t>/h</w:t>
                  </w:r>
                </w:p>
              </w:tc>
              <w:tc>
                <w:tcPr>
                  <w:tcW w:w="1135" w:type="pct"/>
                  <w:tcBorders>
                    <w:left w:val="single" w:color="auto" w:sz="4" w:space="0"/>
                    <w:tl2br w:val="nil"/>
                    <w:tr2bl w:val="nil"/>
                  </w:tcBorders>
                  <w:vAlign w:val="center"/>
                </w:tcPr>
                <w:p w14:paraId="4ECEE84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厂房密闭+</w:t>
                  </w:r>
                  <w:r>
                    <w:rPr>
                      <w:rFonts w:hint="eastAsia" w:ascii="Times New Roman" w:hAnsi="Times New Roman" w:cs="Times New Roman"/>
                      <w:color w:val="auto"/>
                      <w:kern w:val="0"/>
                      <w:sz w:val="21"/>
                      <w:szCs w:val="21"/>
                      <w:highlight w:val="none"/>
                      <w:lang w:val="en-US" w:eastAsia="zh-CN" w:bidi="ar-SA"/>
                    </w:rPr>
                    <w:t>除尘器</w:t>
                  </w:r>
                </w:p>
                <w:p w14:paraId="134E271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bidi="ar-SA"/>
                    </w:rPr>
                    <w:t>处理后经15m高排气筒（DA001）排放</w:t>
                  </w:r>
                </w:p>
              </w:tc>
              <w:tc>
                <w:tcPr>
                  <w:tcW w:w="1230" w:type="pct"/>
                  <w:tcBorders>
                    <w:tl2br w:val="nil"/>
                    <w:tr2bl w:val="nil"/>
                  </w:tcBorders>
                  <w:vAlign w:val="center"/>
                </w:tcPr>
                <w:p w14:paraId="5A84160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20</w:t>
                  </w:r>
                </w:p>
              </w:tc>
            </w:tr>
            <w:tr w14:paraId="272675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69" w:type="pct"/>
                  <w:tcBorders>
                    <w:tl2br w:val="nil"/>
                    <w:tr2bl w:val="nil"/>
                  </w:tcBorders>
                  <w:vAlign w:val="center"/>
                </w:tcPr>
                <w:p w14:paraId="5EBCF7D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w:t>
                  </w:r>
                </w:p>
              </w:tc>
              <w:tc>
                <w:tcPr>
                  <w:tcW w:w="918" w:type="pct"/>
                  <w:tcBorders>
                    <w:tl2br w:val="nil"/>
                    <w:tr2bl w:val="nil"/>
                  </w:tcBorders>
                  <w:vAlign w:val="center"/>
                </w:tcPr>
                <w:p w14:paraId="00BCB3B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固废治理</w:t>
                  </w:r>
                </w:p>
              </w:tc>
              <w:tc>
                <w:tcPr>
                  <w:tcW w:w="2282" w:type="pct"/>
                  <w:gridSpan w:val="2"/>
                  <w:tcBorders>
                    <w:tl2br w:val="nil"/>
                    <w:tr2bl w:val="nil"/>
                  </w:tcBorders>
                  <w:vAlign w:val="center"/>
                </w:tcPr>
                <w:p w14:paraId="1AA5EA1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垃圾桶、垃圾房、</w:t>
                  </w:r>
                  <w:r>
                    <w:rPr>
                      <w:rFonts w:hint="eastAsia" w:ascii="Times New Roman" w:hAnsi="Times New Roman" w:cs="Times New Roman"/>
                      <w:b w:val="0"/>
                      <w:bCs w:val="0"/>
                      <w:color w:val="auto"/>
                      <w:sz w:val="21"/>
                      <w:szCs w:val="21"/>
                      <w:highlight w:val="none"/>
                      <w:lang w:val="en-US" w:eastAsia="zh-CN"/>
                    </w:rPr>
                    <w:t>固废及危废暂存间</w:t>
                  </w:r>
                </w:p>
              </w:tc>
              <w:tc>
                <w:tcPr>
                  <w:tcW w:w="1230" w:type="pct"/>
                  <w:tcBorders>
                    <w:tl2br w:val="nil"/>
                    <w:tr2bl w:val="nil"/>
                  </w:tcBorders>
                  <w:vAlign w:val="center"/>
                </w:tcPr>
                <w:p w14:paraId="1A3DA09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5</w:t>
                  </w:r>
                </w:p>
              </w:tc>
            </w:tr>
            <w:tr w14:paraId="693213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69" w:type="pct"/>
                  <w:tcBorders>
                    <w:tl2br w:val="nil"/>
                    <w:tr2bl w:val="nil"/>
                  </w:tcBorders>
                  <w:vAlign w:val="center"/>
                </w:tcPr>
                <w:p w14:paraId="61A851B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w:t>
                  </w:r>
                </w:p>
              </w:tc>
              <w:tc>
                <w:tcPr>
                  <w:tcW w:w="918" w:type="pct"/>
                  <w:tcBorders>
                    <w:tl2br w:val="nil"/>
                    <w:tr2bl w:val="nil"/>
                  </w:tcBorders>
                  <w:vAlign w:val="center"/>
                </w:tcPr>
                <w:p w14:paraId="5EB0375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废水</w:t>
                  </w:r>
                </w:p>
              </w:tc>
              <w:tc>
                <w:tcPr>
                  <w:tcW w:w="2282" w:type="pct"/>
                  <w:gridSpan w:val="2"/>
                  <w:tcBorders>
                    <w:tl2br w:val="nil"/>
                    <w:tr2bl w:val="nil"/>
                  </w:tcBorders>
                  <w:vAlign w:val="center"/>
                </w:tcPr>
                <w:p w14:paraId="16F9250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val="en-US" w:eastAsia="zh-CN"/>
                    </w:rPr>
                    <w:t>沉淀</w:t>
                  </w:r>
                  <w:r>
                    <w:rPr>
                      <w:rFonts w:hint="default" w:ascii="Times New Roman" w:hAnsi="Times New Roman" w:eastAsia="宋体" w:cs="Times New Roman"/>
                      <w:b w:val="0"/>
                      <w:bCs w:val="0"/>
                      <w:color w:val="auto"/>
                      <w:sz w:val="21"/>
                      <w:szCs w:val="21"/>
                      <w:highlight w:val="none"/>
                    </w:rPr>
                    <w:t>池</w:t>
                  </w:r>
                </w:p>
              </w:tc>
              <w:tc>
                <w:tcPr>
                  <w:tcW w:w="1230" w:type="pct"/>
                  <w:tcBorders>
                    <w:tl2br w:val="nil"/>
                    <w:tr2bl w:val="nil"/>
                  </w:tcBorders>
                  <w:vAlign w:val="center"/>
                </w:tcPr>
                <w:p w14:paraId="60648C0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r>
            <w:tr w14:paraId="15C292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69" w:type="pct"/>
                  <w:gridSpan w:val="4"/>
                  <w:tcBorders>
                    <w:tl2br w:val="nil"/>
                    <w:tr2bl w:val="nil"/>
                  </w:tcBorders>
                  <w:vAlign w:val="center"/>
                </w:tcPr>
                <w:p w14:paraId="3A94E4F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合计</w:t>
                  </w:r>
                </w:p>
              </w:tc>
              <w:tc>
                <w:tcPr>
                  <w:tcW w:w="1230" w:type="pct"/>
                  <w:tcBorders>
                    <w:tl2br w:val="nil"/>
                    <w:tr2bl w:val="nil"/>
                  </w:tcBorders>
                  <w:vAlign w:val="center"/>
                </w:tcPr>
                <w:p w14:paraId="2DC0034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31</w:t>
                  </w:r>
                </w:p>
              </w:tc>
            </w:tr>
            <w:tr w14:paraId="3C20E8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69" w:type="pct"/>
                  <w:gridSpan w:val="4"/>
                  <w:tcBorders>
                    <w:tl2br w:val="nil"/>
                    <w:tr2bl w:val="nil"/>
                  </w:tcBorders>
                  <w:vAlign w:val="center"/>
                </w:tcPr>
                <w:p w14:paraId="4E673AD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总投资</w:t>
                  </w:r>
                </w:p>
              </w:tc>
              <w:tc>
                <w:tcPr>
                  <w:tcW w:w="1230" w:type="pct"/>
                  <w:tcBorders>
                    <w:tl2br w:val="nil"/>
                    <w:tr2bl w:val="nil"/>
                  </w:tcBorders>
                  <w:vAlign w:val="center"/>
                </w:tcPr>
                <w:p w14:paraId="7270014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5</w:t>
                  </w:r>
                  <w:r>
                    <w:rPr>
                      <w:rFonts w:hint="eastAsia" w:ascii="Times New Roman" w:hAnsi="Times New Roman" w:cs="Times New Roman"/>
                      <w:b w:val="0"/>
                      <w:bCs w:val="0"/>
                      <w:color w:val="auto"/>
                      <w:sz w:val="21"/>
                      <w:szCs w:val="21"/>
                      <w:highlight w:val="none"/>
                      <w:lang w:val="en-US" w:eastAsia="zh-CN"/>
                    </w:rPr>
                    <w:t>00</w:t>
                  </w:r>
                </w:p>
              </w:tc>
            </w:tr>
            <w:tr w14:paraId="1E061F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769" w:type="pct"/>
                  <w:gridSpan w:val="4"/>
                  <w:tcBorders>
                    <w:tl2br w:val="nil"/>
                    <w:tr2bl w:val="nil"/>
                  </w:tcBorders>
                  <w:vAlign w:val="center"/>
                </w:tcPr>
                <w:p w14:paraId="0A133FA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环保投资占总投资比例</w:t>
                  </w:r>
                </w:p>
              </w:tc>
              <w:tc>
                <w:tcPr>
                  <w:tcW w:w="1230" w:type="pct"/>
                  <w:tcBorders>
                    <w:tl2br w:val="nil"/>
                    <w:tr2bl w:val="nil"/>
                  </w:tcBorders>
                  <w:vAlign w:val="center"/>
                </w:tcPr>
                <w:p w14:paraId="7196BF6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val="en-US" w:eastAsia="zh-CN"/>
                    </w:rPr>
                    <w:t>6.2</w:t>
                  </w:r>
                  <w:r>
                    <w:rPr>
                      <w:rFonts w:hint="default" w:ascii="Times New Roman" w:hAnsi="Times New Roman" w:eastAsia="宋体" w:cs="Times New Roman"/>
                      <w:b w:val="0"/>
                      <w:bCs w:val="0"/>
                      <w:color w:val="auto"/>
                      <w:sz w:val="21"/>
                      <w:szCs w:val="21"/>
                      <w:highlight w:val="none"/>
                    </w:rPr>
                    <w:t>%</w:t>
                  </w:r>
                </w:p>
              </w:tc>
            </w:tr>
          </w:tbl>
          <w:p w14:paraId="7849F37F">
            <w:pPr>
              <w:pStyle w:val="30"/>
              <w:pageBreakBefore w:val="0"/>
              <w:kinsoku/>
              <w:wordWrap/>
              <w:overflowPunct/>
              <w:topLinePunct w:val="0"/>
              <w:autoSpaceDE/>
              <w:autoSpaceDN/>
              <w:bidi w:val="0"/>
              <w:spacing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“三同时”验收一览表</w:t>
            </w:r>
          </w:p>
          <w:p w14:paraId="44F2FF33">
            <w:pPr>
              <w:pStyle w:val="3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务院关于修改〈建设项目环境保护管理条例〉的决定》（国务院第682号令）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第十九条：编制环境影响报告书、环境影响报告表的建设项目，其配套建设的环境保护设施经验收合格，方可正式投入生产或者使用；未经验收合格或者验收不合格的，不得投入生产或者使用。根据建设项目环境管理要求，建设项目在投入生产或者使用前，依据环评文件及其审批意见，自行或委托第三方机构编制建设项目环境保护设施竣工验收报告，向社会公开并向环保部门备案。</w:t>
            </w:r>
          </w:p>
          <w:p w14:paraId="7EB5CF3A">
            <w:pPr>
              <w:pStyle w:val="3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项目各项污染治理措施必须严格执行“三同时”制度，环保设施“三同时”竣工验收一览表见表4-1</w:t>
            </w: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p>
          <w:p w14:paraId="7B15007E">
            <w:pPr>
              <w:pStyle w:val="7"/>
              <w:pageBreakBefore w:val="0"/>
              <w:widowControl w:val="0"/>
              <w:kinsoku/>
              <w:wordWrap/>
              <w:overflowPunct/>
              <w:topLinePunct w:val="0"/>
              <w:autoSpaceDE/>
              <w:autoSpaceDN/>
              <w:bidi w:val="0"/>
              <w:adjustRightInd/>
              <w:snapToGrid/>
              <w:spacing w:beforeLines="0" w:afterLines="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表4-1</w:t>
            </w:r>
            <w:r>
              <w:rPr>
                <w:rFonts w:hint="eastAsia" w:cs="Times New Roman"/>
                <w:b/>
                <w:bCs/>
                <w:color w:val="auto"/>
                <w:sz w:val="21"/>
                <w:szCs w:val="21"/>
                <w:highlight w:val="none"/>
                <w:lang w:val="en-US" w:eastAsia="zh-CN"/>
              </w:rPr>
              <w:t xml:space="preserve">5    </w:t>
            </w:r>
            <w:r>
              <w:rPr>
                <w:rFonts w:hint="default" w:ascii="Times New Roman" w:hAnsi="Times New Roman" w:eastAsia="宋体" w:cs="Times New Roman"/>
                <w:b/>
                <w:bCs/>
                <w:color w:val="auto"/>
                <w:sz w:val="21"/>
                <w:szCs w:val="21"/>
                <w:highlight w:val="none"/>
              </w:rPr>
              <w:t>“三同时”竣工验收一览表</w:t>
            </w:r>
          </w:p>
          <w:tbl>
            <w:tblPr>
              <w:tblStyle w:val="21"/>
              <w:tblW w:w="817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1320"/>
              <w:gridCol w:w="2149"/>
              <w:gridCol w:w="2678"/>
              <w:gridCol w:w="1408"/>
            </w:tblGrid>
            <w:tr w14:paraId="4428AF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dxa"/>
                  <w:tcBorders>
                    <w:tl2br w:val="nil"/>
                    <w:tr2bl w:val="nil"/>
                  </w:tcBorders>
                  <w:vAlign w:val="center"/>
                </w:tcPr>
                <w:p w14:paraId="1BF6814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1320" w:type="dxa"/>
                  <w:tcBorders>
                    <w:tl2br w:val="nil"/>
                    <w:tr2bl w:val="nil"/>
                  </w:tcBorders>
                  <w:vAlign w:val="center"/>
                </w:tcPr>
                <w:p w14:paraId="72D51A3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验收监测因子</w:t>
                  </w:r>
                </w:p>
              </w:tc>
              <w:tc>
                <w:tcPr>
                  <w:tcW w:w="2149" w:type="dxa"/>
                  <w:tcBorders>
                    <w:tl2br w:val="nil"/>
                    <w:tr2bl w:val="nil"/>
                  </w:tcBorders>
                  <w:vAlign w:val="center"/>
                </w:tcPr>
                <w:p w14:paraId="036EF8B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环保措施</w:t>
                  </w:r>
                </w:p>
              </w:tc>
              <w:tc>
                <w:tcPr>
                  <w:tcW w:w="2678" w:type="dxa"/>
                  <w:tcBorders>
                    <w:tl2br w:val="nil"/>
                    <w:tr2bl w:val="nil"/>
                  </w:tcBorders>
                  <w:vAlign w:val="center"/>
                </w:tcPr>
                <w:p w14:paraId="14BEE4F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eastAsia" w:ascii="Times New Roman" w:hAnsi="Times New Roman" w:cs="Times New Roman"/>
                      <w:b/>
                      <w:bCs/>
                      <w:color w:val="auto"/>
                      <w:sz w:val="21"/>
                      <w:szCs w:val="21"/>
                      <w:highlight w:val="none"/>
                      <w:lang w:val="en-US" w:eastAsia="zh-CN"/>
                    </w:rPr>
                    <w:t>执行</w:t>
                  </w:r>
                  <w:r>
                    <w:rPr>
                      <w:rFonts w:hint="default" w:ascii="Times New Roman" w:hAnsi="Times New Roman" w:eastAsia="宋体" w:cs="Times New Roman"/>
                      <w:b/>
                      <w:bCs/>
                      <w:color w:val="auto"/>
                      <w:sz w:val="21"/>
                      <w:szCs w:val="21"/>
                      <w:highlight w:val="none"/>
                    </w:rPr>
                    <w:t>标准</w:t>
                  </w:r>
                </w:p>
              </w:tc>
              <w:tc>
                <w:tcPr>
                  <w:tcW w:w="1408" w:type="dxa"/>
                  <w:tcBorders>
                    <w:tl2br w:val="nil"/>
                    <w:tr2bl w:val="nil"/>
                  </w:tcBorders>
                  <w:vAlign w:val="center"/>
                </w:tcPr>
                <w:p w14:paraId="40193DD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排放限值</w:t>
                  </w:r>
                </w:p>
              </w:tc>
            </w:tr>
            <w:tr w14:paraId="2D673C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dxa"/>
                  <w:tcBorders>
                    <w:tl2br w:val="nil"/>
                    <w:tr2bl w:val="nil"/>
                  </w:tcBorders>
                  <w:vAlign w:val="center"/>
                </w:tcPr>
                <w:p w14:paraId="6A30AE5F">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筒仓粉尘</w:t>
                  </w:r>
                </w:p>
              </w:tc>
              <w:tc>
                <w:tcPr>
                  <w:tcW w:w="1320" w:type="dxa"/>
                  <w:tcBorders>
                    <w:tl2br w:val="nil"/>
                    <w:tr2bl w:val="nil"/>
                  </w:tcBorders>
                  <w:vAlign w:val="center"/>
                </w:tcPr>
                <w:p w14:paraId="549F7206">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2149" w:type="dxa"/>
                  <w:tcBorders>
                    <w:tl2br w:val="nil"/>
                    <w:tr2bl w:val="nil"/>
                  </w:tcBorders>
                  <w:vAlign w:val="center"/>
                </w:tcPr>
                <w:p w14:paraId="51F177FC">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布袋除尘器</w:t>
                  </w:r>
                  <w:r>
                    <w:rPr>
                      <w:rFonts w:hint="eastAsia" w:ascii="Times New Roman" w:hAnsi="Times New Roman" w:eastAsia="宋体" w:cs="Times New Roman"/>
                      <w:color w:val="auto"/>
                      <w:sz w:val="21"/>
                      <w:szCs w:val="21"/>
                      <w:highlight w:val="none"/>
                      <w:lang w:val="en-US" w:eastAsia="zh-CN"/>
                    </w:rPr>
                    <w:t>处理后通过集气管道经15m高排气筒（DA001）排放</w:t>
                  </w:r>
                </w:p>
              </w:tc>
              <w:tc>
                <w:tcPr>
                  <w:tcW w:w="2678" w:type="dxa"/>
                  <w:vMerge w:val="restart"/>
                  <w:tcBorders>
                    <w:tl2br w:val="nil"/>
                    <w:tr2bl w:val="nil"/>
                  </w:tcBorders>
                  <w:vAlign w:val="center"/>
                </w:tcPr>
                <w:p w14:paraId="7E0665A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《水泥工业大气污染物排放标准》（GB4915-2013）表2中大气污染物特别排放限值</w:t>
                  </w:r>
                </w:p>
              </w:tc>
              <w:tc>
                <w:tcPr>
                  <w:tcW w:w="1408" w:type="dxa"/>
                  <w:tcBorders>
                    <w:tl2br w:val="nil"/>
                    <w:tr2bl w:val="nil"/>
                  </w:tcBorders>
                  <w:vAlign w:val="center"/>
                </w:tcPr>
                <w:p w14:paraId="6C2382E8">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NewRomanPSMT" w:hAnsi="TimesNewRomanPSMT" w:eastAsia="宋体" w:cs="TimesNewRomanPSMT"/>
                      <w:b w:val="0"/>
                      <w:bCs w:val="0"/>
                      <w:color w:val="000000"/>
                      <w:sz w:val="20"/>
                      <w:szCs w:val="20"/>
                      <w:lang w:val="en-US" w:eastAsia="zh-CN"/>
                    </w:rPr>
                    <w:t>10</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p>
              </w:tc>
            </w:tr>
            <w:tr w14:paraId="36F72C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dxa"/>
                  <w:tcBorders>
                    <w:tl2br w:val="nil"/>
                    <w:tr2bl w:val="nil"/>
                  </w:tcBorders>
                  <w:vAlign w:val="center"/>
                </w:tcPr>
                <w:p w14:paraId="7F0E852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搅拌粉尘</w:t>
                  </w:r>
                </w:p>
              </w:tc>
              <w:tc>
                <w:tcPr>
                  <w:tcW w:w="1320" w:type="dxa"/>
                  <w:tcBorders>
                    <w:tl2br w:val="nil"/>
                    <w:tr2bl w:val="nil"/>
                  </w:tcBorders>
                  <w:vAlign w:val="center"/>
                </w:tcPr>
                <w:p w14:paraId="186A680F">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颗粒物</w:t>
                  </w:r>
                </w:p>
              </w:tc>
              <w:tc>
                <w:tcPr>
                  <w:tcW w:w="2149" w:type="dxa"/>
                  <w:tcBorders>
                    <w:tl2br w:val="nil"/>
                    <w:tr2bl w:val="nil"/>
                  </w:tcBorders>
                  <w:vAlign w:val="center"/>
                </w:tcPr>
                <w:p w14:paraId="1B8B9A6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集气罩收集（90%）后由</w:t>
                  </w:r>
                  <w:r>
                    <w:rPr>
                      <w:rFonts w:hint="default" w:ascii="Times New Roman" w:hAnsi="Times New Roman" w:eastAsia="宋体" w:cs="Times New Roman"/>
                      <w:color w:val="auto"/>
                      <w:sz w:val="21"/>
                      <w:szCs w:val="21"/>
                      <w:highlight w:val="none"/>
                      <w:lang w:val="en-US" w:eastAsia="zh-CN"/>
                    </w:rPr>
                    <w:t>布袋除尘器</w:t>
                  </w:r>
                  <w:r>
                    <w:rPr>
                      <w:rFonts w:hint="eastAsia" w:ascii="Times New Roman" w:hAnsi="Times New Roman" w:eastAsia="宋体" w:cs="Times New Roman"/>
                      <w:color w:val="auto"/>
                      <w:sz w:val="21"/>
                      <w:szCs w:val="21"/>
                      <w:highlight w:val="none"/>
                      <w:lang w:val="en-US" w:eastAsia="zh-CN"/>
                    </w:rPr>
                    <w:t>处理，通过15m高排气筒（DA001）排放</w:t>
                  </w:r>
                </w:p>
              </w:tc>
              <w:tc>
                <w:tcPr>
                  <w:tcW w:w="2678" w:type="dxa"/>
                  <w:vMerge w:val="continue"/>
                  <w:tcBorders>
                    <w:tl2br w:val="nil"/>
                    <w:tr2bl w:val="nil"/>
                  </w:tcBorders>
                  <w:vAlign w:val="center"/>
                </w:tcPr>
                <w:p w14:paraId="0157D4D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p>
              </w:tc>
              <w:tc>
                <w:tcPr>
                  <w:tcW w:w="1408" w:type="dxa"/>
                  <w:tcBorders>
                    <w:tl2br w:val="nil"/>
                    <w:tr2bl w:val="nil"/>
                  </w:tcBorders>
                  <w:vAlign w:val="center"/>
                </w:tcPr>
                <w:p w14:paraId="1CF3A35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NewRomanPSMT" w:hAnsi="TimesNewRomanPSMT" w:eastAsia="宋体" w:cs="TimesNewRomanPSMT"/>
                      <w:b w:val="0"/>
                      <w:bCs w:val="0"/>
                      <w:color w:val="000000"/>
                      <w:sz w:val="20"/>
                      <w:szCs w:val="20"/>
                      <w:lang w:val="en-US" w:eastAsia="zh-CN"/>
                    </w:rPr>
                    <w:t>10</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p>
              </w:tc>
            </w:tr>
            <w:tr w14:paraId="21E1BB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dxa"/>
                  <w:tcBorders>
                    <w:tl2br w:val="nil"/>
                    <w:tr2bl w:val="nil"/>
                  </w:tcBorders>
                  <w:vAlign w:val="center"/>
                </w:tcPr>
                <w:p w14:paraId="7E89273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搅拌粉尘（无组织）</w:t>
                  </w:r>
                </w:p>
              </w:tc>
              <w:tc>
                <w:tcPr>
                  <w:tcW w:w="1320" w:type="dxa"/>
                  <w:tcBorders>
                    <w:tl2br w:val="nil"/>
                    <w:tr2bl w:val="nil"/>
                  </w:tcBorders>
                  <w:vAlign w:val="center"/>
                </w:tcPr>
                <w:p w14:paraId="106543D5">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2149" w:type="dxa"/>
                  <w:tcBorders>
                    <w:tl2br w:val="nil"/>
                    <w:tr2bl w:val="nil"/>
                  </w:tcBorders>
                  <w:vAlign w:val="center"/>
                </w:tcPr>
                <w:p w14:paraId="58E22C6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集气罩未收集到的部分（10%）经自然沉降至地面后，通过人工清扫收集回用</w:t>
                  </w:r>
                </w:p>
              </w:tc>
              <w:tc>
                <w:tcPr>
                  <w:tcW w:w="2678" w:type="dxa"/>
                  <w:tcBorders>
                    <w:tl2br w:val="nil"/>
                    <w:tr2bl w:val="nil"/>
                  </w:tcBorders>
                  <w:vAlign w:val="center"/>
                </w:tcPr>
                <w:p w14:paraId="5ED7D0F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《水泥工业大气污染物排放标准》（GB4915-2013）表3无组织排放限值</w:t>
                  </w:r>
                </w:p>
              </w:tc>
              <w:tc>
                <w:tcPr>
                  <w:tcW w:w="1408" w:type="dxa"/>
                  <w:tcBorders>
                    <w:tl2br w:val="nil"/>
                    <w:tr2bl w:val="nil"/>
                  </w:tcBorders>
                  <w:vAlign w:val="center"/>
                </w:tcPr>
                <w:p w14:paraId="4C4A90A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NewRomanPSMT" w:hAnsi="TimesNewRomanPSMT" w:eastAsia="宋体" w:cs="TimesNewRomanPSMT"/>
                      <w:b w:val="0"/>
                      <w:bCs w:val="0"/>
                      <w:color w:val="000000"/>
                      <w:sz w:val="20"/>
                      <w:szCs w:val="20"/>
                      <w:lang w:val="en-US" w:eastAsia="zh-CN"/>
                    </w:rPr>
                    <w:t>0.5</w:t>
                  </w:r>
                  <w:r>
                    <w:rPr>
                      <w:rFonts w:ascii="TimesNewRomanPSMT" w:hAnsi="TimesNewRomanPSMT" w:eastAsia="TimesNewRomanPSMT" w:cs="TimesNewRomanPSMT"/>
                      <w:b w:val="0"/>
                      <w:bCs w:val="0"/>
                      <w:color w:val="000000"/>
                      <w:sz w:val="20"/>
                      <w:szCs w:val="20"/>
                    </w:rPr>
                    <w:t>mg/m</w:t>
                  </w:r>
                  <w:r>
                    <w:rPr>
                      <w:rFonts w:hint="default" w:ascii="TimesNewRomanPSMT" w:hAnsi="TimesNewRomanPSMT" w:eastAsia="TimesNewRomanPSMT" w:cs="TimesNewRomanPSMT"/>
                      <w:b w:val="0"/>
                      <w:bCs w:val="0"/>
                      <w:color w:val="000000"/>
                      <w:sz w:val="18"/>
                      <w:szCs w:val="18"/>
                      <w:vertAlign w:val="superscript"/>
                    </w:rPr>
                    <w:t>3</w:t>
                  </w:r>
                </w:p>
              </w:tc>
            </w:tr>
            <w:tr w14:paraId="3DE4B1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dxa"/>
                  <w:tcBorders>
                    <w:tl2br w:val="nil"/>
                    <w:tr2bl w:val="nil"/>
                  </w:tcBorders>
                  <w:vAlign w:val="center"/>
                </w:tcPr>
                <w:p w14:paraId="0071B3A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生产废水</w:t>
                  </w:r>
                </w:p>
              </w:tc>
              <w:tc>
                <w:tcPr>
                  <w:tcW w:w="1320" w:type="dxa"/>
                  <w:tcBorders>
                    <w:tl2br w:val="nil"/>
                    <w:tr2bl w:val="nil"/>
                  </w:tcBorders>
                  <w:vAlign w:val="center"/>
                </w:tcPr>
                <w:p w14:paraId="4FD7934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SS</w:t>
                  </w:r>
                </w:p>
              </w:tc>
              <w:tc>
                <w:tcPr>
                  <w:tcW w:w="2149" w:type="dxa"/>
                  <w:tcBorders>
                    <w:tl2br w:val="nil"/>
                    <w:tr2bl w:val="nil"/>
                  </w:tcBorders>
                  <w:vAlign w:val="center"/>
                </w:tcPr>
                <w:p w14:paraId="04049AB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通过排水渠引至沉淀池，回用于生产，不外排</w:t>
                  </w:r>
                </w:p>
              </w:tc>
              <w:tc>
                <w:tcPr>
                  <w:tcW w:w="2678" w:type="dxa"/>
                  <w:tcBorders>
                    <w:tl2br w:val="nil"/>
                    <w:tr2bl w:val="nil"/>
                  </w:tcBorders>
                  <w:vAlign w:val="center"/>
                </w:tcPr>
                <w:p w14:paraId="123867B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408" w:type="dxa"/>
                  <w:tcBorders>
                    <w:tl2br w:val="nil"/>
                    <w:tr2bl w:val="nil"/>
                  </w:tcBorders>
                  <w:vAlign w:val="center"/>
                </w:tcPr>
                <w:p w14:paraId="797B36D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回用于生产，不外排</w:t>
                  </w:r>
                </w:p>
              </w:tc>
            </w:tr>
            <w:tr w14:paraId="3943EA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615" w:type="dxa"/>
                  <w:vMerge w:val="restart"/>
                  <w:tcBorders>
                    <w:tl2br w:val="nil"/>
                    <w:tr2bl w:val="nil"/>
                  </w:tcBorders>
                  <w:vAlign w:val="center"/>
                </w:tcPr>
                <w:p w14:paraId="4B6227C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生活废水</w:t>
                  </w:r>
                </w:p>
              </w:tc>
              <w:tc>
                <w:tcPr>
                  <w:tcW w:w="1320" w:type="dxa"/>
                  <w:tcBorders>
                    <w:tl2br w:val="nil"/>
                    <w:tr2bl w:val="nil"/>
                  </w:tcBorders>
                  <w:vAlign w:val="center"/>
                </w:tcPr>
                <w:p w14:paraId="2F13B977">
                  <w:pPr>
                    <w:pStyle w:val="48"/>
                    <w:spacing w:line="240" w:lineRule="auto"/>
                    <w:rPr>
                      <w:rFonts w:hint="default" w:ascii="Times New Roman" w:hAnsi="Times New Roman" w:eastAsia="宋体" w:cs="Times New Roman"/>
                      <w:color w:val="auto"/>
                      <w:sz w:val="21"/>
                      <w:szCs w:val="21"/>
                      <w:highlight w:val="none"/>
                    </w:rPr>
                  </w:pPr>
                  <w:r>
                    <w:rPr>
                      <w:rFonts w:hint="eastAsia"/>
                      <w:color w:val="auto"/>
                      <w:highlight w:val="none"/>
                      <w:lang w:val="en-US" w:eastAsia="zh-CN"/>
                    </w:rPr>
                    <w:t>COD</w:t>
                  </w:r>
                </w:p>
              </w:tc>
              <w:tc>
                <w:tcPr>
                  <w:tcW w:w="2149" w:type="dxa"/>
                  <w:vMerge w:val="restart"/>
                  <w:tcBorders>
                    <w:tl2br w:val="nil"/>
                    <w:tr2bl w:val="nil"/>
                  </w:tcBorders>
                  <w:vAlign w:val="center"/>
                </w:tcPr>
                <w:p w14:paraId="5142745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废水经园区下水管网，排入阜康市西部城区污水处理厂</w:t>
                  </w:r>
                </w:p>
              </w:tc>
              <w:tc>
                <w:tcPr>
                  <w:tcW w:w="2678" w:type="dxa"/>
                  <w:vMerge w:val="restart"/>
                  <w:tcBorders>
                    <w:tl2br w:val="nil"/>
                    <w:tr2bl w:val="nil"/>
                  </w:tcBorders>
                  <w:vAlign w:val="center"/>
                </w:tcPr>
                <w:p w14:paraId="0B21297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《污水综合排放标准》（GB8978-1996）表4中的三级标准</w:t>
                  </w:r>
                </w:p>
              </w:tc>
              <w:tc>
                <w:tcPr>
                  <w:tcW w:w="1408" w:type="dxa"/>
                  <w:tcBorders>
                    <w:tl2br w:val="nil"/>
                    <w:tr2bl w:val="nil"/>
                  </w:tcBorders>
                  <w:vAlign w:val="center"/>
                </w:tcPr>
                <w:p w14:paraId="2FE8D73B">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350</w:t>
                  </w:r>
                  <w:r>
                    <w:rPr>
                      <w:rFonts w:hint="eastAsia" w:ascii="Times New Roman" w:hAnsi="Times New Roman" w:eastAsia="宋体" w:cs="Times New Roman"/>
                      <w:color w:val="auto"/>
                      <w:spacing w:val="0"/>
                      <w:sz w:val="21"/>
                      <w:szCs w:val="21"/>
                      <w:highlight w:val="none"/>
                      <w:lang w:val="en-US" w:eastAsia="zh-CN"/>
                    </w:rPr>
                    <w:t>mg/L</w:t>
                  </w:r>
                </w:p>
              </w:tc>
            </w:tr>
            <w:tr w14:paraId="75583C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615" w:type="dxa"/>
                  <w:vMerge w:val="continue"/>
                  <w:tcBorders>
                    <w:tl2br w:val="nil"/>
                    <w:tr2bl w:val="nil"/>
                  </w:tcBorders>
                  <w:vAlign w:val="center"/>
                </w:tcPr>
                <w:p w14:paraId="3AB3E55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pPr>
                </w:p>
              </w:tc>
              <w:tc>
                <w:tcPr>
                  <w:tcW w:w="1320" w:type="dxa"/>
                  <w:tcBorders>
                    <w:tl2br w:val="nil"/>
                    <w:tr2bl w:val="nil"/>
                  </w:tcBorders>
                  <w:vAlign w:val="center"/>
                </w:tcPr>
                <w:p w14:paraId="0BD085C6">
                  <w:pPr>
                    <w:pStyle w:val="48"/>
                    <w:spacing w:line="240" w:lineRule="auto"/>
                    <w:rPr>
                      <w:rFonts w:hint="default" w:ascii="Times New Roman" w:hAnsi="Times New Roman" w:eastAsia="宋体" w:cs="Times New Roman"/>
                      <w:color w:val="auto"/>
                      <w:sz w:val="21"/>
                      <w:szCs w:val="21"/>
                      <w:highlight w:val="none"/>
                    </w:rPr>
                  </w:pPr>
                  <w:r>
                    <w:rPr>
                      <w:rFonts w:hint="eastAsia"/>
                      <w:color w:val="auto"/>
                      <w:highlight w:val="none"/>
                      <w:lang w:val="en-US" w:eastAsia="zh-CN"/>
                    </w:rPr>
                    <w:t>BOD</w:t>
                  </w:r>
                  <w:r>
                    <w:rPr>
                      <w:rFonts w:hint="eastAsia"/>
                      <w:color w:val="auto"/>
                      <w:highlight w:val="none"/>
                      <w:vertAlign w:val="subscript"/>
                      <w:lang w:val="en-US" w:eastAsia="zh-CN"/>
                    </w:rPr>
                    <w:t>5</w:t>
                  </w:r>
                </w:p>
              </w:tc>
              <w:tc>
                <w:tcPr>
                  <w:tcW w:w="2149" w:type="dxa"/>
                  <w:vMerge w:val="continue"/>
                  <w:tcBorders>
                    <w:tl2br w:val="nil"/>
                    <w:tr2bl w:val="nil"/>
                  </w:tcBorders>
                  <w:vAlign w:val="center"/>
                </w:tcPr>
                <w:p w14:paraId="7C4D58FB">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678" w:type="dxa"/>
                  <w:vMerge w:val="continue"/>
                  <w:tcBorders>
                    <w:tl2br w:val="nil"/>
                    <w:tr2bl w:val="nil"/>
                  </w:tcBorders>
                  <w:vAlign w:val="center"/>
                </w:tcPr>
                <w:p w14:paraId="252AD21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408" w:type="dxa"/>
                  <w:tcBorders>
                    <w:tl2br w:val="nil"/>
                    <w:tr2bl w:val="nil"/>
                  </w:tcBorders>
                  <w:vAlign w:val="center"/>
                </w:tcPr>
                <w:p w14:paraId="102EEE52">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highlight w:val="none"/>
                      <w:lang w:val="en-US" w:eastAsia="zh-CN"/>
                    </w:rPr>
                    <w:t>200</w:t>
                  </w:r>
                  <w:r>
                    <w:rPr>
                      <w:rFonts w:hint="eastAsia" w:ascii="Times New Roman" w:hAnsi="Times New Roman" w:eastAsia="宋体" w:cs="Times New Roman"/>
                      <w:color w:val="auto"/>
                      <w:spacing w:val="0"/>
                      <w:sz w:val="21"/>
                      <w:szCs w:val="21"/>
                      <w:highlight w:val="none"/>
                      <w:lang w:val="en-US" w:eastAsia="zh-CN"/>
                    </w:rPr>
                    <w:t>mg/L</w:t>
                  </w:r>
                </w:p>
              </w:tc>
            </w:tr>
            <w:tr w14:paraId="0EB44BE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615" w:type="dxa"/>
                  <w:vMerge w:val="continue"/>
                  <w:tcBorders>
                    <w:tl2br w:val="nil"/>
                    <w:tr2bl w:val="nil"/>
                  </w:tcBorders>
                  <w:vAlign w:val="center"/>
                </w:tcPr>
                <w:p w14:paraId="2926349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20" w:type="dxa"/>
                  <w:tcBorders>
                    <w:tl2br w:val="nil"/>
                    <w:tr2bl w:val="nil"/>
                  </w:tcBorders>
                  <w:vAlign w:val="center"/>
                </w:tcPr>
                <w:p w14:paraId="4997FAD4">
                  <w:pPr>
                    <w:pStyle w:val="48"/>
                    <w:spacing w:line="240" w:lineRule="auto"/>
                    <w:rPr>
                      <w:rFonts w:hint="default" w:ascii="Times New Roman" w:hAnsi="Times New Roman" w:eastAsia="宋体" w:cs="Times New Roman"/>
                      <w:color w:val="auto"/>
                      <w:sz w:val="21"/>
                      <w:szCs w:val="21"/>
                      <w:highlight w:val="none"/>
                    </w:rPr>
                  </w:pPr>
                  <w:r>
                    <w:rPr>
                      <w:rFonts w:hint="eastAsia"/>
                      <w:color w:val="auto"/>
                      <w:highlight w:val="none"/>
                      <w:lang w:val="en-US" w:eastAsia="zh-CN"/>
                    </w:rPr>
                    <w:t>SS</w:t>
                  </w:r>
                </w:p>
              </w:tc>
              <w:tc>
                <w:tcPr>
                  <w:tcW w:w="2149" w:type="dxa"/>
                  <w:vMerge w:val="continue"/>
                  <w:tcBorders>
                    <w:tl2br w:val="nil"/>
                    <w:tr2bl w:val="nil"/>
                  </w:tcBorders>
                  <w:vAlign w:val="center"/>
                </w:tcPr>
                <w:p w14:paraId="3E373DA7">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678" w:type="dxa"/>
                  <w:vMerge w:val="continue"/>
                  <w:tcBorders>
                    <w:tl2br w:val="nil"/>
                    <w:tr2bl w:val="nil"/>
                  </w:tcBorders>
                  <w:vAlign w:val="center"/>
                </w:tcPr>
                <w:p w14:paraId="73F5FCB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408" w:type="dxa"/>
                  <w:tcBorders>
                    <w:tl2br w:val="nil"/>
                    <w:tr2bl w:val="nil"/>
                  </w:tcBorders>
                  <w:vAlign w:val="center"/>
                </w:tcPr>
                <w:p w14:paraId="3CA4E88C">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250</w:t>
                  </w:r>
                  <w:r>
                    <w:rPr>
                      <w:rFonts w:hint="eastAsia" w:ascii="Times New Roman" w:hAnsi="Times New Roman" w:eastAsia="宋体" w:cs="Times New Roman"/>
                      <w:color w:val="auto"/>
                      <w:spacing w:val="0"/>
                      <w:sz w:val="21"/>
                      <w:szCs w:val="21"/>
                      <w:highlight w:val="none"/>
                      <w:lang w:val="en-US" w:eastAsia="zh-CN"/>
                    </w:rPr>
                    <w:t>mg/L</w:t>
                  </w:r>
                </w:p>
              </w:tc>
            </w:tr>
            <w:tr w14:paraId="2B9952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615" w:type="dxa"/>
                  <w:vMerge w:val="continue"/>
                  <w:tcBorders>
                    <w:tl2br w:val="nil"/>
                    <w:tr2bl w:val="nil"/>
                  </w:tcBorders>
                  <w:vAlign w:val="center"/>
                </w:tcPr>
                <w:p w14:paraId="75EA5FA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20" w:type="dxa"/>
                  <w:tcBorders>
                    <w:tl2br w:val="nil"/>
                    <w:tr2bl w:val="nil"/>
                  </w:tcBorders>
                  <w:vAlign w:val="center"/>
                </w:tcPr>
                <w:p w14:paraId="01DBE2B6">
                  <w:pPr>
                    <w:pStyle w:val="48"/>
                    <w:spacing w:line="240" w:lineRule="auto"/>
                    <w:rPr>
                      <w:rFonts w:hint="default" w:ascii="Times New Roman" w:hAnsi="Times New Roman" w:eastAsia="宋体" w:cs="Times New Roman"/>
                      <w:color w:val="auto"/>
                      <w:sz w:val="21"/>
                      <w:szCs w:val="21"/>
                      <w:highlight w:val="none"/>
                    </w:rPr>
                  </w:pPr>
                  <w:r>
                    <w:rPr>
                      <w:rFonts w:hint="eastAsia"/>
                      <w:color w:val="auto"/>
                      <w:highlight w:val="none"/>
                      <w:lang w:val="en-US" w:eastAsia="zh-CN"/>
                    </w:rPr>
                    <w:t>NH</w:t>
                  </w:r>
                  <w:r>
                    <w:rPr>
                      <w:rFonts w:hint="eastAsia"/>
                      <w:color w:val="auto"/>
                      <w:highlight w:val="none"/>
                      <w:vertAlign w:val="subscript"/>
                      <w:lang w:val="en-US" w:eastAsia="zh-CN"/>
                    </w:rPr>
                    <w:t>3</w:t>
                  </w:r>
                  <w:r>
                    <w:rPr>
                      <w:rFonts w:hint="eastAsia"/>
                      <w:color w:val="auto"/>
                      <w:highlight w:val="none"/>
                      <w:lang w:val="en-US" w:eastAsia="zh-CN"/>
                    </w:rPr>
                    <w:t>-N</w:t>
                  </w:r>
                </w:p>
              </w:tc>
              <w:tc>
                <w:tcPr>
                  <w:tcW w:w="2149" w:type="dxa"/>
                  <w:vMerge w:val="continue"/>
                  <w:tcBorders>
                    <w:tl2br w:val="nil"/>
                    <w:tr2bl w:val="nil"/>
                  </w:tcBorders>
                  <w:vAlign w:val="center"/>
                </w:tcPr>
                <w:p w14:paraId="043B603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678" w:type="dxa"/>
                  <w:vMerge w:val="continue"/>
                  <w:tcBorders>
                    <w:tl2br w:val="nil"/>
                    <w:tr2bl w:val="nil"/>
                  </w:tcBorders>
                  <w:vAlign w:val="center"/>
                </w:tcPr>
                <w:p w14:paraId="1C8FAD6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408" w:type="dxa"/>
                  <w:tcBorders>
                    <w:tl2br w:val="nil"/>
                    <w:tr2bl w:val="nil"/>
                  </w:tcBorders>
                  <w:vAlign w:val="center"/>
                </w:tcPr>
                <w:p w14:paraId="04622E67">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40</w:t>
                  </w:r>
                  <w:r>
                    <w:rPr>
                      <w:rFonts w:hint="eastAsia" w:ascii="Times New Roman" w:hAnsi="Times New Roman" w:eastAsia="宋体" w:cs="Times New Roman"/>
                      <w:color w:val="auto"/>
                      <w:spacing w:val="0"/>
                      <w:sz w:val="21"/>
                      <w:szCs w:val="21"/>
                      <w:highlight w:val="none"/>
                      <w:lang w:val="en-US" w:eastAsia="zh-CN"/>
                    </w:rPr>
                    <w:t>mg/L</w:t>
                  </w:r>
                </w:p>
              </w:tc>
            </w:tr>
            <w:tr w14:paraId="446B3C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15" w:type="dxa"/>
                  <w:tcBorders>
                    <w:tl2br w:val="nil"/>
                    <w:tr2bl w:val="nil"/>
                  </w:tcBorders>
                  <w:vAlign w:val="center"/>
                </w:tcPr>
                <w:p w14:paraId="528BD400">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320" w:type="dxa"/>
                  <w:tcBorders>
                    <w:tl2br w:val="nil"/>
                    <w:tr2bl w:val="nil"/>
                  </w:tcBorders>
                  <w:vAlign w:val="center"/>
                </w:tcPr>
                <w:p w14:paraId="24BE60E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等效连续A声级(Leq(A))</w:t>
                  </w:r>
                </w:p>
              </w:tc>
              <w:tc>
                <w:tcPr>
                  <w:tcW w:w="2149" w:type="dxa"/>
                  <w:tcBorders>
                    <w:tl2br w:val="nil"/>
                    <w:tr2bl w:val="nil"/>
                  </w:tcBorders>
                  <w:vAlign w:val="center"/>
                </w:tcPr>
                <w:p w14:paraId="08DBE58C">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合理布局、厂房隔音，设备减振等</w:t>
                  </w:r>
                </w:p>
              </w:tc>
              <w:tc>
                <w:tcPr>
                  <w:tcW w:w="2678" w:type="dxa"/>
                  <w:tcBorders>
                    <w:tl2br w:val="nil"/>
                    <w:tr2bl w:val="nil"/>
                  </w:tcBorders>
                  <w:vAlign w:val="center"/>
                </w:tcPr>
                <w:p w14:paraId="444BF91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厂界满足《工业企业厂界环境噪声排放标准》(GBl2348-2008)3类标准限值</w:t>
                  </w:r>
                </w:p>
              </w:tc>
              <w:tc>
                <w:tcPr>
                  <w:tcW w:w="1408" w:type="dxa"/>
                  <w:tcBorders>
                    <w:tl2br w:val="nil"/>
                    <w:tr2bl w:val="nil"/>
                  </w:tcBorders>
                  <w:vAlign w:val="center"/>
                </w:tcPr>
                <w:p w14:paraId="61F846CA">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0"/>
                      <w:sz w:val="21"/>
                      <w:szCs w:val="21"/>
                      <w:highlight w:val="none"/>
                    </w:rPr>
                    <w:t>昼间：65dB（A）、夜间：55dB（A）</w:t>
                  </w:r>
                </w:p>
              </w:tc>
            </w:tr>
            <w:tr w14:paraId="227FD5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15" w:type="dxa"/>
                  <w:vMerge w:val="restart"/>
                  <w:tcBorders>
                    <w:tl2br w:val="nil"/>
                    <w:tr2bl w:val="nil"/>
                  </w:tcBorders>
                  <w:vAlign w:val="center"/>
                </w:tcPr>
                <w:p w14:paraId="4F39033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1320" w:type="dxa"/>
                  <w:tcBorders>
                    <w:tl2br w:val="nil"/>
                    <w:tr2bl w:val="nil"/>
                  </w:tcBorders>
                  <w:vAlign w:val="center"/>
                </w:tcPr>
                <w:p w14:paraId="01391D7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除尘灰</w:t>
                  </w:r>
                </w:p>
              </w:tc>
              <w:tc>
                <w:tcPr>
                  <w:tcW w:w="2149" w:type="dxa"/>
                  <w:vMerge w:val="restart"/>
                  <w:tcBorders>
                    <w:tl2br w:val="nil"/>
                    <w:tr2bl w:val="nil"/>
                  </w:tcBorders>
                  <w:vAlign w:val="center"/>
                </w:tcPr>
                <w:p w14:paraId="59743D2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bCs/>
                      <w:color w:val="auto"/>
                      <w:sz w:val="21"/>
                      <w:szCs w:val="21"/>
                      <w:lang w:val="en-US" w:eastAsia="zh-CN"/>
                    </w:rPr>
                    <w:t>集中收集后回用于生产</w:t>
                  </w:r>
                </w:p>
              </w:tc>
              <w:tc>
                <w:tcPr>
                  <w:tcW w:w="2678" w:type="dxa"/>
                  <w:vMerge w:val="restart"/>
                  <w:tcBorders>
                    <w:tl2br w:val="nil"/>
                    <w:tr2bl w:val="nil"/>
                  </w:tcBorders>
                  <w:vAlign w:val="center"/>
                </w:tcPr>
                <w:p w14:paraId="3E41F93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《一般工业固体废物贮存和填埋污染控制标准》(GB_18599-2020)</w:t>
                  </w:r>
                </w:p>
              </w:tc>
              <w:tc>
                <w:tcPr>
                  <w:tcW w:w="1408" w:type="dxa"/>
                  <w:vMerge w:val="restart"/>
                  <w:tcBorders>
                    <w:tl2br w:val="nil"/>
                    <w:tr2bl w:val="nil"/>
                  </w:tcBorders>
                  <w:vAlign w:val="center"/>
                </w:tcPr>
                <w:p w14:paraId="004947F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bCs/>
                      <w:color w:val="auto"/>
                      <w:sz w:val="21"/>
                      <w:szCs w:val="21"/>
                      <w:lang w:val="en-US" w:eastAsia="zh-CN"/>
                    </w:rPr>
                    <w:t>集中收集后回用于生产</w:t>
                  </w:r>
                </w:p>
              </w:tc>
            </w:tr>
            <w:tr w14:paraId="76BE35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15" w:type="dxa"/>
                  <w:vMerge w:val="continue"/>
                  <w:tcBorders>
                    <w:tl2br w:val="nil"/>
                    <w:tr2bl w:val="nil"/>
                  </w:tcBorders>
                  <w:vAlign w:val="center"/>
                </w:tcPr>
                <w:p w14:paraId="0234EBF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pPr>
                </w:p>
              </w:tc>
              <w:tc>
                <w:tcPr>
                  <w:tcW w:w="1320" w:type="dxa"/>
                  <w:tcBorders>
                    <w:tl2br w:val="nil"/>
                    <w:tr2bl w:val="nil"/>
                  </w:tcBorders>
                  <w:vAlign w:val="center"/>
                </w:tcPr>
                <w:p w14:paraId="08D6C96F">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沉淀池沉渣</w:t>
                  </w:r>
                </w:p>
              </w:tc>
              <w:tc>
                <w:tcPr>
                  <w:tcW w:w="2149" w:type="dxa"/>
                  <w:vMerge w:val="continue"/>
                  <w:tcBorders>
                    <w:tl2br w:val="nil"/>
                    <w:tr2bl w:val="nil"/>
                  </w:tcBorders>
                  <w:vAlign w:val="center"/>
                </w:tcPr>
                <w:p w14:paraId="2FCE055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678" w:type="dxa"/>
                  <w:vMerge w:val="continue"/>
                  <w:tcBorders>
                    <w:tl2br w:val="nil"/>
                    <w:tr2bl w:val="nil"/>
                  </w:tcBorders>
                  <w:vAlign w:val="center"/>
                </w:tcPr>
                <w:p w14:paraId="231FE9C6">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408" w:type="dxa"/>
                  <w:vMerge w:val="continue"/>
                  <w:tcBorders>
                    <w:tl2br w:val="nil"/>
                    <w:tr2bl w:val="nil"/>
                  </w:tcBorders>
                  <w:vAlign w:val="center"/>
                </w:tcPr>
                <w:p w14:paraId="194B832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r>
            <w:tr w14:paraId="2CC7C5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615" w:type="dxa"/>
                  <w:vMerge w:val="continue"/>
                  <w:tcBorders>
                    <w:tl2br w:val="nil"/>
                    <w:tr2bl w:val="nil"/>
                  </w:tcBorders>
                  <w:vAlign w:val="center"/>
                </w:tcPr>
                <w:p w14:paraId="3917F5D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20" w:type="dxa"/>
                  <w:tcBorders>
                    <w:tl2br w:val="nil"/>
                    <w:tr2bl w:val="nil"/>
                  </w:tcBorders>
                  <w:vAlign w:val="center"/>
                </w:tcPr>
                <w:p w14:paraId="74210D3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废边角料</w:t>
                  </w:r>
                </w:p>
              </w:tc>
              <w:tc>
                <w:tcPr>
                  <w:tcW w:w="2149" w:type="dxa"/>
                  <w:tcBorders>
                    <w:tl2br w:val="nil"/>
                    <w:tr2bl w:val="nil"/>
                  </w:tcBorders>
                  <w:vAlign w:val="center"/>
                </w:tcPr>
                <w:p w14:paraId="365B4B1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集中收集后定期拉运至垃圾填埋场填埋</w:t>
                  </w:r>
                </w:p>
              </w:tc>
              <w:tc>
                <w:tcPr>
                  <w:tcW w:w="2678" w:type="dxa"/>
                  <w:vMerge w:val="continue"/>
                  <w:tcBorders>
                    <w:tl2br w:val="nil"/>
                    <w:tr2bl w:val="nil"/>
                  </w:tcBorders>
                  <w:vAlign w:val="center"/>
                </w:tcPr>
                <w:p w14:paraId="3188E94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408" w:type="dxa"/>
                  <w:tcBorders>
                    <w:tl2br w:val="nil"/>
                    <w:tr2bl w:val="nil"/>
                  </w:tcBorders>
                  <w:vAlign w:val="center"/>
                </w:tcPr>
                <w:p w14:paraId="0BA32419">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集中收集后定期拉运至垃圾填埋场填埋</w:t>
                  </w:r>
                </w:p>
              </w:tc>
            </w:tr>
            <w:tr w14:paraId="75616E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615" w:type="dxa"/>
                  <w:vMerge w:val="continue"/>
                  <w:tcBorders>
                    <w:tl2br w:val="nil"/>
                    <w:tr2bl w:val="nil"/>
                  </w:tcBorders>
                  <w:vAlign w:val="center"/>
                </w:tcPr>
                <w:p w14:paraId="3231A333">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pPr>
                </w:p>
              </w:tc>
              <w:tc>
                <w:tcPr>
                  <w:tcW w:w="1320" w:type="dxa"/>
                  <w:tcBorders>
                    <w:tl2br w:val="nil"/>
                    <w:tr2bl w:val="nil"/>
                  </w:tcBorders>
                  <w:vAlign w:val="center"/>
                </w:tcPr>
                <w:p w14:paraId="2BBEF1D2">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废包装袋</w:t>
                  </w:r>
                </w:p>
              </w:tc>
              <w:tc>
                <w:tcPr>
                  <w:tcW w:w="2149" w:type="dxa"/>
                  <w:tcBorders>
                    <w:tl2br w:val="nil"/>
                    <w:tr2bl w:val="nil"/>
                  </w:tcBorders>
                  <w:vAlign w:val="center"/>
                </w:tcPr>
                <w:p w14:paraId="0E5132D1">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全部外售给废品收购站回收综合利用</w:t>
                  </w:r>
                </w:p>
              </w:tc>
              <w:tc>
                <w:tcPr>
                  <w:tcW w:w="2678" w:type="dxa"/>
                  <w:vMerge w:val="continue"/>
                  <w:tcBorders>
                    <w:tl2br w:val="nil"/>
                    <w:tr2bl w:val="nil"/>
                  </w:tcBorders>
                  <w:vAlign w:val="center"/>
                </w:tcPr>
                <w:p w14:paraId="12066B3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408" w:type="dxa"/>
                  <w:tcBorders>
                    <w:tl2br w:val="nil"/>
                    <w:tr2bl w:val="nil"/>
                  </w:tcBorders>
                  <w:vAlign w:val="center"/>
                </w:tcPr>
                <w:p w14:paraId="1237D704">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全部外售给废品收购站回收综合利用</w:t>
                  </w:r>
                </w:p>
              </w:tc>
            </w:tr>
            <w:tr w14:paraId="1057D8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615" w:type="dxa"/>
                  <w:vMerge w:val="continue"/>
                  <w:tcBorders>
                    <w:tl2br w:val="nil"/>
                    <w:tr2bl w:val="nil"/>
                  </w:tcBorders>
                  <w:vAlign w:val="center"/>
                </w:tcPr>
                <w:p w14:paraId="59AE0CAE">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20" w:type="dxa"/>
                  <w:tcBorders>
                    <w:tl2br w:val="nil"/>
                    <w:tr2bl w:val="nil"/>
                  </w:tcBorders>
                  <w:vAlign w:val="center"/>
                </w:tcPr>
                <w:p w14:paraId="0F6C0F5E">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bidi="zh-CN"/>
                    </w:rPr>
                    <w:t>生活垃圾</w:t>
                  </w:r>
                </w:p>
              </w:tc>
              <w:tc>
                <w:tcPr>
                  <w:tcW w:w="2149" w:type="dxa"/>
                  <w:tcBorders>
                    <w:tl2br w:val="nil"/>
                    <w:tr2bl w:val="nil"/>
                  </w:tcBorders>
                  <w:vAlign w:val="center"/>
                </w:tcPr>
                <w:p w14:paraId="2BA11395">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highlight w:val="none"/>
                      <w:lang w:val="en-US" w:eastAsia="zh-CN"/>
                    </w:rPr>
                    <w:t>集中定点收集至厂区内封闭式垃圾箱，委托环卫部门清运</w:t>
                  </w:r>
                </w:p>
              </w:tc>
              <w:tc>
                <w:tcPr>
                  <w:tcW w:w="2678" w:type="dxa"/>
                  <w:vMerge w:val="continue"/>
                  <w:tcBorders>
                    <w:tl2br w:val="nil"/>
                    <w:tr2bl w:val="nil"/>
                  </w:tcBorders>
                  <w:vAlign w:val="center"/>
                </w:tcPr>
                <w:p w14:paraId="150BF14D">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p>
              </w:tc>
              <w:tc>
                <w:tcPr>
                  <w:tcW w:w="1408" w:type="dxa"/>
                  <w:tcBorders>
                    <w:tl2br w:val="nil"/>
                    <w:tr2bl w:val="nil"/>
                  </w:tcBorders>
                  <w:vAlign w:val="center"/>
                </w:tcPr>
                <w:p w14:paraId="49E61428">
                  <w:pPr>
                    <w:pStyle w:val="3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集中定点收集至厂区内封闭式垃圾箱，委托环卫部门清运</w:t>
                  </w:r>
                </w:p>
              </w:tc>
            </w:tr>
            <w:tr w14:paraId="78DDC2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615" w:type="dxa"/>
                  <w:vMerge w:val="continue"/>
                  <w:tcBorders>
                    <w:tl2br w:val="nil"/>
                    <w:tr2bl w:val="nil"/>
                  </w:tcBorders>
                  <w:vAlign w:val="center"/>
                </w:tcPr>
                <w:p w14:paraId="4751EF59">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pPr>
                </w:p>
              </w:tc>
              <w:tc>
                <w:tcPr>
                  <w:tcW w:w="1320" w:type="dxa"/>
                  <w:tcBorders>
                    <w:tl2br w:val="nil"/>
                    <w:tr2bl w:val="nil"/>
                  </w:tcBorders>
                  <w:vAlign w:val="center"/>
                </w:tcPr>
                <w:p w14:paraId="16513187">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eastAsia" w:ascii="Times New Roman" w:hAnsi="Times New Roman" w:eastAsia="宋体" w:cs="Times New Roman"/>
                      <w:color w:val="auto"/>
                      <w:sz w:val="21"/>
                      <w:szCs w:val="21"/>
                      <w:highlight w:val="none"/>
                      <w:lang w:val="en-US" w:eastAsia="zh-CN" w:bidi="zh-CN"/>
                    </w:rPr>
                    <w:t>废机油</w:t>
                  </w:r>
                </w:p>
              </w:tc>
              <w:tc>
                <w:tcPr>
                  <w:tcW w:w="2149" w:type="dxa"/>
                  <w:tcBorders>
                    <w:tl2br w:val="nil"/>
                    <w:tr2bl w:val="nil"/>
                  </w:tcBorders>
                  <w:vAlign w:val="center"/>
                </w:tcPr>
                <w:p w14:paraId="6590E9C9">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highlight w:val="none"/>
                    </w:rPr>
                    <w:t>设置危险废物暂存间，并定期交由有资质的单位进行处置</w:t>
                  </w:r>
                </w:p>
              </w:tc>
              <w:tc>
                <w:tcPr>
                  <w:tcW w:w="2678" w:type="dxa"/>
                  <w:tcBorders>
                    <w:tl2br w:val="nil"/>
                    <w:tr2bl w:val="nil"/>
                  </w:tcBorders>
                  <w:vAlign w:val="center"/>
                </w:tcPr>
                <w:p w14:paraId="1C2A9441">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highlight w:val="none"/>
                    </w:rPr>
                    <w:t>《危险废物贮存污染控制</w:t>
                  </w:r>
                  <w:r>
                    <w:rPr>
                      <w:rFonts w:hint="default" w:ascii="Times New Roman" w:hAnsi="Times New Roman" w:eastAsia="宋体" w:cs="Times New Roman"/>
                      <w:color w:val="auto"/>
                      <w:w w:val="95"/>
                      <w:sz w:val="21"/>
                      <w:szCs w:val="21"/>
                      <w:highlight w:val="none"/>
                    </w:rPr>
                    <w:t>标准》（GB18597-20</w:t>
                  </w:r>
                  <w:r>
                    <w:rPr>
                      <w:rFonts w:hint="default" w:ascii="Times New Roman" w:hAnsi="Times New Roman" w:cs="Times New Roman"/>
                      <w:color w:val="auto"/>
                      <w:w w:val="95"/>
                      <w:sz w:val="21"/>
                      <w:szCs w:val="21"/>
                      <w:highlight w:val="none"/>
                      <w:lang w:val="en-US" w:eastAsia="zh-CN"/>
                    </w:rPr>
                    <w:t>23</w:t>
                  </w:r>
                  <w:r>
                    <w:rPr>
                      <w:rFonts w:hint="default" w:ascii="Times New Roman" w:hAnsi="Times New Roman" w:eastAsia="宋体" w:cs="Times New Roman"/>
                      <w:color w:val="auto"/>
                      <w:w w:val="95"/>
                      <w:sz w:val="21"/>
                      <w:szCs w:val="21"/>
                      <w:highlight w:val="none"/>
                    </w:rPr>
                    <w:t>）</w:t>
                  </w:r>
                </w:p>
              </w:tc>
              <w:tc>
                <w:tcPr>
                  <w:tcW w:w="1408" w:type="dxa"/>
                  <w:tcBorders>
                    <w:tl2br w:val="nil"/>
                    <w:tr2bl w:val="nil"/>
                  </w:tcBorders>
                  <w:vAlign w:val="center"/>
                </w:tcPr>
                <w:p w14:paraId="7C3715AB">
                  <w:pPr>
                    <w:pStyle w:val="3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zCs w:val="21"/>
                      <w:highlight w:val="none"/>
                    </w:rPr>
                    <w:t>暂存于危废暂存间，委托有处理资质的单位定期拉运处置</w:t>
                  </w:r>
                </w:p>
              </w:tc>
            </w:tr>
          </w:tbl>
          <w:p w14:paraId="010B1884">
            <w:pPr>
              <w:rPr>
                <w:rFonts w:hint="default" w:ascii="Times New Roman" w:hAnsi="Times New Roman" w:eastAsia="宋体" w:cs="Times New Roman"/>
                <w:b/>
                <w:bCs/>
                <w:color w:val="auto"/>
                <w:sz w:val="21"/>
                <w:szCs w:val="21"/>
                <w:highlight w:val="none"/>
              </w:rPr>
            </w:pPr>
          </w:p>
          <w:p w14:paraId="2B69BAAD">
            <w:pPr>
              <w:rPr>
                <w:rFonts w:hint="default" w:ascii="Times New Roman" w:hAnsi="Times New Roman" w:eastAsia="宋体" w:cs="Times New Roman"/>
                <w:b/>
                <w:bCs/>
                <w:color w:val="auto"/>
                <w:sz w:val="21"/>
                <w:szCs w:val="21"/>
                <w:highlight w:val="none"/>
              </w:rPr>
            </w:pPr>
          </w:p>
          <w:p w14:paraId="0B711D29">
            <w:pPr>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highlight w:val="none"/>
              </w:rPr>
            </w:pPr>
          </w:p>
        </w:tc>
      </w:tr>
    </w:tbl>
    <w:p w14:paraId="6D30D56C">
      <w:pPr>
        <w:adjustRightInd w:val="0"/>
        <w:snapToGrid w:val="0"/>
        <w:spacing w:line="360" w:lineRule="auto"/>
        <w:rPr>
          <w:rFonts w:hint="eastAsia" w:ascii="宋体"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9829280">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1" w:name="_Hlk54167917"/>
      <w:r>
        <w:rPr>
          <w:rFonts w:hint="eastAsia" w:ascii="黑体" w:hAnsi="黑体" w:eastAsia="黑体"/>
          <w:snapToGrid w:val="0"/>
          <w:color w:val="auto"/>
          <w:sz w:val="30"/>
          <w:szCs w:val="30"/>
        </w:rPr>
        <w:t>环境保护措施监督检查清单</w:t>
      </w:r>
      <w:bookmarkEnd w:id="1"/>
    </w:p>
    <w:tbl>
      <w:tblPr>
        <w:tblStyle w:val="2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497"/>
        <w:gridCol w:w="1174"/>
        <w:gridCol w:w="2489"/>
        <w:gridCol w:w="2497"/>
      </w:tblGrid>
      <w:tr w14:paraId="0BA12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tcBorders>
              <w:tl2br w:val="single" w:color="auto" w:sz="4" w:space="0"/>
            </w:tcBorders>
            <w:vAlign w:val="center"/>
          </w:tcPr>
          <w:p w14:paraId="6709387F">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rPr>
              <w:t>内容</w:t>
            </w:r>
          </w:p>
          <w:p w14:paraId="412F7F7D">
            <w:pPr>
              <w:keepNext w:val="0"/>
              <w:keepLines w:val="0"/>
              <w:pageBreakBefore w:val="0"/>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497" w:type="dxa"/>
            <w:vAlign w:val="center"/>
          </w:tcPr>
          <w:p w14:paraId="596E4614">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排放口(编号、名称)/污染源</w:t>
            </w:r>
          </w:p>
        </w:tc>
        <w:tc>
          <w:tcPr>
            <w:tcW w:w="1174" w:type="dxa"/>
            <w:vAlign w:val="center"/>
          </w:tcPr>
          <w:p w14:paraId="5E10DC73">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污染物项目</w:t>
            </w:r>
          </w:p>
        </w:tc>
        <w:tc>
          <w:tcPr>
            <w:tcW w:w="2489" w:type="dxa"/>
            <w:vAlign w:val="center"/>
          </w:tcPr>
          <w:p w14:paraId="2BD219A4">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2497" w:type="dxa"/>
            <w:vAlign w:val="center"/>
          </w:tcPr>
          <w:p w14:paraId="27CE01EF">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14:paraId="7AA31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vMerge w:val="restart"/>
            <w:vAlign w:val="center"/>
          </w:tcPr>
          <w:p w14:paraId="56338313">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p w14:paraId="5DAB2D8A">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有组织</w:t>
            </w:r>
            <w:r>
              <w:rPr>
                <w:rFonts w:hint="default" w:ascii="Times New Roman" w:hAnsi="Times New Roman" w:cs="Times New Roman"/>
                <w:color w:val="auto"/>
                <w:sz w:val="24"/>
                <w:szCs w:val="24"/>
                <w:lang w:eastAsia="zh-CN"/>
              </w:rPr>
              <w:t>）</w:t>
            </w:r>
          </w:p>
        </w:tc>
        <w:tc>
          <w:tcPr>
            <w:tcW w:w="1497" w:type="dxa"/>
            <w:vAlign w:val="center"/>
          </w:tcPr>
          <w:p w14:paraId="307040DC">
            <w:pPr>
              <w:pStyle w:val="30"/>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lang w:val="zh-CN" w:eastAsia="zh-CN" w:bidi="zh-CN"/>
              </w:rPr>
            </w:pPr>
            <w:r>
              <w:rPr>
                <w:rFonts w:hint="eastAsia" w:ascii="Times New Roman" w:hAnsi="Times New Roman" w:cs="Times New Roman"/>
                <w:color w:val="auto"/>
                <w:sz w:val="24"/>
                <w:szCs w:val="24"/>
                <w:highlight w:val="none"/>
                <w:lang w:val="en-US" w:eastAsia="zh-CN"/>
              </w:rPr>
              <w:t>筒仓粉尘</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DA00</w:t>
            </w:r>
            <w:r>
              <w:rPr>
                <w:rFonts w:hint="default" w:ascii="Times New Roman" w:hAnsi="Times New Roman" w:cs="Times New Roman"/>
                <w:color w:val="auto"/>
                <w:sz w:val="24"/>
                <w:szCs w:val="24"/>
                <w:highlight w:val="none"/>
                <w:lang w:val="en-US" w:eastAsia="zh-CN"/>
              </w:rPr>
              <w:t>1）</w:t>
            </w:r>
          </w:p>
        </w:tc>
        <w:tc>
          <w:tcPr>
            <w:tcW w:w="1174" w:type="dxa"/>
            <w:vAlign w:val="center"/>
          </w:tcPr>
          <w:p w14:paraId="46F10BF6">
            <w:pPr>
              <w:pStyle w:val="30"/>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lang w:val="en-US" w:eastAsia="zh-CN" w:bidi="zh-CN"/>
              </w:rPr>
            </w:pPr>
            <w:r>
              <w:rPr>
                <w:rFonts w:hint="default" w:ascii="Times New Roman" w:hAnsi="Times New Roman" w:eastAsia="宋体" w:cs="Times New Roman"/>
                <w:color w:val="auto"/>
                <w:sz w:val="24"/>
                <w:szCs w:val="24"/>
              </w:rPr>
              <w:t>颗粒物</w:t>
            </w:r>
          </w:p>
        </w:tc>
        <w:tc>
          <w:tcPr>
            <w:tcW w:w="2489" w:type="dxa"/>
            <w:vAlign w:val="center"/>
          </w:tcPr>
          <w:p w14:paraId="32D8A22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kern w:val="2"/>
                <w:sz w:val="24"/>
                <w:szCs w:val="24"/>
                <w:lang w:val="en-US" w:eastAsia="zh-CN" w:bidi="zh-CN"/>
              </w:rPr>
            </w:pPr>
            <w:r>
              <w:rPr>
                <w:rFonts w:hint="eastAsia" w:cs="Times New Roman"/>
                <w:color w:val="auto"/>
                <w:kern w:val="0"/>
                <w:sz w:val="24"/>
                <w:szCs w:val="24"/>
                <w:highlight w:val="none"/>
                <w:lang w:val="en-US" w:eastAsia="zh-CN" w:bidi="ar-SA"/>
              </w:rPr>
              <w:t>通过筒仓自带除尘器处理后</w:t>
            </w:r>
            <w:r>
              <w:rPr>
                <w:rFonts w:hint="eastAsia" w:ascii="Times New Roman" w:hAnsi="Times New Roman" w:eastAsia="宋体" w:cs="Times New Roman"/>
                <w:color w:val="auto"/>
                <w:kern w:val="0"/>
                <w:sz w:val="24"/>
                <w:szCs w:val="24"/>
                <w:highlight w:val="none"/>
                <w:lang w:val="en-US" w:eastAsia="zh-CN" w:bidi="ar-SA"/>
              </w:rPr>
              <w:t>经15m高排气筒排放</w:t>
            </w:r>
          </w:p>
        </w:tc>
        <w:tc>
          <w:tcPr>
            <w:tcW w:w="2497" w:type="dxa"/>
            <w:vAlign w:val="center"/>
          </w:tcPr>
          <w:p w14:paraId="7B657D8F">
            <w:pPr>
              <w:overflowPunct w:val="0"/>
              <w:autoSpaceDE w:val="0"/>
              <w:autoSpaceDN w:val="0"/>
              <w:bidi w:val="0"/>
              <w:adjustRightInd w:val="0"/>
              <w:snapToGrid w:val="0"/>
              <w:spacing w:before="0" w:after="0" w:line="240" w:lineRule="auto"/>
              <w:ind w:left="0" w:leftChars="0" w:right="0" w:rightChars="0" w:firstLine="0" w:firstLineChars="0"/>
              <w:jc w:val="center"/>
              <w:rPr>
                <w:rFonts w:hint="default"/>
                <w:color w:val="auto"/>
                <w:sz w:val="24"/>
                <w:szCs w:val="24"/>
                <w:lang w:eastAsia="zh-CN"/>
              </w:rPr>
            </w:pPr>
            <w:r>
              <w:rPr>
                <w:rFonts w:hint="default" w:ascii="Times New Roman" w:hAnsi="Times New Roman" w:eastAsia="宋体" w:cs="Times New Roman"/>
                <w:color w:val="auto"/>
                <w:kern w:val="21"/>
                <w:sz w:val="24"/>
                <w:szCs w:val="24"/>
                <w:highlight w:val="none"/>
                <w:lang w:val="en-US" w:eastAsia="zh-CN" w:bidi="ar"/>
              </w:rPr>
              <w:t>《水泥工业大气污染物排放标准》（GB4915-2013）表2中大气污染物特别排放限值</w:t>
            </w:r>
          </w:p>
        </w:tc>
      </w:tr>
      <w:tr w14:paraId="6BC4B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vMerge w:val="continue"/>
            <w:vAlign w:val="center"/>
          </w:tcPr>
          <w:p w14:paraId="5799C6F4">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p>
        </w:tc>
        <w:tc>
          <w:tcPr>
            <w:tcW w:w="1497" w:type="dxa"/>
            <w:vAlign w:val="center"/>
          </w:tcPr>
          <w:p w14:paraId="4D6499B6">
            <w:pPr>
              <w:pStyle w:val="30"/>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lang w:val="zh-CN" w:eastAsia="zh-CN" w:bidi="zh-CN"/>
              </w:rPr>
            </w:pPr>
            <w:r>
              <w:rPr>
                <w:rFonts w:hint="default" w:ascii="Times New Roman" w:hAnsi="Times New Roman" w:cs="Times New Roman"/>
                <w:color w:val="auto"/>
                <w:sz w:val="24"/>
                <w:szCs w:val="24"/>
                <w:highlight w:val="none"/>
                <w:lang w:val="en-US" w:eastAsia="zh-CN"/>
              </w:rPr>
              <w:t>搅拌</w:t>
            </w:r>
            <w:r>
              <w:rPr>
                <w:rFonts w:hint="eastAsia" w:ascii="Times New Roman" w:hAnsi="Times New Roman" w:cs="Times New Roman"/>
                <w:color w:val="auto"/>
                <w:sz w:val="24"/>
                <w:szCs w:val="24"/>
                <w:highlight w:val="none"/>
                <w:lang w:val="en-US" w:eastAsia="zh-CN"/>
              </w:rPr>
              <w:t>粉尘</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DA00</w:t>
            </w:r>
            <w:r>
              <w:rPr>
                <w:rFonts w:hint="default" w:ascii="Times New Roman" w:hAnsi="Times New Roman" w:cs="Times New Roman"/>
                <w:color w:val="auto"/>
                <w:sz w:val="24"/>
                <w:szCs w:val="24"/>
                <w:highlight w:val="none"/>
                <w:lang w:val="en-US" w:eastAsia="zh-CN"/>
              </w:rPr>
              <w:t>1）</w:t>
            </w:r>
          </w:p>
        </w:tc>
        <w:tc>
          <w:tcPr>
            <w:tcW w:w="1174" w:type="dxa"/>
            <w:vAlign w:val="center"/>
          </w:tcPr>
          <w:p w14:paraId="7DBEACE1">
            <w:pPr>
              <w:pStyle w:val="30"/>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lang w:val="zh-CN" w:eastAsia="zh-CN" w:bidi="zh-CN"/>
              </w:rPr>
            </w:pPr>
            <w:r>
              <w:rPr>
                <w:rFonts w:hint="default" w:ascii="Times New Roman" w:hAnsi="Times New Roman" w:eastAsia="宋体" w:cs="Times New Roman"/>
                <w:color w:val="auto"/>
                <w:sz w:val="24"/>
                <w:szCs w:val="24"/>
              </w:rPr>
              <w:t>颗粒物</w:t>
            </w:r>
          </w:p>
        </w:tc>
        <w:tc>
          <w:tcPr>
            <w:tcW w:w="2489" w:type="dxa"/>
            <w:vAlign w:val="center"/>
          </w:tcPr>
          <w:p w14:paraId="6F3CDFF8">
            <w:pPr>
              <w:pStyle w:val="30"/>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厂房密闭，通过</w:t>
            </w:r>
            <w:r>
              <w:rPr>
                <w:rFonts w:hint="default" w:ascii="Times New Roman" w:hAnsi="Times New Roman" w:eastAsia="宋体" w:cs="Times New Roman"/>
                <w:color w:val="auto"/>
                <w:sz w:val="24"/>
                <w:szCs w:val="24"/>
              </w:rPr>
              <w:t>布袋除尘器</w:t>
            </w:r>
            <w:r>
              <w:rPr>
                <w:rFonts w:hint="eastAsia" w:ascii="Times New Roman" w:hAnsi="Times New Roman" w:cs="Times New Roman"/>
                <w:color w:val="auto"/>
                <w:kern w:val="0"/>
                <w:sz w:val="24"/>
                <w:szCs w:val="24"/>
                <w:highlight w:val="none"/>
                <w:lang w:val="en-US" w:eastAsia="zh-CN" w:bidi="ar-SA"/>
              </w:rPr>
              <w:t>处理</w:t>
            </w:r>
            <w:r>
              <w:rPr>
                <w:rFonts w:hint="eastAsia" w:ascii="Times New Roman" w:hAnsi="Times New Roman" w:eastAsia="宋体" w:cs="Times New Roman"/>
                <w:color w:val="auto"/>
                <w:kern w:val="0"/>
                <w:sz w:val="24"/>
                <w:szCs w:val="24"/>
                <w:highlight w:val="none"/>
                <w:lang w:val="en-US" w:eastAsia="zh-CN" w:bidi="ar-SA"/>
              </w:rPr>
              <w:t>后经1</w:t>
            </w:r>
            <w:r>
              <w:rPr>
                <w:rFonts w:hint="default" w:ascii="Times New Roman" w:hAnsi="Times New Roman" w:eastAsia="宋体" w:cs="Times New Roman"/>
                <w:color w:val="auto"/>
                <w:sz w:val="24"/>
                <w:szCs w:val="24"/>
              </w:rPr>
              <w:t>5m高排气筒</w:t>
            </w:r>
            <w:r>
              <w:rPr>
                <w:rFonts w:hint="eastAsia" w:ascii="Times New Roman" w:hAnsi="Times New Roman" w:cs="Times New Roman"/>
                <w:color w:val="auto"/>
                <w:sz w:val="24"/>
                <w:szCs w:val="24"/>
                <w:lang w:val="en-US" w:eastAsia="zh-CN"/>
              </w:rPr>
              <w:t>排放</w:t>
            </w:r>
          </w:p>
        </w:tc>
        <w:tc>
          <w:tcPr>
            <w:tcW w:w="2497" w:type="dxa"/>
            <w:vAlign w:val="center"/>
          </w:tcPr>
          <w:p w14:paraId="2BA6FE34">
            <w:pPr>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val="en-US" w:eastAsia="zh-CN"/>
              </w:rPr>
              <w:t>《水泥工业大气污染物排放标准》（GB4915-2013）表2中大气污染物特别排放限值</w:t>
            </w:r>
          </w:p>
        </w:tc>
      </w:tr>
      <w:tr w14:paraId="308D1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43" w:type="dxa"/>
            <w:vAlign w:val="center"/>
          </w:tcPr>
          <w:p w14:paraId="61A39C45">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p w14:paraId="38BA823E">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无组织</w:t>
            </w:r>
            <w:r>
              <w:rPr>
                <w:rFonts w:hint="default" w:ascii="Times New Roman" w:hAnsi="Times New Roman" w:cs="Times New Roman"/>
                <w:color w:val="auto"/>
                <w:sz w:val="24"/>
                <w:szCs w:val="24"/>
                <w:lang w:eastAsia="zh-CN"/>
              </w:rPr>
              <w:t>）</w:t>
            </w:r>
          </w:p>
        </w:tc>
        <w:tc>
          <w:tcPr>
            <w:tcW w:w="1497" w:type="dxa"/>
            <w:vAlign w:val="center"/>
          </w:tcPr>
          <w:p w14:paraId="1254E9CC">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zh-CN" w:eastAsia="zh-CN" w:bidi="ar-SA"/>
              </w:rPr>
            </w:pPr>
            <w:r>
              <w:rPr>
                <w:rFonts w:hint="default" w:ascii="Times New Roman" w:hAnsi="Times New Roman" w:cs="Times New Roman"/>
                <w:color w:val="auto"/>
                <w:sz w:val="24"/>
                <w:szCs w:val="24"/>
                <w:highlight w:val="none"/>
                <w:lang w:val="en-US" w:eastAsia="zh-CN"/>
              </w:rPr>
              <w:t>搅拌</w:t>
            </w:r>
            <w:r>
              <w:rPr>
                <w:rFonts w:hint="eastAsia" w:ascii="Times New Roman" w:hAnsi="Times New Roman" w:cs="Times New Roman"/>
                <w:color w:val="auto"/>
                <w:sz w:val="24"/>
                <w:szCs w:val="24"/>
                <w:highlight w:val="none"/>
                <w:lang w:val="en-US" w:eastAsia="zh-CN"/>
              </w:rPr>
              <w:t>粉尘</w:t>
            </w:r>
          </w:p>
        </w:tc>
        <w:tc>
          <w:tcPr>
            <w:tcW w:w="1174" w:type="dxa"/>
            <w:vAlign w:val="center"/>
          </w:tcPr>
          <w:p w14:paraId="7401D95C">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zh-CN" w:eastAsia="zh-CN" w:bidi="ar-SA"/>
              </w:rPr>
            </w:pPr>
            <w:r>
              <w:rPr>
                <w:rFonts w:hint="default" w:ascii="Times New Roman" w:hAnsi="Times New Roman" w:eastAsia="宋体" w:cs="Times New Roman"/>
                <w:color w:val="auto"/>
                <w:sz w:val="24"/>
                <w:szCs w:val="24"/>
                <w:lang w:val="en-US" w:eastAsia="zh-CN" w:bidi="ar-SA"/>
              </w:rPr>
              <w:t>颗粒物</w:t>
            </w:r>
          </w:p>
        </w:tc>
        <w:tc>
          <w:tcPr>
            <w:tcW w:w="2489" w:type="dxa"/>
            <w:vAlign w:val="center"/>
          </w:tcPr>
          <w:p w14:paraId="6FBBE54D">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及时清扫</w:t>
            </w:r>
          </w:p>
        </w:tc>
        <w:tc>
          <w:tcPr>
            <w:tcW w:w="2497" w:type="dxa"/>
            <w:vAlign w:val="center"/>
          </w:tcPr>
          <w:p w14:paraId="7595483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highlight w:val="none"/>
                <w:lang w:val="en-US" w:eastAsia="zh-CN"/>
              </w:rPr>
              <w:t>《水泥工业大气污染物排放标准》（GB4915-2013）</w:t>
            </w:r>
            <w:r>
              <w:rPr>
                <w:rFonts w:hint="default" w:ascii="Times New Roman" w:hAnsi="Times New Roman" w:eastAsia="宋体" w:cs="Times New Roman"/>
                <w:color w:val="auto"/>
                <w:kern w:val="21"/>
                <w:sz w:val="24"/>
                <w:szCs w:val="24"/>
                <w:highlight w:val="none"/>
                <w:lang w:val="en-US" w:eastAsia="zh-CN" w:bidi="ar"/>
              </w:rPr>
              <w:t>表3大气污染物无组织排放限值</w:t>
            </w:r>
          </w:p>
        </w:tc>
      </w:tr>
      <w:tr w14:paraId="21C6F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vAlign w:val="center"/>
          </w:tcPr>
          <w:p w14:paraId="4B55D94E">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497" w:type="dxa"/>
            <w:vAlign w:val="center"/>
          </w:tcPr>
          <w:p w14:paraId="2944152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eastAsia="宋体" w:cs="Times New Roman"/>
                <w:b w:val="0"/>
                <w:bCs/>
                <w:color w:val="auto"/>
                <w:sz w:val="24"/>
                <w:szCs w:val="24"/>
                <w:vertAlign w:val="baseline"/>
                <w:lang w:eastAsia="zh-CN"/>
              </w:rPr>
              <w:t>生活污水</w:t>
            </w:r>
          </w:p>
        </w:tc>
        <w:tc>
          <w:tcPr>
            <w:tcW w:w="1174" w:type="dxa"/>
            <w:vAlign w:val="center"/>
          </w:tcPr>
          <w:p w14:paraId="4F579CC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eastAsia="宋体" w:cs="Times New Roman"/>
                <w:b w:val="0"/>
                <w:bCs/>
                <w:color w:val="auto"/>
                <w:kern w:val="2"/>
                <w:sz w:val="24"/>
                <w:szCs w:val="24"/>
                <w:vertAlign w:val="baseline"/>
                <w:lang w:val="en-US" w:eastAsia="zh-CN" w:bidi="ar-SA"/>
              </w:rPr>
              <w:t>COD、BOD</w:t>
            </w:r>
            <w:r>
              <w:rPr>
                <w:rFonts w:hint="default" w:ascii="Times New Roman" w:hAnsi="Times New Roman" w:eastAsia="宋体" w:cs="Times New Roman"/>
                <w:b w:val="0"/>
                <w:bCs/>
                <w:color w:val="auto"/>
                <w:kern w:val="2"/>
                <w:sz w:val="24"/>
                <w:szCs w:val="24"/>
                <w:vertAlign w:val="subscript"/>
                <w:lang w:val="en-US" w:eastAsia="zh-CN" w:bidi="ar-SA"/>
              </w:rPr>
              <w:t>5</w:t>
            </w:r>
            <w:r>
              <w:rPr>
                <w:rFonts w:hint="default" w:ascii="Times New Roman" w:hAnsi="Times New Roman" w:eastAsia="宋体" w:cs="Times New Roman"/>
                <w:b w:val="0"/>
                <w:bCs/>
                <w:color w:val="auto"/>
                <w:kern w:val="2"/>
                <w:sz w:val="24"/>
                <w:szCs w:val="24"/>
                <w:vertAlign w:val="baseline"/>
                <w:lang w:val="en-US" w:eastAsia="zh-CN" w:bidi="ar-SA"/>
              </w:rPr>
              <w:t>、SS、NH</w:t>
            </w:r>
            <w:r>
              <w:rPr>
                <w:rFonts w:hint="default" w:ascii="Times New Roman" w:hAnsi="Times New Roman" w:eastAsia="宋体" w:cs="Times New Roman"/>
                <w:b w:val="0"/>
                <w:bCs/>
                <w:color w:val="auto"/>
                <w:kern w:val="2"/>
                <w:sz w:val="24"/>
                <w:szCs w:val="24"/>
                <w:vertAlign w:val="subscript"/>
                <w:lang w:val="en-US" w:eastAsia="zh-CN" w:bidi="ar-SA"/>
              </w:rPr>
              <w:t>3</w:t>
            </w:r>
            <w:r>
              <w:rPr>
                <w:rFonts w:hint="default" w:ascii="Times New Roman" w:hAnsi="Times New Roman" w:eastAsia="宋体" w:cs="Times New Roman"/>
                <w:b w:val="0"/>
                <w:bCs/>
                <w:color w:val="auto"/>
                <w:kern w:val="2"/>
                <w:sz w:val="24"/>
                <w:szCs w:val="24"/>
                <w:vertAlign w:val="baseline"/>
                <w:lang w:val="en-US" w:eastAsia="zh-CN" w:bidi="ar-SA"/>
              </w:rPr>
              <w:t>-N</w:t>
            </w:r>
          </w:p>
        </w:tc>
        <w:tc>
          <w:tcPr>
            <w:tcW w:w="2489" w:type="dxa"/>
            <w:vAlign w:val="center"/>
          </w:tcPr>
          <w:p w14:paraId="21588B6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cs="Times New Roman"/>
                <w:b w:val="0"/>
                <w:bCs/>
                <w:color w:val="auto"/>
                <w:kern w:val="2"/>
                <w:sz w:val="24"/>
                <w:szCs w:val="24"/>
                <w:vertAlign w:val="baseline"/>
                <w:lang w:val="en-US" w:eastAsia="zh-CN" w:bidi="ar-SA"/>
              </w:rPr>
              <w:t>园区污水管网</w:t>
            </w:r>
          </w:p>
        </w:tc>
        <w:tc>
          <w:tcPr>
            <w:tcW w:w="2497" w:type="dxa"/>
            <w:vAlign w:val="center"/>
          </w:tcPr>
          <w:p w14:paraId="42C99A2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《污水综合排放标准》 </w:t>
            </w:r>
          </w:p>
          <w:p w14:paraId="11B5A2F2">
            <w:pPr>
              <w:pStyle w:val="30"/>
              <w:keepNext w:val="0"/>
              <w:keepLines w:val="0"/>
              <w:pageBreakBefore w:val="0"/>
              <w:kinsoku/>
              <w:wordWrap/>
              <w:overflowPunct/>
              <w:topLinePunct w:val="0"/>
              <w:autoSpaceDE/>
              <w:autoSpaceDN/>
              <w:bidi w:val="0"/>
              <w:spacing w:line="240" w:lineRule="auto"/>
              <w:ind w:left="0" w:leftChars="0" w:right="0" w:rightChars="0" w:firstLine="0"/>
              <w:jc w:val="center"/>
              <w:textAlignment w:val="auto"/>
              <w:rPr>
                <w:rFonts w:hint="default" w:ascii="Times New Roman" w:hAnsi="Times New Roman" w:eastAsia="宋体" w:cs="Times New Roman"/>
                <w:color w:val="auto"/>
                <w:kern w:val="2"/>
                <w:sz w:val="24"/>
                <w:szCs w:val="24"/>
                <w:lang w:val="zh-CN" w:eastAsia="zh-CN" w:bidi="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GB8978-1996</w:t>
            </w:r>
            <w:r>
              <w:rPr>
                <w:rFonts w:hint="eastAsia" w:ascii="Times New Roman" w:hAnsi="Times New Roman" w:eastAsia="宋体" w:cs="Times New Roman"/>
                <w:color w:val="auto"/>
                <w:sz w:val="24"/>
                <w:szCs w:val="24"/>
                <w:highlight w:val="none"/>
                <w:lang w:val="en-US" w:eastAsia="zh-CN"/>
              </w:rPr>
              <w:t>）表</w:t>
            </w:r>
            <w:r>
              <w:rPr>
                <w:rFonts w:hint="default" w:ascii="Times New Roman" w:hAnsi="Times New Roman" w:eastAsia="宋体" w:cs="Times New Roman"/>
                <w:color w:val="auto"/>
                <w:sz w:val="24"/>
                <w:szCs w:val="24"/>
                <w:highlight w:val="none"/>
                <w:lang w:val="en-US" w:eastAsia="zh-CN"/>
              </w:rPr>
              <w:t xml:space="preserve">4 </w:t>
            </w:r>
            <w:r>
              <w:rPr>
                <w:rFonts w:hint="eastAsia" w:ascii="Times New Roman" w:hAnsi="Times New Roman" w:eastAsia="宋体" w:cs="Times New Roman"/>
                <w:color w:val="auto"/>
                <w:sz w:val="24"/>
                <w:szCs w:val="24"/>
                <w:highlight w:val="none"/>
                <w:lang w:val="en-US" w:eastAsia="zh-CN"/>
              </w:rPr>
              <w:t>第二类污染物最高允许排放浓度三级标准</w:t>
            </w:r>
          </w:p>
        </w:tc>
      </w:tr>
      <w:tr w14:paraId="571E6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vAlign w:val="center"/>
          </w:tcPr>
          <w:p w14:paraId="187CFCB5">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497" w:type="dxa"/>
            <w:vAlign w:val="center"/>
          </w:tcPr>
          <w:p w14:paraId="6506ADA6">
            <w:pPr>
              <w:pStyle w:val="30"/>
              <w:keepNext w:val="0"/>
              <w:keepLines w:val="0"/>
              <w:pageBreakBefore w:val="0"/>
              <w:kinsoku/>
              <w:wordWrap/>
              <w:overflowPunct/>
              <w:topLinePunct w:val="0"/>
              <w:autoSpaceDE/>
              <w:autoSpaceDN/>
              <w:bidi w:val="0"/>
              <w:spacing w:line="240" w:lineRule="auto"/>
              <w:ind w:left="0" w:leftChars="0" w:right="0" w:rightChars="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设备运行噪声</w:t>
            </w:r>
          </w:p>
        </w:tc>
        <w:tc>
          <w:tcPr>
            <w:tcW w:w="1174" w:type="dxa"/>
            <w:vAlign w:val="center"/>
          </w:tcPr>
          <w:p w14:paraId="52F14127">
            <w:pPr>
              <w:pStyle w:val="30"/>
              <w:keepNext w:val="0"/>
              <w:keepLines w:val="0"/>
              <w:pageBreakBefore w:val="0"/>
              <w:kinsoku/>
              <w:wordWrap/>
              <w:overflowPunct/>
              <w:topLinePunct w:val="0"/>
              <w:autoSpaceDE/>
              <w:autoSpaceDN/>
              <w:bidi w:val="0"/>
              <w:spacing w:line="240" w:lineRule="auto"/>
              <w:ind w:left="0" w:leftChars="0" w:right="0" w:rightChars="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等效A声级</w:t>
            </w:r>
          </w:p>
        </w:tc>
        <w:tc>
          <w:tcPr>
            <w:tcW w:w="2489" w:type="dxa"/>
            <w:vAlign w:val="center"/>
          </w:tcPr>
          <w:p w14:paraId="3E3541D1">
            <w:pPr>
              <w:pStyle w:val="30"/>
              <w:keepNext w:val="0"/>
              <w:keepLines w:val="0"/>
              <w:pageBreakBefore w:val="0"/>
              <w:kinsoku/>
              <w:wordWrap/>
              <w:overflowPunct/>
              <w:topLinePunct w:val="0"/>
              <w:autoSpaceDE/>
              <w:autoSpaceDN/>
              <w:bidi w:val="0"/>
              <w:spacing w:line="240" w:lineRule="auto"/>
              <w:ind w:left="0" w:leftChars="0" w:right="0" w:rightChars="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基础减振</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厂房隔声</w:t>
            </w:r>
          </w:p>
        </w:tc>
        <w:tc>
          <w:tcPr>
            <w:tcW w:w="2497" w:type="dxa"/>
            <w:vAlign w:val="center"/>
          </w:tcPr>
          <w:p w14:paraId="6C60D3BB">
            <w:pPr>
              <w:pStyle w:val="30"/>
              <w:keepNext w:val="0"/>
              <w:keepLines w:val="0"/>
              <w:pageBreakBefore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宋体" w:cs="Times New Roman"/>
                <w:color w:val="auto"/>
                <w:kern w:val="2"/>
                <w:sz w:val="24"/>
                <w:szCs w:val="24"/>
                <w:lang w:val="zh-CN" w:eastAsia="zh-CN" w:bidi="zh-CN"/>
              </w:rPr>
            </w:pPr>
            <w:r>
              <w:rPr>
                <w:rFonts w:hint="default" w:ascii="Times New Roman" w:hAnsi="Times New Roman" w:eastAsia="宋体" w:cs="Times New Roman"/>
                <w:color w:val="auto"/>
                <w:sz w:val="24"/>
                <w:szCs w:val="24"/>
              </w:rPr>
              <w:t>《工业企业厂界环境噪声排放标准》（GB12348-2008）3类区</w:t>
            </w:r>
          </w:p>
        </w:tc>
      </w:tr>
      <w:tr w14:paraId="5B467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3" w:type="dxa"/>
            <w:vAlign w:val="center"/>
          </w:tcPr>
          <w:p w14:paraId="6A0D760C">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电磁辐射</w:t>
            </w:r>
          </w:p>
        </w:tc>
        <w:tc>
          <w:tcPr>
            <w:tcW w:w="1497" w:type="dxa"/>
            <w:vAlign w:val="center"/>
          </w:tcPr>
          <w:p w14:paraId="5470183E">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c>
          <w:tcPr>
            <w:tcW w:w="1174" w:type="dxa"/>
            <w:vAlign w:val="center"/>
          </w:tcPr>
          <w:p w14:paraId="6832F874">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c>
          <w:tcPr>
            <w:tcW w:w="2489" w:type="dxa"/>
            <w:vAlign w:val="center"/>
          </w:tcPr>
          <w:p w14:paraId="0265AAE5">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c>
          <w:tcPr>
            <w:tcW w:w="2497" w:type="dxa"/>
            <w:vAlign w:val="center"/>
          </w:tcPr>
          <w:p w14:paraId="7F6CA93A">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14:paraId="7E8A2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vMerge w:val="restart"/>
            <w:vAlign w:val="center"/>
          </w:tcPr>
          <w:p w14:paraId="09890BE0">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tc>
        <w:tc>
          <w:tcPr>
            <w:tcW w:w="1497" w:type="dxa"/>
            <w:tcBorders>
              <w:right w:val="single" w:color="auto" w:sz="4" w:space="0"/>
            </w:tcBorders>
            <w:vAlign w:val="center"/>
          </w:tcPr>
          <w:p w14:paraId="0BE8CFC3">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生活区</w:t>
            </w:r>
          </w:p>
        </w:tc>
        <w:tc>
          <w:tcPr>
            <w:tcW w:w="1174" w:type="dxa"/>
            <w:tcBorders>
              <w:left w:val="single" w:color="auto" w:sz="4" w:space="0"/>
              <w:right w:val="single" w:color="auto" w:sz="4" w:space="0"/>
            </w:tcBorders>
            <w:vAlign w:val="center"/>
          </w:tcPr>
          <w:p w14:paraId="5B12C0D5">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生活垃圾</w:t>
            </w:r>
          </w:p>
        </w:tc>
        <w:tc>
          <w:tcPr>
            <w:tcW w:w="2489" w:type="dxa"/>
            <w:tcBorders>
              <w:left w:val="single" w:color="auto" w:sz="4" w:space="0"/>
              <w:right w:val="single" w:color="auto" w:sz="4" w:space="0"/>
            </w:tcBorders>
            <w:vAlign w:val="center"/>
          </w:tcPr>
          <w:p w14:paraId="429F24C1">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集中收集，委托环卫部门清运</w:t>
            </w:r>
          </w:p>
        </w:tc>
        <w:tc>
          <w:tcPr>
            <w:tcW w:w="2497" w:type="dxa"/>
            <w:vMerge w:val="restart"/>
            <w:tcBorders>
              <w:left w:val="single" w:color="auto" w:sz="4" w:space="0"/>
              <w:right w:val="single" w:color="auto" w:sz="4" w:space="0"/>
            </w:tcBorders>
            <w:vAlign w:val="center"/>
          </w:tcPr>
          <w:p w14:paraId="3592E5AB">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《一般工业固体废物贮存和填埋场污染控制标准》（GB18599-2020）</w:t>
            </w:r>
          </w:p>
        </w:tc>
      </w:tr>
      <w:tr w14:paraId="453AF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vMerge w:val="continue"/>
            <w:vAlign w:val="center"/>
          </w:tcPr>
          <w:p w14:paraId="7621A0F8">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p>
        </w:tc>
        <w:tc>
          <w:tcPr>
            <w:tcW w:w="1497" w:type="dxa"/>
            <w:tcBorders>
              <w:right w:val="single" w:color="auto" w:sz="4" w:space="0"/>
            </w:tcBorders>
            <w:vAlign w:val="center"/>
          </w:tcPr>
          <w:p w14:paraId="22117256">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eastAsia" w:cs="Times New Roman"/>
                <w:color w:val="auto"/>
                <w:sz w:val="24"/>
                <w:szCs w:val="24"/>
                <w:lang w:val="en-US" w:eastAsia="zh-CN" w:bidi="ar-SA"/>
              </w:rPr>
              <w:t>沉淀池</w:t>
            </w:r>
          </w:p>
        </w:tc>
        <w:tc>
          <w:tcPr>
            <w:tcW w:w="1174" w:type="dxa"/>
            <w:tcBorders>
              <w:left w:val="single" w:color="auto" w:sz="4" w:space="0"/>
              <w:right w:val="single" w:color="auto" w:sz="4" w:space="0"/>
            </w:tcBorders>
            <w:vAlign w:val="center"/>
          </w:tcPr>
          <w:p w14:paraId="2FC69562">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eastAsia" w:cs="Times New Roman"/>
                <w:color w:val="auto"/>
                <w:sz w:val="24"/>
                <w:szCs w:val="24"/>
                <w:lang w:val="en-US" w:eastAsia="zh-CN" w:bidi="ar-SA"/>
              </w:rPr>
              <w:t>沉渣</w:t>
            </w:r>
          </w:p>
        </w:tc>
        <w:tc>
          <w:tcPr>
            <w:tcW w:w="2489" w:type="dxa"/>
            <w:vMerge w:val="restart"/>
            <w:tcBorders>
              <w:left w:val="single" w:color="auto" w:sz="4" w:space="0"/>
              <w:right w:val="single" w:color="auto" w:sz="4" w:space="0"/>
            </w:tcBorders>
            <w:vAlign w:val="center"/>
          </w:tcPr>
          <w:p w14:paraId="672EDC74">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回用于生产</w:t>
            </w:r>
          </w:p>
        </w:tc>
        <w:tc>
          <w:tcPr>
            <w:tcW w:w="2497" w:type="dxa"/>
            <w:vMerge w:val="continue"/>
            <w:tcBorders>
              <w:left w:val="single" w:color="auto" w:sz="4" w:space="0"/>
              <w:right w:val="single" w:color="auto" w:sz="4" w:space="0"/>
            </w:tcBorders>
            <w:vAlign w:val="center"/>
          </w:tcPr>
          <w:p w14:paraId="7A4AF50A">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p>
        </w:tc>
      </w:tr>
      <w:tr w14:paraId="7C94D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vMerge w:val="continue"/>
            <w:vAlign w:val="center"/>
          </w:tcPr>
          <w:p w14:paraId="4E539EAD">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p>
        </w:tc>
        <w:tc>
          <w:tcPr>
            <w:tcW w:w="1497" w:type="dxa"/>
            <w:tcBorders>
              <w:right w:val="single" w:color="auto" w:sz="4" w:space="0"/>
            </w:tcBorders>
            <w:vAlign w:val="center"/>
          </w:tcPr>
          <w:p w14:paraId="5FE5459B">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废气治理</w:t>
            </w:r>
          </w:p>
        </w:tc>
        <w:tc>
          <w:tcPr>
            <w:tcW w:w="1174" w:type="dxa"/>
            <w:tcBorders>
              <w:left w:val="single" w:color="auto" w:sz="4" w:space="0"/>
              <w:right w:val="single" w:color="auto" w:sz="4" w:space="0"/>
            </w:tcBorders>
            <w:vAlign w:val="center"/>
          </w:tcPr>
          <w:p w14:paraId="01E55514">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除尘灰</w:t>
            </w:r>
          </w:p>
        </w:tc>
        <w:tc>
          <w:tcPr>
            <w:tcW w:w="2489" w:type="dxa"/>
            <w:vMerge w:val="continue"/>
            <w:tcBorders>
              <w:left w:val="single" w:color="auto" w:sz="4" w:space="0"/>
              <w:right w:val="single" w:color="auto" w:sz="4" w:space="0"/>
            </w:tcBorders>
            <w:vAlign w:val="center"/>
          </w:tcPr>
          <w:p w14:paraId="081F049E">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p>
        </w:tc>
        <w:tc>
          <w:tcPr>
            <w:tcW w:w="2497" w:type="dxa"/>
            <w:vMerge w:val="continue"/>
            <w:tcBorders>
              <w:left w:val="single" w:color="auto" w:sz="4" w:space="0"/>
              <w:right w:val="single" w:color="auto" w:sz="4" w:space="0"/>
            </w:tcBorders>
            <w:vAlign w:val="center"/>
          </w:tcPr>
          <w:p w14:paraId="6A664A89">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p>
        </w:tc>
      </w:tr>
      <w:tr w14:paraId="53E7C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vMerge w:val="continue"/>
            <w:vAlign w:val="center"/>
          </w:tcPr>
          <w:p w14:paraId="48680A79">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p>
        </w:tc>
        <w:tc>
          <w:tcPr>
            <w:tcW w:w="1497" w:type="dxa"/>
            <w:tcBorders>
              <w:right w:val="single" w:color="auto" w:sz="4" w:space="0"/>
            </w:tcBorders>
            <w:vAlign w:val="center"/>
          </w:tcPr>
          <w:p w14:paraId="3EFE1EC3">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lang w:val="en-US" w:eastAsia="zh-CN" w:bidi="ar-SA"/>
              </w:rPr>
            </w:pPr>
            <w:r>
              <w:rPr>
                <w:rFonts w:hint="eastAsia" w:cs="Times New Roman"/>
                <w:color w:val="auto"/>
                <w:sz w:val="24"/>
                <w:szCs w:val="24"/>
                <w:lang w:val="en-US" w:eastAsia="zh-CN" w:bidi="ar-SA"/>
              </w:rPr>
              <w:t>切割废料</w:t>
            </w:r>
          </w:p>
        </w:tc>
        <w:tc>
          <w:tcPr>
            <w:tcW w:w="1174" w:type="dxa"/>
            <w:tcBorders>
              <w:left w:val="single" w:color="auto" w:sz="4" w:space="0"/>
              <w:right w:val="single" w:color="auto" w:sz="4" w:space="0"/>
            </w:tcBorders>
            <w:vAlign w:val="center"/>
          </w:tcPr>
          <w:p w14:paraId="2084EA88">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lang w:val="en-US" w:eastAsia="zh-CN" w:bidi="ar-SA"/>
              </w:rPr>
            </w:pPr>
            <w:r>
              <w:rPr>
                <w:rFonts w:hint="eastAsia" w:cs="Times New Roman"/>
                <w:color w:val="auto"/>
                <w:sz w:val="24"/>
                <w:szCs w:val="24"/>
                <w:lang w:val="en-US" w:eastAsia="zh-CN" w:bidi="ar-SA"/>
              </w:rPr>
              <w:t>一般固废</w:t>
            </w:r>
          </w:p>
        </w:tc>
        <w:tc>
          <w:tcPr>
            <w:tcW w:w="2489" w:type="dxa"/>
            <w:tcBorders>
              <w:left w:val="single" w:color="auto" w:sz="4" w:space="0"/>
              <w:right w:val="single" w:color="auto" w:sz="4" w:space="0"/>
            </w:tcBorders>
            <w:vAlign w:val="center"/>
          </w:tcPr>
          <w:p w14:paraId="2012573E">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bidi="ar-SA"/>
              </w:rPr>
              <w:t>暂存</w:t>
            </w:r>
            <w:r>
              <w:rPr>
                <w:rFonts w:hint="eastAsia" w:ascii="Times New Roman" w:hAnsi="Times New Roman" w:eastAsia="宋体" w:cs="Times New Roman"/>
                <w:color w:val="auto"/>
                <w:sz w:val="24"/>
                <w:szCs w:val="24"/>
                <w:lang w:val="en-US" w:eastAsia="zh-CN" w:bidi="ar-SA"/>
              </w:rPr>
              <w:t>固废</w:t>
            </w:r>
            <w:r>
              <w:rPr>
                <w:rFonts w:hint="default" w:ascii="Times New Roman" w:hAnsi="Times New Roman" w:eastAsia="宋体" w:cs="Times New Roman"/>
                <w:color w:val="auto"/>
                <w:sz w:val="24"/>
                <w:szCs w:val="24"/>
                <w:lang w:val="en-US" w:eastAsia="zh-CN" w:bidi="ar-SA"/>
              </w:rPr>
              <w:t>暂存间，</w:t>
            </w:r>
            <w:r>
              <w:rPr>
                <w:rFonts w:hint="eastAsia" w:ascii="Times New Roman" w:hAnsi="Times New Roman" w:eastAsia="宋体" w:cs="Times New Roman"/>
                <w:color w:val="auto"/>
                <w:sz w:val="24"/>
                <w:szCs w:val="24"/>
                <w:lang w:val="en-US" w:eastAsia="zh-CN" w:bidi="ar-SA"/>
              </w:rPr>
              <w:t>定期拉运至垃圾填埋场填埋</w:t>
            </w:r>
          </w:p>
        </w:tc>
        <w:tc>
          <w:tcPr>
            <w:tcW w:w="2497" w:type="dxa"/>
            <w:vMerge w:val="continue"/>
            <w:tcBorders>
              <w:left w:val="single" w:color="auto" w:sz="4" w:space="0"/>
              <w:right w:val="single" w:color="auto" w:sz="4" w:space="0"/>
            </w:tcBorders>
            <w:vAlign w:val="center"/>
          </w:tcPr>
          <w:p w14:paraId="624C3D63">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p>
        </w:tc>
      </w:tr>
      <w:tr w14:paraId="2ABAC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3" w:type="dxa"/>
            <w:vMerge w:val="continue"/>
            <w:vAlign w:val="center"/>
          </w:tcPr>
          <w:p w14:paraId="27E9431F">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p>
        </w:tc>
        <w:tc>
          <w:tcPr>
            <w:tcW w:w="1497" w:type="dxa"/>
            <w:tcBorders>
              <w:right w:val="single" w:color="auto" w:sz="4" w:space="0"/>
            </w:tcBorders>
            <w:vAlign w:val="center"/>
          </w:tcPr>
          <w:p w14:paraId="678BAD1A">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cs="Times New Roman"/>
                <w:color w:val="auto"/>
                <w:sz w:val="24"/>
                <w:szCs w:val="24"/>
                <w:lang w:val="en-US" w:eastAsia="zh-CN" w:bidi="ar-SA"/>
              </w:rPr>
            </w:pPr>
            <w:r>
              <w:rPr>
                <w:rFonts w:hint="eastAsia" w:cs="Times New Roman"/>
                <w:color w:val="auto"/>
                <w:sz w:val="24"/>
                <w:szCs w:val="24"/>
                <w:lang w:val="en-US" w:eastAsia="zh-CN" w:bidi="ar-SA"/>
              </w:rPr>
              <w:t>废包装袋</w:t>
            </w:r>
          </w:p>
        </w:tc>
        <w:tc>
          <w:tcPr>
            <w:tcW w:w="1174" w:type="dxa"/>
            <w:tcBorders>
              <w:left w:val="single" w:color="auto" w:sz="4" w:space="0"/>
              <w:right w:val="single" w:color="auto" w:sz="4" w:space="0"/>
            </w:tcBorders>
            <w:vAlign w:val="center"/>
          </w:tcPr>
          <w:p w14:paraId="6F4FA028">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eastAsia" w:cs="Times New Roman"/>
                <w:color w:val="auto"/>
                <w:sz w:val="24"/>
                <w:szCs w:val="24"/>
                <w:lang w:val="en-US" w:eastAsia="zh-CN" w:bidi="ar-SA"/>
              </w:rPr>
            </w:pPr>
            <w:r>
              <w:rPr>
                <w:rFonts w:hint="eastAsia" w:cs="Times New Roman"/>
                <w:color w:val="auto"/>
                <w:sz w:val="24"/>
                <w:szCs w:val="24"/>
                <w:lang w:val="en-US" w:eastAsia="zh-CN" w:bidi="ar-SA"/>
              </w:rPr>
              <w:t>一般固废</w:t>
            </w:r>
          </w:p>
        </w:tc>
        <w:tc>
          <w:tcPr>
            <w:tcW w:w="2489" w:type="dxa"/>
            <w:tcBorders>
              <w:left w:val="single" w:color="auto" w:sz="4" w:space="0"/>
              <w:right w:val="single" w:color="auto" w:sz="4" w:space="0"/>
            </w:tcBorders>
            <w:vAlign w:val="center"/>
          </w:tcPr>
          <w:p w14:paraId="759C6C35">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lang w:val="en-US" w:eastAsia="zh-CN" w:bidi="ar-SA"/>
              </w:rPr>
            </w:pPr>
            <w:r>
              <w:rPr>
                <w:rFonts w:hint="eastAsia" w:cs="Times New Roman"/>
                <w:color w:val="auto"/>
                <w:sz w:val="24"/>
                <w:szCs w:val="24"/>
                <w:lang w:val="en-US" w:eastAsia="zh-CN" w:bidi="ar-SA"/>
              </w:rPr>
              <w:t>外售至废品收购站</w:t>
            </w:r>
          </w:p>
        </w:tc>
        <w:tc>
          <w:tcPr>
            <w:tcW w:w="2497" w:type="dxa"/>
            <w:vMerge w:val="continue"/>
            <w:tcBorders>
              <w:left w:val="single" w:color="auto" w:sz="4" w:space="0"/>
              <w:right w:val="single" w:color="auto" w:sz="4" w:space="0"/>
            </w:tcBorders>
            <w:vAlign w:val="center"/>
          </w:tcPr>
          <w:p w14:paraId="160EBDE1">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p>
        </w:tc>
      </w:tr>
      <w:tr w14:paraId="4323C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143" w:type="dxa"/>
            <w:vMerge w:val="continue"/>
            <w:vAlign w:val="center"/>
          </w:tcPr>
          <w:p w14:paraId="4D29BA0E">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p>
        </w:tc>
        <w:tc>
          <w:tcPr>
            <w:tcW w:w="1497" w:type="dxa"/>
            <w:tcBorders>
              <w:right w:val="single" w:color="auto" w:sz="4" w:space="0"/>
            </w:tcBorders>
            <w:vAlign w:val="center"/>
          </w:tcPr>
          <w:p w14:paraId="3CA339CC">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废机油</w:t>
            </w:r>
          </w:p>
        </w:tc>
        <w:tc>
          <w:tcPr>
            <w:tcW w:w="1174" w:type="dxa"/>
            <w:tcBorders>
              <w:left w:val="single" w:color="auto" w:sz="4" w:space="0"/>
              <w:right w:val="single" w:color="auto" w:sz="4" w:space="0"/>
            </w:tcBorders>
            <w:vAlign w:val="center"/>
          </w:tcPr>
          <w:p w14:paraId="6F7D2FD8">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危险废物</w:t>
            </w:r>
          </w:p>
        </w:tc>
        <w:tc>
          <w:tcPr>
            <w:tcW w:w="2489" w:type="dxa"/>
            <w:tcBorders>
              <w:left w:val="single" w:color="auto" w:sz="4" w:space="0"/>
              <w:right w:val="single" w:color="auto" w:sz="4" w:space="0"/>
            </w:tcBorders>
            <w:vAlign w:val="center"/>
          </w:tcPr>
          <w:p w14:paraId="6D076F15">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暂存危险废物暂存间，委托有资质单位定期处置</w:t>
            </w:r>
          </w:p>
        </w:tc>
        <w:tc>
          <w:tcPr>
            <w:tcW w:w="2497" w:type="dxa"/>
            <w:tcBorders>
              <w:left w:val="single" w:color="auto" w:sz="4" w:space="0"/>
              <w:right w:val="single" w:color="auto" w:sz="4" w:space="0"/>
            </w:tcBorders>
            <w:vAlign w:val="center"/>
          </w:tcPr>
          <w:p w14:paraId="3B8CDFB6">
            <w:pPr>
              <w:widowControl w:val="0"/>
              <w:overflowPunct w:val="0"/>
              <w:autoSpaceDE w:val="0"/>
              <w:autoSpaceDN w:val="0"/>
              <w:bidi w:val="0"/>
              <w:adjustRightInd w:val="0"/>
              <w:snapToGrid w:val="0"/>
              <w:spacing w:before="0" w:after="0" w:line="240" w:lineRule="auto"/>
              <w:ind w:left="0" w:leftChars="0" w:right="0" w:righ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bidi="ar-SA"/>
              </w:rPr>
              <w:t>《危险废物贮存污染控制标准》（GB18597-20</w:t>
            </w:r>
            <w:r>
              <w:rPr>
                <w:rFonts w:hint="eastAsia" w:cs="Times New Roman"/>
                <w:color w:val="auto"/>
                <w:sz w:val="24"/>
                <w:szCs w:val="24"/>
                <w:lang w:val="en-US" w:eastAsia="zh-CN" w:bidi="ar-SA"/>
              </w:rPr>
              <w:t>23</w:t>
            </w:r>
            <w:r>
              <w:rPr>
                <w:rFonts w:hint="default" w:ascii="Times New Roman" w:hAnsi="Times New Roman" w:eastAsia="宋体" w:cs="Times New Roman"/>
                <w:color w:val="auto"/>
                <w:sz w:val="24"/>
                <w:szCs w:val="24"/>
                <w:lang w:val="en-US" w:eastAsia="zh-CN" w:bidi="ar-SA"/>
              </w:rPr>
              <w:t>）</w:t>
            </w:r>
          </w:p>
        </w:tc>
      </w:tr>
      <w:tr w14:paraId="3F69A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43" w:type="dxa"/>
            <w:vAlign w:val="center"/>
          </w:tcPr>
          <w:p w14:paraId="4EE4733E">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7657" w:type="dxa"/>
            <w:gridSpan w:val="4"/>
            <w:vAlign w:val="center"/>
          </w:tcPr>
          <w:p w14:paraId="5C92494A">
            <w:pPr>
              <w:keepNext w:val="0"/>
              <w:keepLines w:val="0"/>
              <w:pageBreakBefore w:val="0"/>
              <w:widowControl/>
              <w:suppressLineNumbers w:val="0"/>
              <w:kinsoku/>
              <w:wordWrap/>
              <w:overflowPunct/>
              <w:topLinePunct w:val="0"/>
              <w:autoSpaceDE/>
              <w:autoSpaceDN/>
              <w:bidi w:val="0"/>
              <w:adjustRightInd/>
              <w:snapToGrid/>
              <w:spacing w:line="240" w:lineRule="auto"/>
              <w:ind w:right="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源头控制措施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②对工艺、设备处理设施等构筑物采取控制措施，防止污染物的跑、冒、滴、漏，将污染物泄漏的环境风险事故降到最低限度。③加强管理，设备维修保养时应注意防止废润滑油滴漏。</w:t>
            </w:r>
          </w:p>
          <w:p w14:paraId="19974306">
            <w:pPr>
              <w:keepNext w:val="0"/>
              <w:keepLines w:val="0"/>
              <w:pageBreakBefore w:val="0"/>
              <w:widowControl/>
              <w:suppressLineNumbers w:val="0"/>
              <w:kinsoku/>
              <w:wordWrap/>
              <w:overflowPunct/>
              <w:topLinePunct w:val="0"/>
              <w:autoSpaceDE/>
              <w:autoSpaceDN/>
              <w:bidi w:val="0"/>
              <w:adjustRightInd/>
              <w:snapToGrid/>
              <w:spacing w:line="240" w:lineRule="auto"/>
              <w:ind w:right="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2、分区防渗控制措施</w:t>
            </w:r>
          </w:p>
          <w:p w14:paraId="1C72A3C5">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厂区可能泄漏污染物的污染区地面进行防渗处理，并及时地将泄漏/渗漏的污染物收集起来进行处理，有效防治洒落地面的污染物渗入地下。根据本工程的特点，将厂区不同的区域划分为重点污染防治区和一般污染防治区。</w:t>
            </w:r>
          </w:p>
          <w:p w14:paraId="5C6F5150">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重点防渗区：危废暂存间为本项目地下水重点污染区域。危废暂存间按照《危险废物贮存污染控制标准》（GB18597-20</w:t>
            </w:r>
            <w:r>
              <w:rPr>
                <w:rFonts w:hint="eastAsia" w:cs="Times New Roman"/>
                <w:color w:val="auto"/>
                <w:kern w:val="0"/>
                <w:sz w:val="24"/>
                <w:szCs w:val="24"/>
                <w:lang w:val="en-US" w:eastAsia="zh-CN" w:bidi="ar"/>
              </w:rPr>
              <w:t>23</w:t>
            </w:r>
            <w:r>
              <w:rPr>
                <w:rFonts w:hint="default" w:ascii="Times New Roman" w:hAnsi="Times New Roman" w:eastAsia="宋体" w:cs="Times New Roman"/>
                <w:color w:val="auto"/>
                <w:kern w:val="0"/>
                <w:sz w:val="24"/>
                <w:szCs w:val="24"/>
                <w:lang w:val="en-US" w:eastAsia="zh-CN" w:bidi="ar"/>
              </w:rPr>
              <w:t>）要求，防渗区采用“防渗混凝土+2mm厚的HDPE膜防渗或其他等效防渗材料，满足渗透系数K≤1.0×10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cm/s”。危废暂存间按照重点污染区域按照《环境影响评价技术导则地下水环境》（HJ610-2016）分区防渗要求，地面采用防渗混凝土+HDPE防水卷材，围堰采用防腐、防渗材料。确保等效粘土防渗层渗透系数Mb≥6.0m，K≤1×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cm/s。</w:t>
            </w:r>
          </w:p>
          <w:p w14:paraId="5CEB0BE6">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一般防渗区：生产车间</w:t>
            </w:r>
            <w:r>
              <w:rPr>
                <w:rFonts w:hint="eastAsia" w:cs="Times New Roman"/>
                <w:color w:val="auto"/>
                <w:kern w:val="0"/>
                <w:sz w:val="24"/>
                <w:szCs w:val="24"/>
                <w:lang w:val="en-US" w:eastAsia="zh-CN" w:bidi="ar"/>
              </w:rPr>
              <w:t>和固废暂存间</w:t>
            </w:r>
            <w:r>
              <w:rPr>
                <w:rFonts w:hint="default" w:ascii="Times New Roman" w:hAnsi="Times New Roman" w:eastAsia="宋体" w:cs="Times New Roman"/>
                <w:color w:val="auto"/>
                <w:kern w:val="0"/>
                <w:sz w:val="24"/>
                <w:szCs w:val="24"/>
                <w:lang w:val="en-US" w:eastAsia="zh-CN" w:bidi="ar"/>
              </w:rPr>
              <w:t>为一般防渗区，地面均采取水泥硬化。确保等效粘土防渗层渗透系数Mb≥1.5m，K≤1×10</w:t>
            </w:r>
            <w:r>
              <w:rPr>
                <w:rFonts w:hint="default"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cm/s</w:t>
            </w:r>
          </w:p>
          <w:p w14:paraId="3B7EFA74">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简单防渗区：办公室为简单防渗区域，采取一般硬化地面。</w:t>
            </w:r>
          </w:p>
          <w:p w14:paraId="31EF1DBC">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同时，项目建设符合《工业建筑防腐蚀设计规范》（GB50046-2008）等有关要求，其它采取的防渗漏措施主要有：</w:t>
            </w:r>
          </w:p>
          <w:p w14:paraId="2B77E00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（1）选用优质设备和管件，并加强日常管理和维修维护工作，防止和减少跑、冒、滴、漏现象的发生。</w:t>
            </w:r>
          </w:p>
          <w:p w14:paraId="08CFADE0">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bidi="ar"/>
              </w:rPr>
              <w:t>（2）在厂区设置雨水、排水系统并做好相应的防渗措施。同时在厂区内严格管理，禁止进行分散的地面漫流冲洗。采取上述措施后，可有效避免对土壤、地下水造成污染。</w:t>
            </w:r>
          </w:p>
        </w:tc>
      </w:tr>
      <w:tr w14:paraId="598BD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43" w:type="dxa"/>
            <w:vAlign w:val="center"/>
          </w:tcPr>
          <w:p w14:paraId="2AB13803">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7657" w:type="dxa"/>
            <w:gridSpan w:val="4"/>
            <w:vAlign w:val="center"/>
          </w:tcPr>
          <w:p w14:paraId="6AFE4468">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14:paraId="1557D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3" w:type="dxa"/>
            <w:vAlign w:val="center"/>
          </w:tcPr>
          <w:p w14:paraId="32D3AE19">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环境风险防范措施</w:t>
            </w:r>
          </w:p>
        </w:tc>
        <w:tc>
          <w:tcPr>
            <w:tcW w:w="7657" w:type="dxa"/>
            <w:gridSpan w:val="4"/>
            <w:vAlign w:val="center"/>
          </w:tcPr>
          <w:p w14:paraId="55F0361D">
            <w:pPr>
              <w:keepNext w:val="0"/>
              <w:keepLines w:val="0"/>
              <w:pageBreakBefore w:val="0"/>
              <w:widowControl/>
              <w:suppressLineNumbers w:val="0"/>
              <w:kinsoku/>
              <w:wordWrap/>
              <w:overflowPunct/>
              <w:topLinePunct w:val="0"/>
              <w:autoSpaceDE/>
              <w:autoSpaceDN/>
              <w:bidi w:val="0"/>
              <w:spacing w:line="240" w:lineRule="auto"/>
              <w:ind w:left="0" w:right="0" w:firstLine="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bidi="ar"/>
              </w:rPr>
              <w:t>做好厂区分区防渗处理、厂区地面硬化、生产工艺过程风险防范措施、泄漏风险防范措施、安管理措施。</w:t>
            </w:r>
          </w:p>
        </w:tc>
      </w:tr>
      <w:tr w14:paraId="5EF37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143" w:type="dxa"/>
            <w:vAlign w:val="center"/>
          </w:tcPr>
          <w:p w14:paraId="7EFB0987">
            <w:pPr>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其他环境管理要求</w:t>
            </w:r>
          </w:p>
        </w:tc>
        <w:tc>
          <w:tcPr>
            <w:tcW w:w="7657" w:type="dxa"/>
            <w:gridSpan w:val="4"/>
            <w:vAlign w:val="center"/>
          </w:tcPr>
          <w:p w14:paraId="759ED942">
            <w:pPr>
              <w:pStyle w:val="18"/>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lang w:val="en-US"/>
              </w:rPr>
            </w:pPr>
            <w:r>
              <w:rPr>
                <w:rFonts w:hint="default" w:ascii="Times New Roman" w:hAnsi="Times New Roman" w:cs="Times New Roman"/>
                <w:color w:val="auto"/>
                <w:sz w:val="24"/>
                <w:szCs w:val="24"/>
                <w:lang w:val="en-US" w:eastAsia="zh-CN"/>
              </w:rPr>
              <w:t>加强管理，项目建成投入运营后，企业应尽快组织竣工环保验收；项目正式运营后必须按照当地环境保护行政主管部门的要求，委托第三方社会化环境监测机构对企业排污状况按照监测计划进行环境监测。</w:t>
            </w:r>
          </w:p>
        </w:tc>
      </w:tr>
    </w:tbl>
    <w:p w14:paraId="43B730F8">
      <w:pPr>
        <w:pStyle w:val="19"/>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1"/>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E29C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5D4D04CF">
            <w:pPr>
              <w:pStyle w:val="11"/>
              <w:spacing w:line="364" w:lineRule="auto"/>
              <w:ind w:left="97" w:right="96" w:firstLine="480"/>
              <w:jc w:val="left"/>
              <w:rPr>
                <w:rFonts w:ascii="宋体" w:cs="宋体"/>
                <w:color w:val="auto"/>
                <w:sz w:val="24"/>
              </w:rPr>
            </w:pPr>
            <w:r>
              <w:rPr>
                <w:color w:val="auto"/>
              </w:rPr>
              <w:t>综上所述，建设项目符合国家产业政策，选址合理，符合该区域的整体规划。建设单位应严格落实环境影响报告表提出的环保对策及措施，排放污染物能得到合理处置，工程对区域环境空气，水环境，声环境均不会产生明显的影响，对区域环境质量影响较小，从环保角度考虑，本项目建设是可行的。</w:t>
            </w:r>
          </w:p>
        </w:tc>
      </w:tr>
    </w:tbl>
    <w:p w14:paraId="46F25500">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103BD8C">
      <w:pPr>
        <w:pStyle w:val="19"/>
        <w:adjustRightInd w:val="0"/>
        <w:snapToGrid w:val="0"/>
        <w:spacing w:before="0" w:beforeAutospacing="0" w:after="0" w:afterAutospacing="0" w:line="648"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06D93AB9">
      <w:pPr>
        <w:pStyle w:val="19"/>
        <w:adjustRightInd w:val="0"/>
        <w:snapToGrid w:val="0"/>
        <w:spacing w:before="0" w:beforeAutospacing="0" w:after="0" w:afterAutospacing="0" w:line="360" w:lineRule="auto"/>
        <w:jc w:val="center"/>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1"/>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94"/>
        <w:gridCol w:w="1767"/>
        <w:gridCol w:w="1226"/>
        <w:gridCol w:w="1765"/>
        <w:gridCol w:w="1644"/>
        <w:gridCol w:w="1539"/>
        <w:gridCol w:w="1907"/>
        <w:gridCol w:w="1201"/>
      </w:tblGrid>
      <w:tr w14:paraId="5841A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21" w:type="pct"/>
            <w:tcBorders>
              <w:tl2br w:val="single" w:color="auto" w:sz="4" w:space="0"/>
            </w:tcBorders>
            <w:noWrap w:val="0"/>
            <w:tcMar>
              <w:left w:w="28" w:type="dxa"/>
              <w:right w:w="28" w:type="dxa"/>
            </w:tcMar>
            <w:vAlign w:val="center"/>
          </w:tcPr>
          <w:p w14:paraId="28C412AC">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项目</w:t>
            </w:r>
          </w:p>
          <w:p w14:paraId="1F086A79">
            <w:pPr>
              <w:pStyle w:val="29"/>
              <w:keepNext w:val="0"/>
              <w:keepLines w:val="0"/>
              <w:pageBreakBefore w:val="0"/>
              <w:kinsoku/>
              <w:wordWrap/>
              <w:overflowPunct/>
              <w:topLinePunct w:val="0"/>
              <w:autoSpaceDE/>
              <w:autoSpaceDN/>
              <w:bidi w:val="0"/>
              <w:spacing w:beforeLines="0" w:afterLines="0" w:line="240" w:lineRule="auto"/>
              <w:jc w:val="both"/>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分类</w:t>
            </w:r>
          </w:p>
        </w:tc>
        <w:tc>
          <w:tcPr>
            <w:tcW w:w="480" w:type="pct"/>
            <w:noWrap w:val="0"/>
            <w:tcMar>
              <w:left w:w="28" w:type="dxa"/>
              <w:right w:w="28" w:type="dxa"/>
            </w:tcMar>
            <w:vAlign w:val="center"/>
          </w:tcPr>
          <w:p w14:paraId="0A9AC8E9">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污染物名称</w:t>
            </w:r>
          </w:p>
        </w:tc>
        <w:tc>
          <w:tcPr>
            <w:tcW w:w="655" w:type="pct"/>
            <w:noWrap w:val="0"/>
            <w:tcMar>
              <w:left w:w="28" w:type="dxa"/>
              <w:right w:w="28" w:type="dxa"/>
            </w:tcMar>
            <w:vAlign w:val="center"/>
          </w:tcPr>
          <w:p w14:paraId="77431863">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现有工程排放量</w:t>
            </w:r>
          </w:p>
          <w:p w14:paraId="60F0A734">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1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①</w:t>
            </w:r>
            <w:r>
              <w:rPr>
                <w:rFonts w:hint="default" w:ascii="Times New Roman" w:hAnsi="Times New Roman" w:eastAsia="黑体" w:cs="Times New Roman"/>
                <w:snapToGrid w:val="0"/>
                <w:color w:val="auto"/>
                <w:spacing w:val="-6"/>
                <w:kern w:val="21"/>
                <w:sz w:val="21"/>
                <w:szCs w:val="21"/>
              </w:rPr>
              <w:fldChar w:fldCharType="end"/>
            </w:r>
          </w:p>
        </w:tc>
        <w:tc>
          <w:tcPr>
            <w:tcW w:w="454" w:type="pct"/>
            <w:noWrap w:val="0"/>
            <w:tcMar>
              <w:left w:w="28" w:type="dxa"/>
              <w:right w:w="28" w:type="dxa"/>
            </w:tcMar>
            <w:vAlign w:val="center"/>
          </w:tcPr>
          <w:p w14:paraId="6D7B2559">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现有工程许可排放量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2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②</w:t>
            </w:r>
            <w:r>
              <w:rPr>
                <w:rFonts w:hint="default" w:ascii="Times New Roman" w:hAnsi="Times New Roman" w:eastAsia="黑体" w:cs="Times New Roman"/>
                <w:snapToGrid w:val="0"/>
                <w:color w:val="auto"/>
                <w:spacing w:val="-6"/>
                <w:kern w:val="21"/>
                <w:sz w:val="21"/>
                <w:szCs w:val="21"/>
              </w:rPr>
              <w:fldChar w:fldCharType="end"/>
            </w:r>
          </w:p>
        </w:tc>
        <w:tc>
          <w:tcPr>
            <w:tcW w:w="654" w:type="pct"/>
            <w:noWrap w:val="0"/>
            <w:tcMar>
              <w:left w:w="28" w:type="dxa"/>
              <w:right w:w="28" w:type="dxa"/>
            </w:tcMar>
            <w:vAlign w:val="center"/>
          </w:tcPr>
          <w:p w14:paraId="4FF65BDA">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在建工程排放量（固体废物产生量）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3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③</w:t>
            </w:r>
            <w:r>
              <w:rPr>
                <w:rFonts w:hint="default" w:ascii="Times New Roman" w:hAnsi="Times New Roman" w:eastAsia="黑体" w:cs="Times New Roman"/>
                <w:snapToGrid w:val="0"/>
                <w:color w:val="auto"/>
                <w:spacing w:val="-6"/>
                <w:kern w:val="21"/>
                <w:sz w:val="21"/>
                <w:szCs w:val="21"/>
              </w:rPr>
              <w:fldChar w:fldCharType="end"/>
            </w:r>
          </w:p>
        </w:tc>
        <w:tc>
          <w:tcPr>
            <w:tcW w:w="609" w:type="pct"/>
            <w:noWrap w:val="0"/>
            <w:tcMar>
              <w:left w:w="28" w:type="dxa"/>
              <w:right w:w="28" w:type="dxa"/>
            </w:tcMar>
            <w:vAlign w:val="center"/>
          </w:tcPr>
          <w:p w14:paraId="20006A64">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4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④</w:t>
            </w:r>
            <w:r>
              <w:rPr>
                <w:rFonts w:hint="default" w:ascii="Times New Roman" w:hAnsi="Times New Roman" w:eastAsia="黑体" w:cs="Times New Roman"/>
                <w:snapToGrid w:val="0"/>
                <w:color w:val="auto"/>
                <w:spacing w:val="-6"/>
                <w:kern w:val="21"/>
                <w:sz w:val="21"/>
                <w:szCs w:val="21"/>
              </w:rPr>
              <w:fldChar w:fldCharType="end"/>
            </w:r>
          </w:p>
        </w:tc>
        <w:tc>
          <w:tcPr>
            <w:tcW w:w="570" w:type="pct"/>
            <w:noWrap w:val="0"/>
            <w:tcMar>
              <w:left w:w="28" w:type="dxa"/>
              <w:right w:w="28" w:type="dxa"/>
            </w:tcMar>
            <w:vAlign w:val="center"/>
          </w:tcPr>
          <w:p w14:paraId="72E60A10">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以新带老削减量（新建项目不填）</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5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⑤</w:t>
            </w:r>
            <w:r>
              <w:rPr>
                <w:rFonts w:hint="default" w:ascii="Times New Roman" w:hAnsi="Times New Roman" w:eastAsia="黑体" w:cs="Times New Roman"/>
                <w:snapToGrid w:val="0"/>
                <w:color w:val="auto"/>
                <w:spacing w:val="-16"/>
                <w:kern w:val="21"/>
                <w:sz w:val="21"/>
                <w:szCs w:val="21"/>
              </w:rPr>
              <w:fldChar w:fldCharType="end"/>
            </w:r>
          </w:p>
        </w:tc>
        <w:tc>
          <w:tcPr>
            <w:tcW w:w="707" w:type="pct"/>
            <w:noWrap w:val="0"/>
            <w:tcMar>
              <w:left w:w="28" w:type="dxa"/>
              <w:right w:w="28" w:type="dxa"/>
            </w:tcMar>
            <w:vAlign w:val="center"/>
          </w:tcPr>
          <w:p w14:paraId="1ED95956">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本项目建成后全厂排放量（固体废物产生量）</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6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⑥</w:t>
            </w:r>
            <w:r>
              <w:rPr>
                <w:rFonts w:hint="default" w:ascii="Times New Roman" w:hAnsi="Times New Roman" w:eastAsia="黑体" w:cs="Times New Roman"/>
                <w:snapToGrid w:val="0"/>
                <w:color w:val="auto"/>
                <w:spacing w:val="-16"/>
                <w:kern w:val="21"/>
                <w:sz w:val="21"/>
                <w:szCs w:val="21"/>
              </w:rPr>
              <w:fldChar w:fldCharType="end"/>
            </w:r>
          </w:p>
        </w:tc>
        <w:tc>
          <w:tcPr>
            <w:tcW w:w="445" w:type="pct"/>
            <w:noWrap w:val="0"/>
            <w:tcMar>
              <w:left w:w="28" w:type="dxa"/>
              <w:right w:w="28" w:type="dxa"/>
            </w:tcMar>
            <w:vAlign w:val="center"/>
          </w:tcPr>
          <w:p w14:paraId="6DC7EE76">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变化量</w:t>
            </w:r>
          </w:p>
          <w:p w14:paraId="0308F041">
            <w:pPr>
              <w:pStyle w:val="29"/>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7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⑦</w:t>
            </w:r>
            <w:r>
              <w:rPr>
                <w:rFonts w:hint="default" w:ascii="Times New Roman" w:hAnsi="Times New Roman" w:eastAsia="黑体" w:cs="Times New Roman"/>
                <w:snapToGrid w:val="0"/>
                <w:color w:val="auto"/>
                <w:spacing w:val="-6"/>
                <w:kern w:val="21"/>
                <w:sz w:val="21"/>
                <w:szCs w:val="21"/>
              </w:rPr>
              <w:fldChar w:fldCharType="end"/>
            </w:r>
          </w:p>
        </w:tc>
      </w:tr>
      <w:tr w14:paraId="1791E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1" w:type="pct"/>
            <w:noWrap w:val="0"/>
            <w:vAlign w:val="center"/>
          </w:tcPr>
          <w:p w14:paraId="0DDA1172">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cs="Times New Roman"/>
                <w:b w:val="0"/>
                <w:bCs/>
                <w:snapToGrid w:val="0"/>
                <w:color w:val="auto"/>
                <w:kern w:val="21"/>
                <w:sz w:val="21"/>
                <w:szCs w:val="21"/>
              </w:rPr>
            </w:pPr>
            <w:r>
              <w:rPr>
                <w:rFonts w:hint="default" w:ascii="Times New Roman" w:hAnsi="Times New Roman" w:cs="Times New Roman"/>
                <w:b w:val="0"/>
                <w:bCs/>
                <w:snapToGrid w:val="0"/>
                <w:color w:val="auto"/>
                <w:kern w:val="21"/>
                <w:sz w:val="21"/>
                <w:szCs w:val="21"/>
              </w:rPr>
              <w:t>废气</w:t>
            </w:r>
          </w:p>
        </w:tc>
        <w:tc>
          <w:tcPr>
            <w:tcW w:w="480" w:type="pct"/>
            <w:noWrap w:val="0"/>
            <w:vAlign w:val="center"/>
          </w:tcPr>
          <w:p w14:paraId="3E027C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snapToGrid w:val="0"/>
                <w:color w:val="auto"/>
                <w:kern w:val="21"/>
                <w:sz w:val="21"/>
                <w:szCs w:val="21"/>
                <w:lang w:eastAsia="zh-CN"/>
              </w:rPr>
            </w:pPr>
            <w:r>
              <w:rPr>
                <w:rFonts w:hint="eastAsia" w:cs="Times New Roman"/>
                <w:b w:val="0"/>
                <w:bCs/>
                <w:color w:val="auto"/>
                <w:sz w:val="21"/>
                <w:szCs w:val="21"/>
                <w:lang w:val="en-US" w:eastAsia="zh-CN"/>
              </w:rPr>
              <w:t>颗粒物</w:t>
            </w:r>
          </w:p>
        </w:tc>
        <w:tc>
          <w:tcPr>
            <w:tcW w:w="655" w:type="pct"/>
            <w:noWrap w:val="0"/>
            <w:vAlign w:val="center"/>
          </w:tcPr>
          <w:p w14:paraId="50199DA4">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5B542ADD">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3904D20A">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1242AE29">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0.008t/a</w:t>
            </w:r>
          </w:p>
        </w:tc>
        <w:tc>
          <w:tcPr>
            <w:tcW w:w="570" w:type="pct"/>
            <w:noWrap w:val="0"/>
            <w:vAlign w:val="center"/>
          </w:tcPr>
          <w:p w14:paraId="1B12026E">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cs="Times New Roman"/>
                <w:b w:val="0"/>
                <w:bCs/>
                <w:color w:val="auto"/>
                <w:kern w:val="2"/>
                <w:sz w:val="21"/>
                <w:szCs w:val="21"/>
                <w:lang w:val="en-US" w:eastAsia="zh-CN" w:bidi="ar-SA"/>
              </w:rPr>
            </w:pPr>
            <w:r>
              <w:rPr>
                <w:rFonts w:hint="default" w:cs="Times New Roman"/>
                <w:b w:val="0"/>
                <w:bCs/>
                <w:color w:val="auto"/>
                <w:kern w:val="2"/>
                <w:sz w:val="21"/>
                <w:szCs w:val="21"/>
                <w:lang w:val="en-US" w:eastAsia="zh-CN" w:bidi="ar-SA"/>
              </w:rPr>
              <w:t>/</w:t>
            </w:r>
          </w:p>
        </w:tc>
        <w:tc>
          <w:tcPr>
            <w:tcW w:w="707" w:type="pct"/>
            <w:noWrap w:val="0"/>
            <w:vAlign w:val="center"/>
          </w:tcPr>
          <w:p w14:paraId="57B6923D">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0.008t/a</w:t>
            </w:r>
          </w:p>
        </w:tc>
        <w:tc>
          <w:tcPr>
            <w:tcW w:w="445" w:type="pct"/>
            <w:noWrap w:val="0"/>
            <w:vAlign w:val="center"/>
          </w:tcPr>
          <w:p w14:paraId="59BBC14C">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+0.008t/a</w:t>
            </w:r>
          </w:p>
        </w:tc>
      </w:tr>
      <w:tr w14:paraId="37A2A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restart"/>
            <w:noWrap w:val="0"/>
            <w:vAlign w:val="center"/>
          </w:tcPr>
          <w:p w14:paraId="20053C71">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r>
              <w:rPr>
                <w:rFonts w:hint="default" w:ascii="Times New Roman" w:hAnsi="Times New Roman" w:eastAsia="宋体" w:cs="Times New Roman"/>
                <w:b w:val="0"/>
                <w:bCs/>
                <w:snapToGrid w:val="0"/>
                <w:color w:val="auto"/>
                <w:kern w:val="21"/>
                <w:sz w:val="21"/>
                <w:szCs w:val="21"/>
              </w:rPr>
              <w:t>废水</w:t>
            </w:r>
          </w:p>
        </w:tc>
        <w:tc>
          <w:tcPr>
            <w:tcW w:w="480" w:type="pct"/>
            <w:noWrap w:val="0"/>
            <w:vAlign w:val="center"/>
          </w:tcPr>
          <w:p w14:paraId="2E6EE04F">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化学需氧量</w:t>
            </w:r>
          </w:p>
        </w:tc>
        <w:tc>
          <w:tcPr>
            <w:tcW w:w="655" w:type="pct"/>
            <w:noWrap w:val="0"/>
            <w:vAlign w:val="center"/>
          </w:tcPr>
          <w:p w14:paraId="52AD078E">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0E88E238">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C2CDD44">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75C9EFC1">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0.044</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012D6F7">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BBA81F8">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0.044</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D252334">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+0.044</w:t>
            </w:r>
            <w:r>
              <w:rPr>
                <w:rFonts w:hint="eastAsia" w:ascii="Times New Roman" w:hAnsi="Times New Roman" w:eastAsia="宋体" w:cs="Times New Roman"/>
                <w:b w:val="0"/>
                <w:bCs/>
                <w:color w:val="auto"/>
                <w:sz w:val="21"/>
                <w:szCs w:val="21"/>
                <w:lang w:val="en-US" w:eastAsia="zh-CN"/>
              </w:rPr>
              <w:t>t/a</w:t>
            </w:r>
          </w:p>
        </w:tc>
      </w:tr>
      <w:tr w14:paraId="1079B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21" w:type="pct"/>
            <w:vMerge w:val="continue"/>
            <w:noWrap w:val="0"/>
            <w:vAlign w:val="center"/>
          </w:tcPr>
          <w:p w14:paraId="35E70EF4">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p>
        </w:tc>
        <w:tc>
          <w:tcPr>
            <w:tcW w:w="480" w:type="pct"/>
            <w:noWrap w:val="0"/>
            <w:vAlign w:val="center"/>
          </w:tcPr>
          <w:p w14:paraId="2C8116EC">
            <w:pPr>
              <w:pStyle w:val="2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五日生化</w:t>
            </w:r>
          </w:p>
          <w:p w14:paraId="03EB35B4">
            <w:pPr>
              <w:pStyle w:val="2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需氧量</w:t>
            </w:r>
          </w:p>
        </w:tc>
        <w:tc>
          <w:tcPr>
            <w:tcW w:w="655" w:type="pct"/>
            <w:noWrap w:val="0"/>
            <w:vAlign w:val="center"/>
          </w:tcPr>
          <w:p w14:paraId="624F5810">
            <w:pPr>
              <w:pStyle w:val="2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71EA856D">
            <w:pPr>
              <w:pStyle w:val="2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2D5BF757">
            <w:pPr>
              <w:pStyle w:val="2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04EAFF56">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0.032</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00C8BFC">
            <w:pPr>
              <w:pStyle w:val="29"/>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24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3FE1459">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0.032</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129572CB">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+0.032</w:t>
            </w:r>
            <w:r>
              <w:rPr>
                <w:rFonts w:hint="eastAsia" w:ascii="Times New Roman" w:hAnsi="Times New Roman" w:eastAsia="宋体" w:cs="Times New Roman"/>
                <w:b w:val="0"/>
                <w:bCs/>
                <w:color w:val="auto"/>
                <w:sz w:val="21"/>
                <w:szCs w:val="21"/>
                <w:lang w:val="en-US" w:eastAsia="zh-CN"/>
              </w:rPr>
              <w:t>t/a</w:t>
            </w:r>
          </w:p>
        </w:tc>
      </w:tr>
      <w:tr w14:paraId="494AF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continue"/>
            <w:noWrap w:val="0"/>
            <w:vAlign w:val="center"/>
          </w:tcPr>
          <w:p w14:paraId="26E875B9">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p>
        </w:tc>
        <w:tc>
          <w:tcPr>
            <w:tcW w:w="480" w:type="pct"/>
            <w:noWrap w:val="0"/>
            <w:vAlign w:val="center"/>
          </w:tcPr>
          <w:p w14:paraId="38E6501D">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悬浮物</w:t>
            </w:r>
          </w:p>
        </w:tc>
        <w:tc>
          <w:tcPr>
            <w:tcW w:w="655" w:type="pct"/>
            <w:noWrap w:val="0"/>
            <w:vAlign w:val="center"/>
          </w:tcPr>
          <w:p w14:paraId="125A5C3B">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7BF4C987">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E7E5161">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644DAD2A">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0.025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5639951">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7CE1817">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0.025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55C14DA3">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+0.025</w:t>
            </w:r>
            <w:r>
              <w:rPr>
                <w:rFonts w:hint="eastAsia" w:ascii="Times New Roman" w:hAnsi="Times New Roman" w:eastAsia="宋体" w:cs="Times New Roman"/>
                <w:b w:val="0"/>
                <w:bCs/>
                <w:color w:val="auto"/>
                <w:sz w:val="21"/>
                <w:szCs w:val="21"/>
                <w:lang w:val="en-US" w:eastAsia="zh-CN"/>
              </w:rPr>
              <w:t>t/a</w:t>
            </w:r>
          </w:p>
        </w:tc>
      </w:tr>
      <w:tr w14:paraId="72EFD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continue"/>
            <w:noWrap w:val="0"/>
            <w:vAlign w:val="center"/>
          </w:tcPr>
          <w:p w14:paraId="18AD8DDD">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p>
        </w:tc>
        <w:tc>
          <w:tcPr>
            <w:tcW w:w="480" w:type="pct"/>
            <w:noWrap w:val="0"/>
            <w:vAlign w:val="center"/>
          </w:tcPr>
          <w:p w14:paraId="0A64C1DF">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氨氮</w:t>
            </w:r>
          </w:p>
        </w:tc>
        <w:tc>
          <w:tcPr>
            <w:tcW w:w="655" w:type="pct"/>
            <w:noWrap w:val="0"/>
            <w:vAlign w:val="center"/>
          </w:tcPr>
          <w:p w14:paraId="444F10C3">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26A80906">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72E97794">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4EDB6C9B">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0.005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6676B8D">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35FAC1A0">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0.005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3B271C9E">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+0.005</w:t>
            </w:r>
            <w:r>
              <w:rPr>
                <w:rFonts w:hint="eastAsia" w:ascii="Times New Roman" w:hAnsi="Times New Roman" w:eastAsia="宋体" w:cs="Times New Roman"/>
                <w:b w:val="0"/>
                <w:bCs/>
                <w:color w:val="auto"/>
                <w:sz w:val="21"/>
                <w:szCs w:val="21"/>
                <w:lang w:val="en-US" w:eastAsia="zh-CN"/>
              </w:rPr>
              <w:t>t/a</w:t>
            </w:r>
          </w:p>
        </w:tc>
      </w:tr>
      <w:tr w14:paraId="64E29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restart"/>
            <w:noWrap w:val="0"/>
            <w:vAlign w:val="center"/>
          </w:tcPr>
          <w:p w14:paraId="15C50A1C">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r>
              <w:rPr>
                <w:rFonts w:hint="default" w:ascii="Times New Roman" w:hAnsi="Times New Roman" w:eastAsia="宋体" w:cs="Times New Roman"/>
                <w:b w:val="0"/>
                <w:bCs/>
                <w:snapToGrid w:val="0"/>
                <w:color w:val="auto"/>
                <w:kern w:val="21"/>
                <w:sz w:val="21"/>
                <w:szCs w:val="21"/>
              </w:rPr>
              <w:t>一般工业固体废物</w:t>
            </w:r>
          </w:p>
        </w:tc>
        <w:tc>
          <w:tcPr>
            <w:tcW w:w="480" w:type="pct"/>
            <w:noWrap w:val="0"/>
            <w:vAlign w:val="center"/>
          </w:tcPr>
          <w:p w14:paraId="1D0EF134">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除尘器粉尘</w:t>
            </w:r>
          </w:p>
        </w:tc>
        <w:tc>
          <w:tcPr>
            <w:tcW w:w="655" w:type="pct"/>
            <w:noWrap w:val="0"/>
            <w:vAlign w:val="center"/>
          </w:tcPr>
          <w:p w14:paraId="347A0A0A">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6074B884">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099ADC0">
            <w:pPr>
              <w:pStyle w:val="11"/>
              <w:keepNext w:val="0"/>
              <w:keepLines w:val="0"/>
              <w:pageBreakBefore w:val="0"/>
              <w:kinsoku/>
              <w:wordWrap/>
              <w:overflowPunct/>
              <w:topLinePunct w:val="0"/>
              <w:autoSpaceDE/>
              <w:autoSpaceDN/>
              <w:bidi w:val="0"/>
              <w:spacing w:before="0" w:after="0" w:line="360" w:lineRule="auto"/>
              <w:ind w:right="0" w:rightChars="0"/>
              <w:jc w:val="center"/>
              <w:textAlignment w:val="auto"/>
              <w:rPr>
                <w:rFonts w:hint="default" w:ascii="Times New Roman" w:hAnsi="Times New Roman" w:eastAsia="宋体" w:cs="Times New Roman"/>
                <w:snapToGrid w:val="0"/>
                <w:color w:val="auto"/>
                <w:kern w:val="21"/>
                <w:sz w:val="21"/>
                <w:szCs w:val="21"/>
                <w:lang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7C1EDEFB">
            <w:pPr>
              <w:keepNext w:val="0"/>
              <w:keepLines w:val="0"/>
              <w:pageBreakBefore w:val="0"/>
              <w:kinsoku/>
              <w:wordWrap/>
              <w:overflowPunct/>
              <w:topLinePunct w:val="0"/>
              <w:autoSpaceDE/>
              <w:autoSpaceDN/>
              <w:bidi w:val="0"/>
              <w:spacing w:line="360" w:lineRule="auto"/>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sz w:val="21"/>
                <w:szCs w:val="21"/>
                <w:lang w:val="en-US" w:eastAsia="zh-CN"/>
              </w:rPr>
              <w:t>2.54</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175E332B">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A80112E">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sz w:val="21"/>
                <w:szCs w:val="21"/>
                <w:lang w:val="en-US" w:eastAsia="zh-CN"/>
              </w:rPr>
              <w:t>2.54</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20E92E3">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sz w:val="21"/>
                <w:szCs w:val="21"/>
                <w:lang w:val="en-US" w:eastAsia="zh-CN"/>
              </w:rPr>
              <w:t>+2.54</w:t>
            </w:r>
            <w:r>
              <w:rPr>
                <w:rFonts w:hint="eastAsia" w:ascii="Times New Roman" w:hAnsi="Times New Roman" w:eastAsia="宋体" w:cs="Times New Roman"/>
                <w:b w:val="0"/>
                <w:bCs/>
                <w:color w:val="auto"/>
                <w:sz w:val="21"/>
                <w:szCs w:val="21"/>
                <w:lang w:val="en-US" w:eastAsia="zh-CN"/>
              </w:rPr>
              <w:t>t/a</w:t>
            </w:r>
          </w:p>
        </w:tc>
      </w:tr>
      <w:tr w14:paraId="2077D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continue"/>
            <w:noWrap w:val="0"/>
            <w:vAlign w:val="center"/>
          </w:tcPr>
          <w:p w14:paraId="367CE238">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p>
        </w:tc>
        <w:tc>
          <w:tcPr>
            <w:tcW w:w="480" w:type="pct"/>
            <w:noWrap w:val="0"/>
            <w:vAlign w:val="center"/>
          </w:tcPr>
          <w:p w14:paraId="09355A6C">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沉淀池沉渣</w:t>
            </w:r>
          </w:p>
        </w:tc>
        <w:tc>
          <w:tcPr>
            <w:tcW w:w="655" w:type="pct"/>
            <w:noWrap w:val="0"/>
            <w:vAlign w:val="center"/>
          </w:tcPr>
          <w:p w14:paraId="2118F145">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454" w:type="pct"/>
            <w:noWrap w:val="0"/>
            <w:vAlign w:val="center"/>
          </w:tcPr>
          <w:p w14:paraId="4CFDDE59">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654" w:type="pct"/>
            <w:noWrap w:val="0"/>
            <w:vAlign w:val="center"/>
          </w:tcPr>
          <w:p w14:paraId="1834A025">
            <w:pPr>
              <w:pStyle w:val="11"/>
              <w:keepNext w:val="0"/>
              <w:keepLines w:val="0"/>
              <w:pageBreakBefore w:val="0"/>
              <w:kinsoku/>
              <w:wordWrap/>
              <w:overflowPunct/>
              <w:topLinePunct w:val="0"/>
              <w:autoSpaceDE/>
              <w:autoSpaceDN/>
              <w:bidi w:val="0"/>
              <w:spacing w:before="0" w:after="0" w:line="360" w:lineRule="auto"/>
              <w:ind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609" w:type="pct"/>
            <w:noWrap w:val="0"/>
            <w:vAlign w:val="center"/>
          </w:tcPr>
          <w:p w14:paraId="13F3BB9B">
            <w:pPr>
              <w:keepNext w:val="0"/>
              <w:keepLines w:val="0"/>
              <w:pageBreakBefore w:val="0"/>
              <w:kinsoku/>
              <w:wordWrap/>
              <w:overflowPunct/>
              <w:topLinePunct w:val="0"/>
              <w:autoSpaceDE/>
              <w:autoSpaceDN/>
              <w:bidi w:val="0"/>
              <w:spacing w:line="360" w:lineRule="auto"/>
              <w:jc w:val="center"/>
              <w:textAlignment w:val="auto"/>
              <w:rPr>
                <w:rFonts w:hint="eastAsia"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8.4t/a</w:t>
            </w:r>
          </w:p>
        </w:tc>
        <w:tc>
          <w:tcPr>
            <w:tcW w:w="570" w:type="pct"/>
            <w:noWrap w:val="0"/>
            <w:vAlign w:val="center"/>
          </w:tcPr>
          <w:p w14:paraId="0E8863AB">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707" w:type="pct"/>
            <w:noWrap w:val="0"/>
            <w:vAlign w:val="center"/>
          </w:tcPr>
          <w:p w14:paraId="2A9EB577">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val="en-US" w:eastAsia="zh-CN"/>
              </w:rPr>
              <w:t>8.4t/a</w:t>
            </w:r>
          </w:p>
        </w:tc>
        <w:tc>
          <w:tcPr>
            <w:tcW w:w="445" w:type="pct"/>
            <w:noWrap w:val="0"/>
            <w:vAlign w:val="center"/>
          </w:tcPr>
          <w:p w14:paraId="7165BBF1">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+8.4t/a</w:t>
            </w:r>
          </w:p>
        </w:tc>
      </w:tr>
      <w:tr w14:paraId="698D5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21" w:type="pct"/>
            <w:vMerge w:val="continue"/>
            <w:noWrap w:val="0"/>
            <w:vAlign w:val="center"/>
          </w:tcPr>
          <w:p w14:paraId="2CCB3AF0">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p>
        </w:tc>
        <w:tc>
          <w:tcPr>
            <w:tcW w:w="480" w:type="pct"/>
            <w:noWrap w:val="0"/>
            <w:vAlign w:val="center"/>
          </w:tcPr>
          <w:p w14:paraId="17AC39DA">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边角料、残次品</w:t>
            </w:r>
          </w:p>
        </w:tc>
        <w:tc>
          <w:tcPr>
            <w:tcW w:w="655" w:type="pct"/>
            <w:noWrap w:val="0"/>
            <w:vAlign w:val="center"/>
          </w:tcPr>
          <w:p w14:paraId="2510D658">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3365A79F">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654" w:type="pct"/>
            <w:noWrap w:val="0"/>
            <w:vAlign w:val="center"/>
          </w:tcPr>
          <w:p w14:paraId="191DA91C">
            <w:pPr>
              <w:pStyle w:val="11"/>
              <w:keepNext w:val="0"/>
              <w:keepLines w:val="0"/>
              <w:pageBreakBefore w:val="0"/>
              <w:kinsoku/>
              <w:wordWrap/>
              <w:overflowPunct/>
              <w:topLinePunct w:val="0"/>
              <w:autoSpaceDE/>
              <w:autoSpaceDN/>
              <w:bidi w:val="0"/>
              <w:spacing w:before="0" w:after="0" w:line="360" w:lineRule="auto"/>
              <w:ind w:right="0" w:rightChars="0"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9" w:type="pct"/>
            <w:noWrap w:val="0"/>
            <w:vAlign w:val="center"/>
          </w:tcPr>
          <w:p w14:paraId="7ECC1DC0">
            <w:pPr>
              <w:keepNext w:val="0"/>
              <w:keepLines w:val="0"/>
              <w:pageBreakBefore w:val="0"/>
              <w:kinsoku/>
              <w:wordWrap/>
              <w:overflowPunct/>
              <w:topLinePunct w:val="0"/>
              <w:autoSpaceDE/>
              <w:autoSpaceDN/>
              <w:bidi w:val="0"/>
              <w:spacing w:line="360" w:lineRule="auto"/>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4.0</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2C3789AB">
            <w:pPr>
              <w:pStyle w:val="29"/>
              <w:keepNext w:val="0"/>
              <w:keepLines w:val="0"/>
              <w:pageBreakBefore w:val="0"/>
              <w:kinsoku/>
              <w:wordWrap/>
              <w:overflowPunct/>
              <w:topLinePunct w:val="0"/>
              <w:autoSpaceDE/>
              <w:autoSpaceDN/>
              <w:bidi w:val="0"/>
              <w:spacing w:beforeLines="0" w:afterLines="0" w:line="360" w:lineRule="auto"/>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CEBE66B">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4.0</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FEACC78">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cs="Times New Roman"/>
                <w:b w:val="0"/>
                <w:bCs/>
                <w:color w:val="auto"/>
                <w:sz w:val="21"/>
                <w:szCs w:val="21"/>
                <w:lang w:val="en-US" w:eastAsia="zh-CN"/>
              </w:rPr>
              <w:t>+4.0</w:t>
            </w:r>
            <w:r>
              <w:rPr>
                <w:rFonts w:hint="eastAsia" w:ascii="Times New Roman" w:hAnsi="Times New Roman" w:eastAsia="宋体" w:cs="Times New Roman"/>
                <w:b w:val="0"/>
                <w:bCs/>
                <w:color w:val="auto"/>
                <w:sz w:val="21"/>
                <w:szCs w:val="21"/>
                <w:lang w:val="en-US" w:eastAsia="zh-CN"/>
              </w:rPr>
              <w:t>t/a</w:t>
            </w:r>
          </w:p>
        </w:tc>
      </w:tr>
      <w:tr w14:paraId="1ACF3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vMerge w:val="continue"/>
            <w:noWrap w:val="0"/>
            <w:vAlign w:val="center"/>
          </w:tcPr>
          <w:p w14:paraId="7556F007">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rPr>
            </w:pPr>
          </w:p>
        </w:tc>
        <w:tc>
          <w:tcPr>
            <w:tcW w:w="480" w:type="pct"/>
            <w:noWrap w:val="0"/>
            <w:vAlign w:val="center"/>
          </w:tcPr>
          <w:p w14:paraId="51DA445D">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废包装袋</w:t>
            </w:r>
          </w:p>
        </w:tc>
        <w:tc>
          <w:tcPr>
            <w:tcW w:w="655" w:type="pct"/>
            <w:noWrap w:val="0"/>
            <w:vAlign w:val="center"/>
          </w:tcPr>
          <w:p w14:paraId="1D040CD5">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2EF77995">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64A7B031">
            <w:pPr>
              <w:pStyle w:val="11"/>
              <w:keepNext w:val="0"/>
              <w:keepLines w:val="0"/>
              <w:pageBreakBefore w:val="0"/>
              <w:kinsoku/>
              <w:wordWrap/>
              <w:overflowPunct/>
              <w:topLinePunct w:val="0"/>
              <w:autoSpaceDE/>
              <w:autoSpaceDN/>
              <w:bidi w:val="0"/>
              <w:spacing w:before="0" w:after="0" w:line="36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4793D67E">
            <w:pPr>
              <w:keepNext w:val="0"/>
              <w:keepLines w:val="0"/>
              <w:pageBreakBefore w:val="0"/>
              <w:kinsoku/>
              <w:wordWrap/>
              <w:overflowPunct/>
              <w:topLinePunct w:val="0"/>
              <w:autoSpaceDE/>
              <w:autoSpaceDN/>
              <w:bidi w:val="0"/>
              <w:spacing w:line="360" w:lineRule="auto"/>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3.0</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5EC6A7C4">
            <w:pPr>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41BD87F">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3.0</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1B4E8879">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+3.0</w:t>
            </w:r>
            <w:r>
              <w:rPr>
                <w:rFonts w:hint="eastAsia" w:ascii="Times New Roman" w:hAnsi="Times New Roman" w:eastAsia="宋体" w:cs="Times New Roman"/>
                <w:b w:val="0"/>
                <w:bCs/>
                <w:color w:val="auto"/>
                <w:sz w:val="21"/>
                <w:szCs w:val="21"/>
                <w:lang w:val="en-US" w:eastAsia="zh-CN"/>
              </w:rPr>
              <w:t>t/a</w:t>
            </w:r>
          </w:p>
        </w:tc>
      </w:tr>
      <w:tr w14:paraId="7D3E4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21" w:type="pct"/>
            <w:noWrap w:val="0"/>
            <w:vAlign w:val="center"/>
          </w:tcPr>
          <w:p w14:paraId="16D15188">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eastAsia" w:ascii="Times New Roman" w:hAnsi="Times New Roman" w:eastAsia="宋体"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生活垃圾</w:t>
            </w:r>
          </w:p>
        </w:tc>
        <w:tc>
          <w:tcPr>
            <w:tcW w:w="480" w:type="pct"/>
            <w:noWrap w:val="0"/>
            <w:vAlign w:val="center"/>
          </w:tcPr>
          <w:p w14:paraId="35D9F648">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生活垃圾</w:t>
            </w:r>
          </w:p>
        </w:tc>
        <w:tc>
          <w:tcPr>
            <w:tcW w:w="655" w:type="pct"/>
            <w:noWrap w:val="0"/>
            <w:vAlign w:val="center"/>
          </w:tcPr>
          <w:p w14:paraId="426C8743">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44304E81">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2F72726C">
            <w:pPr>
              <w:pStyle w:val="11"/>
              <w:keepNext w:val="0"/>
              <w:keepLines w:val="0"/>
              <w:pageBreakBefore w:val="0"/>
              <w:kinsoku/>
              <w:wordWrap/>
              <w:overflowPunct/>
              <w:topLinePunct w:val="0"/>
              <w:autoSpaceDE/>
              <w:autoSpaceDN/>
              <w:bidi w:val="0"/>
              <w:spacing w:before="0" w:after="0" w:line="36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1FDAD0F0">
            <w:pPr>
              <w:keepNext w:val="0"/>
              <w:keepLines w:val="0"/>
              <w:pageBreakBefore w:val="0"/>
              <w:kinsoku/>
              <w:wordWrap/>
              <w:overflowPunct/>
              <w:topLinePunct w:val="0"/>
              <w:autoSpaceDE/>
              <w:autoSpaceDN/>
              <w:bidi w:val="0"/>
              <w:spacing w:line="360" w:lineRule="auto"/>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1.58</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35470987">
            <w:pPr>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103BDFF8">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1.58</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CE5EA9C">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+1.58</w:t>
            </w:r>
            <w:r>
              <w:rPr>
                <w:rFonts w:hint="eastAsia" w:ascii="Times New Roman" w:hAnsi="Times New Roman" w:eastAsia="宋体" w:cs="Times New Roman"/>
                <w:b w:val="0"/>
                <w:bCs/>
                <w:color w:val="auto"/>
                <w:sz w:val="21"/>
                <w:szCs w:val="21"/>
                <w:lang w:val="en-US" w:eastAsia="zh-CN"/>
              </w:rPr>
              <w:t>t/a</w:t>
            </w:r>
          </w:p>
        </w:tc>
      </w:tr>
      <w:tr w14:paraId="4140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21" w:type="pct"/>
            <w:noWrap w:val="0"/>
            <w:vAlign w:val="center"/>
          </w:tcPr>
          <w:p w14:paraId="53AAA136">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危险废物</w:t>
            </w:r>
          </w:p>
        </w:tc>
        <w:tc>
          <w:tcPr>
            <w:tcW w:w="480" w:type="pct"/>
            <w:noWrap w:val="0"/>
            <w:vAlign w:val="center"/>
          </w:tcPr>
          <w:p w14:paraId="61415EBF">
            <w:pPr>
              <w:pStyle w:val="29"/>
              <w:keepNext w:val="0"/>
              <w:keepLines w:val="0"/>
              <w:pageBreakBefore w:val="0"/>
              <w:kinsoku/>
              <w:wordWrap/>
              <w:overflowPunct/>
              <w:topLinePunct w:val="0"/>
              <w:autoSpaceDE/>
              <w:autoSpaceDN/>
              <w:bidi w:val="0"/>
              <w:spacing w:beforeLines="0" w:afterLines="0" w:line="240" w:lineRule="auto"/>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废机油</w:t>
            </w:r>
          </w:p>
        </w:tc>
        <w:tc>
          <w:tcPr>
            <w:tcW w:w="655" w:type="pct"/>
            <w:noWrap w:val="0"/>
            <w:vAlign w:val="center"/>
          </w:tcPr>
          <w:p w14:paraId="32A67497">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454" w:type="pct"/>
            <w:noWrap w:val="0"/>
            <w:vAlign w:val="center"/>
          </w:tcPr>
          <w:p w14:paraId="789148B2">
            <w:pPr>
              <w:pStyle w:val="29"/>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7F50FEC6">
            <w:pPr>
              <w:pStyle w:val="11"/>
              <w:keepNext w:val="0"/>
              <w:keepLines w:val="0"/>
              <w:pageBreakBefore w:val="0"/>
              <w:kinsoku/>
              <w:wordWrap/>
              <w:overflowPunct/>
              <w:topLinePunct w:val="0"/>
              <w:autoSpaceDE/>
              <w:autoSpaceDN/>
              <w:bidi w:val="0"/>
              <w:spacing w:before="0" w:after="0" w:line="36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1FAE59FA">
            <w:pPr>
              <w:keepNext w:val="0"/>
              <w:keepLines w:val="0"/>
              <w:pageBreakBefore w:val="0"/>
              <w:kinsoku/>
              <w:wordWrap/>
              <w:overflowPunct/>
              <w:topLinePunct w:val="0"/>
              <w:autoSpaceDE/>
              <w:autoSpaceDN/>
              <w:bidi w:val="0"/>
              <w:spacing w:line="360" w:lineRule="auto"/>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CEDA4D3">
            <w:pPr>
              <w:keepNext w:val="0"/>
              <w:keepLines w:val="0"/>
              <w:pageBreakBefore w:val="0"/>
              <w:kinsoku/>
              <w:wordWrap/>
              <w:overflowPunct/>
              <w:topLinePunct w:val="0"/>
              <w:autoSpaceDE/>
              <w:autoSpaceDN/>
              <w:bidi w:val="0"/>
              <w:spacing w:beforeLines="0" w:afterLines="0" w:line="36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F0511BF">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59ECD21">
            <w:pPr>
              <w:keepNext w:val="0"/>
              <w:keepLines w:val="0"/>
              <w:pageBreakBefore w:val="0"/>
              <w:kinsoku/>
              <w:wordWrap/>
              <w:overflowPunct/>
              <w:topLinePunct w:val="0"/>
              <w:autoSpaceDE/>
              <w:autoSpaceDN/>
              <w:bidi w:val="0"/>
              <w:spacing w:line="36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+0.1</w:t>
            </w:r>
            <w:r>
              <w:rPr>
                <w:rFonts w:hint="eastAsia" w:ascii="Times New Roman" w:hAnsi="Times New Roman" w:eastAsia="宋体" w:cs="Times New Roman"/>
                <w:b w:val="0"/>
                <w:bCs/>
                <w:color w:val="auto"/>
                <w:sz w:val="21"/>
                <w:szCs w:val="21"/>
                <w:lang w:val="en-US" w:eastAsia="zh-CN"/>
              </w:rPr>
              <w:t>t/a</w:t>
            </w:r>
          </w:p>
        </w:tc>
      </w:tr>
    </w:tbl>
    <w:p w14:paraId="65559554">
      <w:pPr>
        <w:pStyle w:val="29"/>
        <w:spacing w:before="192" w:beforeLines="80" w:after="24"/>
        <w:jc w:val="left"/>
        <w:rPr>
          <w:rFonts w:hint="eastAsia"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6B2C34A0">
      <w:pPr>
        <w:pStyle w:val="7"/>
        <w:rPr>
          <w:color w:val="auto"/>
        </w:rPr>
        <w:sectPr>
          <w:footerReference r:id="rId4" w:type="default"/>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1C089E18">
      <w:pPr>
        <w:rPr>
          <w:rFonts w:hint="eastAsia"/>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80"/>
    <w:family w:val="auto"/>
    <w:pitch w:val="default"/>
    <w:sig w:usb0="00000000" w:usb1="00000000" w:usb2="00000010" w:usb3="00000000" w:csb0="0002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01A1">
    <w:pPr>
      <w:pStyle w:val="1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E4E19">
                          <w:pPr>
                            <w:pStyle w:val="16"/>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13</w:t>
                          </w:r>
                          <w:r>
                            <w:rPr>
                              <w:rStyle w:val="24"/>
                              <w:rFonts w:ascii="宋体" w:hAnsi="宋体"/>
                              <w:sz w:val="26"/>
                              <w:szCs w:val="26"/>
                            </w:rPr>
                            <w:fldChar w:fldCharType="end"/>
                          </w:r>
                          <w:r>
                            <w:rPr>
                              <w:rStyle w:val="2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FCE4E19">
                    <w:pPr>
                      <w:pStyle w:val="16"/>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13</w:t>
                    </w:r>
                    <w:r>
                      <w:rPr>
                        <w:rStyle w:val="24"/>
                        <w:rFonts w:ascii="宋体" w:hAnsi="宋体"/>
                        <w:sz w:val="26"/>
                        <w:szCs w:val="26"/>
                      </w:rPr>
                      <w:fldChar w:fldCharType="end"/>
                    </w:r>
                    <w:r>
                      <w:rPr>
                        <w:rStyle w:val="24"/>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6C3D">
    <w:pPr>
      <w:pStyle w:val="1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2454C">
                          <w:pPr>
                            <w:pStyle w:val="16"/>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15</w:t>
                          </w:r>
                          <w:r>
                            <w:rPr>
                              <w:rStyle w:val="24"/>
                              <w:rFonts w:ascii="宋体" w:hAnsi="宋体"/>
                              <w:sz w:val="26"/>
                              <w:szCs w:val="26"/>
                            </w:rPr>
                            <w:fldChar w:fldCharType="end"/>
                          </w:r>
                          <w:r>
                            <w:rPr>
                              <w:rStyle w:val="2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282454C">
                    <w:pPr>
                      <w:pStyle w:val="16"/>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15</w:t>
                    </w:r>
                    <w:r>
                      <w:rPr>
                        <w:rStyle w:val="24"/>
                        <w:rFonts w:ascii="宋体" w:hAnsi="宋体"/>
                        <w:sz w:val="26"/>
                        <w:szCs w:val="26"/>
                      </w:rPr>
                      <w:fldChar w:fldCharType="end"/>
                    </w:r>
                    <w:r>
                      <w:rPr>
                        <w:rStyle w:val="24"/>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C8AE">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B67E"/>
    <w:multiLevelType w:val="singleLevel"/>
    <w:tmpl w:val="B83CB67E"/>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TAzODQ4MTBjOGI4NDVhMGU2NTFhNTU3YTI2NjIifQ=="/>
  </w:docVars>
  <w:rsids>
    <w:rsidRoot w:val="00172A27"/>
    <w:rsid w:val="02DF39F5"/>
    <w:rsid w:val="03383A68"/>
    <w:rsid w:val="036E73AD"/>
    <w:rsid w:val="0533251B"/>
    <w:rsid w:val="057E13B9"/>
    <w:rsid w:val="05C869C2"/>
    <w:rsid w:val="062D1CA5"/>
    <w:rsid w:val="0677791C"/>
    <w:rsid w:val="0709363A"/>
    <w:rsid w:val="079026A1"/>
    <w:rsid w:val="08103DEF"/>
    <w:rsid w:val="091F4B4B"/>
    <w:rsid w:val="09513505"/>
    <w:rsid w:val="0A20501F"/>
    <w:rsid w:val="0A387C29"/>
    <w:rsid w:val="0A441786"/>
    <w:rsid w:val="0ABF525A"/>
    <w:rsid w:val="0AE40E54"/>
    <w:rsid w:val="0B332B30"/>
    <w:rsid w:val="0B747F3B"/>
    <w:rsid w:val="0BAE4A33"/>
    <w:rsid w:val="0BC51F38"/>
    <w:rsid w:val="0CAC109A"/>
    <w:rsid w:val="0CD43E9E"/>
    <w:rsid w:val="0D4234FE"/>
    <w:rsid w:val="0D6C2329"/>
    <w:rsid w:val="0EB03F8E"/>
    <w:rsid w:val="0F0A1DF9"/>
    <w:rsid w:val="0F2C59E9"/>
    <w:rsid w:val="100674FE"/>
    <w:rsid w:val="10612637"/>
    <w:rsid w:val="10BA18DC"/>
    <w:rsid w:val="10D04241"/>
    <w:rsid w:val="11287383"/>
    <w:rsid w:val="11524A46"/>
    <w:rsid w:val="1237572B"/>
    <w:rsid w:val="1245667F"/>
    <w:rsid w:val="13C359BB"/>
    <w:rsid w:val="13E904B5"/>
    <w:rsid w:val="13F35A2B"/>
    <w:rsid w:val="156A0FBD"/>
    <w:rsid w:val="15FC06AD"/>
    <w:rsid w:val="1651260D"/>
    <w:rsid w:val="17C36763"/>
    <w:rsid w:val="17F154B8"/>
    <w:rsid w:val="17F72AB1"/>
    <w:rsid w:val="1807337A"/>
    <w:rsid w:val="183226B5"/>
    <w:rsid w:val="18422670"/>
    <w:rsid w:val="187C2B7B"/>
    <w:rsid w:val="18A81147"/>
    <w:rsid w:val="18EB0C9B"/>
    <w:rsid w:val="19DD5AEB"/>
    <w:rsid w:val="19E64779"/>
    <w:rsid w:val="1ADE4B3C"/>
    <w:rsid w:val="1BBE4697"/>
    <w:rsid w:val="1F110004"/>
    <w:rsid w:val="215338E0"/>
    <w:rsid w:val="220C636F"/>
    <w:rsid w:val="231150AD"/>
    <w:rsid w:val="232D0B4C"/>
    <w:rsid w:val="233B037C"/>
    <w:rsid w:val="23474117"/>
    <w:rsid w:val="24432D66"/>
    <w:rsid w:val="24914719"/>
    <w:rsid w:val="257F6C45"/>
    <w:rsid w:val="26BE7ADF"/>
    <w:rsid w:val="272C59BF"/>
    <w:rsid w:val="28264304"/>
    <w:rsid w:val="2A9C2048"/>
    <w:rsid w:val="2AA653AE"/>
    <w:rsid w:val="2B3163EF"/>
    <w:rsid w:val="2C1F4C54"/>
    <w:rsid w:val="2C2248FC"/>
    <w:rsid w:val="2C784645"/>
    <w:rsid w:val="2CF908D7"/>
    <w:rsid w:val="2D4367AA"/>
    <w:rsid w:val="2D8079FF"/>
    <w:rsid w:val="2E597764"/>
    <w:rsid w:val="2F9C2948"/>
    <w:rsid w:val="314B6382"/>
    <w:rsid w:val="3284754E"/>
    <w:rsid w:val="33920A53"/>
    <w:rsid w:val="342A37EA"/>
    <w:rsid w:val="3456407E"/>
    <w:rsid w:val="34881CA6"/>
    <w:rsid w:val="355A3BA6"/>
    <w:rsid w:val="35832E6E"/>
    <w:rsid w:val="36084F2D"/>
    <w:rsid w:val="361D3583"/>
    <w:rsid w:val="37397441"/>
    <w:rsid w:val="3747310D"/>
    <w:rsid w:val="388C3BFC"/>
    <w:rsid w:val="394D3F1A"/>
    <w:rsid w:val="398F14AF"/>
    <w:rsid w:val="3A6A7C41"/>
    <w:rsid w:val="3A7C0B41"/>
    <w:rsid w:val="3B2229C5"/>
    <w:rsid w:val="3C17535D"/>
    <w:rsid w:val="3C295471"/>
    <w:rsid w:val="3C937D8C"/>
    <w:rsid w:val="3D15482F"/>
    <w:rsid w:val="3D271C06"/>
    <w:rsid w:val="3D986BF9"/>
    <w:rsid w:val="3F6C1B91"/>
    <w:rsid w:val="3FBF37B5"/>
    <w:rsid w:val="40F1259B"/>
    <w:rsid w:val="41F36599"/>
    <w:rsid w:val="41F52311"/>
    <w:rsid w:val="42180C2B"/>
    <w:rsid w:val="43001BC9"/>
    <w:rsid w:val="4305039C"/>
    <w:rsid w:val="431B3CEA"/>
    <w:rsid w:val="4366315A"/>
    <w:rsid w:val="43D94B88"/>
    <w:rsid w:val="44185E43"/>
    <w:rsid w:val="44250560"/>
    <w:rsid w:val="455949F6"/>
    <w:rsid w:val="47834623"/>
    <w:rsid w:val="48E61254"/>
    <w:rsid w:val="490160F9"/>
    <w:rsid w:val="49307B69"/>
    <w:rsid w:val="494D3B8F"/>
    <w:rsid w:val="49CC2D15"/>
    <w:rsid w:val="4A527BD5"/>
    <w:rsid w:val="4B462B55"/>
    <w:rsid w:val="4BC263A1"/>
    <w:rsid w:val="4BDB178F"/>
    <w:rsid w:val="4EC8715E"/>
    <w:rsid w:val="4EFB63B2"/>
    <w:rsid w:val="4F0E770D"/>
    <w:rsid w:val="54D16BAD"/>
    <w:rsid w:val="557144CB"/>
    <w:rsid w:val="55D85879"/>
    <w:rsid w:val="576F0018"/>
    <w:rsid w:val="58D84569"/>
    <w:rsid w:val="59163903"/>
    <w:rsid w:val="59C53F20"/>
    <w:rsid w:val="59D41B02"/>
    <w:rsid w:val="5C106817"/>
    <w:rsid w:val="5C594DF3"/>
    <w:rsid w:val="5C771039"/>
    <w:rsid w:val="5CDC1CAC"/>
    <w:rsid w:val="5D9562FF"/>
    <w:rsid w:val="5DA53ABB"/>
    <w:rsid w:val="5DDC7DDE"/>
    <w:rsid w:val="5E1910B9"/>
    <w:rsid w:val="5EC501AE"/>
    <w:rsid w:val="5EF27472"/>
    <w:rsid w:val="5F132590"/>
    <w:rsid w:val="5F85623E"/>
    <w:rsid w:val="5FA345E7"/>
    <w:rsid w:val="60D235C8"/>
    <w:rsid w:val="60E05224"/>
    <w:rsid w:val="61021EFD"/>
    <w:rsid w:val="61A905CB"/>
    <w:rsid w:val="61C3343B"/>
    <w:rsid w:val="62214648"/>
    <w:rsid w:val="628F636C"/>
    <w:rsid w:val="62F45876"/>
    <w:rsid w:val="63A06D6E"/>
    <w:rsid w:val="63C463C4"/>
    <w:rsid w:val="64F97173"/>
    <w:rsid w:val="65574DC9"/>
    <w:rsid w:val="65BC4C5A"/>
    <w:rsid w:val="66180F7D"/>
    <w:rsid w:val="667A2F4A"/>
    <w:rsid w:val="66805D9E"/>
    <w:rsid w:val="67204F0F"/>
    <w:rsid w:val="67E92921"/>
    <w:rsid w:val="67FB0775"/>
    <w:rsid w:val="687D1CB4"/>
    <w:rsid w:val="690E7E58"/>
    <w:rsid w:val="69D61B6D"/>
    <w:rsid w:val="69F40017"/>
    <w:rsid w:val="6A250594"/>
    <w:rsid w:val="6B4A0735"/>
    <w:rsid w:val="6C1F1BB5"/>
    <w:rsid w:val="6C6E50D6"/>
    <w:rsid w:val="6CB06B79"/>
    <w:rsid w:val="6D58742A"/>
    <w:rsid w:val="6DC5076F"/>
    <w:rsid w:val="6E380A43"/>
    <w:rsid w:val="6E4903C6"/>
    <w:rsid w:val="6EA42846"/>
    <w:rsid w:val="6EB75B29"/>
    <w:rsid w:val="6EE64C0C"/>
    <w:rsid w:val="6FAA5649"/>
    <w:rsid w:val="70F862D3"/>
    <w:rsid w:val="73DB22B7"/>
    <w:rsid w:val="74060BDA"/>
    <w:rsid w:val="744C72C0"/>
    <w:rsid w:val="74986C76"/>
    <w:rsid w:val="74C031EC"/>
    <w:rsid w:val="74FC0CE6"/>
    <w:rsid w:val="75976A91"/>
    <w:rsid w:val="75B3168C"/>
    <w:rsid w:val="763B7EA7"/>
    <w:rsid w:val="766547FB"/>
    <w:rsid w:val="7706242A"/>
    <w:rsid w:val="77225052"/>
    <w:rsid w:val="77316AD2"/>
    <w:rsid w:val="7819395D"/>
    <w:rsid w:val="78CC66CC"/>
    <w:rsid w:val="7B58479C"/>
    <w:rsid w:val="7BF754E3"/>
    <w:rsid w:val="7BFC253B"/>
    <w:rsid w:val="7D586CD5"/>
    <w:rsid w:val="7D847ACA"/>
    <w:rsid w:val="7D99109C"/>
    <w:rsid w:val="7DD7081A"/>
    <w:rsid w:val="7DDF7C34"/>
    <w:rsid w:val="7DEB0AFA"/>
    <w:rsid w:val="7F34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2"/>
    <w:basedOn w:val="1"/>
    <w:next w:val="1"/>
    <w:unhideWhenUsed/>
    <w:qFormat/>
    <w:uiPriority w:val="0"/>
    <w:pPr>
      <w:keepNext/>
      <w:keepLines/>
      <w:spacing w:beforeLines="0" w:beforeAutospacing="0" w:afterLines="0" w:afterAutospacing="0" w:line="240" w:lineRule="auto"/>
      <w:jc w:val="left"/>
      <w:outlineLvl w:val="1"/>
    </w:pPr>
    <w:rPr>
      <w:rFonts w:ascii="Times New Roman" w:hAnsi="Times New Roman" w:eastAsia="宋体"/>
      <w:sz w:val="28"/>
    </w:rPr>
  </w:style>
  <w:style w:type="paragraph" w:styleId="8">
    <w:name w:val="heading 3"/>
    <w:basedOn w:val="1"/>
    <w:next w:val="1"/>
    <w:unhideWhenUsed/>
    <w:qFormat/>
    <w:uiPriority w:val="0"/>
    <w:pPr>
      <w:keepNext/>
      <w:keepLines/>
      <w:spacing w:beforeLines="0" w:beforeAutospacing="0" w:afterLines="0" w:afterAutospacing="0" w:line="360" w:lineRule="auto"/>
      <w:jc w:val="left"/>
      <w:outlineLvl w:val="2"/>
    </w:pPr>
    <w:rPr>
      <w:rFonts w:ascii="Times New Roman" w:hAnsi="Times New Roman"/>
    </w:rPr>
  </w:style>
  <w:style w:type="paragraph" w:styleId="9">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autoRedefine/>
    <w:qFormat/>
    <w:uiPriority w:val="0"/>
    <w:pPr>
      <w:spacing w:line="400" w:lineRule="exact"/>
      <w:ind w:firstLine="0" w:firstLineChars="0"/>
      <w:jc w:val="center"/>
    </w:pPr>
  </w:style>
  <w:style w:type="paragraph" w:styleId="3">
    <w:name w:val="Normal Indent"/>
    <w:basedOn w:val="1"/>
    <w:next w:val="4"/>
    <w:qFormat/>
    <w:uiPriority w:val="0"/>
    <w:pPr>
      <w:ind w:firstLine="420" w:firstLineChars="200"/>
    </w:pPr>
    <w:rPr>
      <w:rFonts w:ascii="Calibri" w:hAnsi="Calibri"/>
    </w:rPr>
  </w:style>
  <w:style w:type="paragraph" w:styleId="4">
    <w:name w:val="Body Text First Indent 2"/>
    <w:basedOn w:val="5"/>
    <w:next w:val="1"/>
    <w:qFormat/>
    <w:uiPriority w:val="0"/>
    <w:pPr>
      <w:ind w:firstLine="420" w:firstLineChars="200"/>
    </w:pPr>
    <w:rPr>
      <w:kern w:val="2"/>
      <w:sz w:val="21"/>
      <w:szCs w:val="24"/>
    </w:rPr>
  </w:style>
  <w:style w:type="paragraph" w:styleId="5">
    <w:name w:val="Body Text Indent"/>
    <w:basedOn w:val="1"/>
    <w:next w:val="1"/>
    <w:qFormat/>
    <w:uiPriority w:val="0"/>
    <w:pPr>
      <w:spacing w:after="120"/>
      <w:ind w:left="420" w:leftChars="200"/>
    </w:pPr>
    <w:rPr>
      <w:kern w:val="0"/>
      <w:sz w:val="24"/>
      <w:szCs w:val="20"/>
    </w:rPr>
  </w:style>
  <w:style w:type="paragraph" w:styleId="10">
    <w:name w:val="annotation text"/>
    <w:basedOn w:val="1"/>
    <w:semiHidden/>
    <w:qFormat/>
    <w:uiPriority w:val="0"/>
    <w:pPr>
      <w:jc w:val="left"/>
    </w:pPr>
    <w:rPr>
      <w:kern w:val="0"/>
      <w:sz w:val="24"/>
      <w:szCs w:val="20"/>
    </w:r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Block Text"/>
    <w:basedOn w:val="1"/>
    <w:qFormat/>
    <w:uiPriority w:val="0"/>
    <w:pPr>
      <w:snapToGrid w:val="0"/>
      <w:spacing w:line="408" w:lineRule="auto"/>
      <w:ind w:left="-113" w:right="-510" w:firstLine="510"/>
    </w:pPr>
    <w:rPr>
      <w:sz w:val="24"/>
      <w:szCs w:val="20"/>
    </w:rPr>
  </w:style>
  <w:style w:type="paragraph" w:styleId="13">
    <w:name w:val="Plain Text"/>
    <w:basedOn w:val="1"/>
    <w:qFormat/>
    <w:uiPriority w:val="0"/>
    <w:pPr>
      <w:spacing w:line="360" w:lineRule="auto"/>
    </w:pPr>
    <w:rPr>
      <w:spacing w:val="8"/>
      <w:sz w:val="24"/>
    </w:rPr>
  </w:style>
  <w:style w:type="paragraph" w:styleId="14">
    <w:name w:val="List Bullet 5"/>
    <w:basedOn w:val="1"/>
    <w:qFormat/>
    <w:uiPriority w:val="0"/>
    <w:pPr>
      <w:numPr>
        <w:ilvl w:val="0"/>
        <w:numId w:val="1"/>
      </w:numPr>
    </w:pPr>
  </w:style>
  <w:style w:type="paragraph" w:styleId="15">
    <w:name w:val="Body Text Indent 2"/>
    <w:basedOn w:val="1"/>
    <w:next w:val="1"/>
    <w:qFormat/>
    <w:uiPriority w:val="0"/>
    <w:pPr>
      <w:ind w:firstLine="560"/>
    </w:pPr>
    <w:rPr>
      <w:rFonts w:ascii="宋体"/>
      <w:color w:val="FF0000"/>
      <w:kern w:val="0"/>
      <w:sz w:val="28"/>
      <w:szCs w:val="28"/>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2"/>
    <w:basedOn w:val="1"/>
    <w:unhideWhenUsed/>
    <w:qFormat/>
    <w:uiPriority w:val="99"/>
    <w:pPr>
      <w:spacing w:line="360" w:lineRule="auto"/>
      <w:ind w:firstLine="602" w:firstLineChars="200"/>
      <w:jc w:val="left"/>
    </w:pPr>
    <w:rPr>
      <w:rFonts w:ascii="Times New Roman" w:hAnsi="Times New Roman" w:eastAsia="宋体"/>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0">
    <w:name w:val="Body Text First Indent"/>
    <w:basedOn w:val="11"/>
    <w:next w:val="5"/>
    <w:qFormat/>
    <w:uiPriority w:val="0"/>
    <w:pPr>
      <w:widowControl w:val="0"/>
      <w:spacing w:after="120"/>
      <w:ind w:firstLine="420" w:firstLineChars="100"/>
      <w:jc w:val="both"/>
    </w:pPr>
    <w:rPr>
      <w:kern w:val="2"/>
      <w:szCs w:val="24"/>
      <w:lang w:eastAsia="zh-CN" w:bidi="ar-S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paragraph" w:customStyle="1" w:styleId="26">
    <w:name w:val="Default"/>
    <w:basedOn w:val="27"/>
    <w:next w:val="1"/>
    <w:qFormat/>
    <w:uiPriority w:val="0"/>
    <w:pPr>
      <w:widowControl w:val="0"/>
      <w:tabs>
        <w:tab w:val="left" w:pos="1845"/>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纯文本1"/>
    <w:qFormat/>
    <w:uiPriority w:val="0"/>
    <w:pPr>
      <w:widowControl w:val="0"/>
      <w:tabs>
        <w:tab w:val="left" w:pos="1845"/>
      </w:tabs>
      <w:spacing w:line="240" w:lineRule="exact"/>
      <w:jc w:val="center"/>
    </w:pPr>
    <w:rPr>
      <w:rFonts w:asciiTheme="minorHAnsi" w:hAnsiTheme="minorHAnsi" w:eastAsiaTheme="minorEastAsia" w:cstheme="minorBidi"/>
      <w:kern w:val="2"/>
      <w:sz w:val="18"/>
      <w:szCs w:val="24"/>
      <w:lang w:val="en-US" w:eastAsia="zh-CN" w:bidi="ar-SA"/>
    </w:rPr>
  </w:style>
  <w:style w:type="paragraph" w:customStyle="1" w:styleId="28">
    <w:name w:val="表格文字"/>
    <w:basedOn w:val="1"/>
    <w:qFormat/>
    <w:uiPriority w:val="0"/>
    <w:pPr>
      <w:spacing w:line="300" w:lineRule="exact"/>
      <w:jc w:val="center"/>
    </w:pPr>
    <w:rPr>
      <w:rFonts w:ascii="宋体"/>
      <w:kern w:val="0"/>
      <w:szCs w:val="32"/>
    </w:rPr>
  </w:style>
  <w:style w:type="paragraph" w:customStyle="1" w:styleId="29">
    <w:name w:val="表格"/>
    <w:basedOn w:val="19"/>
    <w:next w:val="1"/>
    <w:qFormat/>
    <w:uiPriority w:val="0"/>
    <w:pPr>
      <w:adjustRightInd w:val="0"/>
      <w:snapToGrid w:val="0"/>
      <w:spacing w:beforeLines="10" w:afterLines="10" w:line="259" w:lineRule="auto"/>
      <w:jc w:val="center"/>
    </w:pPr>
    <w:rPr>
      <w:rFonts w:ascii="宋体"/>
      <w:kern w:val="0"/>
      <w:szCs w:val="20"/>
    </w:rPr>
  </w:style>
  <w:style w:type="paragraph" w:customStyle="1" w:styleId="30">
    <w:name w:val="Table Paragraph"/>
    <w:basedOn w:val="1"/>
    <w:qFormat/>
    <w:uiPriority w:val="1"/>
    <w:rPr>
      <w:rFonts w:ascii="宋体" w:hAnsi="宋体" w:eastAsia="宋体" w:cs="宋体"/>
      <w:lang w:val="zh-CN" w:eastAsia="zh-CN" w:bidi="zh-CN"/>
    </w:rPr>
  </w:style>
  <w:style w:type="paragraph" w:customStyle="1" w:styleId="31">
    <w:name w:val="表头字体"/>
    <w:basedOn w:val="1"/>
    <w:qFormat/>
    <w:uiPriority w:val="0"/>
    <w:pPr>
      <w:spacing w:line="360" w:lineRule="auto"/>
      <w:jc w:val="center"/>
    </w:pPr>
  </w:style>
  <w:style w:type="paragraph" w:customStyle="1" w:styleId="32">
    <w:name w:val="表格内容"/>
    <w:basedOn w:val="3"/>
    <w:next w:val="33"/>
    <w:qFormat/>
    <w:uiPriority w:val="0"/>
    <w:pPr>
      <w:spacing w:line="240" w:lineRule="auto"/>
      <w:jc w:val="center"/>
    </w:pPr>
    <w:rPr>
      <w:rFonts w:ascii="Times New Roman" w:hAnsi="Times New Roman" w:eastAsia="宋体" w:cs="Times New Roman"/>
      <w:kern w:val="2"/>
      <w:sz w:val="21"/>
      <w:szCs w:val="24"/>
      <w:lang w:val="zh-TW" w:eastAsia="zh-TW" w:bidi="ar-SA"/>
    </w:rPr>
  </w:style>
  <w:style w:type="paragraph" w:customStyle="1" w:styleId="33">
    <w:name w:val="文本正文"/>
    <w:basedOn w:val="1"/>
    <w:qFormat/>
    <w:uiPriority w:val="0"/>
    <w:pPr>
      <w:ind w:firstLine="480"/>
    </w:pPr>
  </w:style>
  <w:style w:type="paragraph" w:styleId="34">
    <w:name w:val="List Paragraph"/>
    <w:basedOn w:val="1"/>
    <w:qFormat/>
    <w:uiPriority w:val="1"/>
    <w:pPr>
      <w:ind w:left="1892" w:hanging="360"/>
    </w:pPr>
    <w:rPr>
      <w:rFonts w:ascii="宋体" w:hAnsi="宋体" w:eastAsia="宋体" w:cs="宋体"/>
      <w:lang w:val="zh-CN" w:eastAsia="zh-CN" w:bidi="zh-CN"/>
    </w:rPr>
  </w:style>
  <w:style w:type="paragraph" w:customStyle="1" w:styleId="35">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6">
    <w:name w:val="表格正文"/>
    <w:basedOn w:val="37"/>
    <w:qFormat/>
    <w:uiPriority w:val="0"/>
    <w:pPr>
      <w:wordWrap w:val="0"/>
      <w:ind w:firstLine="0"/>
    </w:pPr>
    <w:rPr>
      <w:b w:val="0"/>
    </w:rPr>
  </w:style>
  <w:style w:type="paragraph" w:customStyle="1" w:styleId="37">
    <w:name w:val="表格标题"/>
    <w:basedOn w:val="38"/>
    <w:qFormat/>
    <w:uiPriority w:val="0"/>
    <w:pPr>
      <w:ind w:firstLine="480"/>
    </w:pPr>
    <w:rPr>
      <w:rFonts w:hint="default"/>
    </w:rPr>
  </w:style>
  <w:style w:type="paragraph" w:customStyle="1" w:styleId="38">
    <w:name w:val="表头"/>
    <w:basedOn w:val="32"/>
    <w:next w:val="1"/>
    <w:qFormat/>
    <w:uiPriority w:val="0"/>
    <w:pPr>
      <w:jc w:val="center"/>
    </w:pPr>
    <w:rPr>
      <w:rFonts w:hint="eastAsia"/>
      <w:b/>
      <w:bCs/>
      <w:szCs w:val="21"/>
    </w:rPr>
  </w:style>
  <w:style w:type="paragraph" w:customStyle="1" w:styleId="39">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customStyle="1" w:styleId="40">
    <w:name w:val="表格字体"/>
    <w:basedOn w:val="1"/>
    <w:autoRedefine/>
    <w:qFormat/>
    <w:uiPriority w:val="0"/>
    <w:pPr>
      <w:spacing w:line="240" w:lineRule="auto"/>
      <w:jc w:val="center"/>
    </w:pPr>
    <w:rPr>
      <w:rFonts w:ascii="Times New Roman" w:hAnsi="Times New Roman"/>
      <w:sz w:val="21"/>
    </w:rPr>
  </w:style>
  <w:style w:type="paragraph" w:customStyle="1" w:styleId="41">
    <w:name w:val="表格内容1"/>
    <w:basedOn w:val="1"/>
    <w:qFormat/>
    <w:uiPriority w:val="0"/>
    <w:pPr>
      <w:widowControl/>
      <w:spacing w:line="240" w:lineRule="auto"/>
      <w:ind w:firstLine="0" w:firstLineChars="0"/>
      <w:jc w:val="center"/>
    </w:pPr>
    <w:rPr>
      <w:kern w:val="0"/>
      <w:sz w:val="21"/>
      <w:szCs w:val="21"/>
      <w:lang w:eastAsia="en-US" w:bidi="en-US"/>
    </w:rPr>
  </w:style>
  <w:style w:type="paragraph" w:customStyle="1" w:styleId="42">
    <w:name w:val="表头A"/>
    <w:basedOn w:val="38"/>
    <w:qFormat/>
    <w:uiPriority w:val="0"/>
    <w:pPr>
      <w:spacing w:line="400" w:lineRule="exact"/>
      <w:ind w:firstLine="0" w:firstLineChars="0"/>
    </w:pPr>
    <w:rPr>
      <w:rFonts w:ascii="Times New Roman" w:hAnsi="Times New Roman"/>
    </w:rPr>
  </w:style>
  <w:style w:type="paragraph" w:customStyle="1" w:styleId="43">
    <w:name w:val="表中文字"/>
    <w:basedOn w:val="1"/>
    <w:next w:val="1"/>
    <w:qFormat/>
    <w:uiPriority w:val="0"/>
    <w:pPr>
      <w:spacing w:line="300" w:lineRule="exact"/>
      <w:ind w:firstLine="0" w:firstLineChars="0"/>
      <w:jc w:val="center"/>
    </w:pPr>
    <w:rPr>
      <w:sz w:val="21"/>
    </w:rPr>
  </w:style>
  <w:style w:type="character" w:customStyle="1" w:styleId="44">
    <w:name w:val="font01"/>
    <w:basedOn w:val="23"/>
    <w:qFormat/>
    <w:uiPriority w:val="0"/>
    <w:rPr>
      <w:rFonts w:hint="eastAsia" w:ascii="等线" w:hAnsi="等线" w:eastAsia="等线" w:cs="等线"/>
      <w:color w:val="000000"/>
      <w:sz w:val="24"/>
      <w:szCs w:val="24"/>
      <w:u w:val="none"/>
    </w:rPr>
  </w:style>
  <w:style w:type="character" w:customStyle="1" w:styleId="45">
    <w:name w:val="font11"/>
    <w:basedOn w:val="23"/>
    <w:qFormat/>
    <w:uiPriority w:val="0"/>
    <w:rPr>
      <w:rFonts w:hint="default" w:ascii="Times New Roman" w:hAnsi="Times New Roman" w:cs="Times New Roman"/>
      <w:color w:val="000000"/>
      <w:sz w:val="24"/>
      <w:szCs w:val="24"/>
      <w:u w:val="none"/>
    </w:rPr>
  </w:style>
  <w:style w:type="character" w:customStyle="1" w:styleId="46">
    <w:name w:val="font21"/>
    <w:basedOn w:val="23"/>
    <w:qFormat/>
    <w:uiPriority w:val="0"/>
    <w:rPr>
      <w:rFonts w:hint="eastAsia" w:ascii="宋体" w:hAnsi="宋体" w:eastAsia="宋体" w:cs="宋体"/>
      <w:color w:val="000000"/>
      <w:sz w:val="24"/>
      <w:szCs w:val="24"/>
      <w:u w:val="none"/>
    </w:rPr>
  </w:style>
  <w:style w:type="paragraph" w:customStyle="1" w:styleId="47">
    <w:name w:val="文本"/>
    <w:basedOn w:val="1"/>
    <w:autoRedefine/>
    <w:qFormat/>
    <w:uiPriority w:val="0"/>
    <w:pPr>
      <w:adjustRightInd w:val="0"/>
      <w:snapToGrid w:val="0"/>
      <w:spacing w:line="360" w:lineRule="auto"/>
      <w:ind w:firstLine="480" w:firstLineChars="200"/>
      <w:jc w:val="left"/>
    </w:pPr>
    <w:rPr>
      <w:sz w:val="24"/>
    </w:rPr>
  </w:style>
  <w:style w:type="paragraph" w:customStyle="1" w:styleId="48">
    <w:name w:val="表格内"/>
    <w:basedOn w:val="1"/>
    <w:qFormat/>
    <w:uiPriority w:val="0"/>
    <w:pPr>
      <w:adjustRightInd w:val="0"/>
      <w:snapToGrid w:val="0"/>
      <w:spacing w:line="360" w:lineRule="exact"/>
      <w:jc w:val="center"/>
    </w:pPr>
    <w:rPr>
      <w:rFonts w:ascii="Times New Roman" w:hAnsi="Times New Roman" w:cs="Times New Roman"/>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EwODU0MzMyNjI5IiwKCSJHcm91cElkIiA6ICIxNDk1MzM0NTkiLAoJIkltYWdlIiA6ICJpVkJPUncwS0dnb0FBQUFOU1VoRVVnQUFBRXNBQUFCTENBWUFBQUE0VG5ycUFBQUFBWE5TUjBJQXJzNGM2UUFBQUMxSlJFRlVlSnp0d1RFQkFBQUF3cUQxVDIwTUg2QUFBQUFBQUFBQUFBQUFBQUFBQUFBQUFBQUFBQUNBc3dGWUx3QUJjQlY5NkFBQUFBQkpSVTVFcmtKZ2dnPT0iLAoJIlRoZW1lIiA6ICIiLAoJIlR5cGUiIDogImZsb3ciLAoJIlZlcnNpb24iIDogIiIKfQo="/>
    </extobj>
    <extobj name="ECB019B1-382A-4266-B25C-5B523AA43C14-2">
      <extobjdata type="ECB019B1-382A-4266-B25C-5B523AA43C14" data="ewoJIkZpbGVJZCIgOiAiMzEwODYxMDc2ODcxIiwKCSJHcm91cElkIiA6ICIxNDk1MzM0NTkiLAoJIkltYWdlIiA6ICJpVkJPUncwS0dnb0FBQUFOU1VoRVVnQUFBRXNBQUFCTENBWUFBQUE0VG5ycUFBQUFBWE5TUjBJQXJzNGM2UUFBQUMxSlJFRlVlSnp0d1RFQkFBQUF3cUQxVDIwTUg2QUFBQUFBQUFBQUFBQUFBQUFBQUFBQUFBQUFBQUNBc3dGWUx3QUJjQlY5NkF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32604</Words>
  <Characters>36201</Characters>
  <Lines>0</Lines>
  <Paragraphs>0</Paragraphs>
  <TotalTime>12</TotalTime>
  <ScaleCrop>false</ScaleCrop>
  <LinksUpToDate>false</LinksUpToDate>
  <CharactersWithSpaces>36401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浓浓稀硫酸</cp:lastModifiedBy>
  <cp:lastPrinted>2024-07-01T08:20:00Z</cp:lastPrinted>
  <dcterms:modified xsi:type="dcterms:W3CDTF">2024-07-23T04:51:15Z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4CA342AADB2E4052A94A41110635BC64_13</vt:lpwstr>
  </property>
</Properties>
</file>